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1A" w:rsidRPr="00602388" w:rsidRDefault="004F3869" w:rsidP="00A9334E">
      <w:pPr>
        <w:pStyle w:val="PublicationTitle"/>
        <w:spacing w:before="1200"/>
        <w:ind w:left="2552"/>
        <w:rPr>
          <w:color w:val="auto"/>
        </w:rPr>
      </w:pPr>
      <w:bookmarkStart w:id="0" w:name="_Toc296423677"/>
      <w:bookmarkStart w:id="1" w:name="_Toc296497508"/>
      <w:r>
        <w:rPr>
          <w:noProof/>
          <w:color w:val="auto"/>
          <w:lang w:eastAsia="en-AU"/>
        </w:rPr>
        <w:pict>
          <v:shapetype id="_x0000_t202" coordsize="21600,21600" o:spt="202" path="m,l,21600r21600,l21600,xe">
            <v:stroke joinstyle="miter"/>
            <v:path gradientshapeok="t" o:connecttype="rect"/>
          </v:shapetype>
          <v:shape id="_x0000_s1044" type="#_x0000_t202" style="position:absolute;left:0;text-align:left;margin-left:-20.8pt;margin-top:-69.8pt;width:87pt;height:848pt;z-index:251659264" filled="f" stroked="f">
            <v:textbox style="layout-flow:vertical;mso-layout-flow-alt:bottom-to-top">
              <w:txbxContent>
                <w:p w:rsidR="005F3AC0" w:rsidRPr="00A9334E" w:rsidRDefault="005F3AC0" w:rsidP="00A9334E">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5F3AC0" w:rsidRDefault="005F3AC0"/>
              </w:txbxContent>
            </v:textbox>
          </v:shape>
        </w:pict>
      </w:r>
      <w:bookmarkEnd w:id="0"/>
      <w:bookmarkEnd w:id="1"/>
      <w:r w:rsidR="0019042E">
        <w:rPr>
          <w:noProof/>
          <w:color w:val="auto"/>
          <w:lang w:eastAsia="en-AU"/>
        </w:rPr>
        <w:t>A</w:t>
      </w:r>
      <w:r w:rsidR="009E7F75">
        <w:rPr>
          <w:noProof/>
          <w:color w:val="auto"/>
          <w:lang w:eastAsia="en-AU"/>
        </w:rPr>
        <w:t xml:space="preserve"> half-open door</w:t>
      </w:r>
      <w:r w:rsidR="00B75DEF">
        <w:rPr>
          <w:color w:val="auto"/>
        </w:rPr>
        <w:t>:</w:t>
      </w:r>
      <w:r w:rsidR="00A566CC" w:rsidRPr="00602388">
        <w:rPr>
          <w:color w:val="auto"/>
        </w:rPr>
        <w:t xml:space="preserve"> support document</w:t>
      </w:r>
    </w:p>
    <w:p w:rsidR="00177827" w:rsidRPr="00602388" w:rsidRDefault="00995E10" w:rsidP="00A9334E">
      <w:pPr>
        <w:pStyle w:val="Authors"/>
        <w:ind w:left="2552"/>
      </w:pPr>
      <w:bookmarkStart w:id="2" w:name="_Toc296423678"/>
      <w:bookmarkStart w:id="3" w:name="_Toc296497509"/>
      <w:r w:rsidRPr="00602388">
        <w:t>Louise Watson</w:t>
      </w:r>
    </w:p>
    <w:p w:rsidR="00995E10" w:rsidRPr="00602388" w:rsidRDefault="00995E10" w:rsidP="00A9334E">
      <w:pPr>
        <w:pStyle w:val="Authors"/>
        <w:ind w:left="2552"/>
      </w:pPr>
      <w:r w:rsidRPr="00602388">
        <w:t>Pauline Hage</w:t>
      </w:r>
      <w:r w:rsidR="002A21BF" w:rsidRPr="00602388">
        <w:t>l</w:t>
      </w:r>
    </w:p>
    <w:p w:rsidR="00995E10" w:rsidRPr="00602388" w:rsidRDefault="00995E10" w:rsidP="00A9334E">
      <w:pPr>
        <w:pStyle w:val="Authors"/>
        <w:ind w:left="2552"/>
      </w:pPr>
      <w:r w:rsidRPr="00602388">
        <w:t>Jenny Chesters</w:t>
      </w:r>
    </w:p>
    <w:bookmarkEnd w:id="2"/>
    <w:bookmarkEnd w:id="3"/>
    <w:p w:rsidR="009E231A" w:rsidRPr="00602388" w:rsidRDefault="001C62A9" w:rsidP="001C62A9">
      <w:pPr>
        <w:pStyle w:val="Organisation"/>
        <w:ind w:left="2552"/>
      </w:pPr>
      <w:r w:rsidRPr="00602388">
        <w:t>The Education Institute</w:t>
      </w:r>
      <w:r>
        <w:t>, University of Canberra</w:t>
      </w:r>
    </w:p>
    <w:p w:rsidR="00166281" w:rsidRPr="00602388" w:rsidRDefault="00166281" w:rsidP="00A9334E">
      <w:pPr>
        <w:pStyle w:val="Organisation"/>
        <w:ind w:left="2552"/>
      </w:pPr>
    </w:p>
    <w:p w:rsidR="000315D7" w:rsidRPr="00602388" w:rsidRDefault="000315D7" w:rsidP="00A9334E">
      <w:pPr>
        <w:pStyle w:val="Organisation"/>
        <w:ind w:left="2552"/>
      </w:pPr>
    </w:p>
    <w:p w:rsidR="006C5DA9" w:rsidRPr="00602388" w:rsidRDefault="006C5DA9" w:rsidP="00A9334E">
      <w:pPr>
        <w:pStyle w:val="Text"/>
        <w:ind w:left="2552"/>
      </w:pPr>
    </w:p>
    <w:p w:rsidR="001B43CF" w:rsidRPr="00602388" w:rsidRDefault="004F3869" w:rsidP="00A9334E">
      <w:pPr>
        <w:pStyle w:val="Text"/>
        <w:ind w:left="2552"/>
      </w:pPr>
      <w:r>
        <w:rPr>
          <w:noProof/>
          <w:lang w:eastAsia="en-AU"/>
        </w:rPr>
        <w:pict>
          <v:shape id="_x0000_s1034" type="#_x0000_t202" style="position:absolute;left:0;text-align:left;margin-left:123.1pt;margin-top:323.4pt;width:301.25pt;height:327.65pt;z-index:251658240;mso-position-vertical-relative:margin;v-text-anchor:bottom" filled="f" stroked="f">
            <v:textbox style="mso-next-textbox:#_x0000_s1034">
              <w:txbxContent>
                <w:p w:rsidR="005F3AC0" w:rsidRDefault="005F3AC0" w:rsidP="000C1642">
                  <w:pPr>
                    <w:pStyle w:val="Imprint"/>
                  </w:pPr>
                </w:p>
                <w:p w:rsidR="005F3AC0" w:rsidRDefault="005F3AC0" w:rsidP="000C1642">
                  <w:pPr>
                    <w:pStyle w:val="Imprint"/>
                  </w:pPr>
                </w:p>
                <w:p w:rsidR="005F3AC0" w:rsidRDefault="005F3AC0" w:rsidP="000C1642">
                  <w:pPr>
                    <w:pStyle w:val="Imprint"/>
                  </w:pPr>
                </w:p>
                <w:p w:rsidR="005F3AC0" w:rsidRPr="00B57CC9" w:rsidRDefault="005F3AC0" w:rsidP="00B57CC9">
                  <w:pPr>
                    <w:pStyle w:val="Text"/>
                    <w:shd w:val="clear" w:color="auto" w:fill="000000" w:themeFill="text1"/>
                  </w:pPr>
                  <w:r w:rsidRPr="000C1642">
                    <w:t>This docu</w:t>
                  </w:r>
                  <w:r w:rsidR="00151AF3">
                    <w:t xml:space="preserve">ment was produced by the authors </w:t>
                  </w:r>
                  <w:r w:rsidRPr="000C1642">
                    <w:t xml:space="preserve">based on their research for the report </w:t>
                  </w:r>
                  <w:r w:rsidR="0019042E">
                    <w:rPr>
                      <w:i/>
                    </w:rPr>
                    <w:t>A</w:t>
                  </w:r>
                  <w:r w:rsidRPr="00D61ADF">
                    <w:rPr>
                      <w:i/>
                    </w:rPr>
                    <w:t xml:space="preserve"> half-op</w:t>
                  </w:r>
                  <w:r w:rsidR="00151AF3">
                    <w:rPr>
                      <w:i/>
                    </w:rPr>
                    <w:t xml:space="preserve">en door: pathways for VET award </w:t>
                  </w:r>
                  <w:r w:rsidRPr="00D61ADF">
                    <w:rPr>
                      <w:i/>
                    </w:rPr>
                    <w:t>holders into Australian universities,</w:t>
                  </w:r>
                  <w:r w:rsidRPr="000C1642">
                    <w:rPr>
                      <w:i/>
                    </w:rPr>
                    <w:t xml:space="preserve"> </w:t>
                  </w:r>
                  <w:r w:rsidRPr="000C1642">
                    <w:t xml:space="preserve">and is an added resource for further information. The report is available on NCVER’s </w:t>
                  </w:r>
                  <w:r w:rsidRPr="00B57CC9">
                    <w:t>website: &lt;</w:t>
                  </w:r>
                  <w:hyperlink r:id="rId8" w:history="1">
                    <w:r w:rsidRPr="00B57CC9">
                      <w:t>http://</w:t>
                    </w:r>
                  </w:hyperlink>
                  <w:r w:rsidRPr="00B57CC9">
                    <w:t>www.ncver.edu.au&gt;</w:t>
                  </w:r>
                  <w:r>
                    <w:t>.</w:t>
                  </w:r>
                </w:p>
                <w:p w:rsidR="005F3AC0" w:rsidRDefault="005F3AC0" w:rsidP="000C1642">
                  <w:pPr>
                    <w:pStyle w:val="Imprint"/>
                  </w:pPr>
                </w:p>
                <w:p w:rsidR="005F3AC0" w:rsidRDefault="005F3AC0" w:rsidP="000C1642">
                  <w:pPr>
                    <w:pStyle w:val="Imprint"/>
                  </w:pPr>
                  <w:r>
                    <w:t>The views and opinions expressed in this d</w:t>
                  </w:r>
                  <w:r w:rsidR="00C6122C">
                    <w:t>ocument are those of the authors</w:t>
                  </w:r>
                  <w:r>
                    <w:t xml:space="preserve"> and do not necessarily reflect the views of the Australian Government, state and territory governments or NCVER. Any errors and omissions are t</w:t>
                  </w:r>
                  <w:r w:rsidR="00090C98">
                    <w:t>he responsibility of the authors</w:t>
                  </w:r>
                  <w:r>
                    <w:t>.</w:t>
                  </w:r>
                </w:p>
              </w:txbxContent>
            </v:textbox>
            <w10:wrap anchory="margin"/>
          </v:shape>
        </w:pict>
      </w:r>
    </w:p>
    <w:p w:rsidR="001B43CF" w:rsidRPr="00602388" w:rsidRDefault="001B43CF" w:rsidP="00A9334E">
      <w:pPr>
        <w:pStyle w:val="Text"/>
        <w:ind w:left="2552"/>
      </w:pPr>
    </w:p>
    <w:p w:rsidR="001B43CF" w:rsidRPr="00602388" w:rsidRDefault="001B43CF" w:rsidP="00A9334E">
      <w:pPr>
        <w:pStyle w:val="Text"/>
        <w:ind w:left="2552"/>
      </w:pPr>
    </w:p>
    <w:p w:rsidR="001B43CF" w:rsidRPr="00602388" w:rsidRDefault="001B43CF" w:rsidP="00A9334E">
      <w:pPr>
        <w:pStyle w:val="Text"/>
        <w:ind w:left="2552"/>
      </w:pPr>
    </w:p>
    <w:p w:rsidR="001B43CF" w:rsidRPr="00602388" w:rsidRDefault="001B43CF" w:rsidP="00A9334E">
      <w:pPr>
        <w:pStyle w:val="Text"/>
        <w:ind w:left="2552"/>
      </w:pPr>
    </w:p>
    <w:p w:rsidR="00DB599C" w:rsidRPr="00602388" w:rsidRDefault="00DB599C" w:rsidP="00A9334E">
      <w:pPr>
        <w:pStyle w:val="Text"/>
        <w:ind w:left="2552"/>
      </w:pPr>
    </w:p>
    <w:p w:rsidR="00DB599C" w:rsidRPr="00602388" w:rsidRDefault="00DB599C" w:rsidP="00A9334E">
      <w:pPr>
        <w:pStyle w:val="Text"/>
        <w:ind w:left="2552"/>
      </w:pPr>
    </w:p>
    <w:p w:rsidR="00DB599C" w:rsidRPr="00602388" w:rsidRDefault="00DB599C" w:rsidP="00A9334E">
      <w:pPr>
        <w:pStyle w:val="Heading3"/>
        <w:ind w:left="2552" w:right="-1"/>
        <w:rPr>
          <w:color w:val="auto"/>
        </w:rPr>
      </w:pPr>
      <w:r w:rsidRPr="00602388">
        <w:rPr>
          <w:color w:val="auto"/>
        </w:rPr>
        <w:softHyphen/>
      </w:r>
    </w:p>
    <w:p w:rsidR="00177827" w:rsidRPr="00602388" w:rsidRDefault="00FE4A2D" w:rsidP="00A9334E">
      <w:pPr>
        <w:pStyle w:val="Heading3"/>
        <w:ind w:left="2552" w:right="-1"/>
        <w:rPr>
          <w:color w:val="auto"/>
        </w:rPr>
      </w:pPr>
      <w:r w:rsidRPr="00602388">
        <w:rPr>
          <w:color w:val="auto"/>
        </w:rPr>
        <w:br w:type="page"/>
      </w:r>
    </w:p>
    <w:p w:rsidR="00177827" w:rsidRPr="00602388" w:rsidRDefault="00177827" w:rsidP="00874DA5">
      <w:pPr>
        <w:pStyle w:val="Contents"/>
        <w:rPr>
          <w:color w:val="auto"/>
        </w:rPr>
      </w:pPr>
    </w:p>
    <w:p w:rsidR="006A702B" w:rsidRPr="00602388" w:rsidRDefault="006A702B" w:rsidP="006A702B">
      <w:pPr>
        <w:pStyle w:val="Heading1"/>
        <w:rPr>
          <w:color w:val="auto"/>
        </w:rPr>
      </w:pPr>
    </w:p>
    <w:p w:rsidR="006A702B" w:rsidRPr="00602388" w:rsidRDefault="006A702B" w:rsidP="006A702B">
      <w:pPr>
        <w:pStyle w:val="Text"/>
      </w:pPr>
    </w:p>
    <w:p w:rsidR="006A702B" w:rsidRPr="00602388" w:rsidRDefault="006A702B" w:rsidP="006A702B">
      <w:pPr>
        <w:pStyle w:val="Text"/>
      </w:pPr>
    </w:p>
    <w:p w:rsidR="006A702B" w:rsidRPr="00602388" w:rsidRDefault="006A702B" w:rsidP="006A702B">
      <w:pPr>
        <w:pStyle w:val="Text"/>
      </w:pPr>
    </w:p>
    <w:p w:rsidR="006A702B" w:rsidRPr="00602388" w:rsidRDefault="006A702B" w:rsidP="006A702B">
      <w:pPr>
        <w:pStyle w:val="Text"/>
      </w:pPr>
    </w:p>
    <w:p w:rsidR="006A702B" w:rsidRPr="00602388" w:rsidRDefault="006A702B" w:rsidP="006A702B">
      <w:pPr>
        <w:pStyle w:val="Text"/>
      </w:pPr>
    </w:p>
    <w:p w:rsidR="006A702B" w:rsidRPr="00602388" w:rsidRDefault="006A702B" w:rsidP="006A702B">
      <w:pPr>
        <w:pStyle w:val="Text"/>
      </w:pPr>
    </w:p>
    <w:p w:rsidR="006A702B" w:rsidRPr="00602388" w:rsidRDefault="006A702B" w:rsidP="006A702B">
      <w:pPr>
        <w:pStyle w:val="Text"/>
      </w:pPr>
    </w:p>
    <w:p w:rsidR="006A702B" w:rsidRPr="00602388" w:rsidRDefault="006A702B" w:rsidP="006A702B">
      <w:pPr>
        <w:pStyle w:val="Text"/>
      </w:pPr>
    </w:p>
    <w:p w:rsidR="006A702B" w:rsidRPr="00602388" w:rsidRDefault="006A702B" w:rsidP="006A702B">
      <w:pPr>
        <w:pStyle w:val="Text"/>
      </w:pPr>
    </w:p>
    <w:p w:rsidR="006A702B" w:rsidRPr="00602388" w:rsidRDefault="006A702B" w:rsidP="006A702B">
      <w:pPr>
        <w:pStyle w:val="Text"/>
      </w:pPr>
    </w:p>
    <w:p w:rsidR="006A702B" w:rsidRPr="00602388" w:rsidRDefault="004F3869" w:rsidP="006A702B">
      <w:pPr>
        <w:pStyle w:val="Text"/>
      </w:pPr>
      <w:r w:rsidRPr="004F3869">
        <w:rPr>
          <w:noProof/>
          <w:kern w:val="28"/>
          <w:lang w:eastAsia="en-AU"/>
        </w:rPr>
        <w:pict>
          <v:shape id="_x0000_s1046" type="#_x0000_t202" style="position:absolute;margin-left:-.15pt;margin-top:332.1pt;width:447.45pt;height:406.6pt;z-index:251660288;mso-position-vertical-relative:margin;v-text-anchor:bottom" filled="f" stroked="f">
            <v:textbox style="mso-next-textbox:#_x0000_s1046">
              <w:txbxContent>
                <w:p w:rsidR="00B75DEF" w:rsidRPr="00A021FC" w:rsidRDefault="00B75DEF" w:rsidP="00C73033">
                  <w:pPr>
                    <w:pStyle w:val="Imprint"/>
                    <w:rPr>
                      <w:b/>
                    </w:rPr>
                  </w:pPr>
                  <w:r w:rsidRPr="00A021FC">
                    <w:rPr>
                      <w:b/>
                    </w:rPr>
                    <w:t xml:space="preserve">© Commonwealth of Australia, </w:t>
                  </w:r>
                  <w:r>
                    <w:rPr>
                      <w:b/>
                    </w:rPr>
                    <w:t>2013</w:t>
                  </w:r>
                </w:p>
                <w:p w:rsidR="00B75DEF" w:rsidRDefault="00B75DEF" w:rsidP="00C73033">
                  <w:pPr>
                    <w:pStyle w:val="Imprint"/>
                    <w:rPr>
                      <w:sz w:val="20"/>
                    </w:rPr>
                  </w:pPr>
                  <w:r w:rsidRPr="00E80270">
                    <w:rPr>
                      <w:noProof/>
                      <w:sz w:val="20"/>
                      <w:lang w:eastAsia="en-AU"/>
                    </w:rPr>
                    <w:drawing>
                      <wp:inline distT="0" distB="0" distL="0" distR="0">
                        <wp:extent cx="850265" cy="302895"/>
                        <wp:effectExtent l="19050" t="0" r="6985" b="0"/>
                        <wp:docPr id="9"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B75DEF" w:rsidRPr="00A021FC" w:rsidRDefault="00B75DEF" w:rsidP="008A33ED">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B75DEF" w:rsidRPr="00A021FC" w:rsidRDefault="00B75DEF" w:rsidP="008A33ED">
                  <w:pPr>
                    <w:pStyle w:val="Imprint"/>
                  </w:pPr>
                  <w:r w:rsidRPr="00A021FC">
                    <w:t>The details of the relevant licence conditions are available on the Creative Commons website (accessible using the links provided) as is the full legal code for the CC BY 3.0 AU licence &lt;http://creativecommons.org/licenses/by/3.0/legalcode&gt;.</w:t>
                  </w:r>
                </w:p>
                <w:p w:rsidR="00B75DEF" w:rsidRPr="00A021FC" w:rsidRDefault="00B75DEF" w:rsidP="008A33ED">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B75DEF" w:rsidRPr="00A021FC" w:rsidRDefault="00B75DEF" w:rsidP="008A33ED">
                  <w:pPr>
                    <w:pStyle w:val="Imprint"/>
                  </w:pPr>
                  <w:r w:rsidRPr="00A021FC">
                    <w:t xml:space="preserve">This document should be attributed </w:t>
                  </w:r>
                  <w:r w:rsidRPr="00B75DEF">
                    <w:t xml:space="preserve">as Watson, L, Hagel, P &amp; Chesters, J 2013, </w:t>
                  </w:r>
                  <w:r w:rsidR="0019042E">
                    <w:rPr>
                      <w:i/>
                    </w:rPr>
                    <w:t>A</w:t>
                  </w:r>
                  <w:r>
                    <w:rPr>
                      <w:i/>
                    </w:rPr>
                    <w:t xml:space="preserve"> half-open door: support document</w:t>
                  </w:r>
                  <w:r w:rsidRPr="00A021FC">
                    <w:rPr>
                      <w:i/>
                    </w:rPr>
                    <w:t>,</w:t>
                  </w:r>
                  <w:r w:rsidRPr="00A021FC">
                    <w:t xml:space="preserve"> NCVER, Adelaide.</w:t>
                  </w:r>
                </w:p>
                <w:p w:rsidR="00B75DEF" w:rsidRDefault="00B75DEF" w:rsidP="008A33ED">
                  <w:pPr>
                    <w:pStyle w:val="Imprint"/>
                  </w:pPr>
                  <w:r w:rsidRPr="00A021FC">
                    <w:t>This work has been produced by NCVER on beha</w:t>
                  </w:r>
                  <w:r>
                    <w:t>lf of the Australian Government</w:t>
                  </w:r>
                  <w:r w:rsidRPr="00A021FC">
                    <w:t xml:space="preserve"> and state and territory governments, with funding provided through the </w:t>
                  </w:r>
                  <w:r w:rsidR="00771C0B">
                    <w:t xml:space="preserve">Department of Industry (formerly the </w:t>
                  </w:r>
                  <w:r w:rsidRPr="00A021FC">
                    <w:t xml:space="preserve">Department of Industry, Innovation, </w:t>
                  </w:r>
                  <w:r>
                    <w:t xml:space="preserve">Climate Change, </w:t>
                  </w:r>
                  <w:r w:rsidRPr="00A021FC">
                    <w:t>Science, Research and Tertiary Education</w:t>
                  </w:r>
                  <w:r w:rsidR="00771C0B">
                    <w:t>)</w:t>
                  </w:r>
                  <w:r w:rsidRPr="00A021FC">
                    <w:t xml:space="preserve">. </w:t>
                  </w:r>
                </w:p>
                <w:p w:rsidR="00B75DEF" w:rsidRDefault="00B75DEF" w:rsidP="008A33ED">
                  <w:pPr>
                    <w:pStyle w:val="Imprint"/>
                  </w:pPr>
                </w:p>
                <w:p w:rsidR="00B75DEF" w:rsidRPr="00B75DEF" w:rsidRDefault="00B75DEF" w:rsidP="00B75DEF">
                  <w:pPr>
                    <w:pStyle w:val="Imprint"/>
                  </w:pPr>
                  <w:r w:rsidRPr="00B75DEF">
                    <w:t>Published by NCVER, ABN 87 007 967 311</w:t>
                  </w:r>
                </w:p>
                <w:p w:rsidR="00B75DEF" w:rsidRPr="00B75DEF" w:rsidRDefault="00B75DEF" w:rsidP="00B75DEF">
                  <w:pPr>
                    <w:pStyle w:val="Imprint"/>
                  </w:pPr>
                  <w:r w:rsidRPr="00B75DEF">
                    <w:t>Level 11, 33 King William Street, Adelaide, SA 5000</w:t>
                  </w:r>
                  <w:r w:rsidRPr="00B75DEF">
                    <w:br/>
                    <w:t>PO Box 8288 Station Arcade, Adelaide SA 5000, Australia</w:t>
                  </w:r>
                </w:p>
                <w:p w:rsidR="00B75DEF" w:rsidRPr="00B75DEF" w:rsidRDefault="00B75DEF" w:rsidP="00B75DEF">
                  <w:pPr>
                    <w:pStyle w:val="Imprint"/>
                  </w:pPr>
                  <w:r w:rsidRPr="00B75DEF">
                    <w:t xml:space="preserve">P +61 8 8230 8400   F +61 8 8212 3436   E </w:t>
                  </w:r>
                  <w:hyperlink r:id="rId10" w:history="1">
                    <w:r w:rsidRPr="00B75DEF">
                      <w:rPr>
                        <w:rStyle w:val="Hyperlink"/>
                        <w:sz w:val="16"/>
                      </w:rPr>
                      <w:t>ncver@ncver.edu.au</w:t>
                    </w:r>
                  </w:hyperlink>
                  <w:r w:rsidRPr="00B75DEF">
                    <w:t xml:space="preserve">   W &lt;</w:t>
                  </w:r>
                  <w:hyperlink r:id="rId11" w:history="1">
                    <w:r w:rsidRPr="00B75DEF">
                      <w:rPr>
                        <w:rStyle w:val="Hyperlink"/>
                        <w:sz w:val="16"/>
                      </w:rPr>
                      <w:t>http://www.ncver.edu.au</w:t>
                    </w:r>
                  </w:hyperlink>
                  <w:r w:rsidRPr="00B75DEF">
                    <w:t xml:space="preserve">&gt;  </w:t>
                  </w:r>
                </w:p>
                <w:p w:rsidR="00B75DEF" w:rsidRPr="00A021FC" w:rsidRDefault="00B75DEF" w:rsidP="008A33ED">
                  <w:pPr>
                    <w:pStyle w:val="Imprint"/>
                  </w:pPr>
                </w:p>
                <w:p w:rsidR="005F3AC0" w:rsidRPr="00B75DEF" w:rsidRDefault="005F3AC0" w:rsidP="00B75DEF"/>
              </w:txbxContent>
            </v:textbox>
            <w10:wrap anchory="margin"/>
          </v:shape>
        </w:pict>
      </w:r>
    </w:p>
    <w:p w:rsidR="006A702B" w:rsidRPr="00602388" w:rsidRDefault="006A702B" w:rsidP="006A702B">
      <w:pPr>
        <w:pStyle w:val="Text"/>
      </w:pPr>
    </w:p>
    <w:p w:rsidR="006A702B" w:rsidRPr="00602388" w:rsidRDefault="006A702B" w:rsidP="006A702B">
      <w:pPr>
        <w:pStyle w:val="Text"/>
      </w:pPr>
    </w:p>
    <w:p w:rsidR="006A702B" w:rsidRPr="00602388" w:rsidRDefault="006A702B" w:rsidP="006A702B">
      <w:pPr>
        <w:pStyle w:val="Text"/>
      </w:pPr>
    </w:p>
    <w:p w:rsidR="00177827" w:rsidRPr="00602388" w:rsidRDefault="00177827" w:rsidP="00874DA5">
      <w:pPr>
        <w:pStyle w:val="Contents"/>
        <w:rPr>
          <w:color w:val="auto"/>
        </w:rPr>
        <w:sectPr w:rsidR="00177827" w:rsidRPr="00602388" w:rsidSect="00177827">
          <w:type w:val="continuous"/>
          <w:pgSz w:w="11907" w:h="16840" w:code="9"/>
          <w:pgMar w:top="1418" w:right="1701" w:bottom="1134" w:left="1418" w:header="709" w:footer="556" w:gutter="0"/>
          <w:cols w:space="708" w:equalWidth="0">
            <w:col w:w="8788"/>
          </w:cols>
          <w:docGrid w:linePitch="360"/>
        </w:sectPr>
      </w:pPr>
    </w:p>
    <w:p w:rsidR="004631F6" w:rsidRPr="00602388" w:rsidRDefault="004631F6" w:rsidP="00874DA5">
      <w:pPr>
        <w:pStyle w:val="Contents"/>
        <w:rPr>
          <w:color w:val="auto"/>
        </w:rPr>
      </w:pPr>
      <w:bookmarkStart w:id="4" w:name="_Toc98394880"/>
      <w:bookmarkStart w:id="5" w:name="_Toc296423683"/>
      <w:bookmarkStart w:id="6" w:name="_Toc296497514"/>
      <w:r w:rsidRPr="00602388">
        <w:rPr>
          <w:color w:val="auto"/>
        </w:rPr>
        <w:lastRenderedPageBreak/>
        <w:t>Contents</w:t>
      </w:r>
    </w:p>
    <w:p w:rsidR="004631F6" w:rsidRDefault="004F3869">
      <w:pPr>
        <w:pStyle w:val="TOC1"/>
        <w:rPr>
          <w:rFonts w:asciiTheme="minorHAnsi" w:eastAsiaTheme="minorEastAsia" w:hAnsiTheme="minorHAnsi" w:cstheme="minorBidi"/>
          <w:color w:val="auto"/>
          <w:sz w:val="22"/>
          <w:szCs w:val="22"/>
          <w:lang w:eastAsia="en-AU"/>
        </w:rPr>
      </w:pPr>
      <w:r w:rsidRPr="004F3869">
        <w:rPr>
          <w:rFonts w:ascii="Avant Garde" w:hAnsi="Avant Garde"/>
          <w:color w:val="auto"/>
        </w:rPr>
        <w:fldChar w:fldCharType="begin"/>
      </w:r>
      <w:r w:rsidR="004631F6" w:rsidRPr="00602388">
        <w:rPr>
          <w:rFonts w:ascii="Avant Garde" w:hAnsi="Avant Garde"/>
          <w:color w:val="auto"/>
        </w:rPr>
        <w:instrText xml:space="preserve"> TOC \o "1-2" </w:instrText>
      </w:r>
      <w:r w:rsidRPr="004F3869">
        <w:rPr>
          <w:rFonts w:ascii="Avant Garde" w:hAnsi="Avant Garde"/>
          <w:color w:val="auto"/>
        </w:rPr>
        <w:fldChar w:fldCharType="separate"/>
      </w:r>
      <w:r w:rsidR="004631F6" w:rsidRPr="0097589D">
        <w:rPr>
          <w:color w:val="auto"/>
        </w:rPr>
        <w:t>Tables and figures</w:t>
      </w:r>
      <w:r w:rsidR="004631F6">
        <w:tab/>
      </w:r>
      <w:r>
        <w:fldChar w:fldCharType="begin"/>
      </w:r>
      <w:r w:rsidR="004631F6">
        <w:instrText xml:space="preserve"> PAGEREF _Toc370995865 \h </w:instrText>
      </w:r>
      <w:r>
        <w:fldChar w:fldCharType="separate"/>
      </w:r>
      <w:r w:rsidR="004631F6">
        <w:t>5</w:t>
      </w:r>
      <w:r>
        <w:fldChar w:fldCharType="end"/>
      </w:r>
    </w:p>
    <w:p w:rsidR="004631F6" w:rsidRDefault="004631F6">
      <w:pPr>
        <w:pStyle w:val="TOC2"/>
        <w:rPr>
          <w:rFonts w:asciiTheme="minorHAnsi" w:eastAsiaTheme="minorEastAsia" w:hAnsiTheme="minorHAnsi" w:cstheme="minorBidi"/>
          <w:color w:val="auto"/>
          <w:sz w:val="22"/>
          <w:szCs w:val="22"/>
          <w:lang w:eastAsia="en-AU"/>
        </w:rPr>
      </w:pPr>
      <w:r>
        <w:t>Tables</w:t>
      </w:r>
      <w:r>
        <w:tab/>
      </w:r>
      <w:r w:rsidR="004F3869">
        <w:fldChar w:fldCharType="begin"/>
      </w:r>
      <w:r>
        <w:instrText xml:space="preserve"> PAGEREF _Toc370995866 \h </w:instrText>
      </w:r>
      <w:r w:rsidR="004F3869">
        <w:fldChar w:fldCharType="separate"/>
      </w:r>
      <w:r>
        <w:t>5</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Figures</w:t>
      </w:r>
      <w:r>
        <w:tab/>
      </w:r>
      <w:r w:rsidR="004F3869">
        <w:fldChar w:fldCharType="begin"/>
      </w:r>
      <w:r>
        <w:instrText xml:space="preserve"> PAGEREF _Toc370995867 \h </w:instrText>
      </w:r>
      <w:r w:rsidR="004F3869">
        <w:fldChar w:fldCharType="separate"/>
      </w:r>
      <w:r>
        <w:t>6</w:t>
      </w:r>
      <w:r w:rsidR="004F3869">
        <w:fldChar w:fldCharType="end"/>
      </w:r>
    </w:p>
    <w:p w:rsidR="004631F6" w:rsidRDefault="004631F6">
      <w:pPr>
        <w:pStyle w:val="TOC1"/>
        <w:rPr>
          <w:rFonts w:asciiTheme="minorHAnsi" w:eastAsiaTheme="minorEastAsia" w:hAnsiTheme="minorHAnsi" w:cstheme="minorBidi"/>
          <w:color w:val="auto"/>
          <w:sz w:val="22"/>
          <w:szCs w:val="22"/>
          <w:lang w:eastAsia="en-AU"/>
        </w:rPr>
      </w:pPr>
      <w:r>
        <w:t>Introduction</w:t>
      </w:r>
      <w:r>
        <w:tab/>
      </w:r>
      <w:r w:rsidR="004F3869">
        <w:fldChar w:fldCharType="begin"/>
      </w:r>
      <w:r>
        <w:instrText xml:space="preserve"> PAGEREF _Toc370995868 \h </w:instrText>
      </w:r>
      <w:r w:rsidR="004F3869">
        <w:fldChar w:fldCharType="separate"/>
      </w:r>
      <w:r>
        <w:t>8</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Data Sources and Limitations</w:t>
      </w:r>
      <w:r>
        <w:tab/>
      </w:r>
      <w:r w:rsidR="004F3869">
        <w:fldChar w:fldCharType="begin"/>
      </w:r>
      <w:r>
        <w:instrText xml:space="preserve"> PAGEREF _Toc370995869 \h </w:instrText>
      </w:r>
      <w:r w:rsidR="004F3869">
        <w:fldChar w:fldCharType="separate"/>
      </w:r>
      <w:r>
        <w:t>8</w:t>
      </w:r>
      <w:r w:rsidR="004F3869">
        <w:fldChar w:fldCharType="end"/>
      </w:r>
    </w:p>
    <w:p w:rsidR="004631F6" w:rsidRDefault="004631F6">
      <w:pPr>
        <w:pStyle w:val="TOC1"/>
        <w:rPr>
          <w:rFonts w:asciiTheme="minorHAnsi" w:eastAsiaTheme="minorEastAsia" w:hAnsiTheme="minorHAnsi" w:cstheme="minorBidi"/>
          <w:color w:val="auto"/>
          <w:sz w:val="22"/>
          <w:szCs w:val="22"/>
          <w:lang w:eastAsia="en-AU"/>
        </w:rPr>
      </w:pPr>
      <w:r>
        <w:t>VET award-holders in Australian universities</w:t>
      </w:r>
      <w:r>
        <w:tab/>
      </w:r>
      <w:r w:rsidR="004F3869">
        <w:fldChar w:fldCharType="begin"/>
      </w:r>
      <w:r>
        <w:instrText xml:space="preserve"> PAGEREF _Toc370995870 \h </w:instrText>
      </w:r>
      <w:r w:rsidR="004F3869">
        <w:fldChar w:fldCharType="separate"/>
      </w:r>
      <w:r>
        <w:t>11</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Differences between states and territories</w:t>
      </w:r>
      <w:r>
        <w:tab/>
      </w:r>
      <w:r w:rsidR="004F3869">
        <w:fldChar w:fldCharType="begin"/>
      </w:r>
      <w:r>
        <w:instrText xml:space="preserve"> PAGEREF _Toc370995871 \h </w:instrText>
      </w:r>
      <w:r w:rsidR="004F3869">
        <w:fldChar w:fldCharType="separate"/>
      </w:r>
      <w:r>
        <w:t>11</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Distribution of VET award-holders between universities</w:t>
      </w:r>
      <w:r>
        <w:tab/>
      </w:r>
      <w:r w:rsidR="004F3869">
        <w:fldChar w:fldCharType="begin"/>
      </w:r>
      <w:r>
        <w:instrText xml:space="preserve"> PAGEREF _Toc370995872 \h </w:instrText>
      </w:r>
      <w:r w:rsidR="004F3869">
        <w:fldChar w:fldCharType="separate"/>
      </w:r>
      <w:r>
        <w:t>12</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Rate of admission of VET award-holders by university</w:t>
      </w:r>
      <w:r>
        <w:tab/>
      </w:r>
      <w:r w:rsidR="004F3869">
        <w:fldChar w:fldCharType="begin"/>
      </w:r>
      <w:r>
        <w:instrText xml:space="preserve"> PAGEREF _Toc370995873 \h </w:instrText>
      </w:r>
      <w:r w:rsidR="004F3869">
        <w:fldChar w:fldCharType="separate"/>
      </w:r>
      <w:r>
        <w:t>13</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Student Characteristics</w:t>
      </w:r>
      <w:r>
        <w:tab/>
      </w:r>
      <w:r w:rsidR="004F3869">
        <w:fldChar w:fldCharType="begin"/>
      </w:r>
      <w:r>
        <w:instrText xml:space="preserve"> PAGEREF _Toc370995874 \h </w:instrText>
      </w:r>
      <w:r w:rsidR="004F3869">
        <w:fldChar w:fldCharType="separate"/>
      </w:r>
      <w:r>
        <w:t>13</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Qualifications pathways from vocational to higher education</w:t>
      </w:r>
      <w:r>
        <w:tab/>
      </w:r>
      <w:r w:rsidR="004F3869">
        <w:fldChar w:fldCharType="begin"/>
      </w:r>
      <w:r>
        <w:instrText xml:space="preserve"> PAGEREF _Toc370995875 \h </w:instrText>
      </w:r>
      <w:r w:rsidR="004F3869">
        <w:fldChar w:fldCharType="separate"/>
      </w:r>
      <w:r>
        <w:t>15</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Admission of VET award-holders by field of education</w:t>
      </w:r>
      <w:r>
        <w:tab/>
      </w:r>
      <w:r w:rsidR="004F3869">
        <w:fldChar w:fldCharType="begin"/>
      </w:r>
      <w:r>
        <w:instrText xml:space="preserve"> PAGEREF _Toc370995876 \h </w:instrText>
      </w:r>
      <w:r w:rsidR="004F3869">
        <w:fldChar w:fldCharType="separate"/>
      </w:r>
      <w:r>
        <w:t>15</w:t>
      </w:r>
      <w:r w:rsidR="004F3869">
        <w:fldChar w:fldCharType="end"/>
      </w:r>
    </w:p>
    <w:p w:rsidR="004631F6" w:rsidRDefault="004631F6">
      <w:pPr>
        <w:pStyle w:val="TOC1"/>
        <w:rPr>
          <w:rFonts w:asciiTheme="minorHAnsi" w:eastAsiaTheme="minorEastAsia" w:hAnsiTheme="minorHAnsi" w:cstheme="minorBidi"/>
          <w:color w:val="auto"/>
          <w:sz w:val="22"/>
          <w:szCs w:val="22"/>
          <w:lang w:eastAsia="en-AU"/>
        </w:rPr>
      </w:pPr>
      <w:r>
        <w:t>VET-HE pathways by university</w:t>
      </w:r>
      <w:r>
        <w:tab/>
      </w:r>
      <w:r w:rsidR="004F3869">
        <w:fldChar w:fldCharType="begin"/>
      </w:r>
      <w:r>
        <w:instrText xml:space="preserve"> PAGEREF _Toc370995877 \h </w:instrText>
      </w:r>
      <w:r w:rsidR="004F3869">
        <w:fldChar w:fldCharType="separate"/>
      </w:r>
      <w:r>
        <w:t>17</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Clusters of broad fields of education (FOEs)</w:t>
      </w:r>
      <w:r>
        <w:tab/>
      </w:r>
      <w:r w:rsidR="004F3869">
        <w:fldChar w:fldCharType="begin"/>
      </w:r>
      <w:r>
        <w:instrText xml:space="preserve"> PAGEREF _Toc370995878 \h </w:instrText>
      </w:r>
      <w:r w:rsidR="004F3869">
        <w:fldChar w:fldCharType="separate"/>
      </w:r>
      <w:r>
        <w:t>18</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Clusters of FOEs</w:t>
      </w:r>
      <w:r>
        <w:tab/>
      </w:r>
      <w:r w:rsidR="004F3869">
        <w:fldChar w:fldCharType="begin"/>
      </w:r>
      <w:r>
        <w:instrText xml:space="preserve"> PAGEREF _Toc370995879 \h </w:instrText>
      </w:r>
      <w:r w:rsidR="004F3869">
        <w:fldChar w:fldCharType="separate"/>
      </w:r>
      <w:r>
        <w:t>19</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Discussion</w:t>
      </w:r>
      <w:r>
        <w:tab/>
      </w:r>
      <w:r w:rsidR="004F3869">
        <w:fldChar w:fldCharType="begin"/>
      </w:r>
      <w:r>
        <w:instrText xml:space="preserve"> PAGEREF _Toc370995880 \h </w:instrText>
      </w:r>
      <w:r w:rsidR="004F3869">
        <w:fldChar w:fldCharType="separate"/>
      </w:r>
      <w:r>
        <w:t>20</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Secondary school admissions</w:t>
      </w:r>
      <w:r>
        <w:tab/>
      </w:r>
      <w:r w:rsidR="004F3869">
        <w:fldChar w:fldCharType="begin"/>
      </w:r>
      <w:r>
        <w:instrText xml:space="preserve"> PAGEREF _Toc370995881 \h </w:instrText>
      </w:r>
      <w:r w:rsidR="004F3869">
        <w:fldChar w:fldCharType="separate"/>
      </w:r>
      <w:r>
        <w:t>22</w:t>
      </w:r>
      <w:r w:rsidR="004F3869">
        <w:fldChar w:fldCharType="end"/>
      </w:r>
    </w:p>
    <w:p w:rsidR="004631F6" w:rsidRDefault="004631F6">
      <w:pPr>
        <w:pStyle w:val="TOC1"/>
        <w:rPr>
          <w:rFonts w:asciiTheme="minorHAnsi" w:eastAsiaTheme="minorEastAsia" w:hAnsiTheme="minorHAnsi" w:cstheme="minorBidi"/>
          <w:color w:val="auto"/>
          <w:sz w:val="22"/>
          <w:szCs w:val="22"/>
          <w:lang w:eastAsia="en-AU"/>
        </w:rPr>
      </w:pPr>
      <w:r>
        <w:t>VET-HE pathways by field of education</w:t>
      </w:r>
      <w:r>
        <w:tab/>
      </w:r>
      <w:r w:rsidR="004F3869">
        <w:fldChar w:fldCharType="begin"/>
      </w:r>
      <w:r>
        <w:instrText xml:space="preserve"> PAGEREF _Toc370995882 \h </w:instrText>
      </w:r>
      <w:r w:rsidR="004F3869">
        <w:fldChar w:fldCharType="separate"/>
      </w:r>
      <w:r>
        <w:t>24</w:t>
      </w:r>
      <w:r w:rsidR="004F3869">
        <w:fldChar w:fldCharType="end"/>
      </w:r>
    </w:p>
    <w:p w:rsidR="004631F6" w:rsidRDefault="004631F6">
      <w:pPr>
        <w:pStyle w:val="TOC1"/>
        <w:rPr>
          <w:rFonts w:asciiTheme="minorHAnsi" w:eastAsiaTheme="minorEastAsia" w:hAnsiTheme="minorHAnsi" w:cstheme="minorBidi"/>
          <w:color w:val="auto"/>
          <w:sz w:val="22"/>
          <w:szCs w:val="22"/>
          <w:lang w:eastAsia="en-AU"/>
        </w:rPr>
      </w:pPr>
      <w:r w:rsidRPr="0097589D">
        <w:rPr>
          <w:color w:val="auto"/>
        </w:rPr>
        <w:t>1. Management and Commerce (FOE 8)</w:t>
      </w:r>
      <w:r>
        <w:tab/>
      </w:r>
      <w:r w:rsidR="004F3869">
        <w:fldChar w:fldCharType="begin"/>
      </w:r>
      <w:r>
        <w:instrText xml:space="preserve"> PAGEREF _Toc370995883 \h </w:instrText>
      </w:r>
      <w:r w:rsidR="004F3869">
        <w:fldChar w:fldCharType="separate"/>
      </w:r>
      <w:r>
        <w:t>25</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Differences between sub-fields</w:t>
      </w:r>
      <w:r>
        <w:tab/>
      </w:r>
      <w:r w:rsidR="004F3869">
        <w:fldChar w:fldCharType="begin"/>
      </w:r>
      <w:r>
        <w:instrText xml:space="preserve"> PAGEREF _Toc370995884 \h </w:instrText>
      </w:r>
      <w:r w:rsidR="004F3869">
        <w:fldChar w:fldCharType="separate"/>
      </w:r>
      <w:r>
        <w:t>27</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Summary</w:t>
      </w:r>
      <w:r>
        <w:tab/>
      </w:r>
      <w:r w:rsidR="004F3869">
        <w:fldChar w:fldCharType="begin"/>
      </w:r>
      <w:r>
        <w:instrText xml:space="preserve"> PAGEREF _Toc370995885 \h </w:instrText>
      </w:r>
      <w:r w:rsidR="004F3869">
        <w:fldChar w:fldCharType="separate"/>
      </w:r>
      <w:r>
        <w:t>31</w:t>
      </w:r>
      <w:r w:rsidR="004F3869">
        <w:fldChar w:fldCharType="end"/>
      </w:r>
    </w:p>
    <w:p w:rsidR="004631F6" w:rsidRDefault="004631F6">
      <w:pPr>
        <w:pStyle w:val="TOC1"/>
        <w:rPr>
          <w:rFonts w:asciiTheme="minorHAnsi" w:eastAsiaTheme="minorEastAsia" w:hAnsiTheme="minorHAnsi" w:cstheme="minorBidi"/>
          <w:color w:val="auto"/>
          <w:sz w:val="22"/>
          <w:szCs w:val="22"/>
          <w:lang w:eastAsia="en-AU"/>
        </w:rPr>
      </w:pPr>
      <w:r>
        <w:t>2. Education (FOE 7)</w:t>
      </w:r>
      <w:r>
        <w:tab/>
      </w:r>
      <w:r w:rsidR="004F3869">
        <w:fldChar w:fldCharType="begin"/>
      </w:r>
      <w:r>
        <w:instrText xml:space="preserve"> PAGEREF _Toc370995886 \h </w:instrText>
      </w:r>
      <w:r w:rsidR="004F3869">
        <w:fldChar w:fldCharType="separate"/>
      </w:r>
      <w:r>
        <w:t>32</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VET-HE Pathways in Early Childhood and Primary Teacher Education</w:t>
      </w:r>
      <w:r>
        <w:tab/>
      </w:r>
      <w:r w:rsidR="004F3869">
        <w:fldChar w:fldCharType="begin"/>
      </w:r>
      <w:r>
        <w:instrText xml:space="preserve"> PAGEREF _Toc370995887 \h </w:instrText>
      </w:r>
      <w:r w:rsidR="004F3869">
        <w:fldChar w:fldCharType="separate"/>
      </w:r>
      <w:r>
        <w:t>34</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Reaching a critical mass</w:t>
      </w:r>
      <w:r>
        <w:tab/>
      </w:r>
      <w:r w:rsidR="004F3869">
        <w:fldChar w:fldCharType="begin"/>
      </w:r>
      <w:r>
        <w:instrText xml:space="preserve"> PAGEREF _Toc370995888 \h </w:instrText>
      </w:r>
      <w:r w:rsidR="004F3869">
        <w:fldChar w:fldCharType="separate"/>
      </w:r>
      <w:r>
        <w:t>35</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Summary</w:t>
      </w:r>
      <w:r>
        <w:tab/>
      </w:r>
      <w:r w:rsidR="004F3869">
        <w:fldChar w:fldCharType="begin"/>
      </w:r>
      <w:r>
        <w:instrText xml:space="preserve"> PAGEREF _Toc370995889 \h </w:instrText>
      </w:r>
      <w:r w:rsidR="004F3869">
        <w:fldChar w:fldCharType="separate"/>
      </w:r>
      <w:r>
        <w:t>36</w:t>
      </w:r>
      <w:r w:rsidR="004F3869">
        <w:fldChar w:fldCharType="end"/>
      </w:r>
    </w:p>
    <w:p w:rsidR="004631F6" w:rsidRDefault="004631F6">
      <w:pPr>
        <w:pStyle w:val="TOC1"/>
        <w:rPr>
          <w:rFonts w:asciiTheme="minorHAnsi" w:eastAsiaTheme="minorEastAsia" w:hAnsiTheme="minorHAnsi" w:cstheme="minorBidi"/>
          <w:color w:val="auto"/>
          <w:sz w:val="22"/>
          <w:szCs w:val="22"/>
          <w:lang w:eastAsia="en-AU"/>
        </w:rPr>
      </w:pPr>
      <w:r>
        <w:t>3. Engineering and Related Technologies (FOE 03)</w:t>
      </w:r>
      <w:r>
        <w:tab/>
      </w:r>
      <w:r w:rsidR="004F3869">
        <w:fldChar w:fldCharType="begin"/>
      </w:r>
      <w:r>
        <w:instrText xml:space="preserve"> PAGEREF _Toc370995890 \h </w:instrText>
      </w:r>
      <w:r w:rsidR="004F3869">
        <w:fldChar w:fldCharType="separate"/>
      </w:r>
      <w:r>
        <w:t>37</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Variation between institutions</w:t>
      </w:r>
      <w:r>
        <w:tab/>
      </w:r>
      <w:r w:rsidR="004F3869">
        <w:fldChar w:fldCharType="begin"/>
      </w:r>
      <w:r>
        <w:instrText xml:space="preserve"> PAGEREF _Toc370995891 \h </w:instrText>
      </w:r>
      <w:r w:rsidR="004F3869">
        <w:fldChar w:fldCharType="separate"/>
      </w:r>
      <w:r>
        <w:t>37</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Differences between sub-fields</w:t>
      </w:r>
      <w:r>
        <w:tab/>
      </w:r>
      <w:r w:rsidR="004F3869">
        <w:fldChar w:fldCharType="begin"/>
      </w:r>
      <w:r>
        <w:instrText xml:space="preserve"> PAGEREF _Toc370995892 \h </w:instrText>
      </w:r>
      <w:r w:rsidR="004F3869">
        <w:fldChar w:fldCharType="separate"/>
      </w:r>
      <w:r>
        <w:t>38</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Summary</w:t>
      </w:r>
      <w:r>
        <w:tab/>
      </w:r>
      <w:r w:rsidR="004F3869">
        <w:fldChar w:fldCharType="begin"/>
      </w:r>
      <w:r>
        <w:instrText xml:space="preserve"> PAGEREF _Toc370995893 \h </w:instrText>
      </w:r>
      <w:r w:rsidR="004F3869">
        <w:fldChar w:fldCharType="separate"/>
      </w:r>
      <w:r>
        <w:t>47</w:t>
      </w:r>
      <w:r w:rsidR="004F3869">
        <w:fldChar w:fldCharType="end"/>
      </w:r>
    </w:p>
    <w:p w:rsidR="004631F6" w:rsidRDefault="004631F6">
      <w:pPr>
        <w:pStyle w:val="TOC1"/>
        <w:rPr>
          <w:rFonts w:asciiTheme="minorHAnsi" w:eastAsiaTheme="minorEastAsia" w:hAnsiTheme="minorHAnsi" w:cstheme="minorBidi"/>
          <w:color w:val="auto"/>
          <w:sz w:val="22"/>
          <w:szCs w:val="22"/>
          <w:lang w:eastAsia="en-AU"/>
        </w:rPr>
      </w:pPr>
      <w:r>
        <w:t>4. Agriculture, Environmental and Related Studies (FOE 05)</w:t>
      </w:r>
      <w:r>
        <w:tab/>
      </w:r>
      <w:r w:rsidR="004F3869">
        <w:fldChar w:fldCharType="begin"/>
      </w:r>
      <w:r>
        <w:instrText xml:space="preserve"> PAGEREF _Toc370995894 \h </w:instrText>
      </w:r>
      <w:r w:rsidR="004F3869">
        <w:fldChar w:fldCharType="separate"/>
      </w:r>
      <w:r>
        <w:t>49</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Differences between sub-fields</w:t>
      </w:r>
      <w:r>
        <w:tab/>
      </w:r>
      <w:r w:rsidR="004F3869">
        <w:fldChar w:fldCharType="begin"/>
      </w:r>
      <w:r>
        <w:instrText xml:space="preserve"> PAGEREF _Toc370995895 \h </w:instrText>
      </w:r>
      <w:r w:rsidR="004F3869">
        <w:fldChar w:fldCharType="separate"/>
      </w:r>
      <w:r>
        <w:t>50</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Summary</w:t>
      </w:r>
      <w:r>
        <w:tab/>
      </w:r>
      <w:r w:rsidR="004F3869">
        <w:fldChar w:fldCharType="begin"/>
      </w:r>
      <w:r>
        <w:instrText xml:space="preserve"> PAGEREF _Toc370995896 \h </w:instrText>
      </w:r>
      <w:r w:rsidR="004F3869">
        <w:fldChar w:fldCharType="separate"/>
      </w:r>
      <w:r>
        <w:t>51</w:t>
      </w:r>
      <w:r w:rsidR="004F3869">
        <w:fldChar w:fldCharType="end"/>
      </w:r>
    </w:p>
    <w:p w:rsidR="004631F6" w:rsidRDefault="004631F6">
      <w:pPr>
        <w:pStyle w:val="TOC1"/>
        <w:rPr>
          <w:rFonts w:asciiTheme="minorHAnsi" w:eastAsiaTheme="minorEastAsia" w:hAnsiTheme="minorHAnsi" w:cstheme="minorBidi"/>
          <w:color w:val="auto"/>
          <w:sz w:val="22"/>
          <w:szCs w:val="22"/>
          <w:lang w:eastAsia="en-AU"/>
        </w:rPr>
      </w:pPr>
      <w:r>
        <w:t>Institutional policies and practices for VET-HE pathways</w:t>
      </w:r>
      <w:r>
        <w:tab/>
      </w:r>
      <w:r w:rsidR="004F3869">
        <w:fldChar w:fldCharType="begin"/>
      </w:r>
      <w:r>
        <w:instrText xml:space="preserve"> PAGEREF _Toc370995897 \h </w:instrText>
      </w:r>
      <w:r w:rsidR="004F3869">
        <w:fldChar w:fldCharType="separate"/>
      </w:r>
      <w:r>
        <w:t>52</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Method</w:t>
      </w:r>
      <w:r>
        <w:tab/>
      </w:r>
      <w:r w:rsidR="004F3869">
        <w:fldChar w:fldCharType="begin"/>
      </w:r>
      <w:r>
        <w:instrText xml:space="preserve"> PAGEREF _Toc370995898 \h </w:instrText>
      </w:r>
      <w:r w:rsidR="004F3869">
        <w:fldChar w:fldCharType="separate"/>
      </w:r>
      <w:r>
        <w:t>52</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Pathway policies and targets</w:t>
      </w:r>
      <w:r>
        <w:tab/>
      </w:r>
      <w:r w:rsidR="004F3869">
        <w:fldChar w:fldCharType="begin"/>
      </w:r>
      <w:r>
        <w:instrText xml:space="preserve"> PAGEREF _Toc370995899 \h </w:instrText>
      </w:r>
      <w:r w:rsidR="004F3869">
        <w:fldChar w:fldCharType="separate"/>
      </w:r>
      <w:r>
        <w:t>52</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Institutional practices to support VET-HE pathways</w:t>
      </w:r>
      <w:r>
        <w:tab/>
      </w:r>
      <w:r w:rsidR="004F3869">
        <w:fldChar w:fldCharType="begin"/>
      </w:r>
      <w:r>
        <w:instrText xml:space="preserve"> PAGEREF _Toc370995900 \h </w:instrText>
      </w:r>
      <w:r w:rsidR="004F3869">
        <w:fldChar w:fldCharType="separate"/>
      </w:r>
      <w:r>
        <w:t>54</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Support for VET pathway students</w:t>
      </w:r>
      <w:r>
        <w:tab/>
      </w:r>
      <w:r w:rsidR="004F3869">
        <w:fldChar w:fldCharType="begin"/>
      </w:r>
      <w:r>
        <w:instrText xml:space="preserve"> PAGEREF _Toc370995901 \h </w:instrText>
      </w:r>
      <w:r w:rsidR="004F3869">
        <w:fldChar w:fldCharType="separate"/>
      </w:r>
      <w:r>
        <w:t>59</w:t>
      </w:r>
      <w:r w:rsidR="004F3869">
        <w:fldChar w:fldCharType="end"/>
      </w:r>
    </w:p>
    <w:p w:rsidR="004631F6" w:rsidRDefault="004631F6">
      <w:pPr>
        <w:pStyle w:val="TOC2"/>
        <w:rPr>
          <w:rFonts w:asciiTheme="minorHAnsi" w:eastAsiaTheme="minorEastAsia" w:hAnsiTheme="minorHAnsi" w:cstheme="minorBidi"/>
          <w:color w:val="auto"/>
          <w:sz w:val="22"/>
          <w:szCs w:val="22"/>
          <w:lang w:eastAsia="en-AU"/>
        </w:rPr>
      </w:pPr>
      <w:r>
        <w:t>Monitoring student progression and achievement</w:t>
      </w:r>
      <w:r>
        <w:tab/>
      </w:r>
      <w:r w:rsidR="004F3869">
        <w:fldChar w:fldCharType="begin"/>
      </w:r>
      <w:r>
        <w:instrText xml:space="preserve"> PAGEREF _Toc370995902 \h </w:instrText>
      </w:r>
      <w:r w:rsidR="004F3869">
        <w:fldChar w:fldCharType="separate"/>
      </w:r>
      <w:r>
        <w:t>62</w:t>
      </w:r>
      <w:r w:rsidR="004F3869">
        <w:fldChar w:fldCharType="end"/>
      </w:r>
    </w:p>
    <w:p w:rsidR="004631F6" w:rsidRDefault="004631F6">
      <w:pPr>
        <w:pStyle w:val="TOC1"/>
        <w:rPr>
          <w:rFonts w:asciiTheme="minorHAnsi" w:eastAsiaTheme="minorEastAsia" w:hAnsiTheme="minorHAnsi" w:cstheme="minorBidi"/>
          <w:color w:val="auto"/>
          <w:sz w:val="22"/>
          <w:szCs w:val="22"/>
          <w:lang w:eastAsia="en-AU"/>
        </w:rPr>
      </w:pPr>
      <w:r>
        <w:lastRenderedPageBreak/>
        <w:t>References</w:t>
      </w:r>
      <w:r>
        <w:tab/>
      </w:r>
      <w:r w:rsidR="004F3869">
        <w:fldChar w:fldCharType="begin"/>
      </w:r>
      <w:r>
        <w:instrText xml:space="preserve"> PAGEREF _Toc370995903 \h </w:instrText>
      </w:r>
      <w:r w:rsidR="004F3869">
        <w:fldChar w:fldCharType="separate"/>
      </w:r>
      <w:r>
        <w:t>64</w:t>
      </w:r>
      <w:r w:rsidR="004F3869">
        <w:fldChar w:fldCharType="end"/>
      </w:r>
    </w:p>
    <w:p w:rsidR="004631F6" w:rsidRDefault="004631F6" w:rsidP="004631F6">
      <w:pPr>
        <w:pStyle w:val="TOC2"/>
        <w:tabs>
          <w:tab w:val="left" w:pos="426"/>
        </w:tabs>
        <w:ind w:left="426" w:hanging="426"/>
        <w:rPr>
          <w:rFonts w:asciiTheme="minorHAnsi" w:eastAsiaTheme="minorEastAsia" w:hAnsiTheme="minorHAnsi" w:cstheme="minorBidi"/>
          <w:color w:val="auto"/>
          <w:sz w:val="22"/>
          <w:szCs w:val="22"/>
          <w:lang w:eastAsia="en-AU"/>
        </w:rPr>
      </w:pPr>
      <w:r w:rsidRPr="0097589D">
        <w:rPr>
          <w:lang w:val="en-US"/>
        </w:rPr>
        <w:t xml:space="preserve">A.1: </w:t>
      </w:r>
      <w:r>
        <w:rPr>
          <w:lang w:val="en-US"/>
        </w:rPr>
        <w:tab/>
      </w:r>
      <w:r w:rsidRPr="0097589D">
        <w:rPr>
          <w:lang w:val="en-US"/>
        </w:rPr>
        <w:t xml:space="preserve">University admissions on the basis of a VET award by broad </w:t>
      </w:r>
      <w:r>
        <w:rPr>
          <w:lang w:val="en-US"/>
        </w:rPr>
        <w:br/>
      </w:r>
      <w:r w:rsidRPr="0097589D">
        <w:rPr>
          <w:lang w:val="en-US"/>
        </w:rPr>
        <w:t>Field of Education - 2010</w:t>
      </w:r>
      <w:r>
        <w:tab/>
      </w:r>
      <w:r w:rsidR="004F3869">
        <w:fldChar w:fldCharType="begin"/>
      </w:r>
      <w:r>
        <w:instrText xml:space="preserve"> PAGEREF _Toc370995904 \h </w:instrText>
      </w:r>
      <w:r w:rsidR="004F3869">
        <w:fldChar w:fldCharType="separate"/>
      </w:r>
      <w:r>
        <w:t>66</w:t>
      </w:r>
      <w:r w:rsidR="004F3869">
        <w:fldChar w:fldCharType="end"/>
      </w:r>
    </w:p>
    <w:p w:rsidR="004631F6" w:rsidRDefault="004631F6" w:rsidP="004631F6">
      <w:pPr>
        <w:pStyle w:val="TOC2"/>
        <w:tabs>
          <w:tab w:val="left" w:pos="426"/>
        </w:tabs>
        <w:ind w:left="426" w:hanging="426"/>
        <w:rPr>
          <w:rFonts w:asciiTheme="minorHAnsi" w:eastAsiaTheme="minorEastAsia" w:hAnsiTheme="minorHAnsi" w:cstheme="minorBidi"/>
          <w:color w:val="auto"/>
          <w:sz w:val="22"/>
          <w:szCs w:val="22"/>
          <w:lang w:eastAsia="en-AU"/>
        </w:rPr>
      </w:pPr>
      <w:r w:rsidRPr="0097589D">
        <w:rPr>
          <w:lang w:val="en-US"/>
        </w:rPr>
        <w:t xml:space="preserve">A.2: </w:t>
      </w:r>
      <w:r>
        <w:rPr>
          <w:lang w:val="en-US"/>
        </w:rPr>
        <w:tab/>
      </w:r>
      <w:r w:rsidRPr="0097589D">
        <w:rPr>
          <w:lang w:val="en-US"/>
        </w:rPr>
        <w:t xml:space="preserve">University admissions on the basis of a VET Award - institutional and </w:t>
      </w:r>
      <w:r>
        <w:rPr>
          <w:lang w:val="en-US"/>
        </w:rPr>
        <w:br/>
      </w:r>
      <w:r w:rsidRPr="0097589D">
        <w:rPr>
          <w:lang w:val="en-US"/>
        </w:rPr>
        <w:t>broad field of education clusters</w:t>
      </w:r>
      <w:r>
        <w:tab/>
      </w:r>
      <w:r w:rsidR="004F3869">
        <w:fldChar w:fldCharType="begin"/>
      </w:r>
      <w:r>
        <w:instrText xml:space="preserve"> PAGEREF _Toc370995905 \h </w:instrText>
      </w:r>
      <w:r w:rsidR="004F3869">
        <w:fldChar w:fldCharType="separate"/>
      </w:r>
      <w:r>
        <w:t>67</w:t>
      </w:r>
      <w:r w:rsidR="004F3869">
        <w:fldChar w:fldCharType="end"/>
      </w:r>
    </w:p>
    <w:p w:rsidR="004631F6" w:rsidRDefault="004631F6" w:rsidP="004631F6">
      <w:pPr>
        <w:pStyle w:val="TOC2"/>
        <w:tabs>
          <w:tab w:val="left" w:pos="426"/>
        </w:tabs>
        <w:ind w:left="426" w:hanging="426"/>
        <w:rPr>
          <w:rFonts w:asciiTheme="minorHAnsi" w:eastAsiaTheme="minorEastAsia" w:hAnsiTheme="minorHAnsi" w:cstheme="minorBidi"/>
          <w:color w:val="auto"/>
          <w:sz w:val="22"/>
          <w:szCs w:val="22"/>
          <w:lang w:eastAsia="en-AU"/>
        </w:rPr>
      </w:pPr>
      <w:r>
        <w:t xml:space="preserve">A.3: </w:t>
      </w:r>
      <w:r>
        <w:tab/>
        <w:t>Survey Questions</w:t>
      </w:r>
      <w:r>
        <w:tab/>
      </w:r>
      <w:r w:rsidR="004F3869">
        <w:fldChar w:fldCharType="begin"/>
      </w:r>
      <w:r>
        <w:instrText xml:space="preserve"> PAGEREF _Toc370995906 \h </w:instrText>
      </w:r>
      <w:r w:rsidR="004F3869">
        <w:fldChar w:fldCharType="separate"/>
      </w:r>
      <w:r>
        <w:t>68</w:t>
      </w:r>
      <w:r w:rsidR="004F3869">
        <w:fldChar w:fldCharType="end"/>
      </w:r>
    </w:p>
    <w:p w:rsidR="004631F6" w:rsidRDefault="004631F6" w:rsidP="004631F6">
      <w:pPr>
        <w:pStyle w:val="TOC2"/>
        <w:tabs>
          <w:tab w:val="left" w:pos="426"/>
        </w:tabs>
        <w:ind w:left="426" w:hanging="426"/>
        <w:rPr>
          <w:rFonts w:asciiTheme="minorHAnsi" w:eastAsiaTheme="minorEastAsia" w:hAnsiTheme="minorHAnsi" w:cstheme="minorBidi"/>
          <w:color w:val="auto"/>
          <w:sz w:val="22"/>
          <w:szCs w:val="22"/>
          <w:lang w:eastAsia="en-AU"/>
        </w:rPr>
      </w:pPr>
      <w:r>
        <w:t xml:space="preserve">A.4: </w:t>
      </w:r>
      <w:r>
        <w:tab/>
        <w:t>Clusters of broad Fields of Education (FOEs) Dendrogram</w:t>
      </w:r>
      <w:r>
        <w:tab/>
      </w:r>
      <w:r w:rsidR="004F3869">
        <w:fldChar w:fldCharType="begin"/>
      </w:r>
      <w:r>
        <w:instrText xml:space="preserve"> PAGEREF _Toc370995907 \h </w:instrText>
      </w:r>
      <w:r w:rsidR="004F3869">
        <w:fldChar w:fldCharType="separate"/>
      </w:r>
      <w:r>
        <w:t>69</w:t>
      </w:r>
      <w:r w:rsidR="004F3869">
        <w:fldChar w:fldCharType="end"/>
      </w:r>
    </w:p>
    <w:p w:rsidR="004631F6" w:rsidRDefault="004631F6" w:rsidP="004631F6">
      <w:pPr>
        <w:pStyle w:val="TOC2"/>
        <w:tabs>
          <w:tab w:val="left" w:pos="426"/>
        </w:tabs>
        <w:ind w:left="426" w:hanging="426"/>
        <w:rPr>
          <w:rFonts w:asciiTheme="minorHAnsi" w:eastAsiaTheme="minorEastAsia" w:hAnsiTheme="minorHAnsi" w:cstheme="minorBidi"/>
          <w:color w:val="auto"/>
          <w:sz w:val="22"/>
          <w:szCs w:val="22"/>
          <w:lang w:eastAsia="en-AU"/>
        </w:rPr>
      </w:pPr>
      <w:r>
        <w:t xml:space="preserve">A.5 </w:t>
      </w:r>
      <w:r>
        <w:tab/>
        <w:t xml:space="preserve">Proportion of undergraduate commencing students admitted on the basis </w:t>
      </w:r>
      <w:r>
        <w:br/>
        <w:t>of a VET award and on an "Other basis”, by HE institution, Australia 2010</w:t>
      </w:r>
      <w:r>
        <w:tab/>
      </w:r>
      <w:r w:rsidR="004F3869">
        <w:fldChar w:fldCharType="begin"/>
      </w:r>
      <w:r>
        <w:instrText xml:space="preserve"> PAGEREF _Toc370995908 \h </w:instrText>
      </w:r>
      <w:r w:rsidR="004F3869">
        <w:fldChar w:fldCharType="separate"/>
      </w:r>
      <w:r>
        <w:t>70</w:t>
      </w:r>
      <w:r w:rsidR="004F3869">
        <w:fldChar w:fldCharType="end"/>
      </w:r>
    </w:p>
    <w:p w:rsidR="004631F6" w:rsidRDefault="004631F6" w:rsidP="004631F6">
      <w:pPr>
        <w:pStyle w:val="TOC2"/>
        <w:tabs>
          <w:tab w:val="left" w:pos="426"/>
        </w:tabs>
        <w:ind w:left="426" w:hanging="426"/>
        <w:rPr>
          <w:rFonts w:asciiTheme="minorHAnsi" w:eastAsiaTheme="minorEastAsia" w:hAnsiTheme="minorHAnsi" w:cstheme="minorBidi"/>
          <w:color w:val="auto"/>
          <w:sz w:val="22"/>
          <w:szCs w:val="22"/>
          <w:lang w:eastAsia="en-AU"/>
        </w:rPr>
      </w:pPr>
      <w:r>
        <w:t xml:space="preserve">A.6 </w:t>
      </w:r>
      <w:r>
        <w:tab/>
        <w:t xml:space="preserve">Proportion of undergraduate commencing students admitted on the basis </w:t>
      </w:r>
      <w:r>
        <w:br/>
        <w:t xml:space="preserve">of Secondary School completion and a VET award, by HE institution, </w:t>
      </w:r>
      <w:r>
        <w:br/>
        <w:t>Australia 2010</w:t>
      </w:r>
      <w:r>
        <w:tab/>
      </w:r>
      <w:r w:rsidR="004F3869">
        <w:fldChar w:fldCharType="begin"/>
      </w:r>
      <w:r>
        <w:instrText xml:space="preserve"> PAGEREF _Toc370995909 \h </w:instrText>
      </w:r>
      <w:r w:rsidR="004F3869">
        <w:fldChar w:fldCharType="separate"/>
      </w:r>
      <w:r>
        <w:t>71</w:t>
      </w:r>
      <w:r w:rsidR="004F3869">
        <w:fldChar w:fldCharType="end"/>
      </w:r>
    </w:p>
    <w:p w:rsidR="004631F6" w:rsidRPr="00602388" w:rsidRDefault="004F3869" w:rsidP="0048643A">
      <w:pPr>
        <w:pStyle w:val="Text"/>
      </w:pPr>
      <w:r w:rsidRPr="00602388">
        <w:fldChar w:fldCharType="end"/>
      </w:r>
    </w:p>
    <w:p w:rsidR="004631F6" w:rsidRPr="00602388" w:rsidRDefault="004631F6" w:rsidP="0048643A">
      <w:pPr>
        <w:pStyle w:val="Text"/>
        <w:rPr>
          <w:b/>
        </w:rPr>
      </w:pPr>
    </w:p>
    <w:p w:rsidR="004631F6" w:rsidRPr="00602388" w:rsidRDefault="004631F6" w:rsidP="0048643A">
      <w:pPr>
        <w:pStyle w:val="Text"/>
        <w:rPr>
          <w:rFonts w:ascii="Tahoma" w:hAnsi="Tahoma" w:cs="Tahoma"/>
          <w:kern w:val="28"/>
          <w:sz w:val="56"/>
          <w:szCs w:val="56"/>
        </w:rPr>
      </w:pPr>
      <w:r w:rsidRPr="00602388">
        <w:br w:type="page"/>
      </w:r>
    </w:p>
    <w:p w:rsidR="004631F6" w:rsidRPr="00602388" w:rsidRDefault="004631F6" w:rsidP="004E7227">
      <w:pPr>
        <w:pStyle w:val="Heading1"/>
        <w:rPr>
          <w:color w:val="auto"/>
        </w:rPr>
      </w:pPr>
      <w:bookmarkStart w:id="7" w:name="_Toc370995865"/>
      <w:r w:rsidRPr="00602388">
        <w:rPr>
          <w:color w:val="auto"/>
        </w:rPr>
        <w:lastRenderedPageBreak/>
        <w:t>Tables and figures</w:t>
      </w:r>
      <w:bookmarkEnd w:id="7"/>
    </w:p>
    <w:p w:rsidR="004631F6" w:rsidRPr="00602388" w:rsidRDefault="004631F6" w:rsidP="004E7227">
      <w:pPr>
        <w:pStyle w:val="Heading2"/>
      </w:pPr>
      <w:bookmarkStart w:id="8" w:name="_Toc370832179"/>
      <w:bookmarkStart w:id="9" w:name="_Toc370995866"/>
      <w:r w:rsidRPr="00602388">
        <w:t>Tables</w:t>
      </w:r>
      <w:bookmarkEnd w:id="8"/>
      <w:bookmarkEnd w:id="9"/>
    </w:p>
    <w:p w:rsidR="004631F6" w:rsidRDefault="004F3869" w:rsidP="004631F6">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rsidRPr="004F3869">
        <w:rPr>
          <w:color w:val="auto"/>
        </w:rPr>
        <w:fldChar w:fldCharType="begin"/>
      </w:r>
      <w:r w:rsidR="004631F6" w:rsidRPr="00602388">
        <w:rPr>
          <w:color w:val="auto"/>
        </w:rPr>
        <w:instrText xml:space="preserve"> TOC \f F \t "tabletitle" \c </w:instrText>
      </w:r>
      <w:r w:rsidRPr="004F3869">
        <w:rPr>
          <w:color w:val="auto"/>
        </w:rPr>
        <w:fldChar w:fldCharType="separate"/>
      </w:r>
      <w:r w:rsidR="004631F6">
        <w:t>1</w:t>
      </w:r>
      <w:r w:rsidR="004631F6">
        <w:rPr>
          <w:rFonts w:asciiTheme="minorHAnsi" w:eastAsiaTheme="minorEastAsia" w:hAnsiTheme="minorHAnsi" w:cstheme="minorBidi"/>
          <w:color w:val="auto"/>
          <w:sz w:val="22"/>
          <w:szCs w:val="22"/>
          <w:lang w:eastAsia="en-AU"/>
        </w:rPr>
        <w:tab/>
      </w:r>
      <w:r w:rsidR="004631F6">
        <w:t>Commencing domestic undergraduate students by basis of admission, 2001 and 2010, Australia</w:t>
      </w:r>
      <w:r w:rsidR="004631F6">
        <w:tab/>
      </w:r>
      <w:r>
        <w:fldChar w:fldCharType="begin"/>
      </w:r>
      <w:r w:rsidR="004631F6">
        <w:instrText xml:space="preserve"> PAGEREF _Toc370995910 \h </w:instrText>
      </w:r>
      <w:r>
        <w:fldChar w:fldCharType="separate"/>
      </w:r>
      <w:r w:rsidR="004631F6">
        <w:t>11</w:t>
      </w:r>
      <w:r>
        <w:fldChar w:fldCharType="end"/>
      </w:r>
    </w:p>
    <w:p w:rsidR="004631F6" w:rsidRDefault="004631F6" w:rsidP="004631F6">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VET award-holders and all undergraduate commencements by broad field of education, Australia 2010</w:t>
      </w:r>
      <w:r>
        <w:tab/>
      </w:r>
      <w:r w:rsidR="004F3869">
        <w:fldChar w:fldCharType="begin"/>
      </w:r>
      <w:r>
        <w:instrText xml:space="preserve"> PAGEREF _Toc370995911 \h </w:instrText>
      </w:r>
      <w:r w:rsidR="004F3869">
        <w:fldChar w:fldCharType="separate"/>
      </w:r>
      <w:r>
        <w:t>16</w:t>
      </w:r>
      <w:r w:rsidR="004F3869">
        <w:fldChar w:fldCharType="end"/>
      </w:r>
    </w:p>
    <w:p w:rsidR="004631F6" w:rsidRDefault="004631F6" w:rsidP="004631F6">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Institutional clusters on admission on the basis of a VET award: size and membership (2010)</w:t>
      </w:r>
      <w:r>
        <w:tab/>
      </w:r>
      <w:r w:rsidR="004F3869">
        <w:fldChar w:fldCharType="begin"/>
      </w:r>
      <w:r>
        <w:instrText xml:space="preserve"> PAGEREF _Toc370995912 \h </w:instrText>
      </w:r>
      <w:r w:rsidR="004F3869">
        <w:fldChar w:fldCharType="separate"/>
      </w:r>
      <w:r>
        <w:t>18</w:t>
      </w:r>
      <w:r w:rsidR="004F3869">
        <w:fldChar w:fldCharType="end"/>
      </w:r>
    </w:p>
    <w:p w:rsidR="004631F6" w:rsidRDefault="004631F6" w:rsidP="004631F6">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Clusters of broad field of education (FOE), Australia 2010</w:t>
      </w:r>
      <w:r>
        <w:tab/>
      </w:r>
      <w:r w:rsidR="004F3869">
        <w:fldChar w:fldCharType="begin"/>
      </w:r>
      <w:r>
        <w:instrText xml:space="preserve"> PAGEREF _Toc370995913 \h </w:instrText>
      </w:r>
      <w:r w:rsidR="004F3869">
        <w:fldChar w:fldCharType="separate"/>
      </w:r>
      <w:r>
        <w:t>19</w:t>
      </w:r>
      <w:r w:rsidR="004F3869">
        <w:fldChar w:fldCharType="end"/>
      </w:r>
    </w:p>
    <w:p w:rsidR="004631F6" w:rsidRDefault="004631F6" w:rsidP="004631F6">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Cluster 1 universities’ rates of admission on the basis of a VET award by broad field of education (FOE) Cluster, Australia 2010</w:t>
      </w:r>
      <w:r>
        <w:tab/>
      </w:r>
      <w:r w:rsidR="004F3869">
        <w:fldChar w:fldCharType="begin"/>
      </w:r>
      <w:r>
        <w:instrText xml:space="preserve"> PAGEREF _Toc370995914 \h </w:instrText>
      </w:r>
      <w:r w:rsidR="004F3869">
        <w:fldChar w:fldCharType="separate"/>
      </w:r>
      <w:r>
        <w:t>20</w:t>
      </w:r>
      <w:r w:rsidR="004F3869">
        <w:fldChar w:fldCharType="end"/>
      </w:r>
    </w:p>
    <w:p w:rsidR="004631F6" w:rsidRDefault="004631F6" w:rsidP="004631F6">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Cluster 2 universities’ rates of admission on the basis of a VET award by broad field of education (FOE), Australia 2010</w:t>
      </w:r>
      <w:r>
        <w:tab/>
      </w:r>
      <w:r w:rsidR="004F3869">
        <w:fldChar w:fldCharType="begin"/>
      </w:r>
      <w:r>
        <w:instrText xml:space="preserve"> PAGEREF _Toc370995915 \h </w:instrText>
      </w:r>
      <w:r w:rsidR="004F3869">
        <w:fldChar w:fldCharType="separate"/>
      </w:r>
      <w:r>
        <w:t>21</w:t>
      </w:r>
      <w:r w:rsidR="004F3869">
        <w:fldChar w:fldCharType="end"/>
      </w:r>
    </w:p>
    <w:p w:rsidR="004631F6" w:rsidRDefault="004631F6" w:rsidP="004631F6">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Cluster 3 universities rates of admission on the basis of a VET award by broad field of education (FOE), Australia 2010</w:t>
      </w:r>
      <w:r>
        <w:tab/>
      </w:r>
      <w:r w:rsidR="004F3869">
        <w:fldChar w:fldCharType="begin"/>
      </w:r>
      <w:r>
        <w:instrText xml:space="preserve"> PAGEREF _Toc370995916 \h </w:instrText>
      </w:r>
      <w:r w:rsidR="004F3869">
        <w:fldChar w:fldCharType="separate"/>
      </w:r>
      <w:r>
        <w:t>22</w:t>
      </w:r>
      <w:r w:rsidR="004F3869">
        <w:fldChar w:fldCharType="end"/>
      </w:r>
    </w:p>
    <w:p w:rsidR="004631F6" w:rsidRDefault="004631F6" w:rsidP="004631F6">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VET award-holders and all undergraduate commencements in Management and Commerce,  (FOE 08), by narrow sub-field, Australia 2010</w:t>
      </w:r>
      <w:r>
        <w:tab/>
      </w:r>
      <w:r w:rsidR="004F3869">
        <w:fldChar w:fldCharType="begin"/>
      </w:r>
      <w:r>
        <w:instrText xml:space="preserve"> PAGEREF _Toc370995917 \h </w:instrText>
      </w:r>
      <w:r w:rsidR="004F3869">
        <w:fldChar w:fldCharType="separate"/>
      </w:r>
      <w:r>
        <w:t>25</w:t>
      </w:r>
      <w:r w:rsidR="004F3869">
        <w:fldChar w:fldCharType="end"/>
      </w:r>
    </w:p>
    <w:p w:rsidR="004631F6" w:rsidRDefault="004631F6" w:rsidP="004631F6">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VET award-holders and all undergraduate commencements in Accounting (FOE 0801), by HE provider Australia 2010</w:t>
      </w:r>
      <w:r>
        <w:tab/>
      </w:r>
      <w:r w:rsidR="004F3869">
        <w:fldChar w:fldCharType="begin"/>
      </w:r>
      <w:r>
        <w:instrText xml:space="preserve"> PAGEREF _Toc370995918 \h </w:instrText>
      </w:r>
      <w:r w:rsidR="004F3869">
        <w:fldChar w:fldCharType="separate"/>
      </w:r>
      <w:r>
        <w:t>27</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VET award-holders and all undergraduate commencements in Business and Management (FOE 0803), by the largest 16 HE providers, Australia 2010</w:t>
      </w:r>
      <w:r>
        <w:tab/>
      </w:r>
      <w:r>
        <w:tab/>
      </w:r>
      <w:r w:rsidR="004F3869">
        <w:fldChar w:fldCharType="begin"/>
      </w:r>
      <w:r>
        <w:instrText xml:space="preserve"> PAGEREF _Toc370995919 \h </w:instrText>
      </w:r>
      <w:r w:rsidR="004F3869">
        <w:fldChar w:fldCharType="separate"/>
      </w:r>
      <w:r>
        <w:t>28</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11</w:t>
      </w:r>
      <w:r>
        <w:rPr>
          <w:rFonts w:asciiTheme="minorHAnsi" w:eastAsiaTheme="minorEastAsia" w:hAnsiTheme="minorHAnsi" w:cstheme="minorBidi"/>
          <w:color w:val="auto"/>
          <w:sz w:val="22"/>
          <w:szCs w:val="22"/>
          <w:lang w:eastAsia="en-AU"/>
        </w:rPr>
        <w:tab/>
      </w:r>
      <w:r>
        <w:t>VET award-holders and all undergraduate commencements in Sales and Marketing (FOE 0805), by the largest nine HE providers, Australia 2010</w:t>
      </w:r>
      <w:r>
        <w:tab/>
      </w:r>
      <w:r w:rsidR="004F3869">
        <w:fldChar w:fldCharType="begin"/>
      </w:r>
      <w:r>
        <w:instrText xml:space="preserve"> PAGEREF _Toc370995920 \h </w:instrText>
      </w:r>
      <w:r w:rsidR="004F3869">
        <w:fldChar w:fldCharType="separate"/>
      </w:r>
      <w:r>
        <w:t>29</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12</w:t>
      </w:r>
      <w:r>
        <w:rPr>
          <w:rFonts w:asciiTheme="minorHAnsi" w:eastAsiaTheme="minorEastAsia" w:hAnsiTheme="minorHAnsi" w:cstheme="minorBidi"/>
          <w:color w:val="auto"/>
          <w:sz w:val="22"/>
          <w:szCs w:val="22"/>
          <w:lang w:eastAsia="en-AU"/>
        </w:rPr>
        <w:tab/>
      </w:r>
      <w:r>
        <w:t>VET award-holders and all undergraduate commencements in Tourism (FOE 0807), by HE provider, Australia 2010</w:t>
      </w:r>
      <w:r>
        <w:tab/>
      </w:r>
      <w:r w:rsidR="004F3869">
        <w:fldChar w:fldCharType="begin"/>
      </w:r>
      <w:r>
        <w:instrText xml:space="preserve"> PAGEREF _Toc370995921 \h </w:instrText>
      </w:r>
      <w:r w:rsidR="004F3869">
        <w:fldChar w:fldCharType="separate"/>
      </w:r>
      <w:r>
        <w:t>30</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13</w:t>
      </w:r>
      <w:r>
        <w:rPr>
          <w:rFonts w:asciiTheme="minorHAnsi" w:eastAsiaTheme="minorEastAsia" w:hAnsiTheme="minorHAnsi" w:cstheme="minorBidi"/>
          <w:color w:val="auto"/>
          <w:sz w:val="22"/>
          <w:szCs w:val="22"/>
          <w:lang w:eastAsia="en-AU"/>
        </w:rPr>
        <w:tab/>
      </w:r>
      <w:r>
        <w:t>VET award-holders and all undergraduate commencements in Banking, Finance and Related Fields (FOE 0811), by the largest 16 HE providers, Australia 2010</w:t>
      </w:r>
      <w:r>
        <w:tab/>
      </w:r>
      <w:r w:rsidR="004F3869">
        <w:fldChar w:fldCharType="begin"/>
      </w:r>
      <w:r>
        <w:instrText xml:space="preserve"> PAGEREF _Toc370995922 \h </w:instrText>
      </w:r>
      <w:r w:rsidR="004F3869">
        <w:fldChar w:fldCharType="separate"/>
      </w:r>
      <w:r>
        <w:t>30</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14</w:t>
      </w:r>
      <w:r>
        <w:rPr>
          <w:rFonts w:asciiTheme="minorHAnsi" w:eastAsiaTheme="minorEastAsia" w:hAnsiTheme="minorHAnsi" w:cstheme="minorBidi"/>
          <w:color w:val="auto"/>
          <w:sz w:val="22"/>
          <w:szCs w:val="22"/>
          <w:lang w:eastAsia="en-AU"/>
        </w:rPr>
        <w:tab/>
      </w:r>
      <w:r>
        <w:t>VET award-holders and all undergraduate commencements in Other Management and Commerce (FOE 0899), by the largest 13 HE providers, Australia 2010</w:t>
      </w:r>
      <w:r>
        <w:tab/>
      </w:r>
      <w:r w:rsidR="004F3869">
        <w:fldChar w:fldCharType="begin"/>
      </w:r>
      <w:r>
        <w:instrText xml:space="preserve"> PAGEREF _Toc370995923 \h </w:instrText>
      </w:r>
      <w:r w:rsidR="004F3869">
        <w:fldChar w:fldCharType="separate"/>
      </w:r>
      <w:r>
        <w:t>31</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15</w:t>
      </w:r>
      <w:r>
        <w:rPr>
          <w:rFonts w:asciiTheme="minorHAnsi" w:eastAsiaTheme="minorEastAsia" w:hAnsiTheme="minorHAnsi" w:cstheme="minorBidi"/>
          <w:color w:val="auto"/>
          <w:sz w:val="22"/>
          <w:szCs w:val="22"/>
          <w:lang w:eastAsia="en-AU"/>
        </w:rPr>
        <w:tab/>
      </w:r>
      <w:r>
        <w:t>Narrow and Detailed sub-fields within the Broad Field of Education 07: Education</w:t>
      </w:r>
      <w:r>
        <w:tab/>
      </w:r>
      <w:r w:rsidR="004F3869">
        <w:fldChar w:fldCharType="begin"/>
      </w:r>
      <w:r>
        <w:instrText xml:space="preserve"> PAGEREF _Toc370995924 \h </w:instrText>
      </w:r>
      <w:r w:rsidR="004F3869">
        <w:fldChar w:fldCharType="separate"/>
      </w:r>
      <w:r>
        <w:t>32</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16</w:t>
      </w:r>
      <w:r>
        <w:rPr>
          <w:rFonts w:asciiTheme="minorHAnsi" w:eastAsiaTheme="minorEastAsia" w:hAnsiTheme="minorHAnsi" w:cstheme="minorBidi"/>
          <w:color w:val="auto"/>
          <w:sz w:val="22"/>
          <w:szCs w:val="22"/>
          <w:lang w:eastAsia="en-AU"/>
        </w:rPr>
        <w:tab/>
      </w:r>
      <w:r>
        <w:t>VET award-holders and all undergraduate commencements in Education (FOE 07), by detailed sub-field, Australia 2010</w:t>
      </w:r>
      <w:r>
        <w:tab/>
      </w:r>
      <w:r w:rsidR="004F3869">
        <w:fldChar w:fldCharType="begin"/>
      </w:r>
      <w:r>
        <w:instrText xml:space="preserve"> PAGEREF _Toc370995925 \h </w:instrText>
      </w:r>
      <w:r w:rsidR="004F3869">
        <w:fldChar w:fldCharType="separate"/>
      </w:r>
      <w:r>
        <w:t>32</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17</w:t>
      </w:r>
      <w:r>
        <w:rPr>
          <w:rFonts w:asciiTheme="minorHAnsi" w:eastAsiaTheme="minorEastAsia" w:hAnsiTheme="minorHAnsi" w:cstheme="minorBidi"/>
          <w:color w:val="auto"/>
          <w:sz w:val="22"/>
          <w:szCs w:val="22"/>
          <w:lang w:eastAsia="en-AU"/>
        </w:rPr>
        <w:tab/>
      </w:r>
      <w:r>
        <w:t>Enrolment share and admission rates of VET award-holders by institutional clusters in Engineering and Related Technologies (FOE 03), Australia 2010</w:t>
      </w:r>
      <w:r>
        <w:tab/>
      </w:r>
      <w:r w:rsidR="004F3869">
        <w:fldChar w:fldCharType="begin"/>
      </w:r>
      <w:r>
        <w:instrText xml:space="preserve"> PAGEREF _Toc370995926 \h </w:instrText>
      </w:r>
      <w:r w:rsidR="004F3869">
        <w:fldChar w:fldCharType="separate"/>
      </w:r>
      <w:r>
        <w:t>38</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lastRenderedPageBreak/>
        <w:t>18</w:t>
      </w:r>
      <w:r>
        <w:rPr>
          <w:rFonts w:asciiTheme="minorHAnsi" w:eastAsiaTheme="minorEastAsia" w:hAnsiTheme="minorHAnsi" w:cstheme="minorBidi"/>
          <w:color w:val="auto"/>
          <w:sz w:val="22"/>
          <w:szCs w:val="22"/>
          <w:lang w:eastAsia="en-AU"/>
        </w:rPr>
        <w:tab/>
      </w:r>
      <w:r>
        <w:t>VET award-holders and all undergraduate commencements in Engineering and Related Technologies (FOE 03), Australia 2010</w:t>
      </w:r>
      <w:r>
        <w:tab/>
      </w:r>
      <w:r w:rsidR="004F3869">
        <w:fldChar w:fldCharType="begin"/>
      </w:r>
      <w:r>
        <w:instrText xml:space="preserve"> PAGEREF _Toc370995927 \h </w:instrText>
      </w:r>
      <w:r w:rsidR="004F3869">
        <w:fldChar w:fldCharType="separate"/>
      </w:r>
      <w:r>
        <w:t>39</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19</w:t>
      </w:r>
      <w:r>
        <w:rPr>
          <w:rFonts w:asciiTheme="minorHAnsi" w:eastAsiaTheme="minorEastAsia" w:hAnsiTheme="minorHAnsi" w:cstheme="minorBidi"/>
          <w:color w:val="auto"/>
          <w:sz w:val="22"/>
          <w:szCs w:val="22"/>
          <w:lang w:eastAsia="en-AU"/>
        </w:rPr>
        <w:tab/>
      </w:r>
      <w:r>
        <w:t>VET award-holders and all undergraduate commencements in Other Engineering and Related Technologies (FOE 0399), by HE provider Australia 2010</w:t>
      </w:r>
      <w:r>
        <w:tab/>
      </w:r>
      <w:r w:rsidR="004F3869">
        <w:fldChar w:fldCharType="begin"/>
      </w:r>
      <w:r>
        <w:instrText xml:space="preserve"> PAGEREF _Toc370995928 \h </w:instrText>
      </w:r>
      <w:r w:rsidR="004F3869">
        <w:fldChar w:fldCharType="separate"/>
      </w:r>
      <w:r>
        <w:t>40</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20</w:t>
      </w:r>
      <w:r>
        <w:rPr>
          <w:rFonts w:asciiTheme="minorHAnsi" w:eastAsiaTheme="minorEastAsia" w:hAnsiTheme="minorHAnsi" w:cstheme="minorBidi"/>
          <w:color w:val="auto"/>
          <w:sz w:val="22"/>
          <w:szCs w:val="22"/>
          <w:lang w:eastAsia="en-AU"/>
        </w:rPr>
        <w:tab/>
      </w:r>
      <w:r>
        <w:t>VET award-holders and all undergraduate commencements in Electrical and Electronic Engineering and Technology (FOE 0305), by HE provider Australia 2010</w:t>
      </w:r>
      <w:r>
        <w:tab/>
      </w:r>
      <w:r w:rsidR="004F3869">
        <w:fldChar w:fldCharType="begin"/>
      </w:r>
      <w:r>
        <w:instrText xml:space="preserve"> PAGEREF _Toc370995929 \h </w:instrText>
      </w:r>
      <w:r w:rsidR="004F3869">
        <w:fldChar w:fldCharType="separate"/>
      </w:r>
      <w:r>
        <w:t>42</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21</w:t>
      </w:r>
      <w:r>
        <w:rPr>
          <w:rFonts w:asciiTheme="minorHAnsi" w:eastAsiaTheme="minorEastAsia" w:hAnsiTheme="minorHAnsi" w:cstheme="minorBidi"/>
          <w:color w:val="auto"/>
          <w:sz w:val="22"/>
          <w:szCs w:val="22"/>
          <w:lang w:eastAsia="en-AU"/>
        </w:rPr>
        <w:tab/>
      </w:r>
      <w:r>
        <w:t>VET award-holders and all undergraduate commencements in Mechanical and Industrial Engineering &amp; Technology (FOE 0307), by HE provider Australia 2010</w:t>
      </w:r>
      <w:r>
        <w:tab/>
      </w:r>
      <w:r w:rsidR="004F3869">
        <w:fldChar w:fldCharType="begin"/>
      </w:r>
      <w:r>
        <w:instrText xml:space="preserve"> PAGEREF _Toc370995930 \h </w:instrText>
      </w:r>
      <w:r w:rsidR="004F3869">
        <w:fldChar w:fldCharType="separate"/>
      </w:r>
      <w:r>
        <w:t>43</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22</w:t>
      </w:r>
      <w:r>
        <w:rPr>
          <w:rFonts w:asciiTheme="minorHAnsi" w:eastAsiaTheme="minorEastAsia" w:hAnsiTheme="minorHAnsi" w:cstheme="minorBidi"/>
          <w:color w:val="auto"/>
          <w:sz w:val="22"/>
          <w:szCs w:val="22"/>
          <w:lang w:eastAsia="en-AU"/>
        </w:rPr>
        <w:tab/>
      </w:r>
      <w:r>
        <w:t>VET award-holders and all undergraduate commencements in Civil Engineering (FOE 0309), by HE provider Australia 2010</w:t>
      </w:r>
      <w:r>
        <w:tab/>
      </w:r>
      <w:r w:rsidR="004F3869">
        <w:fldChar w:fldCharType="begin"/>
      </w:r>
      <w:r>
        <w:instrText xml:space="preserve"> PAGEREF _Toc370995931 \h </w:instrText>
      </w:r>
      <w:r w:rsidR="004F3869">
        <w:fldChar w:fldCharType="separate"/>
      </w:r>
      <w:r>
        <w:t>44</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23</w:t>
      </w:r>
      <w:r>
        <w:rPr>
          <w:rFonts w:asciiTheme="minorHAnsi" w:eastAsiaTheme="minorEastAsia" w:hAnsiTheme="minorHAnsi" w:cstheme="minorBidi"/>
          <w:color w:val="auto"/>
          <w:sz w:val="22"/>
          <w:szCs w:val="22"/>
          <w:lang w:eastAsia="en-AU"/>
        </w:rPr>
        <w:tab/>
      </w:r>
      <w:r>
        <w:t>VET award-holders and all undergraduate commencements in Aerospace Engineering (FOE 0315), by HE provider Australia 2010</w:t>
      </w:r>
      <w:r>
        <w:tab/>
      </w:r>
      <w:r w:rsidR="004F3869">
        <w:fldChar w:fldCharType="begin"/>
      </w:r>
      <w:r>
        <w:instrText xml:space="preserve"> PAGEREF _Toc370995932 \h </w:instrText>
      </w:r>
      <w:r w:rsidR="004F3869">
        <w:fldChar w:fldCharType="separate"/>
      </w:r>
      <w:r>
        <w:t>46</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24</w:t>
      </w:r>
      <w:r>
        <w:rPr>
          <w:rFonts w:asciiTheme="minorHAnsi" w:eastAsiaTheme="minorEastAsia" w:hAnsiTheme="minorHAnsi" w:cstheme="minorBidi"/>
          <w:color w:val="auto"/>
          <w:sz w:val="22"/>
          <w:szCs w:val="22"/>
          <w:lang w:eastAsia="en-AU"/>
        </w:rPr>
        <w:tab/>
      </w:r>
      <w:r>
        <w:t>VET award-holders and all undergraduate commencements in Process and Resources Engineering (FOE 0303), by HE provider Australia 2010</w:t>
      </w:r>
      <w:r>
        <w:tab/>
      </w:r>
      <w:r w:rsidR="004F3869">
        <w:fldChar w:fldCharType="begin"/>
      </w:r>
      <w:r>
        <w:instrText xml:space="preserve"> PAGEREF _Toc370995933 \h </w:instrText>
      </w:r>
      <w:r w:rsidR="004F3869">
        <w:fldChar w:fldCharType="separate"/>
      </w:r>
      <w:r>
        <w:t>47</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25</w:t>
      </w:r>
      <w:r>
        <w:rPr>
          <w:rFonts w:asciiTheme="minorHAnsi" w:eastAsiaTheme="minorEastAsia" w:hAnsiTheme="minorHAnsi" w:cstheme="minorBidi"/>
          <w:color w:val="auto"/>
          <w:sz w:val="22"/>
          <w:szCs w:val="22"/>
          <w:lang w:eastAsia="en-AU"/>
        </w:rPr>
        <w:tab/>
      </w:r>
      <w:r>
        <w:t>VET award-holders and all undergraduate commencements in Agriculture, Environmental and Related Studies (FOE 05), by narrow sub-field, Australia 2010</w:t>
      </w:r>
      <w:r>
        <w:tab/>
      </w:r>
      <w:r w:rsidR="004F3869">
        <w:fldChar w:fldCharType="begin"/>
      </w:r>
      <w:r>
        <w:instrText xml:space="preserve"> PAGEREF _Toc370995934 \h </w:instrText>
      </w:r>
      <w:r w:rsidR="004F3869">
        <w:fldChar w:fldCharType="separate"/>
      </w:r>
      <w:r>
        <w:t>49</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26</w:t>
      </w:r>
      <w:r>
        <w:rPr>
          <w:rFonts w:asciiTheme="minorHAnsi" w:eastAsiaTheme="minorEastAsia" w:hAnsiTheme="minorHAnsi" w:cstheme="minorBidi"/>
          <w:color w:val="auto"/>
          <w:sz w:val="22"/>
          <w:szCs w:val="22"/>
          <w:lang w:eastAsia="en-AU"/>
        </w:rPr>
        <w:tab/>
      </w:r>
      <w:r>
        <w:t>Undergraduate commencements in Agriculture, Environmental and Related Studies, by sub-field and the largest 15 HE providers Australia 2010</w:t>
      </w:r>
      <w:r>
        <w:tab/>
      </w:r>
      <w:r>
        <w:tab/>
      </w:r>
      <w:r w:rsidR="004F3869">
        <w:fldChar w:fldCharType="begin"/>
      </w:r>
      <w:r>
        <w:instrText xml:space="preserve"> PAGEREF _Toc370995935 \h </w:instrText>
      </w:r>
      <w:r w:rsidR="004F3869">
        <w:fldChar w:fldCharType="separate"/>
      </w:r>
      <w:r>
        <w:t>51</w:t>
      </w:r>
      <w:r w:rsidR="004F3869">
        <w:fldChar w:fldCharType="end"/>
      </w:r>
    </w:p>
    <w:p w:rsidR="004631F6" w:rsidRDefault="004F3869" w:rsidP="004631F6">
      <w:pPr>
        <w:pStyle w:val="Heading2"/>
        <w:tabs>
          <w:tab w:val="left" w:pos="567"/>
        </w:tabs>
        <w:ind w:left="567" w:hanging="567"/>
        <w:rPr>
          <w:noProof/>
        </w:rPr>
      </w:pPr>
      <w:r w:rsidRPr="00602388">
        <w:fldChar w:fldCharType="end"/>
      </w:r>
      <w:bookmarkStart w:id="10" w:name="_Toc370832180"/>
      <w:bookmarkStart w:id="11" w:name="_Toc370995867"/>
      <w:r w:rsidR="004631F6" w:rsidRPr="00602388">
        <w:t>Figures</w:t>
      </w:r>
      <w:bookmarkEnd w:id="10"/>
      <w:bookmarkEnd w:id="11"/>
      <w:r w:rsidRPr="004F3869">
        <w:rPr>
          <w:rFonts w:ascii="Garamond" w:hAnsi="Garamond"/>
          <w:sz w:val="22"/>
        </w:rPr>
        <w:fldChar w:fldCharType="begin"/>
      </w:r>
      <w:r w:rsidR="004631F6" w:rsidRPr="00602388">
        <w:instrText xml:space="preserve"> TOC \t "Figuretitle" \c </w:instrText>
      </w:r>
      <w:r w:rsidRPr="004F3869">
        <w:rPr>
          <w:rFonts w:ascii="Garamond" w:hAnsi="Garamond"/>
          <w:sz w:val="22"/>
        </w:rPr>
        <w:fldChar w:fldCharType="separate"/>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Students admitted to university on the basis of a VET award and all students by jurisdiction (domestic and overseas), Australia 2010</w:t>
      </w:r>
      <w:r>
        <w:tab/>
      </w:r>
      <w:r w:rsidR="004F3869">
        <w:fldChar w:fldCharType="begin"/>
      </w:r>
      <w:r>
        <w:instrText xml:space="preserve"> PAGEREF _Toc370995936 \h </w:instrText>
      </w:r>
      <w:r w:rsidR="004F3869">
        <w:fldChar w:fldCharType="separate"/>
      </w:r>
      <w:r>
        <w:t>12</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Commencing higher education students by age and basis of admission, (domestic and overseas), Australia 2010</w:t>
      </w:r>
      <w:r>
        <w:tab/>
      </w:r>
      <w:r w:rsidR="004F3869">
        <w:fldChar w:fldCharType="begin"/>
      </w:r>
      <w:r>
        <w:instrText xml:space="preserve"> PAGEREF _Toc370995937 \h </w:instrText>
      </w:r>
      <w:r w:rsidR="004F3869">
        <w:fldChar w:fldCharType="separate"/>
      </w:r>
      <w:r>
        <w:t>13</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Number of students commencing undergraduate studies in Management and Commerce by basis of admission by university, Australia 2010</w:t>
      </w:r>
      <w:r>
        <w:tab/>
      </w:r>
      <w:r w:rsidR="004F3869">
        <w:fldChar w:fldCharType="begin"/>
      </w:r>
      <w:r>
        <w:instrText xml:space="preserve"> PAGEREF _Toc370995938 \h </w:instrText>
      </w:r>
      <w:r w:rsidR="004F3869">
        <w:fldChar w:fldCharType="separate"/>
      </w:r>
      <w:r>
        <w:t>26</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Number of students commencing undergraduate studies in Early Childhood Teacher Education who were admitted on the basis of a VET award (and VET award-holders as a proportion of all commencements, i</w:t>
      </w:r>
      <w:r>
        <w:br/>
        <w:t>n parentheses) by HE institution, Australia 2010</w:t>
      </w:r>
      <w:r>
        <w:tab/>
      </w:r>
      <w:r w:rsidR="004F3869">
        <w:fldChar w:fldCharType="begin"/>
      </w:r>
      <w:r>
        <w:instrText xml:space="preserve"> PAGEREF _Toc370995939 \h </w:instrText>
      </w:r>
      <w:r w:rsidR="004F3869">
        <w:fldChar w:fldCharType="separate"/>
      </w:r>
      <w:r>
        <w:t>33</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Number of students commencing undergraduate studies in Primary and Early Childhood Teacher Education who were admitted on the basis of a VET award (and VET award-holders as a proportion of all commencements, in parentheses) by HE institution, Australia 2010</w:t>
      </w:r>
      <w:r>
        <w:tab/>
      </w:r>
      <w:r w:rsidR="004F3869">
        <w:fldChar w:fldCharType="begin"/>
      </w:r>
      <w:r>
        <w:instrText xml:space="preserve"> PAGEREF _Toc370995940 \h </w:instrText>
      </w:r>
      <w:r w:rsidR="004F3869">
        <w:fldChar w:fldCharType="separate"/>
      </w:r>
      <w:r>
        <w:t>34</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Number of students commencing undergraduate studies in Engineering and Related Technologies including those admitted on the basis of a VET award, by HE institution, Australia 2010</w:t>
      </w:r>
      <w:r>
        <w:tab/>
      </w:r>
      <w:r w:rsidR="004F3869">
        <w:fldChar w:fldCharType="begin"/>
      </w:r>
      <w:r>
        <w:instrText xml:space="preserve"> PAGEREF _Toc370995941 \h </w:instrText>
      </w:r>
      <w:r w:rsidR="004F3869">
        <w:fldChar w:fldCharType="separate"/>
      </w:r>
      <w:r>
        <w:t>37</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lastRenderedPageBreak/>
        <w:t>7</w:t>
      </w:r>
      <w:r>
        <w:rPr>
          <w:rFonts w:asciiTheme="minorHAnsi" w:eastAsiaTheme="minorEastAsia" w:hAnsiTheme="minorHAnsi" w:cstheme="minorBidi"/>
          <w:color w:val="auto"/>
          <w:sz w:val="22"/>
          <w:szCs w:val="22"/>
          <w:lang w:eastAsia="en-AU"/>
        </w:rPr>
        <w:tab/>
      </w:r>
      <w:r>
        <w:t>Number of students commencing undergraduate studies in Agriculture, Environmental and Related Studies by basis of admission by university, Australia 2010</w:t>
      </w:r>
      <w:r>
        <w:tab/>
      </w:r>
      <w:r w:rsidR="004F3869">
        <w:fldChar w:fldCharType="begin"/>
      </w:r>
      <w:r>
        <w:instrText xml:space="preserve"> PAGEREF _Toc370995942 \h </w:instrText>
      </w:r>
      <w:r w:rsidR="004F3869">
        <w:fldChar w:fldCharType="separate"/>
      </w:r>
      <w:r>
        <w:t>50</w:t>
      </w:r>
      <w:r w:rsidR="004F3869">
        <w:fldChar w:fldCharType="end"/>
      </w:r>
    </w:p>
    <w:p w:rsidR="004631F6" w:rsidRDefault="004631F6" w:rsidP="004631F6">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Structure of Charles Sturt University Website</w:t>
      </w:r>
      <w:r>
        <w:tab/>
      </w:r>
      <w:r w:rsidR="004F3869">
        <w:fldChar w:fldCharType="begin"/>
      </w:r>
      <w:r>
        <w:instrText xml:space="preserve"> PAGEREF _Toc370995943 \h </w:instrText>
      </w:r>
      <w:r w:rsidR="004F3869">
        <w:fldChar w:fldCharType="separate"/>
      </w:r>
      <w:r>
        <w:t>58</w:t>
      </w:r>
      <w:r w:rsidR="004F3869">
        <w:fldChar w:fldCharType="end"/>
      </w:r>
    </w:p>
    <w:p w:rsidR="004631F6" w:rsidRDefault="004F3869" w:rsidP="004631F6">
      <w:pPr>
        <w:pStyle w:val="TableofFigures"/>
        <w:tabs>
          <w:tab w:val="clear" w:pos="284"/>
          <w:tab w:val="left" w:pos="567"/>
        </w:tabs>
        <w:ind w:left="567" w:hanging="567"/>
        <w:rPr>
          <w:color w:val="auto"/>
        </w:rPr>
      </w:pPr>
      <w:r w:rsidRPr="00602388">
        <w:rPr>
          <w:color w:val="auto"/>
        </w:rPr>
        <w:fldChar w:fldCharType="end"/>
      </w:r>
    </w:p>
    <w:p w:rsidR="004631F6" w:rsidRDefault="004631F6">
      <w:pPr>
        <w:spacing w:before="0" w:line="240" w:lineRule="auto"/>
        <w:rPr>
          <w:rFonts w:ascii="Tahoma" w:hAnsi="Tahoma" w:cs="Tahoma"/>
          <w:color w:val="000000"/>
          <w:kern w:val="28"/>
          <w:sz w:val="56"/>
          <w:szCs w:val="56"/>
        </w:rPr>
      </w:pPr>
      <w:r>
        <w:br w:type="page"/>
      </w:r>
    </w:p>
    <w:p w:rsidR="004631F6" w:rsidRPr="00993654" w:rsidRDefault="004631F6" w:rsidP="00993654">
      <w:pPr>
        <w:pStyle w:val="Heading1"/>
      </w:pPr>
      <w:bookmarkStart w:id="12" w:name="_Toc370995868"/>
      <w:r w:rsidRPr="00602388">
        <w:lastRenderedPageBreak/>
        <w:t>Introduction</w:t>
      </w:r>
      <w:bookmarkEnd w:id="12"/>
    </w:p>
    <w:p w:rsidR="004631F6" w:rsidRDefault="004631F6" w:rsidP="00816666">
      <w:pPr>
        <w:pStyle w:val="Text"/>
        <w:rPr>
          <w:i/>
        </w:rPr>
      </w:pPr>
      <w:r w:rsidRPr="00602388">
        <w:t xml:space="preserve">This </w:t>
      </w:r>
      <w:r>
        <w:t xml:space="preserve">paper is the supporting document to the </w:t>
      </w:r>
      <w:r w:rsidRPr="00602388">
        <w:t xml:space="preserve">report, </w:t>
      </w:r>
      <w:r w:rsidRPr="00602388">
        <w:rPr>
          <w:i/>
        </w:rPr>
        <w:t>The half-open door: pathways for VET-award holders into Australian Universities</w:t>
      </w:r>
      <w:r>
        <w:rPr>
          <w:i/>
        </w:rPr>
        <w:t>.</w:t>
      </w:r>
    </w:p>
    <w:p w:rsidR="004631F6" w:rsidRDefault="004631F6" w:rsidP="009E7F75">
      <w:pPr>
        <w:pStyle w:val="Heading2"/>
      </w:pPr>
      <w:bookmarkStart w:id="13" w:name="_Toc370995869"/>
      <w:r>
        <w:t>Data Sources and Limitations</w:t>
      </w:r>
      <w:bookmarkEnd w:id="13"/>
    </w:p>
    <w:p w:rsidR="004631F6" w:rsidRDefault="004631F6" w:rsidP="009E7F75">
      <w:pPr>
        <w:pStyle w:val="Text"/>
      </w:pPr>
      <w:r w:rsidRPr="00C536F2">
        <w:t>We began the study with an analysis of quantitative data to explore the patterns of admission of VET award-holders among universities. This was followed by an investigation of admiss</w:t>
      </w:r>
      <w:r>
        <w:t>ion rates by field of education</w:t>
      </w:r>
      <w:r w:rsidRPr="00C536F2">
        <w:t xml:space="preserve">. The results of these analyses led us to an exploration of institutional policies and practices in more detail. </w:t>
      </w:r>
    </w:p>
    <w:p w:rsidR="004631F6" w:rsidRDefault="004631F6" w:rsidP="009E7F75">
      <w:pPr>
        <w:pStyle w:val="Text"/>
      </w:pPr>
      <w:r>
        <w:t xml:space="preserve">For the quantitative data analyses in this report we relied on administrative data collections, primarily the Higher Education Statistics Collection managed by the Commonwealth government. </w:t>
      </w:r>
    </w:p>
    <w:p w:rsidR="004631F6" w:rsidRDefault="004631F6" w:rsidP="009E7F75">
      <w:pPr>
        <w:pStyle w:val="Text"/>
      </w:pPr>
      <w:r w:rsidRPr="00A80E75">
        <w:t xml:space="preserve">Data were obtained from the Higher Education Statistics Collection that reported the number of students commencing higher education undergraduate programs in 2010, by basis of admission, disaggregated by ASCED fields of education. </w:t>
      </w:r>
    </w:p>
    <w:p w:rsidR="004631F6" w:rsidRDefault="004631F6" w:rsidP="005C7C67">
      <w:pPr>
        <w:pStyle w:val="Text"/>
      </w:pPr>
      <w:r w:rsidRPr="00A80E75">
        <w:t>We collected qualitative data from institutional responses to a survey (Appendix A.3) emailed to all Australian universities and further information was obtained from follow-up interviews with selected university personnel.</w:t>
      </w:r>
    </w:p>
    <w:p w:rsidR="004631F6" w:rsidRDefault="004631F6" w:rsidP="009E7F75">
      <w:pPr>
        <w:pStyle w:val="Heading3"/>
      </w:pPr>
      <w:r>
        <w:t>Graduation rates of VET award-holders</w:t>
      </w:r>
    </w:p>
    <w:p w:rsidR="004631F6" w:rsidRDefault="004631F6" w:rsidP="009E7F75">
      <w:pPr>
        <w:pStyle w:val="Text"/>
      </w:pPr>
      <w:r w:rsidRPr="00615661">
        <w:t xml:space="preserve">The </w:t>
      </w:r>
      <w:r>
        <w:t>Commonwealth government was un</w:t>
      </w:r>
      <w:r w:rsidRPr="00615661">
        <w:t xml:space="preserve">able to provide the research team with access to data that would have enabled us to </w:t>
      </w:r>
      <w:r>
        <w:t>assess the graduation rates</w:t>
      </w:r>
      <w:r w:rsidRPr="00615661">
        <w:t xml:space="preserve"> of students admitted to higher education on the basis of a VET award. </w:t>
      </w:r>
      <w:r>
        <w:t>Although the number of students admitted to higher education on the basis of a VET award is increasing, previous studies suggest that once admitted to university, a VET award holder’s chances of completing an undergraduate degree is relatively poor. One study found that the proportion of VET award-holders who dropped out during their first year of a bachelor’s degree was twice that for all students (Long, Ferrier and Heagney 2006). A recent study in the field of engineering found that the completion rate for VET award-holders admitted to undergraduate engineering programs was less than 20 per cent compared to 65 per cent for other students (King, Dowling and Godfrey 2011; 33-34). Other studies suggest that the retention and achievement of VET award-holders admitted to university is influenced by the nature of their VET-HE pathway (</w:t>
      </w:r>
      <w:r>
        <w:rPr>
          <w:szCs w:val="19"/>
        </w:rPr>
        <w:t>Cram and Watson 2008</w:t>
      </w:r>
      <w:r>
        <w:t xml:space="preserve">). On the other hand, one dual-sector university which admits a relatively high proportion of students on the basis of a VET award reported </w:t>
      </w:r>
      <w:r w:rsidRPr="00905A7D">
        <w:t xml:space="preserve">that the higher education completion rates of VET award-holders are the same as for all students (Young 2007). </w:t>
      </w:r>
      <w:r>
        <w:t xml:space="preserve"> </w:t>
      </w:r>
    </w:p>
    <w:p w:rsidR="004631F6" w:rsidRDefault="004631F6" w:rsidP="009E7F75">
      <w:pPr>
        <w:pStyle w:val="Text"/>
      </w:pPr>
      <w:r>
        <w:t xml:space="preserve">Our lack of access to Commonwealth-held data on student progression and attainment is an acknowledged limitation of this study. </w:t>
      </w:r>
    </w:p>
    <w:p w:rsidR="004631F6" w:rsidRDefault="004631F6" w:rsidP="009E7F75">
      <w:pPr>
        <w:pStyle w:val="Heading3"/>
      </w:pPr>
      <w:r>
        <w:t>Students admitted to higher education on an “other basis”</w:t>
      </w:r>
    </w:p>
    <w:p w:rsidR="004631F6" w:rsidRDefault="004631F6" w:rsidP="009E7F75">
      <w:pPr>
        <w:pStyle w:val="Text"/>
      </w:pPr>
      <w:r>
        <w:t xml:space="preserve">Another issue identified in the course of this research is the potential for students admitted on the basis of a VET award to be misclassified as students admitted on an “other basis”.  Commonwealth guidelines for the collection of higher education statistics are quite clear in stating that students admitted on the basis of a VET award are those admitted on the basis of partial or completed VET </w:t>
      </w:r>
      <w:r>
        <w:lastRenderedPageBreak/>
        <w:t xml:space="preserve">studies. However several university staff members interviewed by the research team advised that students admitted on a basis other than a school completion were often categorised as “Mature Age” or “Other”, even though they held VET qualifications, because they were not actually admitted on the basis of a VET award. Staff interviewed in two universities also suggested that students admitted on the basis of a VET award were mis-classified as “Other” in their institution. </w:t>
      </w:r>
      <w:r w:rsidRPr="006904C6">
        <w:t>In the dataset provided for this study of undergraduate commencements by basis of admission in 2010, the research team noted considerable variation between institutions in terms of the proportion of commencing undergraduates admitted on the basis of “Other”, as shown in Appendix A.5.</w:t>
      </w:r>
    </w:p>
    <w:p w:rsidR="004631F6" w:rsidRDefault="004631F6" w:rsidP="009E7F75">
      <w:pPr>
        <w:pStyle w:val="Text"/>
      </w:pPr>
      <w:r>
        <w:t>In the higher education statistics collection, commencing students in undergraduate, enabling and non-award courses are classified into one of seven categories:</w:t>
      </w:r>
    </w:p>
    <w:p w:rsidR="004631F6" w:rsidRDefault="004631F6" w:rsidP="009E7F75">
      <w:pPr>
        <w:pStyle w:val="Text"/>
        <w:numPr>
          <w:ilvl w:val="0"/>
          <w:numId w:val="36"/>
        </w:numPr>
        <w:spacing w:before="0"/>
        <w:ind w:left="714" w:right="0" w:hanging="357"/>
      </w:pPr>
      <w:r>
        <w:t>Higher education course (Australian or overseas equivalent; complete or incomplete)</w:t>
      </w:r>
    </w:p>
    <w:p w:rsidR="004631F6" w:rsidRDefault="004631F6" w:rsidP="009E7F75">
      <w:pPr>
        <w:pStyle w:val="Text"/>
        <w:numPr>
          <w:ilvl w:val="0"/>
          <w:numId w:val="36"/>
        </w:numPr>
        <w:spacing w:before="0"/>
        <w:ind w:left="714" w:right="0" w:hanging="357"/>
      </w:pPr>
      <w:r>
        <w:t>Secondary education</w:t>
      </w:r>
      <w:r w:rsidRPr="00F0531C">
        <w:t xml:space="preserve"> </w:t>
      </w:r>
    </w:p>
    <w:p w:rsidR="004631F6" w:rsidRDefault="004631F6" w:rsidP="009E7F75">
      <w:pPr>
        <w:pStyle w:val="Text"/>
        <w:numPr>
          <w:ilvl w:val="0"/>
          <w:numId w:val="36"/>
        </w:numPr>
        <w:spacing w:before="0"/>
        <w:ind w:left="714" w:right="0" w:hanging="357"/>
      </w:pPr>
      <w:r>
        <w:t>VET award (other than a secondary education course; Australian or overseas equivalent; complete or incomplete)</w:t>
      </w:r>
    </w:p>
    <w:p w:rsidR="004631F6" w:rsidRDefault="004631F6" w:rsidP="009E7F75">
      <w:pPr>
        <w:pStyle w:val="Text"/>
        <w:numPr>
          <w:ilvl w:val="0"/>
          <w:numId w:val="36"/>
        </w:numPr>
        <w:spacing w:before="0"/>
        <w:ind w:left="714" w:right="0" w:hanging="357"/>
      </w:pPr>
      <w:r>
        <w:t>Mature age special entry provisions</w:t>
      </w:r>
    </w:p>
    <w:p w:rsidR="004631F6" w:rsidRDefault="004631F6" w:rsidP="009E7F75">
      <w:pPr>
        <w:pStyle w:val="Text"/>
        <w:numPr>
          <w:ilvl w:val="0"/>
          <w:numId w:val="36"/>
        </w:numPr>
        <w:spacing w:before="0"/>
        <w:ind w:left="714" w:right="0" w:hanging="357"/>
      </w:pPr>
      <w:r>
        <w:t>Professional qualification</w:t>
      </w:r>
    </w:p>
    <w:p w:rsidR="004631F6" w:rsidRDefault="004631F6" w:rsidP="009E7F75">
      <w:pPr>
        <w:pStyle w:val="Text"/>
        <w:numPr>
          <w:ilvl w:val="0"/>
          <w:numId w:val="36"/>
        </w:numPr>
        <w:spacing w:before="0"/>
        <w:ind w:left="714" w:right="0" w:hanging="357"/>
      </w:pPr>
      <w:r>
        <w:t>Other basis</w:t>
      </w:r>
    </w:p>
    <w:p w:rsidR="004631F6" w:rsidRDefault="004631F6" w:rsidP="009E7F75">
      <w:pPr>
        <w:pStyle w:val="Text"/>
        <w:numPr>
          <w:ilvl w:val="0"/>
          <w:numId w:val="36"/>
        </w:numPr>
        <w:spacing w:before="0"/>
        <w:ind w:left="714" w:right="0" w:hanging="357"/>
      </w:pPr>
      <w:r>
        <w:t>Unknown</w:t>
      </w:r>
    </w:p>
    <w:p w:rsidR="004631F6" w:rsidRDefault="004631F6" w:rsidP="009E7F75">
      <w:pPr>
        <w:pStyle w:val="Text"/>
      </w:pPr>
      <w:r>
        <w:t xml:space="preserve">Australia-wide, less than 45 per cent of undergraduate commencing students were admitted on the basis of secondary education in 2010. </w:t>
      </w:r>
      <w:r w:rsidRPr="00364207">
        <w:t xml:space="preserve">Some 27 per cent of all commencing undergraduates </w:t>
      </w:r>
      <w:r>
        <w:t>we</w:t>
      </w:r>
      <w:r w:rsidRPr="00364207">
        <w:t xml:space="preserve">re admitted on the basis of a higher education course. </w:t>
      </w:r>
      <w:r>
        <w:t xml:space="preserve">Ten per cent of students were admitted on the basis of a VET award and 18 per cent were admitted on an “Other basis”. </w:t>
      </w:r>
    </w:p>
    <w:p w:rsidR="004631F6" w:rsidRDefault="004631F6" w:rsidP="009E7F75">
      <w:pPr>
        <w:pStyle w:val="Text"/>
      </w:pPr>
      <w:r>
        <w:t>As indicated in the chart provided in Appendix A.5, several universities which admit relatively low proportions of students on the basis of a VET award admit relatively high proportions of undergraduates on an “other basis”. Batchelor Institute, Curtin University, Macquarie University, the University of the Sunshine Coast, the University of Southern Queensland and the University of Tasmania all reported very high proportions of undergraduate students admitted on an “other basis” in 2010, with rates between 30 and 50 per cent. As several of these universities admit relatively small proportions of VET award-holders, is it possible that some VET award-holders are being mis-classified in their data collections. While it is beyond the scope of this study to investigate this issue, it should be noted that the admission rates of VET award-holders could be under-reported in some universities which report very high admission rates under “other basis”.</w:t>
      </w:r>
    </w:p>
    <w:p w:rsidR="004631F6" w:rsidRDefault="004631F6" w:rsidP="009E7F75">
      <w:pPr>
        <w:pStyle w:val="Text"/>
        <w:rPr>
          <w:rFonts w:ascii="Tahoma" w:hAnsi="Tahoma" w:cs="Tahoma"/>
          <w:color w:val="000000"/>
          <w:sz w:val="24"/>
        </w:rPr>
      </w:pPr>
      <w:r w:rsidRPr="00AC1DAD">
        <w:rPr>
          <w:rFonts w:ascii="Tahoma" w:hAnsi="Tahoma" w:cs="Tahoma"/>
          <w:color w:val="000000"/>
          <w:sz w:val="24"/>
        </w:rPr>
        <w:t xml:space="preserve">Students admitted to higher education on </w:t>
      </w:r>
      <w:r>
        <w:rPr>
          <w:rFonts w:ascii="Tahoma" w:hAnsi="Tahoma" w:cs="Tahoma"/>
          <w:color w:val="000000"/>
          <w:sz w:val="24"/>
        </w:rPr>
        <w:t>the basis of a low ATAR</w:t>
      </w:r>
    </w:p>
    <w:p w:rsidR="004631F6" w:rsidRDefault="004631F6" w:rsidP="009E7F75">
      <w:pPr>
        <w:pStyle w:val="Text"/>
      </w:pPr>
      <w:r>
        <w:t>One Survey respondent stated that “twice as many students with a VET qualification are admitted each year to universities than those recorded as being admitted on the basis of their VET qualification” (R</w:t>
      </w:r>
      <w:r w:rsidRPr="00826421">
        <w:t>espondent</w:t>
      </w:r>
      <w:r>
        <w:t xml:space="preserve"> A</w:t>
      </w:r>
      <w:r w:rsidRPr="00826421">
        <w:t xml:space="preserve">). </w:t>
      </w:r>
      <w:r>
        <w:t>The explanation offered for this was that if an applicant has an Australian Tertiary Admission Rank (ATAR) as well as a VET qualification, they will be assessed on the basis of the ATAR first, and admitted on that basis if the ATAR is high enough. The VET qualification will only be used as a basis of admission if the ATAR is not sufficiently high to obtain entry. Another university respondent said that DEEWR required students with a “forced” offer (ie. An offer made to students with an ATAR under the published cut-off for the university) to be coded as “Other”, and that these students might otherwise have been admitted on the basis of their VET qualification (Respondent B</w:t>
      </w:r>
      <w:r w:rsidRPr="00826421">
        <w:t>).</w:t>
      </w:r>
      <w:r>
        <w:t xml:space="preserve">  </w:t>
      </w:r>
    </w:p>
    <w:p w:rsidR="004631F6" w:rsidRDefault="004631F6" w:rsidP="009E7F75">
      <w:pPr>
        <w:pStyle w:val="Text"/>
      </w:pPr>
      <w:r>
        <w:lastRenderedPageBreak/>
        <w:t xml:space="preserve">This information, while plausible, is not sufficient grounds to argue that the number of students admitted to universities on the basis of a VET award is under-reported. Given that in order to obtain an ATAR, however low, students must have completed a program of senior secondary study, the fact that they could also have completed a VET-award is irrelevant. By completing the requisite senior secondary studies to obtain an ATAR, such students have a right to seek admission to university as a senior secondary school completer. VET award-holders who have not completed a senior secondary program and do not have an ATAR are therefore correctly classified as students admitted on the basis of a VET award. Indeed, if students with low ATARs are subsequently admitted on the basis of a VET award (presumably at the Certificate level) by some universities, we could infer that the number of students admitted on the basis of a VET award is over-stated in these institutions’ data collections, as such students should really be treated as “forced offers” and recorded as “Other”. </w:t>
      </w:r>
    </w:p>
    <w:p w:rsidR="004631F6" w:rsidRDefault="004631F6" w:rsidP="009E7F75">
      <w:pPr>
        <w:pStyle w:val="Text"/>
      </w:pPr>
      <w:r>
        <w:t>S</w:t>
      </w:r>
      <w:r w:rsidRPr="00871290">
        <w:t xml:space="preserve">tudents admitted on the basis of a VET award rather than those who might hold VET qualifications concurrently with an ATAR </w:t>
      </w:r>
      <w:r>
        <w:t>are</w:t>
      </w:r>
      <w:r w:rsidRPr="00871290">
        <w:t xml:space="preserve"> </w:t>
      </w:r>
      <w:r>
        <w:t>the primary focus of</w:t>
      </w:r>
      <w:r w:rsidRPr="00871290">
        <w:t xml:space="preserve"> this study. </w:t>
      </w:r>
      <w:r>
        <w:t xml:space="preserve">A common issue raised by all research on VET-HE pathways is the observation that VET awards are not necessarily the best form of preparation for higher education studies because VET studies are designed to serve a different purpose, namely, preparation for specific occupations in the workplace. Research therefore suggests that VET award-holders admitted to higher education often need additional support, usually during their first year of study, to make a successful transition to completing an undergraduate degree </w:t>
      </w:r>
      <w:r w:rsidRPr="0022252B">
        <w:t>e (Catterall &amp; Davis, 2012).</w:t>
      </w:r>
      <w:r>
        <w:t xml:space="preserve"> Such support can be provided through articulated VET-HE programs, mapped sequential awards, or the provision of targeted academic skills support once at university. VET award-holders may also need additional mentoring and pastoral care to make a successful transition to higher education. While students admitted to university with a low ATAR or on another basis may also struggle to meet the academic demands of an undergraduate program, </w:t>
      </w:r>
      <w:r w:rsidRPr="006A4211">
        <w:t>the reasons for this outcome and the possible strategies to address it will be different</w:t>
      </w:r>
      <w:r>
        <w:t>.</w:t>
      </w:r>
      <w:r w:rsidRPr="006A4211">
        <w:t xml:space="preserve"> </w:t>
      </w:r>
      <w:r>
        <w:t xml:space="preserve">The tendency of some university administrators to conflate students from different pathways into a single “at risk” group, simply because they are likely to struggle during their first year of undergraduate study, suggests that the issues associated with VET-HE pathways in these universities are not well understood. </w:t>
      </w:r>
    </w:p>
    <w:p w:rsidR="004631F6" w:rsidRDefault="004631F6">
      <w:pPr>
        <w:spacing w:before="0" w:line="240" w:lineRule="auto"/>
      </w:pPr>
      <w:r>
        <w:br w:type="page"/>
      </w:r>
    </w:p>
    <w:p w:rsidR="004631F6" w:rsidRPr="005C2FCF" w:rsidRDefault="004631F6" w:rsidP="00377870">
      <w:pPr>
        <w:pStyle w:val="Heading1"/>
      </w:pPr>
      <w:bookmarkStart w:id="14" w:name="_Toc370995870"/>
      <w:r>
        <w:lastRenderedPageBreak/>
        <w:t>VET award-holders in Australian universities</w:t>
      </w:r>
      <w:bookmarkEnd w:id="14"/>
    </w:p>
    <w:p w:rsidR="004631F6" w:rsidRDefault="004631F6" w:rsidP="00377870">
      <w:pPr>
        <w:pStyle w:val="Text"/>
      </w:pPr>
      <w:r>
        <w:t xml:space="preserve">The number of domestic students admitted to Australian universities on the basis of a VET award has increased by 75 per cent over the past decade. In 2001, only 12,916 students were admitted to undergraduate programs on the basis of a VET award, compared to 22,676 in 2010. The number of students admitted on the basis of a VET award has increased more than any other basis of admission as shown in Table 1. </w:t>
      </w:r>
    </w:p>
    <w:p w:rsidR="004631F6" w:rsidRDefault="004631F6" w:rsidP="00377870">
      <w:pPr>
        <w:pStyle w:val="tabletitle"/>
      </w:pPr>
      <w:bookmarkStart w:id="15" w:name="_Toc370995910"/>
      <w:r>
        <w:t>Table 1</w:t>
      </w:r>
      <w:r>
        <w:tab/>
        <w:t>Commencing domestic undergraduate students by basis of admission, 2001 and 2010, Australia</w:t>
      </w:r>
      <w:bookmarkEnd w:id="15"/>
    </w:p>
    <w:tbl>
      <w:tblPr>
        <w:tblW w:w="0" w:type="auto"/>
        <w:tblInd w:w="108" w:type="dxa"/>
        <w:tblBorders>
          <w:top w:val="single" w:sz="4" w:space="0" w:color="auto"/>
          <w:bottom w:val="single" w:sz="4" w:space="0" w:color="auto"/>
        </w:tblBorders>
        <w:tblLayout w:type="fixed"/>
        <w:tblLook w:val="0000"/>
      </w:tblPr>
      <w:tblGrid>
        <w:gridCol w:w="2733"/>
        <w:gridCol w:w="669"/>
        <w:gridCol w:w="993"/>
        <w:gridCol w:w="708"/>
        <w:gridCol w:w="471"/>
        <w:gridCol w:w="522"/>
        <w:gridCol w:w="850"/>
        <w:gridCol w:w="48"/>
        <w:gridCol w:w="261"/>
        <w:gridCol w:w="1160"/>
      </w:tblGrid>
      <w:tr w:rsidR="004631F6" w:rsidTr="00E40147">
        <w:trPr>
          <w:cantSplit/>
        </w:trPr>
        <w:tc>
          <w:tcPr>
            <w:tcW w:w="2733" w:type="dxa"/>
            <w:tcBorders>
              <w:top w:val="single" w:sz="4" w:space="0" w:color="auto"/>
              <w:bottom w:val="nil"/>
              <w:right w:val="nil"/>
            </w:tcBorders>
          </w:tcPr>
          <w:p w:rsidR="004631F6" w:rsidRDefault="004631F6" w:rsidP="00E40147">
            <w:pPr>
              <w:pStyle w:val="Tablehead1"/>
            </w:pPr>
            <w:r>
              <w:t>Basis of admission</w:t>
            </w:r>
          </w:p>
        </w:tc>
        <w:tc>
          <w:tcPr>
            <w:tcW w:w="5682" w:type="dxa"/>
            <w:gridSpan w:val="9"/>
            <w:tcBorders>
              <w:top w:val="single" w:sz="4" w:space="0" w:color="auto"/>
              <w:left w:val="nil"/>
              <w:bottom w:val="nil"/>
            </w:tcBorders>
          </w:tcPr>
          <w:p w:rsidR="004631F6" w:rsidRDefault="004631F6" w:rsidP="00E40147">
            <w:pPr>
              <w:pStyle w:val="Tablehead1"/>
              <w:jc w:val="center"/>
            </w:pPr>
          </w:p>
        </w:tc>
      </w:tr>
      <w:tr w:rsidR="004631F6" w:rsidTr="00E40147">
        <w:trPr>
          <w:trHeight w:val="204"/>
        </w:trPr>
        <w:tc>
          <w:tcPr>
            <w:tcW w:w="2733" w:type="dxa"/>
            <w:tcBorders>
              <w:top w:val="nil"/>
              <w:bottom w:val="nil"/>
              <w:right w:val="nil"/>
            </w:tcBorders>
          </w:tcPr>
          <w:p w:rsidR="004631F6" w:rsidRDefault="004631F6" w:rsidP="00E40147">
            <w:pPr>
              <w:pStyle w:val="Tablehead2"/>
            </w:pPr>
          </w:p>
        </w:tc>
        <w:tc>
          <w:tcPr>
            <w:tcW w:w="2841" w:type="dxa"/>
            <w:gridSpan w:val="4"/>
            <w:tcBorders>
              <w:top w:val="nil"/>
              <w:left w:val="nil"/>
              <w:bottom w:val="nil"/>
              <w:right w:val="nil"/>
            </w:tcBorders>
          </w:tcPr>
          <w:p w:rsidR="004631F6" w:rsidRDefault="004631F6" w:rsidP="00E40147">
            <w:pPr>
              <w:pStyle w:val="Tablehead2"/>
              <w:jc w:val="center"/>
            </w:pPr>
            <w:r>
              <w:t>2001</w:t>
            </w:r>
          </w:p>
        </w:tc>
        <w:tc>
          <w:tcPr>
            <w:tcW w:w="1420" w:type="dxa"/>
            <w:gridSpan w:val="3"/>
            <w:tcBorders>
              <w:top w:val="nil"/>
              <w:left w:val="nil"/>
              <w:bottom w:val="nil"/>
            </w:tcBorders>
          </w:tcPr>
          <w:p w:rsidR="004631F6" w:rsidRDefault="004631F6" w:rsidP="00E40147">
            <w:pPr>
              <w:pStyle w:val="Tablehead2"/>
            </w:pPr>
            <w:r>
              <w:t>2010</w:t>
            </w:r>
          </w:p>
        </w:tc>
        <w:tc>
          <w:tcPr>
            <w:tcW w:w="1421" w:type="dxa"/>
            <w:gridSpan w:val="2"/>
            <w:tcBorders>
              <w:top w:val="nil"/>
              <w:left w:val="nil"/>
              <w:bottom w:val="nil"/>
            </w:tcBorders>
          </w:tcPr>
          <w:p w:rsidR="004631F6" w:rsidRDefault="004631F6" w:rsidP="00E40147">
            <w:pPr>
              <w:pStyle w:val="Tablehead2"/>
              <w:jc w:val="right"/>
            </w:pPr>
            <w:r>
              <w:t>2001 - 2010</w:t>
            </w:r>
          </w:p>
        </w:tc>
      </w:tr>
      <w:tr w:rsidR="004631F6" w:rsidTr="00E40147">
        <w:trPr>
          <w:cantSplit/>
        </w:trPr>
        <w:tc>
          <w:tcPr>
            <w:tcW w:w="3402" w:type="dxa"/>
            <w:gridSpan w:val="2"/>
            <w:tcBorders>
              <w:top w:val="nil"/>
              <w:bottom w:val="single" w:sz="4" w:space="0" w:color="auto"/>
              <w:right w:val="nil"/>
            </w:tcBorders>
          </w:tcPr>
          <w:p w:rsidR="004631F6" w:rsidRDefault="004631F6" w:rsidP="00E40147">
            <w:pPr>
              <w:pStyle w:val="Tablehead3"/>
            </w:pPr>
          </w:p>
        </w:tc>
        <w:tc>
          <w:tcPr>
            <w:tcW w:w="993" w:type="dxa"/>
            <w:tcBorders>
              <w:top w:val="nil"/>
              <w:left w:val="nil"/>
              <w:bottom w:val="single" w:sz="4" w:space="0" w:color="auto"/>
              <w:right w:val="nil"/>
            </w:tcBorders>
          </w:tcPr>
          <w:p w:rsidR="004631F6" w:rsidRDefault="004631F6" w:rsidP="00E40147">
            <w:pPr>
              <w:pStyle w:val="Tablehead3"/>
              <w:jc w:val="right"/>
            </w:pPr>
            <w:r>
              <w:t>Students</w:t>
            </w:r>
          </w:p>
        </w:tc>
        <w:tc>
          <w:tcPr>
            <w:tcW w:w="708" w:type="dxa"/>
            <w:tcBorders>
              <w:top w:val="nil"/>
              <w:left w:val="nil"/>
              <w:bottom w:val="single" w:sz="4" w:space="0" w:color="auto"/>
              <w:right w:val="nil"/>
            </w:tcBorders>
          </w:tcPr>
          <w:p w:rsidR="004631F6" w:rsidRDefault="004631F6" w:rsidP="00E40147">
            <w:pPr>
              <w:pStyle w:val="Tablehead3"/>
              <w:jc w:val="right"/>
            </w:pPr>
            <w:r>
              <w:t>%</w:t>
            </w:r>
          </w:p>
        </w:tc>
        <w:tc>
          <w:tcPr>
            <w:tcW w:w="993" w:type="dxa"/>
            <w:gridSpan w:val="2"/>
            <w:tcBorders>
              <w:top w:val="nil"/>
              <w:left w:val="nil"/>
              <w:bottom w:val="single" w:sz="4" w:space="0" w:color="auto"/>
              <w:right w:val="nil"/>
            </w:tcBorders>
          </w:tcPr>
          <w:p w:rsidR="004631F6" w:rsidRDefault="004631F6" w:rsidP="00E40147">
            <w:pPr>
              <w:pStyle w:val="Tablehead3"/>
              <w:jc w:val="right"/>
            </w:pPr>
            <w:r>
              <w:t>Students</w:t>
            </w:r>
          </w:p>
        </w:tc>
        <w:tc>
          <w:tcPr>
            <w:tcW w:w="850" w:type="dxa"/>
            <w:tcBorders>
              <w:top w:val="nil"/>
              <w:left w:val="nil"/>
              <w:bottom w:val="single" w:sz="4" w:space="0" w:color="auto"/>
            </w:tcBorders>
          </w:tcPr>
          <w:p w:rsidR="004631F6" w:rsidRDefault="004631F6" w:rsidP="00E40147">
            <w:pPr>
              <w:pStyle w:val="Tablehead3"/>
              <w:jc w:val="right"/>
            </w:pPr>
            <w:r>
              <w:t>%</w:t>
            </w:r>
          </w:p>
        </w:tc>
        <w:tc>
          <w:tcPr>
            <w:tcW w:w="1469" w:type="dxa"/>
            <w:gridSpan w:val="3"/>
            <w:tcBorders>
              <w:top w:val="nil"/>
              <w:left w:val="nil"/>
              <w:bottom w:val="single" w:sz="4" w:space="0" w:color="auto"/>
            </w:tcBorders>
          </w:tcPr>
          <w:p w:rsidR="004631F6" w:rsidRDefault="004631F6" w:rsidP="00E40147">
            <w:pPr>
              <w:pStyle w:val="Tablehead3"/>
              <w:jc w:val="right"/>
            </w:pPr>
            <w:r>
              <w:t>Change (%)</w:t>
            </w:r>
          </w:p>
        </w:tc>
      </w:tr>
      <w:tr w:rsidR="004631F6" w:rsidRPr="003E5792" w:rsidTr="00E40147">
        <w:trPr>
          <w:cantSplit/>
        </w:trPr>
        <w:tc>
          <w:tcPr>
            <w:tcW w:w="3402" w:type="dxa"/>
            <w:gridSpan w:val="2"/>
            <w:tcBorders>
              <w:top w:val="nil"/>
              <w:bottom w:val="nil"/>
              <w:right w:val="nil"/>
            </w:tcBorders>
          </w:tcPr>
          <w:p w:rsidR="004631F6" w:rsidRPr="003E5792" w:rsidRDefault="004631F6" w:rsidP="00E40147">
            <w:pPr>
              <w:pStyle w:val="Tabletext"/>
              <w:spacing w:before="60" w:after="60" w:line="276" w:lineRule="auto"/>
              <w:rPr>
                <w:rFonts w:cs="Arial"/>
                <w:szCs w:val="16"/>
              </w:rPr>
            </w:pPr>
            <w:r w:rsidRPr="003E5792">
              <w:rPr>
                <w:rFonts w:cs="Arial"/>
                <w:szCs w:val="16"/>
              </w:rPr>
              <w:t>HE course</w:t>
            </w:r>
          </w:p>
        </w:tc>
        <w:tc>
          <w:tcPr>
            <w:tcW w:w="993" w:type="dxa"/>
            <w:tcBorders>
              <w:top w:val="nil"/>
              <w:left w:val="nil"/>
              <w:bottom w:val="nil"/>
              <w:right w:val="nil"/>
            </w:tcBorders>
          </w:tcPr>
          <w:p w:rsidR="004631F6" w:rsidRPr="003E5792" w:rsidRDefault="004631F6" w:rsidP="00E40147">
            <w:pPr>
              <w:pStyle w:val="Tabletext"/>
              <w:tabs>
                <w:tab w:val="right" w:pos="703"/>
              </w:tabs>
              <w:spacing w:before="60" w:after="60" w:line="276" w:lineRule="auto"/>
              <w:jc w:val="right"/>
              <w:rPr>
                <w:rFonts w:cs="Arial"/>
                <w:szCs w:val="16"/>
              </w:rPr>
            </w:pPr>
            <w:r w:rsidRPr="003E5792">
              <w:rPr>
                <w:rFonts w:cs="Arial"/>
                <w:szCs w:val="16"/>
              </w:rPr>
              <w:t>41 785</w:t>
            </w:r>
          </w:p>
        </w:tc>
        <w:tc>
          <w:tcPr>
            <w:tcW w:w="708" w:type="dxa"/>
            <w:tcBorders>
              <w:top w:val="nil"/>
              <w:left w:val="nil"/>
              <w:bottom w:val="nil"/>
              <w:right w:val="nil"/>
            </w:tcBorders>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23.0</w:t>
            </w:r>
          </w:p>
        </w:tc>
        <w:tc>
          <w:tcPr>
            <w:tcW w:w="993" w:type="dxa"/>
            <w:gridSpan w:val="2"/>
            <w:tcBorders>
              <w:top w:val="nil"/>
              <w:left w:val="nil"/>
              <w:bottom w:val="nil"/>
              <w:right w:val="nil"/>
            </w:tcBorders>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53</w:t>
            </w:r>
            <w:r>
              <w:rPr>
                <w:rFonts w:ascii="Arial" w:hAnsi="Arial" w:cs="Arial"/>
                <w:color w:val="000000"/>
                <w:sz w:val="16"/>
                <w:szCs w:val="16"/>
              </w:rPr>
              <w:t xml:space="preserve"> </w:t>
            </w:r>
            <w:r w:rsidRPr="003E5792">
              <w:rPr>
                <w:rFonts w:ascii="Arial" w:hAnsi="Arial" w:cs="Arial"/>
                <w:color w:val="000000"/>
                <w:sz w:val="16"/>
                <w:szCs w:val="16"/>
              </w:rPr>
              <w:t>532</w:t>
            </w:r>
          </w:p>
        </w:tc>
        <w:tc>
          <w:tcPr>
            <w:tcW w:w="1159" w:type="dxa"/>
            <w:gridSpan w:val="3"/>
            <w:tcBorders>
              <w:top w:val="nil"/>
              <w:left w:val="nil"/>
            </w:tcBorders>
            <w:vAlign w:val="bottom"/>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24.2</w:t>
            </w:r>
          </w:p>
        </w:tc>
        <w:tc>
          <w:tcPr>
            <w:tcW w:w="1160" w:type="dxa"/>
            <w:tcBorders>
              <w:top w:val="nil"/>
              <w:left w:val="nil"/>
            </w:tcBorders>
            <w:vAlign w:val="bottom"/>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28.1</w:t>
            </w:r>
          </w:p>
        </w:tc>
      </w:tr>
      <w:tr w:rsidR="004631F6" w:rsidRPr="003E5792" w:rsidTr="00E40147">
        <w:trPr>
          <w:cantSplit/>
        </w:trPr>
        <w:tc>
          <w:tcPr>
            <w:tcW w:w="3402" w:type="dxa"/>
            <w:gridSpan w:val="2"/>
            <w:tcBorders>
              <w:top w:val="nil"/>
              <w:bottom w:val="nil"/>
              <w:right w:val="nil"/>
            </w:tcBorders>
          </w:tcPr>
          <w:p w:rsidR="004631F6" w:rsidRPr="003E5792" w:rsidRDefault="004631F6" w:rsidP="00E40147">
            <w:pPr>
              <w:pStyle w:val="Tabletext"/>
              <w:spacing w:before="60" w:after="60" w:line="276" w:lineRule="auto"/>
              <w:rPr>
                <w:rFonts w:cs="Arial"/>
                <w:szCs w:val="16"/>
              </w:rPr>
            </w:pPr>
            <w:r w:rsidRPr="003E5792">
              <w:rPr>
                <w:rFonts w:cs="Arial"/>
                <w:szCs w:val="16"/>
              </w:rPr>
              <w:t xml:space="preserve">Secondary School </w:t>
            </w:r>
          </w:p>
        </w:tc>
        <w:tc>
          <w:tcPr>
            <w:tcW w:w="993" w:type="dxa"/>
            <w:tcBorders>
              <w:top w:val="nil"/>
              <w:left w:val="nil"/>
              <w:bottom w:val="nil"/>
              <w:right w:val="nil"/>
            </w:tcBorders>
          </w:tcPr>
          <w:p w:rsidR="004631F6" w:rsidRPr="003E5792" w:rsidRDefault="004631F6" w:rsidP="00E40147">
            <w:pPr>
              <w:pStyle w:val="Tabletext"/>
              <w:tabs>
                <w:tab w:val="right" w:pos="703"/>
              </w:tabs>
              <w:spacing w:before="60" w:after="60" w:line="276" w:lineRule="auto"/>
              <w:jc w:val="right"/>
              <w:rPr>
                <w:rFonts w:cs="Arial"/>
                <w:szCs w:val="16"/>
              </w:rPr>
            </w:pPr>
            <w:r w:rsidRPr="003E5792">
              <w:rPr>
                <w:rFonts w:cs="Arial"/>
                <w:szCs w:val="16"/>
              </w:rPr>
              <w:t>83 388</w:t>
            </w:r>
          </w:p>
        </w:tc>
        <w:tc>
          <w:tcPr>
            <w:tcW w:w="708" w:type="dxa"/>
            <w:tcBorders>
              <w:top w:val="nil"/>
              <w:left w:val="nil"/>
              <w:bottom w:val="nil"/>
              <w:right w:val="nil"/>
            </w:tcBorders>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45.9</w:t>
            </w:r>
          </w:p>
        </w:tc>
        <w:tc>
          <w:tcPr>
            <w:tcW w:w="993" w:type="dxa"/>
            <w:gridSpan w:val="2"/>
            <w:tcBorders>
              <w:top w:val="nil"/>
              <w:left w:val="nil"/>
              <w:bottom w:val="nil"/>
              <w:right w:val="nil"/>
            </w:tcBorders>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99</w:t>
            </w:r>
            <w:r>
              <w:rPr>
                <w:rFonts w:ascii="Arial" w:hAnsi="Arial" w:cs="Arial"/>
                <w:color w:val="000000"/>
                <w:sz w:val="16"/>
                <w:szCs w:val="16"/>
              </w:rPr>
              <w:t xml:space="preserve"> </w:t>
            </w:r>
            <w:r w:rsidRPr="003E5792">
              <w:rPr>
                <w:rFonts w:ascii="Arial" w:hAnsi="Arial" w:cs="Arial"/>
                <w:color w:val="000000"/>
                <w:sz w:val="16"/>
                <w:szCs w:val="16"/>
              </w:rPr>
              <w:t>564</w:t>
            </w:r>
          </w:p>
        </w:tc>
        <w:tc>
          <w:tcPr>
            <w:tcW w:w="1159" w:type="dxa"/>
            <w:gridSpan w:val="3"/>
            <w:tcBorders>
              <w:left w:val="nil"/>
            </w:tcBorders>
            <w:vAlign w:val="bottom"/>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44.9</w:t>
            </w:r>
          </w:p>
        </w:tc>
        <w:tc>
          <w:tcPr>
            <w:tcW w:w="1160" w:type="dxa"/>
            <w:tcBorders>
              <w:left w:val="nil"/>
            </w:tcBorders>
            <w:vAlign w:val="bottom"/>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19.4</w:t>
            </w:r>
          </w:p>
        </w:tc>
      </w:tr>
      <w:tr w:rsidR="004631F6" w:rsidRPr="003E5792" w:rsidTr="00E40147">
        <w:trPr>
          <w:cantSplit/>
        </w:trPr>
        <w:tc>
          <w:tcPr>
            <w:tcW w:w="3402" w:type="dxa"/>
            <w:gridSpan w:val="2"/>
            <w:tcBorders>
              <w:top w:val="nil"/>
              <w:bottom w:val="nil"/>
              <w:right w:val="nil"/>
            </w:tcBorders>
          </w:tcPr>
          <w:p w:rsidR="004631F6" w:rsidRPr="003E5792" w:rsidRDefault="004631F6" w:rsidP="00E40147">
            <w:pPr>
              <w:pStyle w:val="Tabletext"/>
              <w:spacing w:before="60" w:after="60" w:line="276" w:lineRule="auto"/>
              <w:rPr>
                <w:rFonts w:cs="Arial"/>
                <w:szCs w:val="16"/>
              </w:rPr>
            </w:pPr>
            <w:r w:rsidRPr="003E5792">
              <w:rPr>
                <w:rFonts w:cs="Arial"/>
                <w:szCs w:val="16"/>
              </w:rPr>
              <w:t>VET award</w:t>
            </w:r>
          </w:p>
        </w:tc>
        <w:tc>
          <w:tcPr>
            <w:tcW w:w="993" w:type="dxa"/>
            <w:tcBorders>
              <w:top w:val="nil"/>
              <w:left w:val="nil"/>
              <w:bottom w:val="nil"/>
              <w:right w:val="nil"/>
            </w:tcBorders>
          </w:tcPr>
          <w:p w:rsidR="004631F6" w:rsidRPr="003E5792" w:rsidRDefault="004631F6" w:rsidP="00E40147">
            <w:pPr>
              <w:pStyle w:val="Tabletext"/>
              <w:tabs>
                <w:tab w:val="right" w:pos="703"/>
              </w:tabs>
              <w:spacing w:before="60" w:after="60" w:line="276" w:lineRule="auto"/>
              <w:jc w:val="right"/>
              <w:rPr>
                <w:rFonts w:cs="Arial"/>
                <w:szCs w:val="16"/>
              </w:rPr>
            </w:pPr>
            <w:r w:rsidRPr="003E5792">
              <w:rPr>
                <w:rFonts w:cs="Arial"/>
                <w:szCs w:val="16"/>
              </w:rPr>
              <w:t>12 916</w:t>
            </w:r>
          </w:p>
        </w:tc>
        <w:tc>
          <w:tcPr>
            <w:tcW w:w="708" w:type="dxa"/>
            <w:tcBorders>
              <w:top w:val="nil"/>
              <w:left w:val="nil"/>
              <w:bottom w:val="nil"/>
              <w:right w:val="nil"/>
            </w:tcBorders>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7.1</w:t>
            </w:r>
          </w:p>
        </w:tc>
        <w:tc>
          <w:tcPr>
            <w:tcW w:w="993" w:type="dxa"/>
            <w:gridSpan w:val="2"/>
            <w:tcBorders>
              <w:top w:val="nil"/>
              <w:left w:val="nil"/>
              <w:bottom w:val="nil"/>
              <w:right w:val="nil"/>
            </w:tcBorders>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22</w:t>
            </w:r>
            <w:r>
              <w:rPr>
                <w:rFonts w:ascii="Arial" w:hAnsi="Arial" w:cs="Arial"/>
                <w:color w:val="000000"/>
                <w:sz w:val="16"/>
                <w:szCs w:val="16"/>
              </w:rPr>
              <w:t xml:space="preserve"> </w:t>
            </w:r>
            <w:r w:rsidRPr="003E5792">
              <w:rPr>
                <w:rFonts w:ascii="Arial" w:hAnsi="Arial" w:cs="Arial"/>
                <w:color w:val="000000"/>
                <w:sz w:val="16"/>
                <w:szCs w:val="16"/>
              </w:rPr>
              <w:t>676</w:t>
            </w:r>
          </w:p>
        </w:tc>
        <w:tc>
          <w:tcPr>
            <w:tcW w:w="1159" w:type="dxa"/>
            <w:gridSpan w:val="3"/>
            <w:tcBorders>
              <w:left w:val="nil"/>
            </w:tcBorders>
            <w:vAlign w:val="bottom"/>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10.2</w:t>
            </w:r>
          </w:p>
        </w:tc>
        <w:tc>
          <w:tcPr>
            <w:tcW w:w="1160" w:type="dxa"/>
            <w:tcBorders>
              <w:left w:val="nil"/>
            </w:tcBorders>
            <w:vAlign w:val="bottom"/>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75.6</w:t>
            </w:r>
          </w:p>
        </w:tc>
      </w:tr>
      <w:tr w:rsidR="004631F6" w:rsidRPr="003E5792" w:rsidTr="00E40147">
        <w:trPr>
          <w:cantSplit/>
        </w:trPr>
        <w:tc>
          <w:tcPr>
            <w:tcW w:w="3402" w:type="dxa"/>
            <w:gridSpan w:val="2"/>
            <w:tcBorders>
              <w:top w:val="nil"/>
              <w:bottom w:val="nil"/>
              <w:right w:val="nil"/>
            </w:tcBorders>
          </w:tcPr>
          <w:p w:rsidR="004631F6" w:rsidRPr="003E5792" w:rsidRDefault="004631F6" w:rsidP="00E40147">
            <w:pPr>
              <w:pStyle w:val="Tabletext"/>
              <w:spacing w:before="60" w:after="60" w:line="276" w:lineRule="auto"/>
              <w:rPr>
                <w:rFonts w:cs="Arial"/>
                <w:szCs w:val="16"/>
              </w:rPr>
            </w:pPr>
            <w:r w:rsidRPr="003E5792">
              <w:rPr>
                <w:rFonts w:cs="Arial"/>
                <w:szCs w:val="16"/>
              </w:rPr>
              <w:t xml:space="preserve"> Other </w:t>
            </w:r>
          </w:p>
        </w:tc>
        <w:tc>
          <w:tcPr>
            <w:tcW w:w="993" w:type="dxa"/>
            <w:tcBorders>
              <w:top w:val="nil"/>
              <w:left w:val="nil"/>
              <w:bottom w:val="nil"/>
              <w:right w:val="nil"/>
            </w:tcBorders>
          </w:tcPr>
          <w:p w:rsidR="004631F6" w:rsidRPr="003E5792" w:rsidRDefault="004631F6" w:rsidP="00E40147">
            <w:pPr>
              <w:pStyle w:val="Tabletext"/>
              <w:tabs>
                <w:tab w:val="right" w:pos="703"/>
              </w:tabs>
              <w:spacing w:before="60" w:after="60" w:line="276" w:lineRule="auto"/>
              <w:jc w:val="right"/>
              <w:rPr>
                <w:rFonts w:cs="Arial"/>
                <w:szCs w:val="16"/>
              </w:rPr>
            </w:pPr>
            <w:r w:rsidRPr="003E5792">
              <w:rPr>
                <w:rFonts w:cs="Arial"/>
                <w:szCs w:val="16"/>
              </w:rPr>
              <w:t>43 555</w:t>
            </w:r>
          </w:p>
        </w:tc>
        <w:tc>
          <w:tcPr>
            <w:tcW w:w="708" w:type="dxa"/>
            <w:tcBorders>
              <w:top w:val="nil"/>
              <w:left w:val="nil"/>
              <w:bottom w:val="nil"/>
              <w:right w:val="nil"/>
            </w:tcBorders>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24.0</w:t>
            </w:r>
          </w:p>
        </w:tc>
        <w:tc>
          <w:tcPr>
            <w:tcW w:w="993" w:type="dxa"/>
            <w:gridSpan w:val="2"/>
            <w:tcBorders>
              <w:top w:val="nil"/>
              <w:left w:val="nil"/>
              <w:bottom w:val="nil"/>
              <w:right w:val="nil"/>
            </w:tcBorders>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45</w:t>
            </w:r>
            <w:r>
              <w:rPr>
                <w:rFonts w:ascii="Arial" w:hAnsi="Arial" w:cs="Arial"/>
                <w:color w:val="000000"/>
                <w:sz w:val="16"/>
                <w:szCs w:val="16"/>
              </w:rPr>
              <w:t xml:space="preserve"> </w:t>
            </w:r>
            <w:r w:rsidRPr="003E5792">
              <w:rPr>
                <w:rFonts w:ascii="Arial" w:hAnsi="Arial" w:cs="Arial"/>
                <w:color w:val="000000"/>
                <w:sz w:val="16"/>
                <w:szCs w:val="16"/>
              </w:rPr>
              <w:t>799</w:t>
            </w:r>
          </w:p>
        </w:tc>
        <w:tc>
          <w:tcPr>
            <w:tcW w:w="1159" w:type="dxa"/>
            <w:gridSpan w:val="3"/>
            <w:tcBorders>
              <w:left w:val="nil"/>
              <w:bottom w:val="nil"/>
            </w:tcBorders>
            <w:vAlign w:val="bottom"/>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20.7</w:t>
            </w:r>
          </w:p>
        </w:tc>
        <w:tc>
          <w:tcPr>
            <w:tcW w:w="1160" w:type="dxa"/>
            <w:tcBorders>
              <w:left w:val="nil"/>
              <w:bottom w:val="nil"/>
            </w:tcBorders>
            <w:vAlign w:val="bottom"/>
          </w:tcPr>
          <w:p w:rsidR="004631F6" w:rsidRPr="003E5792" w:rsidRDefault="004631F6" w:rsidP="00E40147">
            <w:pPr>
              <w:spacing w:before="60" w:after="60" w:line="276" w:lineRule="auto"/>
              <w:jc w:val="right"/>
              <w:rPr>
                <w:rFonts w:ascii="Arial" w:hAnsi="Arial" w:cs="Arial"/>
                <w:color w:val="000000"/>
                <w:sz w:val="16"/>
                <w:szCs w:val="16"/>
              </w:rPr>
            </w:pPr>
            <w:r w:rsidRPr="003E5792">
              <w:rPr>
                <w:rFonts w:ascii="Arial" w:hAnsi="Arial" w:cs="Arial"/>
                <w:color w:val="000000"/>
                <w:sz w:val="16"/>
                <w:szCs w:val="16"/>
              </w:rPr>
              <w:t>5.2</w:t>
            </w:r>
          </w:p>
        </w:tc>
      </w:tr>
      <w:tr w:rsidR="004631F6" w:rsidRPr="003E5792" w:rsidTr="00E40147">
        <w:trPr>
          <w:cantSplit/>
        </w:trPr>
        <w:tc>
          <w:tcPr>
            <w:tcW w:w="3402" w:type="dxa"/>
            <w:gridSpan w:val="2"/>
            <w:tcBorders>
              <w:top w:val="nil"/>
              <w:bottom w:val="single" w:sz="4" w:space="0" w:color="auto"/>
              <w:right w:val="nil"/>
            </w:tcBorders>
          </w:tcPr>
          <w:p w:rsidR="004631F6" w:rsidRPr="003E5792" w:rsidRDefault="004631F6" w:rsidP="00E40147">
            <w:pPr>
              <w:pStyle w:val="Tabletext"/>
              <w:spacing w:before="60" w:after="60" w:line="276" w:lineRule="auto"/>
              <w:rPr>
                <w:rFonts w:cs="Arial"/>
                <w:b/>
                <w:szCs w:val="16"/>
              </w:rPr>
            </w:pPr>
            <w:r w:rsidRPr="003E5792">
              <w:rPr>
                <w:rFonts w:cs="Arial"/>
                <w:b/>
                <w:szCs w:val="16"/>
              </w:rPr>
              <w:t>All students</w:t>
            </w:r>
          </w:p>
        </w:tc>
        <w:tc>
          <w:tcPr>
            <w:tcW w:w="993" w:type="dxa"/>
            <w:tcBorders>
              <w:top w:val="nil"/>
              <w:left w:val="nil"/>
              <w:bottom w:val="single" w:sz="4" w:space="0" w:color="auto"/>
              <w:right w:val="nil"/>
            </w:tcBorders>
          </w:tcPr>
          <w:p w:rsidR="004631F6" w:rsidRPr="003E5792" w:rsidRDefault="004631F6" w:rsidP="00E40147">
            <w:pPr>
              <w:pStyle w:val="Tabletext"/>
              <w:tabs>
                <w:tab w:val="right" w:pos="703"/>
              </w:tabs>
              <w:spacing w:before="60" w:after="60" w:line="276" w:lineRule="auto"/>
              <w:jc w:val="right"/>
              <w:rPr>
                <w:rFonts w:cs="Arial"/>
                <w:b/>
                <w:szCs w:val="16"/>
              </w:rPr>
            </w:pPr>
            <w:r w:rsidRPr="003E5792">
              <w:rPr>
                <w:rFonts w:cs="Arial"/>
                <w:b/>
                <w:szCs w:val="16"/>
              </w:rPr>
              <w:t>181 644</w:t>
            </w:r>
          </w:p>
        </w:tc>
        <w:tc>
          <w:tcPr>
            <w:tcW w:w="708" w:type="dxa"/>
            <w:tcBorders>
              <w:top w:val="nil"/>
              <w:left w:val="nil"/>
              <w:bottom w:val="single" w:sz="4" w:space="0" w:color="auto"/>
              <w:right w:val="nil"/>
            </w:tcBorders>
          </w:tcPr>
          <w:p w:rsidR="004631F6" w:rsidRPr="003E5792" w:rsidRDefault="004631F6" w:rsidP="00E40147">
            <w:pPr>
              <w:spacing w:before="60" w:after="60" w:line="276" w:lineRule="auto"/>
              <w:jc w:val="right"/>
              <w:rPr>
                <w:rFonts w:ascii="Arial" w:hAnsi="Arial" w:cs="Arial"/>
                <w:b/>
                <w:color w:val="000000"/>
                <w:sz w:val="16"/>
                <w:szCs w:val="16"/>
              </w:rPr>
            </w:pPr>
            <w:r w:rsidRPr="003E5792">
              <w:rPr>
                <w:rFonts w:ascii="Arial" w:hAnsi="Arial" w:cs="Arial"/>
                <w:b/>
                <w:color w:val="000000"/>
                <w:sz w:val="16"/>
                <w:szCs w:val="16"/>
              </w:rPr>
              <w:t>100.0</w:t>
            </w:r>
          </w:p>
        </w:tc>
        <w:tc>
          <w:tcPr>
            <w:tcW w:w="993" w:type="dxa"/>
            <w:gridSpan w:val="2"/>
            <w:tcBorders>
              <w:top w:val="nil"/>
              <w:left w:val="nil"/>
              <w:bottom w:val="single" w:sz="4" w:space="0" w:color="auto"/>
              <w:right w:val="nil"/>
            </w:tcBorders>
          </w:tcPr>
          <w:p w:rsidR="004631F6" w:rsidRPr="003E5792" w:rsidRDefault="004631F6" w:rsidP="00E40147">
            <w:pPr>
              <w:spacing w:before="60" w:after="60" w:line="276" w:lineRule="auto"/>
              <w:jc w:val="right"/>
              <w:rPr>
                <w:rFonts w:ascii="Arial" w:hAnsi="Arial" w:cs="Arial"/>
                <w:b/>
                <w:color w:val="000000"/>
                <w:sz w:val="16"/>
                <w:szCs w:val="16"/>
              </w:rPr>
            </w:pPr>
            <w:r w:rsidRPr="003E5792">
              <w:rPr>
                <w:rFonts w:ascii="Arial" w:hAnsi="Arial" w:cs="Arial"/>
                <w:b/>
                <w:color w:val="000000"/>
                <w:sz w:val="16"/>
                <w:szCs w:val="16"/>
              </w:rPr>
              <w:t>221</w:t>
            </w:r>
            <w:r>
              <w:rPr>
                <w:rFonts w:ascii="Arial" w:hAnsi="Arial" w:cs="Arial"/>
                <w:b/>
                <w:color w:val="000000"/>
                <w:sz w:val="16"/>
                <w:szCs w:val="16"/>
              </w:rPr>
              <w:t xml:space="preserve"> </w:t>
            </w:r>
            <w:r w:rsidRPr="003E5792">
              <w:rPr>
                <w:rFonts w:ascii="Arial" w:hAnsi="Arial" w:cs="Arial"/>
                <w:b/>
                <w:color w:val="000000"/>
                <w:sz w:val="16"/>
                <w:szCs w:val="16"/>
              </w:rPr>
              <w:t>571</w:t>
            </w:r>
          </w:p>
        </w:tc>
        <w:tc>
          <w:tcPr>
            <w:tcW w:w="1159" w:type="dxa"/>
            <w:gridSpan w:val="3"/>
            <w:tcBorders>
              <w:top w:val="nil"/>
              <w:left w:val="nil"/>
              <w:bottom w:val="single" w:sz="4" w:space="0" w:color="auto"/>
            </w:tcBorders>
            <w:vAlign w:val="bottom"/>
          </w:tcPr>
          <w:p w:rsidR="004631F6" w:rsidRPr="003E5792" w:rsidRDefault="004631F6" w:rsidP="00E40147">
            <w:pPr>
              <w:spacing w:before="60" w:after="60" w:line="276" w:lineRule="auto"/>
              <w:jc w:val="right"/>
              <w:rPr>
                <w:rFonts w:ascii="Arial" w:hAnsi="Arial" w:cs="Arial"/>
                <w:b/>
                <w:color w:val="000000"/>
                <w:sz w:val="16"/>
                <w:szCs w:val="16"/>
              </w:rPr>
            </w:pPr>
            <w:r w:rsidRPr="003E5792">
              <w:rPr>
                <w:rFonts w:ascii="Arial" w:hAnsi="Arial" w:cs="Arial"/>
                <w:b/>
                <w:color w:val="000000"/>
                <w:sz w:val="16"/>
                <w:szCs w:val="16"/>
              </w:rPr>
              <w:t>100.0</w:t>
            </w:r>
          </w:p>
        </w:tc>
        <w:tc>
          <w:tcPr>
            <w:tcW w:w="1160" w:type="dxa"/>
            <w:tcBorders>
              <w:top w:val="nil"/>
              <w:left w:val="nil"/>
              <w:bottom w:val="single" w:sz="4" w:space="0" w:color="auto"/>
            </w:tcBorders>
            <w:vAlign w:val="bottom"/>
          </w:tcPr>
          <w:p w:rsidR="004631F6" w:rsidRPr="003E5792" w:rsidRDefault="004631F6" w:rsidP="00E40147">
            <w:pPr>
              <w:spacing w:before="60" w:after="60" w:line="276" w:lineRule="auto"/>
              <w:jc w:val="right"/>
              <w:rPr>
                <w:rFonts w:ascii="Arial" w:hAnsi="Arial" w:cs="Arial"/>
                <w:b/>
                <w:color w:val="000000"/>
                <w:sz w:val="16"/>
                <w:szCs w:val="16"/>
              </w:rPr>
            </w:pPr>
            <w:r w:rsidRPr="003E5792">
              <w:rPr>
                <w:rFonts w:ascii="Arial" w:hAnsi="Arial" w:cs="Arial"/>
                <w:b/>
                <w:color w:val="000000"/>
                <w:sz w:val="16"/>
                <w:szCs w:val="16"/>
              </w:rPr>
              <w:t>22.0</w:t>
            </w:r>
          </w:p>
        </w:tc>
      </w:tr>
    </w:tbl>
    <w:p w:rsidR="004631F6" w:rsidRDefault="004631F6" w:rsidP="00377870">
      <w:pPr>
        <w:pStyle w:val="Source"/>
      </w:pPr>
      <w:r>
        <w:t>Notes:</w:t>
      </w:r>
      <w:r>
        <w:tab/>
        <w:t>‘Commencing students includes students admitted to undergraduate, enabling and non-award programs. “Other ” includes Mature age, professional qualification, other basis and unknown</w:t>
      </w:r>
    </w:p>
    <w:p w:rsidR="004631F6" w:rsidRDefault="004631F6" w:rsidP="00377870">
      <w:pPr>
        <w:pStyle w:val="Source"/>
      </w:pPr>
      <w:r>
        <w:t>Source:</w:t>
      </w:r>
      <w:r>
        <w:tab/>
        <w:t>‘Higher Education Statistics Collection (published and unpublished data).</w:t>
      </w:r>
    </w:p>
    <w:p w:rsidR="004631F6" w:rsidRDefault="004631F6" w:rsidP="00377870">
      <w:pPr>
        <w:pStyle w:val="Text"/>
      </w:pPr>
      <w:r>
        <w:t>In total, o</w:t>
      </w:r>
      <w:r w:rsidRPr="004164A0">
        <w:t xml:space="preserve">ver 30,000 students are admitted to Australian universities on the basis of holding a VET award, and one quarter of them (7,450 students) are from overseas.  Students admitted on the basis of a VET award now comprise </w:t>
      </w:r>
      <w:r>
        <w:t>9.5</w:t>
      </w:r>
      <w:r w:rsidRPr="004164A0">
        <w:t xml:space="preserve"> per cent of all commencing students at the undergraduate level</w:t>
      </w:r>
      <w:r>
        <w:t xml:space="preserve"> </w:t>
      </w:r>
      <w:r w:rsidRPr="000E0946">
        <w:t>(both domestic and overseas)</w:t>
      </w:r>
      <w:r w:rsidRPr="004164A0">
        <w:t xml:space="preserve">. </w:t>
      </w:r>
    </w:p>
    <w:p w:rsidR="004631F6" w:rsidRDefault="004631F6" w:rsidP="00377870">
      <w:pPr>
        <w:pStyle w:val="Heading2"/>
      </w:pPr>
      <w:bookmarkStart w:id="16" w:name="_Toc370995871"/>
      <w:r>
        <w:t>Differences between states and territories</w:t>
      </w:r>
      <w:bookmarkEnd w:id="16"/>
    </w:p>
    <w:p w:rsidR="004631F6" w:rsidRDefault="004631F6" w:rsidP="00377870">
      <w:pPr>
        <w:pStyle w:val="Text"/>
      </w:pPr>
      <w:r>
        <w:t>In some states a higher proportion of students are admitted to university on the basis of a VET award than in others. The rate at which students are admitted to higher education on the basis of a VET award differs between states and territories:</w:t>
      </w:r>
    </w:p>
    <w:p w:rsidR="004631F6" w:rsidRDefault="004631F6" w:rsidP="00896F26">
      <w:pPr>
        <w:pStyle w:val="Text"/>
        <w:numPr>
          <w:ilvl w:val="0"/>
          <w:numId w:val="48"/>
        </w:numPr>
      </w:pPr>
      <w:r>
        <w:t>In New South Wales, 10.2 per cent of 91,852 commencing students in 2010 were admitted on the basis of a VET award;</w:t>
      </w:r>
    </w:p>
    <w:p w:rsidR="004631F6" w:rsidRDefault="004631F6" w:rsidP="00896F26">
      <w:pPr>
        <w:pStyle w:val="Text"/>
        <w:numPr>
          <w:ilvl w:val="0"/>
          <w:numId w:val="48"/>
        </w:numPr>
      </w:pPr>
      <w:r w:rsidRPr="00471DCC">
        <w:t xml:space="preserve">In </w:t>
      </w:r>
      <w:r>
        <w:t>Victoria</w:t>
      </w:r>
      <w:r w:rsidRPr="00471DCC">
        <w:t xml:space="preserve">, 13.2 per cent of </w:t>
      </w:r>
      <w:r>
        <w:t>72</w:t>
      </w:r>
      <w:r w:rsidRPr="00471DCC">
        <w:t>,</w:t>
      </w:r>
      <w:r>
        <w:t>203</w:t>
      </w:r>
      <w:r w:rsidRPr="00471DCC">
        <w:t xml:space="preserve"> commencing students in 2010 were admitted on the basis of a VET award;</w:t>
      </w:r>
    </w:p>
    <w:p w:rsidR="004631F6" w:rsidRDefault="004631F6" w:rsidP="00896F26">
      <w:pPr>
        <w:pStyle w:val="Text"/>
        <w:numPr>
          <w:ilvl w:val="0"/>
          <w:numId w:val="48"/>
        </w:numPr>
      </w:pPr>
      <w:r>
        <w:t>In Queensland, only 6.8 per cent of 60,304 commencing students in 2010 were admitted on the basis of a VET award;</w:t>
      </w:r>
    </w:p>
    <w:p w:rsidR="004631F6" w:rsidRDefault="004631F6" w:rsidP="00896F26">
      <w:pPr>
        <w:pStyle w:val="Text"/>
        <w:numPr>
          <w:ilvl w:val="0"/>
          <w:numId w:val="48"/>
        </w:numPr>
      </w:pPr>
      <w:r>
        <w:t>In Western Australia, only 7.6 per cent of 32,347 commencing students in 2010 were admitted on the basis of a VET award;</w:t>
      </w:r>
    </w:p>
    <w:p w:rsidR="004631F6" w:rsidRDefault="004631F6" w:rsidP="00896F26">
      <w:pPr>
        <w:pStyle w:val="Text"/>
        <w:numPr>
          <w:ilvl w:val="0"/>
          <w:numId w:val="48"/>
        </w:numPr>
      </w:pPr>
      <w:r>
        <w:t>In South Australia, only 8.0 per cent of 19,525 commencing students in 2010 were admitted on the basis of a VET award;</w:t>
      </w:r>
    </w:p>
    <w:p w:rsidR="004631F6" w:rsidRDefault="004631F6" w:rsidP="00896F26">
      <w:pPr>
        <w:pStyle w:val="Text"/>
        <w:numPr>
          <w:ilvl w:val="0"/>
          <w:numId w:val="48"/>
        </w:numPr>
      </w:pPr>
      <w:r>
        <w:lastRenderedPageBreak/>
        <w:t>In Tasmania, the University of Tasmania admitted 11.3 per cent of its 8,341 commencing students in 2010 on the basis of a VET award;</w:t>
      </w:r>
    </w:p>
    <w:p w:rsidR="004631F6" w:rsidRDefault="004631F6" w:rsidP="00896F26">
      <w:pPr>
        <w:pStyle w:val="Text"/>
        <w:numPr>
          <w:ilvl w:val="0"/>
          <w:numId w:val="48"/>
        </w:numPr>
      </w:pPr>
      <w:r>
        <w:t>In the Australian Capital Territory, 10.5 per cent of 8,149 commencing students in 2010 were admitted on the basis of a VET award;</w:t>
      </w:r>
    </w:p>
    <w:p w:rsidR="004631F6" w:rsidRDefault="004631F6" w:rsidP="00896F26">
      <w:pPr>
        <w:pStyle w:val="Text"/>
        <w:numPr>
          <w:ilvl w:val="0"/>
          <w:numId w:val="48"/>
        </w:numPr>
      </w:pPr>
      <w:r>
        <w:t xml:space="preserve">In the Northern Territory, 12.1 per cent of 3,055 commencing students in 2010 were admitted on the basis of a VET award; and </w:t>
      </w:r>
    </w:p>
    <w:p w:rsidR="004631F6" w:rsidRDefault="004631F6" w:rsidP="00896F26">
      <w:pPr>
        <w:pStyle w:val="Text"/>
        <w:numPr>
          <w:ilvl w:val="0"/>
          <w:numId w:val="48"/>
        </w:numPr>
      </w:pPr>
      <w:r>
        <w:t>Nationally, the Australian Catholic University (ACU) admitted 10.7</w:t>
      </w:r>
      <w:r w:rsidRPr="00896F26">
        <w:t xml:space="preserve"> per cent of </w:t>
      </w:r>
      <w:r>
        <w:t>its 6,520</w:t>
      </w:r>
      <w:r w:rsidRPr="00896F26">
        <w:t xml:space="preserve"> commencing students in 2010 on the basis of a VET award</w:t>
      </w:r>
      <w:r>
        <w:t>.</w:t>
      </w:r>
    </w:p>
    <w:p w:rsidR="004631F6" w:rsidRDefault="004631F6" w:rsidP="00B61846">
      <w:pPr>
        <w:pStyle w:val="Text"/>
        <w:rPr>
          <w:rFonts w:ascii="Tahoma" w:hAnsi="Tahoma"/>
          <w:b/>
          <w:sz w:val="17"/>
        </w:rPr>
      </w:pPr>
      <w:r>
        <w:t xml:space="preserve">These differences in admission rates mean that the proportion of total VET award-holders admitted to higher education compared to the proportion of total higher education students varies between </w:t>
      </w:r>
      <w:r w:rsidRPr="00A32529">
        <w:t>jurisdiction</w:t>
      </w:r>
      <w:r>
        <w:t>s.  As shown in Figure 1, Victorian universities have a higher share (</w:t>
      </w:r>
      <w:r w:rsidRPr="000E0946">
        <w:t>32</w:t>
      </w:r>
      <w:r>
        <w:t>%)</w:t>
      </w:r>
      <w:r w:rsidRPr="000E0946">
        <w:t xml:space="preserve"> </w:t>
      </w:r>
      <w:r>
        <w:t xml:space="preserve">of all students admitted to higher education on the basis of a VET award than their share of total undergraduate commencements (24%). Queensland universities, in contrast, account for only 14 per cent of VET award-holders compared to their share of 20 per cent of all undergraduate commencements. </w:t>
      </w:r>
    </w:p>
    <w:p w:rsidR="004631F6" w:rsidRDefault="004631F6" w:rsidP="00377870">
      <w:pPr>
        <w:pStyle w:val="Figuretitle"/>
      </w:pPr>
      <w:bookmarkStart w:id="17" w:name="_Toc370995936"/>
      <w:r>
        <w:t>Figure 1</w:t>
      </w:r>
      <w:r w:rsidRPr="00F55C0F">
        <w:tab/>
        <w:t xml:space="preserve">Students admitted to university on the basis of a VET award and all students by </w:t>
      </w:r>
      <w:r>
        <w:t>jurisdiction (domestic and overseas)</w:t>
      </w:r>
      <w:r w:rsidRPr="00F55C0F">
        <w:t>, Australia 2010</w:t>
      </w:r>
      <w:bookmarkEnd w:id="17"/>
    </w:p>
    <w:p w:rsidR="004631F6" w:rsidRDefault="004631F6" w:rsidP="00377870">
      <w:pPr>
        <w:pStyle w:val="Heading2"/>
      </w:pPr>
      <w:r w:rsidRPr="00FB0831">
        <w:rPr>
          <w:noProof/>
          <w:lang w:eastAsia="en-AU"/>
        </w:rPr>
        <w:drawing>
          <wp:inline distT="0" distB="0" distL="0" distR="0">
            <wp:extent cx="4324350" cy="208915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31F6" w:rsidRPr="00407C66" w:rsidRDefault="004631F6" w:rsidP="00407C66">
      <w:pPr>
        <w:rPr>
          <w:rFonts w:ascii="Arial" w:hAnsi="Arial" w:cs="Arial"/>
          <w:sz w:val="15"/>
          <w:szCs w:val="15"/>
        </w:rPr>
      </w:pPr>
      <w:r w:rsidRPr="00407C66">
        <w:rPr>
          <w:rFonts w:ascii="Arial" w:hAnsi="Arial" w:cs="Arial"/>
          <w:sz w:val="15"/>
          <w:szCs w:val="15"/>
        </w:rPr>
        <w:t>Source: DEEWR (2010) Higher Education Statistics Collection. Unpublished data</w:t>
      </w:r>
    </w:p>
    <w:p w:rsidR="004631F6" w:rsidRDefault="004631F6" w:rsidP="00377870">
      <w:pPr>
        <w:pStyle w:val="Heading2"/>
      </w:pPr>
      <w:bookmarkStart w:id="18" w:name="_Toc370995872"/>
      <w:r>
        <w:t>Distribution of VET award-holders between universities</w:t>
      </w:r>
      <w:bookmarkEnd w:id="18"/>
    </w:p>
    <w:p w:rsidR="004631F6" w:rsidRDefault="004631F6" w:rsidP="00377870">
      <w:pPr>
        <w:pStyle w:val="Text"/>
      </w:pPr>
      <w:r>
        <w:t>While 37 publicly funded Australian universities</w:t>
      </w:r>
      <w:r>
        <w:rPr>
          <w:rStyle w:val="FootnoteReference"/>
        </w:rPr>
        <w:footnoteReference w:id="1"/>
      </w:r>
      <w:r>
        <w:t xml:space="preserve"> admit students on the basis of a VET- award, their share of VET award-holders admitted to undergraduate programs in higher education varies. For example, three institutions - Charles Sturt University, RMIT University and the University of Western Sydney- account for over 28 per cent of total undergraduate enrolments of students admitted on the basis of a VET award. Over two-thirds of VET award-holders commencing higher education courses in Australia are enrolled in 12 universities.</w:t>
      </w:r>
      <w:r>
        <w:rPr>
          <w:rStyle w:val="FootnoteReference"/>
        </w:rPr>
        <w:footnoteReference w:id="2"/>
      </w:r>
      <w:r>
        <w:t xml:space="preserve"> In other words, one third of Australian universities provide two-thirds of the pathways for VET award-holders into higher education.</w:t>
      </w:r>
    </w:p>
    <w:p w:rsidR="004631F6" w:rsidRDefault="004631F6" w:rsidP="00377870">
      <w:pPr>
        <w:pStyle w:val="Heading3"/>
      </w:pPr>
      <w:r>
        <w:lastRenderedPageBreak/>
        <w:t>Overseas students</w:t>
      </w:r>
    </w:p>
    <w:p w:rsidR="004631F6" w:rsidRDefault="004631F6" w:rsidP="00377870">
      <w:pPr>
        <w:pStyle w:val="Text"/>
      </w:pPr>
      <w:r>
        <w:t>The rate of admission of overseas students on the basis of a VET award varies between institutions. At RMIT University and ANU, for example, over half of the commencing students admitted on the basis of a VET award are overseas students. In 22 universities, the number of overseas students admitted on the basis of a VET award is negligible. Overall, the overseas students who make up a quarter of all students admitted to undergraduate programs on the basis of a VET award are concentrated in 15 universities.</w:t>
      </w:r>
    </w:p>
    <w:p w:rsidR="004631F6" w:rsidRDefault="004631F6" w:rsidP="00A76AFD">
      <w:pPr>
        <w:pStyle w:val="Heading2"/>
      </w:pPr>
      <w:bookmarkStart w:id="19" w:name="_Toc370995873"/>
      <w:r>
        <w:t>Rate of admission of VET award-holders by university</w:t>
      </w:r>
      <w:bookmarkEnd w:id="19"/>
    </w:p>
    <w:p w:rsidR="004631F6" w:rsidRDefault="004631F6" w:rsidP="00A76AFD">
      <w:pPr>
        <w:pStyle w:val="Text"/>
      </w:pPr>
      <w:r w:rsidRPr="00937CAB">
        <w:t>The provision of VET-HE pathways varies between higher education institutions</w:t>
      </w:r>
      <w:r>
        <w:t xml:space="preserve"> and by field of study</w:t>
      </w:r>
      <w:r w:rsidRPr="00937CAB">
        <w:t xml:space="preserve">. </w:t>
      </w:r>
      <w:r w:rsidRPr="00946DB1">
        <w:t>Appendix A</w:t>
      </w:r>
      <w:r>
        <w:t>.1</w:t>
      </w:r>
      <w:r w:rsidRPr="00946DB1">
        <w:t xml:space="preserve"> provides details of each university’s rate of admission of students on the basis of a VET award across the ASCED broad fields of </w:t>
      </w:r>
      <w:r>
        <w:t>education (FOE)</w:t>
      </w:r>
      <w:r w:rsidRPr="00946DB1">
        <w:t xml:space="preserve"> 1 to 10</w:t>
      </w:r>
      <w:r>
        <w:t>.</w:t>
      </w:r>
      <w:r>
        <w:rPr>
          <w:rStyle w:val="FootnoteReference"/>
        </w:rPr>
        <w:footnoteReference w:id="3"/>
      </w:r>
      <w:r>
        <w:t xml:space="preserve"> In general, universities </w:t>
      </w:r>
      <w:r w:rsidRPr="00937CAB">
        <w:t>which admit VET award-holders</w:t>
      </w:r>
      <w:r>
        <w:t xml:space="preserve"> at rates well above the national average</w:t>
      </w:r>
      <w:r w:rsidRPr="00937CAB">
        <w:t>,</w:t>
      </w:r>
      <w:r>
        <w:t xml:space="preserve"> tend to admit VET award-holders at relatively </w:t>
      </w:r>
      <w:r w:rsidRPr="00937CAB">
        <w:t xml:space="preserve">high rates </w:t>
      </w:r>
      <w:r>
        <w:t xml:space="preserve">in most fields of study. In contrast, universities which admit lower proportions of VET award-holders exhibit a more haphazard pattern of admission rates between fields of education. </w:t>
      </w:r>
    </w:p>
    <w:p w:rsidR="004631F6" w:rsidRDefault="004631F6" w:rsidP="00A76AFD">
      <w:pPr>
        <w:pStyle w:val="Text"/>
      </w:pPr>
      <w:r>
        <w:t>Universities such as Charles Sturt, Newcastle, UWS, Deakin, VU, Edith Cowan and Swinburne, for example, consistently admit VET award-holders at above the national average rate in all their undergraduate fields of study. RMIT and La Trobe are similarly consistent, admitting above-average proportions of VET award-holders in every field except one or two. Of the 12 largest providers, UniSA and Tasmania are the least consistent, with below-average intakes of VET award-holders in several fields. These differences are discussed in more detail in subsequent sections of this report.</w:t>
      </w:r>
    </w:p>
    <w:p w:rsidR="004631F6" w:rsidRDefault="004631F6" w:rsidP="00A76AFD">
      <w:pPr>
        <w:pStyle w:val="Heading2"/>
      </w:pPr>
      <w:bookmarkStart w:id="20" w:name="_Toc370995874"/>
      <w:r>
        <w:t>Student Characteristics</w:t>
      </w:r>
      <w:bookmarkEnd w:id="20"/>
      <w:r>
        <w:t xml:space="preserve"> </w:t>
      </w:r>
    </w:p>
    <w:p w:rsidR="004631F6" w:rsidRDefault="004631F6" w:rsidP="00A76AFD">
      <w:pPr>
        <w:pStyle w:val="Text"/>
      </w:pPr>
      <w:r>
        <w:t xml:space="preserve">Students admitted to Australian universities on the basis of a VET award are broadly similar to students admitted on other criteria. In 2010, 57 per cent of students admitted on the basis of a VET award were female, the same proportion as students admitted on other bases. </w:t>
      </w:r>
    </w:p>
    <w:p w:rsidR="004631F6" w:rsidRDefault="004631F6" w:rsidP="00A76AFD">
      <w:pPr>
        <w:pStyle w:val="Text"/>
      </w:pPr>
      <w:r>
        <w:t>As we might expect, VET award-holders tend to be slightly older than other commencing students in undergraduate programs. The average age of students admitted to undergraduate programs in 2010 is illustrated in Figure 2, broken down into students admitted on the basis of a VET award and students admitted on all other bases. While the majority of commencing undergraduates are aged between 17 and 29 years, the proportion of VET award-holders in this age group is ten per cent lower than other students - 78 per cent compared to 88 per cent of other students.  A higher proportion of VET award-holders are in the older age brackets. For example, 14 per cent of VET award-holders are aged 30 – 39 years compared to only 7 per cent of other students. And seven per cent of VET award-holders are aged 40-49 compared to only 3 per cent of other students.</w:t>
      </w:r>
    </w:p>
    <w:p w:rsidR="004631F6" w:rsidRDefault="004631F6" w:rsidP="00A76AFD">
      <w:pPr>
        <w:pStyle w:val="Figuretitle"/>
      </w:pPr>
      <w:bookmarkStart w:id="21" w:name="_Toc370995937"/>
      <w:r>
        <w:t>Figure 2</w:t>
      </w:r>
      <w:r>
        <w:tab/>
        <w:t>Commencing higher education students by age and basis of admission, (domestic and overseas), Australia 2010</w:t>
      </w:r>
      <w:bookmarkEnd w:id="21"/>
      <w:r>
        <w:t xml:space="preserve"> </w:t>
      </w:r>
    </w:p>
    <w:p w:rsidR="004631F6" w:rsidRDefault="004631F6" w:rsidP="00A76AFD">
      <w:pPr>
        <w:pStyle w:val="Figuretitle"/>
        <w:rPr>
          <w:noProof/>
          <w:lang w:val="en-US"/>
        </w:rPr>
      </w:pPr>
      <w:r w:rsidRPr="00211A8F">
        <w:rPr>
          <w:noProof/>
          <w:lang w:eastAsia="en-AU"/>
        </w:rPr>
        <w:lastRenderedPageBreak/>
        <w:drawing>
          <wp:inline distT="0" distB="0" distL="0" distR="0">
            <wp:extent cx="5718809" cy="2331720"/>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718809" cy="2331720"/>
                    </a:xfrm>
                    <a:prstGeom prst="rect">
                      <a:avLst/>
                    </a:prstGeom>
                    <a:noFill/>
                    <a:ln w="9525">
                      <a:noFill/>
                      <a:miter lim="800000"/>
                      <a:headEnd/>
                      <a:tailEnd/>
                    </a:ln>
                  </pic:spPr>
                </pic:pic>
              </a:graphicData>
            </a:graphic>
          </wp:inline>
        </w:drawing>
      </w:r>
    </w:p>
    <w:p w:rsidR="004631F6" w:rsidRDefault="004631F6" w:rsidP="00A76AFD">
      <w:pPr>
        <w:pStyle w:val="Source"/>
      </w:pPr>
    </w:p>
    <w:p w:rsidR="004631F6" w:rsidRDefault="004631F6" w:rsidP="00A76AFD">
      <w:pPr>
        <w:pStyle w:val="Source"/>
      </w:pPr>
      <w:r>
        <w:t>Source: DEEWR (2010) Higher Education Statistics Collection. Unpublished data</w:t>
      </w:r>
    </w:p>
    <w:p w:rsidR="004631F6" w:rsidRDefault="004631F6" w:rsidP="00A76AFD">
      <w:pPr>
        <w:pStyle w:val="Text"/>
      </w:pPr>
      <w:r>
        <w:t>VET award-holders are less likely to be Aboriginal or Torres Strait Islanders than other undergraduate students. Students who are Aboriginal or Torres Strait Islanders comprised less than one per cent of the commencing HE student population at the undergraduate level in 2010. A slightly lower proportion of VET award-holders is Aboriginal or Torres Strait Islander (0.6%) compared to other students (0.8%). A</w:t>
      </w:r>
      <w:r w:rsidRPr="00DD5842">
        <w:t>ccording to the Student Outcomes Survey</w:t>
      </w:r>
      <w:r>
        <w:t>, Aboriginal and Torres Strait Islander students comprised 3.2 per cent of the students who completed VET qualifications in 2009 however they are under-represented in the group of VET award-holders admitted to higher education in 2010.</w:t>
      </w:r>
    </w:p>
    <w:p w:rsidR="004631F6" w:rsidRDefault="004631F6" w:rsidP="00A76AFD">
      <w:pPr>
        <w:pStyle w:val="Text"/>
      </w:pPr>
      <w:r>
        <w:t>Undergraduate students admitted on the basis of a VET award are much more likely to be studying part-time. Twenty-nine per cent of students admitted on the basis of a VET award are studying part-time compared to 18 per cent of students admitted on other bases. The part-time status of undergraduates admitted on the basis of a VET award can compound any difficulties VET award-holders might face in making a successful transition to higher education studies. VET award-holders who are employed full-time, for example, report difficulties in accessing the academic skills support services available to most undergraduate students during business hours (Watson 2006). One university which reported that it monitors the enrolment, retention and performance of all students admitted on the basis of VET studies, remarked that “the progress and retention rate of VET articulating students is below that of the school leaver cohort, perhaps reflecting that more of these students are mature age and have more competing commitments than younger students” (Respondent C)</w:t>
      </w:r>
      <w:r>
        <w:rPr>
          <w:rStyle w:val="FootnoteReference"/>
        </w:rPr>
        <w:footnoteReference w:id="4"/>
      </w:r>
      <w:r>
        <w:t xml:space="preserve">. </w:t>
      </w:r>
    </w:p>
    <w:p w:rsidR="004631F6" w:rsidRDefault="004631F6" w:rsidP="00A76AFD">
      <w:pPr>
        <w:pStyle w:val="Text"/>
      </w:pPr>
      <w:r>
        <w:t xml:space="preserve">In summary, students admitted to undergraduate programs on the basis of a VET award are on average slightly older than other students and are more likely to be studying part-time. Aboriginal and Torres Strait Islanders appear to be underrepresented in the group of VET award-holders admitted to higher education. As characteristics such as being older and having work and family responsibilities are known to have an adverse impact on completion rates for all undergraduate students, the challenges faced by many VET award-holders admitted to university could be compounded by these characteristics. </w:t>
      </w:r>
    </w:p>
    <w:p w:rsidR="004631F6" w:rsidRDefault="004631F6" w:rsidP="00A76AFD">
      <w:pPr>
        <w:pStyle w:val="Heading2"/>
      </w:pPr>
      <w:bookmarkStart w:id="22" w:name="_Toc370995875"/>
      <w:r>
        <w:lastRenderedPageBreak/>
        <w:t>Qualifications pathways from vocational to higher education</w:t>
      </w:r>
      <w:bookmarkEnd w:id="22"/>
    </w:p>
    <w:p w:rsidR="004631F6" w:rsidRDefault="004631F6" w:rsidP="00A76AFD">
      <w:pPr>
        <w:pStyle w:val="Text"/>
      </w:pPr>
      <w:r>
        <w:t xml:space="preserve">The Australian Qualifications Framework (AQF) is a system that aims to assist learners to plan their education and training, by providing consistent national definitions of post-compulsory qualifications offered in Australia. </w:t>
      </w:r>
    </w:p>
    <w:p w:rsidR="004631F6" w:rsidRDefault="004631F6" w:rsidP="00A76AFD">
      <w:pPr>
        <w:pStyle w:val="Text"/>
      </w:pPr>
      <w:r>
        <w:t>While AQF qualifications can be offered by education providers in any sector, traditionally the Certificate-level qualifications at AQF 1 – 4 are offered by providers in the VET sector while qualifications classified as undergraduate degrees (AQF Level 7) and above are offered in the higher education sector. Diploma and Advanced Diploma qualifications (AQF levels 5 and 6 respectively) are also more likely to be offered by VET providers as they form part of most training packages in the national training system. Associate Degrees, also at the AQF level 6, are newer qualifications that are not included in the national training system, and are now offered in small numbers by both universities and VET providers.</w:t>
      </w:r>
    </w:p>
    <w:p w:rsidR="004631F6" w:rsidRDefault="004631F6" w:rsidP="00A76AFD">
      <w:pPr>
        <w:pStyle w:val="Text"/>
      </w:pPr>
      <w:r>
        <w:t xml:space="preserve">Diploma and Advanced Diploma qualifications are often portrayed as “bridging” qualifications between the VET and HE sector, and used as a preparation for undergraduate studies. However the overall number of students studying qualifications at this level in the national training system is relatively small. The national training system is largely focused on the delivery of training which leads to a qualification at the Certificate I-IV level (AQF levels 1-4). As the proportion of VET graduates holding Diploma-level qualifications is relatively small, completion of a higher level VET Certificate would be acceptable to many higher education institutions as a basis for admission to undergraduate studies, particularly in fields where VET Diploma-level studies are not common.   </w:t>
      </w:r>
    </w:p>
    <w:p w:rsidR="004631F6" w:rsidRDefault="004631F6" w:rsidP="00A76AFD">
      <w:pPr>
        <w:pStyle w:val="Text"/>
      </w:pPr>
      <w:r>
        <w:t xml:space="preserve">While </w:t>
      </w:r>
      <w:r w:rsidRPr="007371B6">
        <w:t xml:space="preserve">some </w:t>
      </w:r>
      <w:r>
        <w:t>VET award holders</w:t>
      </w:r>
      <w:r w:rsidRPr="007371B6">
        <w:t xml:space="preserve"> </w:t>
      </w:r>
      <w:r>
        <w:t xml:space="preserve">admitted to higher education </w:t>
      </w:r>
      <w:r w:rsidRPr="007371B6">
        <w:t>are enrolled in Diploma or Advanced Diploma studies rather than undergraduates degrees</w:t>
      </w:r>
      <w:r>
        <w:t xml:space="preserve">, </w:t>
      </w:r>
      <w:r w:rsidRPr="007371B6">
        <w:t xml:space="preserve">Mazzachi (2009) </w:t>
      </w:r>
      <w:r>
        <w:t xml:space="preserve">reports </w:t>
      </w:r>
      <w:r w:rsidRPr="007371B6">
        <w:t xml:space="preserve">that only four per cent of VET award-holders in undergraduate programs were enrolled in Associate Degrees, Advanced Diploma or Diploma courses. </w:t>
      </w:r>
      <w:r>
        <w:t xml:space="preserve">Over </w:t>
      </w:r>
      <w:r w:rsidRPr="007371B6">
        <w:t xml:space="preserve">95 per cent </w:t>
      </w:r>
      <w:r>
        <w:t xml:space="preserve">of VET award-holders admitted to higher education are </w:t>
      </w:r>
      <w:r w:rsidRPr="007371B6">
        <w:t>enrolled in Bachelor degrees</w:t>
      </w:r>
      <w:r>
        <w:t xml:space="preserve">. </w:t>
      </w:r>
    </w:p>
    <w:p w:rsidR="004631F6" w:rsidRDefault="004631F6" w:rsidP="00BD17D2">
      <w:pPr>
        <w:pStyle w:val="Heading2"/>
      </w:pPr>
      <w:bookmarkStart w:id="23" w:name="_Toc370995876"/>
      <w:r>
        <w:t>Admission of VET award-holders by field of education</w:t>
      </w:r>
      <w:bookmarkEnd w:id="23"/>
    </w:p>
    <w:p w:rsidR="004631F6" w:rsidRDefault="004631F6" w:rsidP="00210540">
      <w:pPr>
        <w:pStyle w:val="Text"/>
      </w:pPr>
      <w:r>
        <w:t xml:space="preserve">The rate of admission of VET award-holders varies by field of education, as shown in Table 2. </w:t>
      </w:r>
    </w:p>
    <w:p w:rsidR="004631F6" w:rsidRDefault="004631F6" w:rsidP="00174DEB">
      <w:pPr>
        <w:pStyle w:val="Text"/>
      </w:pPr>
      <w:r>
        <w:t xml:space="preserve">The size of the total undergraduate student population in each field of education varies, as shown in Table 2. Large fields such as Society and Culture (FOE 09) and Management and Commerce (FOE 08), account for one-fifth each of the entire undergraduate commencing student population, whereas Information Technology accounts for only 3.6 per cent. Thus the high proportion of VET award-holders (14.2%) in a small field of study like Information Technology, represents a relatively small number of students (1,622 VET award-holders), compared to the 5,514 VET award-holders admitted to programs in the field of Society and Culture, where the admission rate is only 8.3 per cent. </w:t>
      </w:r>
    </w:p>
    <w:p w:rsidR="004631F6" w:rsidRDefault="004631F6">
      <w:pPr>
        <w:spacing w:before="0" w:line="240" w:lineRule="auto"/>
      </w:pPr>
      <w:r>
        <w:br w:type="page"/>
      </w:r>
    </w:p>
    <w:p w:rsidR="004631F6" w:rsidRDefault="004631F6" w:rsidP="00210540">
      <w:pPr>
        <w:pStyle w:val="tabletitle"/>
      </w:pPr>
      <w:bookmarkStart w:id="24" w:name="_Toc370995911"/>
      <w:r>
        <w:lastRenderedPageBreak/>
        <w:t>Table 2</w:t>
      </w:r>
      <w:r>
        <w:tab/>
        <w:t>VET award-holders and all undergraduate commencements by broad field of education</w:t>
      </w:r>
      <w:r>
        <w:rPr>
          <w:rStyle w:val="FootnoteReference"/>
        </w:rPr>
        <w:footnoteReference w:id="5"/>
      </w:r>
      <w:r>
        <w:t>, Australia 2010</w:t>
      </w:r>
      <w:bookmarkEnd w:id="24"/>
    </w:p>
    <w:tbl>
      <w:tblPr>
        <w:tblW w:w="8931" w:type="dxa"/>
        <w:tblInd w:w="108" w:type="dxa"/>
        <w:tblLayout w:type="fixed"/>
        <w:tblLook w:val="04A0"/>
      </w:tblPr>
      <w:tblGrid>
        <w:gridCol w:w="481"/>
        <w:gridCol w:w="3331"/>
        <w:gridCol w:w="299"/>
        <w:gridCol w:w="1134"/>
        <w:gridCol w:w="992"/>
        <w:gridCol w:w="142"/>
        <w:gridCol w:w="142"/>
        <w:gridCol w:w="850"/>
        <w:gridCol w:w="1525"/>
        <w:gridCol w:w="35"/>
      </w:tblGrid>
      <w:tr w:rsidR="004631F6" w:rsidRPr="00691B2C" w:rsidTr="00680BAF">
        <w:trPr>
          <w:trHeight w:val="300"/>
        </w:trPr>
        <w:tc>
          <w:tcPr>
            <w:tcW w:w="481" w:type="dxa"/>
            <w:tcBorders>
              <w:top w:val="single" w:sz="4" w:space="0" w:color="auto"/>
              <w:left w:val="nil"/>
              <w:bottom w:val="nil"/>
              <w:right w:val="nil"/>
            </w:tcBorders>
            <w:vAlign w:val="bottom"/>
          </w:tcPr>
          <w:p w:rsidR="004631F6" w:rsidRPr="00691B2C" w:rsidRDefault="004631F6" w:rsidP="00611727">
            <w:pPr>
              <w:pStyle w:val="Tablehead1"/>
              <w:spacing w:before="0" w:after="0"/>
              <w:rPr>
                <w:bCs/>
                <w:color w:val="000000"/>
                <w:lang w:val="en-US"/>
              </w:rPr>
            </w:pPr>
          </w:p>
        </w:tc>
        <w:tc>
          <w:tcPr>
            <w:tcW w:w="3630" w:type="dxa"/>
            <w:gridSpan w:val="2"/>
            <w:tcBorders>
              <w:top w:val="single" w:sz="4" w:space="0" w:color="auto"/>
              <w:left w:val="nil"/>
              <w:bottom w:val="nil"/>
              <w:right w:val="nil"/>
            </w:tcBorders>
            <w:shd w:val="clear" w:color="auto" w:fill="auto"/>
            <w:noWrap/>
            <w:vAlign w:val="bottom"/>
            <w:hideMark/>
          </w:tcPr>
          <w:p w:rsidR="004631F6" w:rsidRPr="00691B2C" w:rsidRDefault="004631F6" w:rsidP="00611727">
            <w:pPr>
              <w:pStyle w:val="Tablehead1"/>
              <w:spacing w:before="0" w:after="0"/>
              <w:rPr>
                <w:bCs/>
                <w:color w:val="000000"/>
                <w:lang w:val="en-US"/>
              </w:rPr>
            </w:pPr>
          </w:p>
        </w:tc>
        <w:tc>
          <w:tcPr>
            <w:tcW w:w="2268" w:type="dxa"/>
            <w:gridSpan w:val="3"/>
            <w:tcBorders>
              <w:top w:val="single" w:sz="4" w:space="0" w:color="auto"/>
              <w:left w:val="nil"/>
              <w:bottom w:val="nil"/>
              <w:right w:val="nil"/>
            </w:tcBorders>
            <w:shd w:val="clear" w:color="auto" w:fill="auto"/>
            <w:noWrap/>
            <w:vAlign w:val="bottom"/>
            <w:hideMark/>
          </w:tcPr>
          <w:p w:rsidR="004631F6" w:rsidRPr="00691B2C" w:rsidRDefault="004631F6" w:rsidP="00611727">
            <w:pPr>
              <w:pStyle w:val="Tablehead1"/>
              <w:spacing w:before="0" w:after="0"/>
              <w:jc w:val="center"/>
              <w:rPr>
                <w:rFonts w:cs="Arial"/>
                <w:bCs/>
                <w:color w:val="000000"/>
                <w:szCs w:val="17"/>
                <w:lang w:val="en-US"/>
              </w:rPr>
            </w:pPr>
            <w:r w:rsidRPr="009F6552">
              <w:rPr>
                <w:rFonts w:cs="Arial"/>
                <w:bCs/>
                <w:color w:val="000000"/>
                <w:szCs w:val="17"/>
                <w:lang w:val="en-US"/>
              </w:rPr>
              <w:t>All undergraduate</w:t>
            </w:r>
            <w:r>
              <w:rPr>
                <w:rFonts w:cs="Arial"/>
                <w:bCs/>
                <w:color w:val="000000"/>
                <w:szCs w:val="17"/>
                <w:lang w:val="en-US"/>
              </w:rPr>
              <w:t>s</w:t>
            </w:r>
          </w:p>
        </w:tc>
        <w:tc>
          <w:tcPr>
            <w:tcW w:w="2552" w:type="dxa"/>
            <w:gridSpan w:val="4"/>
            <w:tcBorders>
              <w:top w:val="single" w:sz="4" w:space="0" w:color="auto"/>
              <w:left w:val="nil"/>
              <w:bottom w:val="nil"/>
              <w:right w:val="nil"/>
            </w:tcBorders>
            <w:vAlign w:val="bottom"/>
          </w:tcPr>
          <w:p w:rsidR="004631F6" w:rsidRPr="00691B2C" w:rsidRDefault="004631F6" w:rsidP="00611727">
            <w:pPr>
              <w:pStyle w:val="Tablehead1"/>
              <w:spacing w:before="0" w:after="0"/>
              <w:jc w:val="center"/>
              <w:rPr>
                <w:rFonts w:cs="Arial"/>
                <w:bCs/>
                <w:color w:val="000000"/>
                <w:szCs w:val="17"/>
                <w:lang w:val="en-US"/>
              </w:rPr>
            </w:pPr>
            <w:r w:rsidRPr="00562161">
              <w:rPr>
                <w:rFonts w:cs="Arial"/>
                <w:bCs/>
                <w:color w:val="000000"/>
                <w:szCs w:val="17"/>
                <w:lang w:val="en-US"/>
              </w:rPr>
              <w:t>VET award-holders</w:t>
            </w:r>
          </w:p>
        </w:tc>
      </w:tr>
      <w:tr w:rsidR="004631F6" w:rsidRPr="00322D4B" w:rsidTr="00680BAF">
        <w:trPr>
          <w:gridAfter w:val="1"/>
          <w:wAfter w:w="35" w:type="dxa"/>
          <w:trHeight w:val="300"/>
        </w:trPr>
        <w:tc>
          <w:tcPr>
            <w:tcW w:w="481" w:type="dxa"/>
            <w:tcBorders>
              <w:top w:val="nil"/>
              <w:left w:val="nil"/>
              <w:bottom w:val="single" w:sz="4" w:space="0" w:color="auto"/>
              <w:right w:val="nil"/>
            </w:tcBorders>
            <w:vAlign w:val="bottom"/>
          </w:tcPr>
          <w:p w:rsidR="004631F6" w:rsidRPr="00322D4B" w:rsidRDefault="004631F6" w:rsidP="00611727">
            <w:pPr>
              <w:pStyle w:val="Tablehead2"/>
              <w:spacing w:before="0" w:after="0"/>
              <w:jc w:val="center"/>
              <w:rPr>
                <w:lang w:val="en-US"/>
              </w:rPr>
            </w:pPr>
            <w:r w:rsidRPr="00322D4B">
              <w:rPr>
                <w:lang w:val="en-US"/>
              </w:rPr>
              <w:t>No.</w:t>
            </w:r>
          </w:p>
        </w:tc>
        <w:tc>
          <w:tcPr>
            <w:tcW w:w="3331" w:type="dxa"/>
            <w:tcBorders>
              <w:top w:val="nil"/>
              <w:left w:val="nil"/>
              <w:bottom w:val="single" w:sz="4" w:space="0" w:color="auto"/>
              <w:right w:val="nil"/>
            </w:tcBorders>
            <w:shd w:val="clear" w:color="auto" w:fill="auto"/>
            <w:noWrap/>
            <w:vAlign w:val="bottom"/>
            <w:hideMark/>
          </w:tcPr>
          <w:p w:rsidR="004631F6" w:rsidRPr="00322D4B" w:rsidRDefault="004631F6" w:rsidP="00611727">
            <w:pPr>
              <w:pStyle w:val="Tablehead2"/>
              <w:spacing w:before="0" w:after="0"/>
              <w:jc w:val="center"/>
              <w:rPr>
                <w:lang w:val="en-US"/>
              </w:rPr>
            </w:pPr>
            <w:r w:rsidRPr="00322D4B">
              <w:rPr>
                <w:lang w:val="en-US"/>
              </w:rPr>
              <w:t>Broad Field of Education (FOE)</w:t>
            </w:r>
          </w:p>
        </w:tc>
        <w:tc>
          <w:tcPr>
            <w:tcW w:w="1433" w:type="dxa"/>
            <w:gridSpan w:val="2"/>
            <w:tcBorders>
              <w:top w:val="nil"/>
              <w:left w:val="nil"/>
              <w:bottom w:val="single" w:sz="4" w:space="0" w:color="auto"/>
              <w:right w:val="nil"/>
            </w:tcBorders>
            <w:shd w:val="clear" w:color="auto" w:fill="auto"/>
            <w:noWrap/>
            <w:vAlign w:val="bottom"/>
            <w:hideMark/>
          </w:tcPr>
          <w:p w:rsidR="004631F6" w:rsidRPr="00322D4B" w:rsidRDefault="004631F6" w:rsidP="00680BAF">
            <w:pPr>
              <w:pStyle w:val="Tablehead2"/>
              <w:spacing w:before="0" w:after="0"/>
              <w:jc w:val="right"/>
              <w:rPr>
                <w:lang w:val="en-US"/>
              </w:rPr>
            </w:pPr>
            <w:r>
              <w:rPr>
                <w:lang w:val="en-US"/>
              </w:rPr>
              <w:t>No.</w:t>
            </w:r>
          </w:p>
        </w:tc>
        <w:tc>
          <w:tcPr>
            <w:tcW w:w="992" w:type="dxa"/>
            <w:tcBorders>
              <w:top w:val="nil"/>
              <w:left w:val="nil"/>
              <w:bottom w:val="single" w:sz="4" w:space="0" w:color="auto"/>
              <w:right w:val="nil"/>
            </w:tcBorders>
            <w:shd w:val="clear" w:color="auto" w:fill="auto"/>
            <w:noWrap/>
            <w:vAlign w:val="bottom"/>
            <w:hideMark/>
          </w:tcPr>
          <w:p w:rsidR="004631F6" w:rsidRPr="00322D4B" w:rsidRDefault="004631F6" w:rsidP="00680BAF">
            <w:pPr>
              <w:pStyle w:val="Tablehead2"/>
              <w:spacing w:before="0" w:after="0"/>
              <w:jc w:val="right"/>
              <w:rPr>
                <w:lang w:val="en-US"/>
              </w:rPr>
            </w:pPr>
            <w:r>
              <w:rPr>
                <w:lang w:val="en-US"/>
              </w:rPr>
              <w:t>% total</w:t>
            </w:r>
          </w:p>
        </w:tc>
        <w:tc>
          <w:tcPr>
            <w:tcW w:w="284" w:type="dxa"/>
            <w:gridSpan w:val="2"/>
            <w:tcBorders>
              <w:top w:val="nil"/>
              <w:left w:val="nil"/>
              <w:bottom w:val="single" w:sz="4" w:space="0" w:color="auto"/>
              <w:right w:val="nil"/>
            </w:tcBorders>
            <w:vAlign w:val="bottom"/>
          </w:tcPr>
          <w:p w:rsidR="004631F6" w:rsidRPr="00322D4B" w:rsidRDefault="004631F6" w:rsidP="00611727">
            <w:pPr>
              <w:pStyle w:val="Tablehead2"/>
              <w:spacing w:before="0" w:after="0"/>
              <w:jc w:val="center"/>
              <w:rPr>
                <w:lang w:val="en-US"/>
              </w:rPr>
            </w:pPr>
          </w:p>
        </w:tc>
        <w:tc>
          <w:tcPr>
            <w:tcW w:w="850" w:type="dxa"/>
            <w:tcBorders>
              <w:top w:val="nil"/>
              <w:left w:val="nil"/>
              <w:bottom w:val="single" w:sz="4" w:space="0" w:color="auto"/>
              <w:right w:val="nil"/>
            </w:tcBorders>
            <w:vAlign w:val="bottom"/>
          </w:tcPr>
          <w:p w:rsidR="004631F6" w:rsidRPr="00322D4B" w:rsidRDefault="004631F6" w:rsidP="00680BAF">
            <w:pPr>
              <w:pStyle w:val="Tablehead2"/>
              <w:spacing w:before="0" w:after="0"/>
              <w:jc w:val="right"/>
              <w:rPr>
                <w:lang w:val="en-US"/>
              </w:rPr>
            </w:pPr>
            <w:r>
              <w:rPr>
                <w:lang w:val="en-US"/>
              </w:rPr>
              <w:t>No.</w:t>
            </w:r>
          </w:p>
        </w:tc>
        <w:tc>
          <w:tcPr>
            <w:tcW w:w="1525" w:type="dxa"/>
            <w:tcBorders>
              <w:top w:val="nil"/>
              <w:left w:val="nil"/>
              <w:bottom w:val="single" w:sz="4" w:space="0" w:color="auto"/>
              <w:right w:val="nil"/>
            </w:tcBorders>
            <w:vAlign w:val="bottom"/>
          </w:tcPr>
          <w:p w:rsidR="004631F6" w:rsidRPr="00322D4B" w:rsidRDefault="004631F6" w:rsidP="00680BAF">
            <w:pPr>
              <w:pStyle w:val="Tablehead2"/>
              <w:spacing w:before="0" w:after="0"/>
              <w:jc w:val="center"/>
              <w:rPr>
                <w:lang w:val="en-US"/>
              </w:rPr>
            </w:pPr>
            <w:r>
              <w:rPr>
                <w:lang w:val="en-US"/>
              </w:rPr>
              <w:t>% all undergraduates</w:t>
            </w:r>
          </w:p>
        </w:tc>
      </w:tr>
      <w:tr w:rsidR="004631F6" w:rsidRPr="00C6045A" w:rsidTr="00680BAF">
        <w:trPr>
          <w:gridAfter w:val="1"/>
          <w:wAfter w:w="35" w:type="dxa"/>
          <w:trHeight w:val="300"/>
        </w:trPr>
        <w:tc>
          <w:tcPr>
            <w:tcW w:w="481" w:type="dxa"/>
            <w:tcBorders>
              <w:top w:val="single" w:sz="4" w:space="0" w:color="auto"/>
              <w:left w:val="nil"/>
              <w:right w:val="nil"/>
            </w:tcBorders>
            <w:vAlign w:val="bottom"/>
          </w:tcPr>
          <w:p w:rsidR="004631F6" w:rsidRPr="00CF3729" w:rsidRDefault="004631F6" w:rsidP="00611727">
            <w:pPr>
              <w:pStyle w:val="Tabletext"/>
              <w:spacing w:before="0" w:after="0"/>
              <w:rPr>
                <w:lang w:val="en-US"/>
              </w:rPr>
            </w:pPr>
            <w:r>
              <w:rPr>
                <w:lang w:val="en-US"/>
              </w:rPr>
              <w:t>01</w:t>
            </w:r>
          </w:p>
        </w:tc>
        <w:tc>
          <w:tcPr>
            <w:tcW w:w="3331" w:type="dxa"/>
            <w:tcBorders>
              <w:top w:val="single" w:sz="4" w:space="0" w:color="auto"/>
              <w:left w:val="nil"/>
              <w:right w:val="nil"/>
            </w:tcBorders>
            <w:shd w:val="clear" w:color="auto" w:fill="auto"/>
            <w:noWrap/>
            <w:vAlign w:val="bottom"/>
            <w:hideMark/>
          </w:tcPr>
          <w:p w:rsidR="004631F6" w:rsidRPr="00C6045A" w:rsidRDefault="004631F6" w:rsidP="00611727">
            <w:pPr>
              <w:pStyle w:val="Tabletext"/>
              <w:spacing w:before="0" w:after="0"/>
              <w:rPr>
                <w:rFonts w:cs="Arial"/>
                <w:sz w:val="17"/>
                <w:szCs w:val="17"/>
                <w:lang w:val="en-US"/>
              </w:rPr>
            </w:pPr>
            <w:r w:rsidRPr="00C6045A">
              <w:rPr>
                <w:rFonts w:cs="Arial"/>
                <w:sz w:val="17"/>
                <w:szCs w:val="17"/>
                <w:lang w:val="en-US"/>
              </w:rPr>
              <w:t>Natural and Physical Sciences</w:t>
            </w:r>
          </w:p>
        </w:tc>
        <w:tc>
          <w:tcPr>
            <w:tcW w:w="1433" w:type="dxa"/>
            <w:gridSpan w:val="2"/>
            <w:tcBorders>
              <w:top w:val="single" w:sz="4" w:space="0" w:color="auto"/>
              <w:left w:val="nil"/>
              <w:right w:val="nil"/>
            </w:tcBorders>
            <w:shd w:val="clear" w:color="auto" w:fill="auto"/>
            <w:noWrap/>
            <w:vAlign w:val="bottom"/>
            <w:hideMark/>
          </w:tcPr>
          <w:p w:rsidR="004631F6" w:rsidRPr="00C6045A" w:rsidRDefault="004631F6" w:rsidP="00611727">
            <w:pPr>
              <w:pStyle w:val="Tabletext"/>
              <w:spacing w:before="0" w:after="0"/>
              <w:jc w:val="right"/>
              <w:rPr>
                <w:rFonts w:cs="Arial"/>
                <w:sz w:val="17"/>
                <w:szCs w:val="17"/>
                <w:lang w:val="en-US"/>
              </w:rPr>
            </w:pPr>
            <w:r w:rsidRPr="00C6045A">
              <w:rPr>
                <w:rFonts w:cs="Arial"/>
                <w:sz w:val="17"/>
                <w:szCs w:val="17"/>
                <w:lang w:val="en-US"/>
              </w:rPr>
              <w:t>25,522</w:t>
            </w:r>
          </w:p>
        </w:tc>
        <w:tc>
          <w:tcPr>
            <w:tcW w:w="992" w:type="dxa"/>
            <w:tcBorders>
              <w:top w:val="single" w:sz="4" w:space="0" w:color="auto"/>
              <w:left w:val="nil"/>
              <w:right w:val="nil"/>
            </w:tcBorders>
            <w:shd w:val="clear" w:color="auto" w:fill="auto"/>
            <w:noWrap/>
            <w:vAlign w:val="bottom"/>
            <w:hideMark/>
          </w:tcPr>
          <w:p w:rsidR="004631F6" w:rsidRPr="00680BAF" w:rsidRDefault="004631F6" w:rsidP="00B82326">
            <w:pPr>
              <w:pStyle w:val="Tabletext"/>
              <w:spacing w:before="0" w:after="0"/>
              <w:jc w:val="right"/>
              <w:rPr>
                <w:rFonts w:cs="Arial"/>
                <w:sz w:val="17"/>
                <w:szCs w:val="17"/>
                <w:lang w:val="en-US"/>
              </w:rPr>
            </w:pPr>
            <w:r w:rsidRPr="00680BAF">
              <w:rPr>
                <w:rFonts w:cs="Arial"/>
                <w:color w:val="000000"/>
                <w:sz w:val="17"/>
                <w:szCs w:val="17"/>
              </w:rPr>
              <w:t>8.0</w:t>
            </w:r>
          </w:p>
        </w:tc>
        <w:tc>
          <w:tcPr>
            <w:tcW w:w="284" w:type="dxa"/>
            <w:gridSpan w:val="2"/>
            <w:tcBorders>
              <w:top w:val="single" w:sz="4" w:space="0" w:color="auto"/>
              <w:left w:val="nil"/>
              <w:right w:val="nil"/>
            </w:tcBorders>
            <w:vAlign w:val="bottom"/>
          </w:tcPr>
          <w:p w:rsidR="004631F6" w:rsidRPr="00680BAF" w:rsidRDefault="004631F6" w:rsidP="00611727">
            <w:pPr>
              <w:pStyle w:val="Tabletext"/>
              <w:spacing w:before="0" w:after="0"/>
              <w:jc w:val="right"/>
              <w:rPr>
                <w:rFonts w:cs="Arial"/>
                <w:sz w:val="17"/>
                <w:szCs w:val="17"/>
                <w:lang w:val="en-US"/>
              </w:rPr>
            </w:pPr>
          </w:p>
        </w:tc>
        <w:tc>
          <w:tcPr>
            <w:tcW w:w="850" w:type="dxa"/>
            <w:tcBorders>
              <w:top w:val="single" w:sz="4" w:space="0" w:color="auto"/>
              <w:left w:val="nil"/>
              <w:right w:val="nil"/>
            </w:tcBorders>
            <w:vAlign w:val="bottom"/>
          </w:tcPr>
          <w:p w:rsidR="004631F6" w:rsidRPr="00680BAF" w:rsidRDefault="004631F6" w:rsidP="00611727">
            <w:pPr>
              <w:pStyle w:val="Tabletext"/>
              <w:spacing w:before="0" w:after="0"/>
              <w:jc w:val="right"/>
              <w:rPr>
                <w:rFonts w:cs="Arial"/>
                <w:sz w:val="17"/>
                <w:szCs w:val="17"/>
                <w:lang w:val="en-US"/>
              </w:rPr>
            </w:pPr>
            <w:r w:rsidRPr="00680BAF">
              <w:rPr>
                <w:rFonts w:cs="Arial"/>
                <w:sz w:val="17"/>
                <w:szCs w:val="17"/>
                <w:lang w:val="en-US"/>
              </w:rPr>
              <w:t>932</w:t>
            </w:r>
          </w:p>
        </w:tc>
        <w:tc>
          <w:tcPr>
            <w:tcW w:w="1525" w:type="dxa"/>
            <w:tcBorders>
              <w:top w:val="single" w:sz="4" w:space="0" w:color="auto"/>
              <w:left w:val="nil"/>
              <w:right w:val="nil"/>
            </w:tcBorders>
            <w:vAlign w:val="bottom"/>
          </w:tcPr>
          <w:p w:rsidR="004631F6" w:rsidRPr="00680BAF" w:rsidRDefault="004631F6" w:rsidP="00611727">
            <w:pPr>
              <w:pStyle w:val="Tabletext"/>
              <w:spacing w:before="0" w:after="0"/>
              <w:jc w:val="center"/>
              <w:rPr>
                <w:sz w:val="17"/>
                <w:szCs w:val="17"/>
              </w:rPr>
            </w:pPr>
            <w:r w:rsidRPr="00680BAF">
              <w:rPr>
                <w:sz w:val="17"/>
                <w:szCs w:val="17"/>
              </w:rPr>
              <w:t>3.7</w:t>
            </w:r>
          </w:p>
        </w:tc>
      </w:tr>
      <w:tr w:rsidR="004631F6" w:rsidRPr="00680BAF" w:rsidTr="00680BAF">
        <w:trPr>
          <w:gridAfter w:val="1"/>
          <w:wAfter w:w="35" w:type="dxa"/>
          <w:trHeight w:val="300"/>
        </w:trPr>
        <w:tc>
          <w:tcPr>
            <w:tcW w:w="481" w:type="dxa"/>
            <w:tcBorders>
              <w:top w:val="nil"/>
              <w:left w:val="nil"/>
              <w:bottom w:val="nil"/>
              <w:right w:val="nil"/>
            </w:tcBorders>
            <w:vAlign w:val="bottom"/>
          </w:tcPr>
          <w:p w:rsidR="004631F6" w:rsidRPr="00680BAF" w:rsidRDefault="004631F6" w:rsidP="005C7C67">
            <w:pPr>
              <w:pStyle w:val="Tabletext"/>
              <w:spacing w:before="0" w:after="0"/>
              <w:rPr>
                <w:lang w:val="en-US"/>
              </w:rPr>
            </w:pPr>
            <w:r w:rsidRPr="00680BAF">
              <w:rPr>
                <w:lang w:val="en-US"/>
              </w:rPr>
              <w:t>02</w:t>
            </w:r>
          </w:p>
        </w:tc>
        <w:tc>
          <w:tcPr>
            <w:tcW w:w="3331" w:type="dxa"/>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rPr>
                <w:rFonts w:cs="Arial"/>
                <w:sz w:val="17"/>
                <w:szCs w:val="17"/>
                <w:lang w:val="en-US"/>
              </w:rPr>
            </w:pPr>
            <w:r w:rsidRPr="00680BAF">
              <w:rPr>
                <w:rFonts w:cs="Arial"/>
                <w:sz w:val="17"/>
                <w:szCs w:val="17"/>
                <w:lang w:val="en-US"/>
              </w:rPr>
              <w:t>Information Technology</w:t>
            </w:r>
          </w:p>
        </w:tc>
        <w:tc>
          <w:tcPr>
            <w:tcW w:w="1433" w:type="dxa"/>
            <w:gridSpan w:val="2"/>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11,457</w:t>
            </w:r>
          </w:p>
        </w:tc>
        <w:tc>
          <w:tcPr>
            <w:tcW w:w="992" w:type="dxa"/>
            <w:tcBorders>
              <w:top w:val="nil"/>
              <w:left w:val="nil"/>
              <w:bottom w:val="nil"/>
              <w:right w:val="nil"/>
            </w:tcBorders>
            <w:shd w:val="clear" w:color="auto" w:fill="auto"/>
            <w:noWrap/>
            <w:vAlign w:val="bottom"/>
            <w:hideMark/>
          </w:tcPr>
          <w:p w:rsidR="004631F6" w:rsidRPr="00680BAF" w:rsidRDefault="004631F6" w:rsidP="00B82326">
            <w:pPr>
              <w:pStyle w:val="Tabletext"/>
              <w:spacing w:before="0" w:after="0"/>
              <w:jc w:val="right"/>
              <w:rPr>
                <w:rFonts w:cs="Arial"/>
                <w:sz w:val="17"/>
                <w:szCs w:val="17"/>
                <w:lang w:val="en-US"/>
              </w:rPr>
            </w:pPr>
            <w:r w:rsidRPr="00680BAF">
              <w:rPr>
                <w:rFonts w:cs="Arial"/>
                <w:color w:val="000000"/>
                <w:sz w:val="17"/>
                <w:szCs w:val="17"/>
              </w:rPr>
              <w:t>3.6</w:t>
            </w:r>
          </w:p>
        </w:tc>
        <w:tc>
          <w:tcPr>
            <w:tcW w:w="284" w:type="dxa"/>
            <w:gridSpan w:val="2"/>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p>
        </w:tc>
        <w:tc>
          <w:tcPr>
            <w:tcW w:w="850" w:type="dxa"/>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1,622</w:t>
            </w:r>
          </w:p>
        </w:tc>
        <w:tc>
          <w:tcPr>
            <w:tcW w:w="1525" w:type="dxa"/>
            <w:tcBorders>
              <w:top w:val="nil"/>
              <w:left w:val="nil"/>
              <w:bottom w:val="nil"/>
              <w:right w:val="nil"/>
            </w:tcBorders>
            <w:vAlign w:val="bottom"/>
          </w:tcPr>
          <w:p w:rsidR="004631F6" w:rsidRPr="00680BAF" w:rsidRDefault="004631F6" w:rsidP="005C7C67">
            <w:pPr>
              <w:pStyle w:val="Tabletext"/>
              <w:spacing w:before="0" w:after="0"/>
              <w:jc w:val="center"/>
              <w:rPr>
                <w:sz w:val="17"/>
                <w:szCs w:val="17"/>
              </w:rPr>
            </w:pPr>
            <w:r w:rsidRPr="00680BAF">
              <w:rPr>
                <w:sz w:val="17"/>
                <w:szCs w:val="17"/>
              </w:rPr>
              <w:t>14.2</w:t>
            </w:r>
          </w:p>
        </w:tc>
      </w:tr>
      <w:tr w:rsidR="004631F6" w:rsidRPr="00680BAF" w:rsidTr="00680BAF">
        <w:trPr>
          <w:gridAfter w:val="1"/>
          <w:wAfter w:w="35" w:type="dxa"/>
          <w:trHeight w:val="300"/>
        </w:trPr>
        <w:tc>
          <w:tcPr>
            <w:tcW w:w="481" w:type="dxa"/>
            <w:tcBorders>
              <w:top w:val="nil"/>
              <w:left w:val="nil"/>
              <w:bottom w:val="nil"/>
              <w:right w:val="nil"/>
            </w:tcBorders>
            <w:vAlign w:val="bottom"/>
          </w:tcPr>
          <w:p w:rsidR="004631F6" w:rsidRPr="00680BAF" w:rsidRDefault="004631F6" w:rsidP="005C7C67">
            <w:pPr>
              <w:pStyle w:val="Tabletext"/>
              <w:spacing w:before="0" w:after="0"/>
              <w:rPr>
                <w:lang w:val="en-US"/>
              </w:rPr>
            </w:pPr>
            <w:r w:rsidRPr="00680BAF">
              <w:rPr>
                <w:lang w:val="en-US"/>
              </w:rPr>
              <w:t>03</w:t>
            </w:r>
          </w:p>
        </w:tc>
        <w:tc>
          <w:tcPr>
            <w:tcW w:w="3331" w:type="dxa"/>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rPr>
                <w:rFonts w:cs="Arial"/>
                <w:sz w:val="17"/>
                <w:szCs w:val="17"/>
                <w:lang w:val="en-US"/>
              </w:rPr>
            </w:pPr>
            <w:r w:rsidRPr="00680BAF">
              <w:rPr>
                <w:rFonts w:cs="Arial"/>
                <w:sz w:val="17"/>
                <w:szCs w:val="17"/>
                <w:lang w:val="en-US"/>
              </w:rPr>
              <w:t>Engineering and Related Technologies</w:t>
            </w:r>
          </w:p>
        </w:tc>
        <w:tc>
          <w:tcPr>
            <w:tcW w:w="1433" w:type="dxa"/>
            <w:gridSpan w:val="2"/>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19,786</w:t>
            </w:r>
          </w:p>
        </w:tc>
        <w:tc>
          <w:tcPr>
            <w:tcW w:w="992" w:type="dxa"/>
            <w:tcBorders>
              <w:top w:val="nil"/>
              <w:left w:val="nil"/>
              <w:bottom w:val="nil"/>
              <w:right w:val="nil"/>
            </w:tcBorders>
            <w:shd w:val="clear" w:color="auto" w:fill="auto"/>
            <w:noWrap/>
            <w:vAlign w:val="bottom"/>
            <w:hideMark/>
          </w:tcPr>
          <w:p w:rsidR="004631F6" w:rsidRPr="00680BAF" w:rsidRDefault="004631F6" w:rsidP="00B82326">
            <w:pPr>
              <w:pStyle w:val="Tabletext"/>
              <w:spacing w:before="0" w:after="0"/>
              <w:jc w:val="right"/>
              <w:rPr>
                <w:rFonts w:cs="Arial"/>
                <w:sz w:val="17"/>
                <w:szCs w:val="17"/>
                <w:lang w:val="en-US"/>
              </w:rPr>
            </w:pPr>
            <w:r w:rsidRPr="00680BAF">
              <w:rPr>
                <w:rFonts w:cs="Arial"/>
                <w:color w:val="000000"/>
                <w:sz w:val="17"/>
                <w:szCs w:val="17"/>
              </w:rPr>
              <w:t>6.2</w:t>
            </w:r>
          </w:p>
        </w:tc>
        <w:tc>
          <w:tcPr>
            <w:tcW w:w="284" w:type="dxa"/>
            <w:gridSpan w:val="2"/>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p>
        </w:tc>
        <w:tc>
          <w:tcPr>
            <w:tcW w:w="850" w:type="dxa"/>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1,469</w:t>
            </w:r>
          </w:p>
        </w:tc>
        <w:tc>
          <w:tcPr>
            <w:tcW w:w="1525" w:type="dxa"/>
            <w:tcBorders>
              <w:top w:val="nil"/>
              <w:left w:val="nil"/>
              <w:bottom w:val="nil"/>
              <w:right w:val="nil"/>
            </w:tcBorders>
            <w:vAlign w:val="bottom"/>
          </w:tcPr>
          <w:p w:rsidR="004631F6" w:rsidRPr="00680BAF" w:rsidRDefault="004631F6" w:rsidP="005C7C67">
            <w:pPr>
              <w:pStyle w:val="Tabletext"/>
              <w:spacing w:before="0" w:after="0"/>
              <w:jc w:val="center"/>
              <w:rPr>
                <w:sz w:val="17"/>
                <w:szCs w:val="17"/>
              </w:rPr>
            </w:pPr>
            <w:r w:rsidRPr="00680BAF">
              <w:rPr>
                <w:sz w:val="17"/>
                <w:szCs w:val="17"/>
              </w:rPr>
              <w:t>7.4</w:t>
            </w:r>
          </w:p>
        </w:tc>
      </w:tr>
      <w:tr w:rsidR="004631F6" w:rsidRPr="00680BAF" w:rsidTr="00680BAF">
        <w:trPr>
          <w:gridAfter w:val="1"/>
          <w:wAfter w:w="35" w:type="dxa"/>
          <w:trHeight w:val="300"/>
        </w:trPr>
        <w:tc>
          <w:tcPr>
            <w:tcW w:w="481" w:type="dxa"/>
            <w:tcBorders>
              <w:top w:val="nil"/>
              <w:left w:val="nil"/>
              <w:bottom w:val="nil"/>
              <w:right w:val="nil"/>
            </w:tcBorders>
            <w:vAlign w:val="bottom"/>
          </w:tcPr>
          <w:p w:rsidR="004631F6" w:rsidRPr="00680BAF" w:rsidRDefault="004631F6" w:rsidP="005C7C67">
            <w:pPr>
              <w:pStyle w:val="Tabletext"/>
              <w:spacing w:before="0" w:after="0"/>
              <w:rPr>
                <w:lang w:val="en-US"/>
              </w:rPr>
            </w:pPr>
            <w:r w:rsidRPr="00680BAF">
              <w:rPr>
                <w:lang w:val="en-US"/>
              </w:rPr>
              <w:t>04</w:t>
            </w:r>
          </w:p>
        </w:tc>
        <w:tc>
          <w:tcPr>
            <w:tcW w:w="3331" w:type="dxa"/>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rPr>
                <w:rFonts w:cs="Arial"/>
                <w:sz w:val="17"/>
                <w:szCs w:val="17"/>
                <w:lang w:val="en-US"/>
              </w:rPr>
            </w:pPr>
            <w:r w:rsidRPr="00680BAF">
              <w:rPr>
                <w:rFonts w:cs="Arial"/>
                <w:sz w:val="17"/>
                <w:szCs w:val="17"/>
                <w:lang w:val="en-US"/>
              </w:rPr>
              <w:t>Architecture and Building</w:t>
            </w:r>
          </w:p>
        </w:tc>
        <w:tc>
          <w:tcPr>
            <w:tcW w:w="1433" w:type="dxa"/>
            <w:gridSpan w:val="2"/>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6,798</w:t>
            </w:r>
          </w:p>
        </w:tc>
        <w:tc>
          <w:tcPr>
            <w:tcW w:w="992" w:type="dxa"/>
            <w:tcBorders>
              <w:top w:val="nil"/>
              <w:left w:val="nil"/>
              <w:bottom w:val="nil"/>
              <w:right w:val="nil"/>
            </w:tcBorders>
            <w:shd w:val="clear" w:color="auto" w:fill="auto"/>
            <w:noWrap/>
            <w:vAlign w:val="bottom"/>
            <w:hideMark/>
          </w:tcPr>
          <w:p w:rsidR="004631F6" w:rsidRPr="00680BAF" w:rsidRDefault="004631F6" w:rsidP="00B82326">
            <w:pPr>
              <w:pStyle w:val="Tabletext"/>
              <w:spacing w:before="0" w:after="0"/>
              <w:jc w:val="right"/>
              <w:rPr>
                <w:rFonts w:cs="Arial"/>
                <w:sz w:val="17"/>
                <w:szCs w:val="17"/>
                <w:lang w:val="en-US"/>
              </w:rPr>
            </w:pPr>
            <w:r w:rsidRPr="00680BAF">
              <w:rPr>
                <w:rFonts w:cs="Arial"/>
                <w:color w:val="000000"/>
                <w:sz w:val="17"/>
                <w:szCs w:val="17"/>
              </w:rPr>
              <w:t>2.1</w:t>
            </w:r>
          </w:p>
        </w:tc>
        <w:tc>
          <w:tcPr>
            <w:tcW w:w="284" w:type="dxa"/>
            <w:gridSpan w:val="2"/>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p>
        </w:tc>
        <w:tc>
          <w:tcPr>
            <w:tcW w:w="850" w:type="dxa"/>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694</w:t>
            </w:r>
          </w:p>
        </w:tc>
        <w:tc>
          <w:tcPr>
            <w:tcW w:w="1525" w:type="dxa"/>
            <w:tcBorders>
              <w:top w:val="nil"/>
              <w:left w:val="nil"/>
              <w:bottom w:val="nil"/>
              <w:right w:val="nil"/>
            </w:tcBorders>
            <w:vAlign w:val="bottom"/>
          </w:tcPr>
          <w:p w:rsidR="004631F6" w:rsidRPr="00680BAF" w:rsidRDefault="004631F6" w:rsidP="005C7C67">
            <w:pPr>
              <w:pStyle w:val="Tabletext"/>
              <w:spacing w:before="0" w:after="0"/>
              <w:jc w:val="center"/>
              <w:rPr>
                <w:sz w:val="17"/>
                <w:szCs w:val="17"/>
              </w:rPr>
            </w:pPr>
            <w:r w:rsidRPr="00680BAF">
              <w:rPr>
                <w:sz w:val="17"/>
                <w:szCs w:val="17"/>
              </w:rPr>
              <w:t>10.2</w:t>
            </w:r>
          </w:p>
        </w:tc>
      </w:tr>
      <w:tr w:rsidR="004631F6" w:rsidRPr="00680BAF" w:rsidTr="00680BAF">
        <w:trPr>
          <w:gridAfter w:val="1"/>
          <w:wAfter w:w="35" w:type="dxa"/>
          <w:trHeight w:val="300"/>
        </w:trPr>
        <w:tc>
          <w:tcPr>
            <w:tcW w:w="481" w:type="dxa"/>
            <w:tcBorders>
              <w:top w:val="nil"/>
              <w:left w:val="nil"/>
              <w:bottom w:val="nil"/>
              <w:right w:val="nil"/>
            </w:tcBorders>
            <w:vAlign w:val="bottom"/>
          </w:tcPr>
          <w:p w:rsidR="004631F6" w:rsidRPr="00680BAF" w:rsidRDefault="004631F6" w:rsidP="005C7C67">
            <w:pPr>
              <w:pStyle w:val="Tabletext"/>
              <w:spacing w:before="0" w:after="0"/>
              <w:rPr>
                <w:lang w:val="en-US"/>
              </w:rPr>
            </w:pPr>
            <w:r w:rsidRPr="00680BAF">
              <w:rPr>
                <w:lang w:val="en-US"/>
              </w:rPr>
              <w:t>05</w:t>
            </w:r>
          </w:p>
        </w:tc>
        <w:tc>
          <w:tcPr>
            <w:tcW w:w="3331" w:type="dxa"/>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rPr>
                <w:rFonts w:cs="Arial"/>
                <w:sz w:val="17"/>
                <w:szCs w:val="17"/>
                <w:lang w:val="en-US"/>
              </w:rPr>
            </w:pPr>
            <w:r w:rsidRPr="00680BAF">
              <w:rPr>
                <w:rFonts w:cs="Arial"/>
                <w:sz w:val="17"/>
                <w:szCs w:val="17"/>
                <w:lang w:val="en-US"/>
              </w:rPr>
              <w:t>Agriculture, Environmental and Related Studies</w:t>
            </w:r>
          </w:p>
        </w:tc>
        <w:tc>
          <w:tcPr>
            <w:tcW w:w="1433" w:type="dxa"/>
            <w:gridSpan w:val="2"/>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3,781</w:t>
            </w:r>
          </w:p>
        </w:tc>
        <w:tc>
          <w:tcPr>
            <w:tcW w:w="992" w:type="dxa"/>
            <w:tcBorders>
              <w:top w:val="nil"/>
              <w:left w:val="nil"/>
              <w:bottom w:val="nil"/>
              <w:right w:val="nil"/>
            </w:tcBorders>
            <w:shd w:val="clear" w:color="auto" w:fill="auto"/>
            <w:noWrap/>
            <w:vAlign w:val="bottom"/>
            <w:hideMark/>
          </w:tcPr>
          <w:p w:rsidR="004631F6" w:rsidRPr="00680BAF" w:rsidRDefault="004631F6" w:rsidP="00B82326">
            <w:pPr>
              <w:pStyle w:val="Tabletext"/>
              <w:spacing w:before="0" w:after="0"/>
              <w:jc w:val="right"/>
              <w:rPr>
                <w:rFonts w:cs="Arial"/>
                <w:sz w:val="17"/>
                <w:szCs w:val="17"/>
                <w:lang w:val="en-US"/>
              </w:rPr>
            </w:pPr>
            <w:r w:rsidRPr="00680BAF">
              <w:rPr>
                <w:rFonts w:cs="Arial"/>
                <w:color w:val="000000"/>
                <w:sz w:val="17"/>
                <w:szCs w:val="17"/>
              </w:rPr>
              <w:t>1.2</w:t>
            </w:r>
          </w:p>
        </w:tc>
        <w:tc>
          <w:tcPr>
            <w:tcW w:w="284" w:type="dxa"/>
            <w:gridSpan w:val="2"/>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p>
        </w:tc>
        <w:tc>
          <w:tcPr>
            <w:tcW w:w="850" w:type="dxa"/>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218</w:t>
            </w:r>
          </w:p>
        </w:tc>
        <w:tc>
          <w:tcPr>
            <w:tcW w:w="1525" w:type="dxa"/>
            <w:tcBorders>
              <w:top w:val="nil"/>
              <w:left w:val="nil"/>
              <w:bottom w:val="nil"/>
              <w:right w:val="nil"/>
            </w:tcBorders>
            <w:vAlign w:val="bottom"/>
          </w:tcPr>
          <w:p w:rsidR="004631F6" w:rsidRPr="00680BAF" w:rsidRDefault="004631F6" w:rsidP="005C7C67">
            <w:pPr>
              <w:pStyle w:val="Tabletext"/>
              <w:spacing w:before="0" w:after="0"/>
              <w:jc w:val="center"/>
              <w:rPr>
                <w:sz w:val="17"/>
                <w:szCs w:val="17"/>
              </w:rPr>
            </w:pPr>
            <w:r w:rsidRPr="00680BAF">
              <w:rPr>
                <w:sz w:val="17"/>
                <w:szCs w:val="17"/>
              </w:rPr>
              <w:t>5.8</w:t>
            </w:r>
          </w:p>
        </w:tc>
      </w:tr>
      <w:tr w:rsidR="004631F6" w:rsidRPr="00680BAF" w:rsidTr="00680BAF">
        <w:trPr>
          <w:gridAfter w:val="1"/>
          <w:wAfter w:w="35" w:type="dxa"/>
          <w:trHeight w:val="300"/>
        </w:trPr>
        <w:tc>
          <w:tcPr>
            <w:tcW w:w="481" w:type="dxa"/>
            <w:tcBorders>
              <w:top w:val="nil"/>
              <w:left w:val="nil"/>
              <w:bottom w:val="nil"/>
              <w:right w:val="nil"/>
            </w:tcBorders>
            <w:vAlign w:val="bottom"/>
          </w:tcPr>
          <w:p w:rsidR="004631F6" w:rsidRPr="00680BAF" w:rsidRDefault="004631F6" w:rsidP="005C7C67">
            <w:pPr>
              <w:pStyle w:val="Tabletext"/>
              <w:spacing w:before="0" w:after="0"/>
              <w:rPr>
                <w:lang w:val="en-US"/>
              </w:rPr>
            </w:pPr>
            <w:r w:rsidRPr="00680BAF">
              <w:rPr>
                <w:lang w:val="en-US"/>
              </w:rPr>
              <w:t>06</w:t>
            </w:r>
          </w:p>
        </w:tc>
        <w:tc>
          <w:tcPr>
            <w:tcW w:w="3331" w:type="dxa"/>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rPr>
                <w:rFonts w:cs="Arial"/>
                <w:sz w:val="17"/>
                <w:szCs w:val="17"/>
                <w:lang w:val="en-US"/>
              </w:rPr>
            </w:pPr>
            <w:r w:rsidRPr="00680BAF">
              <w:rPr>
                <w:rFonts w:cs="Arial"/>
                <w:sz w:val="17"/>
                <w:szCs w:val="17"/>
                <w:lang w:val="en-US"/>
              </w:rPr>
              <w:t>Health</w:t>
            </w:r>
          </w:p>
        </w:tc>
        <w:tc>
          <w:tcPr>
            <w:tcW w:w="1433" w:type="dxa"/>
            <w:gridSpan w:val="2"/>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40,823</w:t>
            </w:r>
          </w:p>
        </w:tc>
        <w:tc>
          <w:tcPr>
            <w:tcW w:w="992" w:type="dxa"/>
            <w:tcBorders>
              <w:top w:val="nil"/>
              <w:left w:val="nil"/>
              <w:bottom w:val="nil"/>
              <w:right w:val="nil"/>
            </w:tcBorders>
            <w:shd w:val="clear" w:color="auto" w:fill="auto"/>
            <w:noWrap/>
            <w:vAlign w:val="bottom"/>
            <w:hideMark/>
          </w:tcPr>
          <w:p w:rsidR="004631F6" w:rsidRPr="00680BAF" w:rsidRDefault="004631F6" w:rsidP="00B82326">
            <w:pPr>
              <w:pStyle w:val="Tabletext"/>
              <w:spacing w:before="0" w:after="0"/>
              <w:jc w:val="right"/>
              <w:rPr>
                <w:rFonts w:cs="Arial"/>
                <w:sz w:val="17"/>
                <w:szCs w:val="17"/>
                <w:lang w:val="en-US"/>
              </w:rPr>
            </w:pPr>
            <w:r w:rsidRPr="00680BAF">
              <w:rPr>
                <w:rFonts w:cs="Arial"/>
                <w:color w:val="000000"/>
                <w:sz w:val="17"/>
                <w:szCs w:val="17"/>
              </w:rPr>
              <w:t>12.9</w:t>
            </w:r>
          </w:p>
        </w:tc>
        <w:tc>
          <w:tcPr>
            <w:tcW w:w="284" w:type="dxa"/>
            <w:gridSpan w:val="2"/>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p>
        </w:tc>
        <w:tc>
          <w:tcPr>
            <w:tcW w:w="850" w:type="dxa"/>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4,778</w:t>
            </w:r>
          </w:p>
        </w:tc>
        <w:tc>
          <w:tcPr>
            <w:tcW w:w="1525" w:type="dxa"/>
            <w:tcBorders>
              <w:top w:val="nil"/>
              <w:left w:val="nil"/>
              <w:bottom w:val="nil"/>
              <w:right w:val="nil"/>
            </w:tcBorders>
            <w:vAlign w:val="bottom"/>
          </w:tcPr>
          <w:p w:rsidR="004631F6" w:rsidRPr="00680BAF" w:rsidRDefault="004631F6" w:rsidP="005C7C67">
            <w:pPr>
              <w:pStyle w:val="Tabletext"/>
              <w:spacing w:before="0" w:after="0"/>
              <w:jc w:val="center"/>
              <w:rPr>
                <w:sz w:val="17"/>
                <w:szCs w:val="17"/>
              </w:rPr>
            </w:pPr>
            <w:r w:rsidRPr="00680BAF">
              <w:rPr>
                <w:sz w:val="17"/>
                <w:szCs w:val="17"/>
              </w:rPr>
              <w:t>11.7</w:t>
            </w:r>
          </w:p>
        </w:tc>
      </w:tr>
      <w:tr w:rsidR="004631F6" w:rsidRPr="00680BAF" w:rsidTr="00680BAF">
        <w:trPr>
          <w:gridAfter w:val="1"/>
          <w:wAfter w:w="35" w:type="dxa"/>
          <w:trHeight w:val="300"/>
        </w:trPr>
        <w:tc>
          <w:tcPr>
            <w:tcW w:w="481" w:type="dxa"/>
            <w:tcBorders>
              <w:top w:val="nil"/>
              <w:left w:val="nil"/>
              <w:bottom w:val="nil"/>
              <w:right w:val="nil"/>
            </w:tcBorders>
            <w:vAlign w:val="bottom"/>
          </w:tcPr>
          <w:p w:rsidR="004631F6" w:rsidRPr="00680BAF" w:rsidRDefault="004631F6" w:rsidP="005C7C67">
            <w:pPr>
              <w:pStyle w:val="Tabletext"/>
              <w:spacing w:before="0" w:after="0"/>
              <w:rPr>
                <w:lang w:val="en-US"/>
              </w:rPr>
            </w:pPr>
            <w:r w:rsidRPr="00680BAF">
              <w:rPr>
                <w:lang w:val="en-US"/>
              </w:rPr>
              <w:t>07</w:t>
            </w:r>
          </w:p>
        </w:tc>
        <w:tc>
          <w:tcPr>
            <w:tcW w:w="3331" w:type="dxa"/>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rPr>
                <w:rFonts w:cs="Arial"/>
                <w:sz w:val="17"/>
                <w:szCs w:val="17"/>
                <w:lang w:val="en-US"/>
              </w:rPr>
            </w:pPr>
            <w:r w:rsidRPr="00680BAF">
              <w:rPr>
                <w:rFonts w:cs="Arial"/>
                <w:sz w:val="17"/>
                <w:szCs w:val="17"/>
                <w:lang w:val="en-US"/>
              </w:rPr>
              <w:t>Education</w:t>
            </w:r>
          </w:p>
        </w:tc>
        <w:tc>
          <w:tcPr>
            <w:tcW w:w="1433" w:type="dxa"/>
            <w:gridSpan w:val="2"/>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23,391</w:t>
            </w:r>
          </w:p>
        </w:tc>
        <w:tc>
          <w:tcPr>
            <w:tcW w:w="992" w:type="dxa"/>
            <w:tcBorders>
              <w:top w:val="nil"/>
              <w:left w:val="nil"/>
              <w:bottom w:val="nil"/>
              <w:right w:val="nil"/>
            </w:tcBorders>
            <w:shd w:val="clear" w:color="auto" w:fill="auto"/>
            <w:noWrap/>
            <w:vAlign w:val="bottom"/>
            <w:hideMark/>
          </w:tcPr>
          <w:p w:rsidR="004631F6" w:rsidRPr="00680BAF" w:rsidRDefault="004631F6" w:rsidP="00B82326">
            <w:pPr>
              <w:pStyle w:val="Tabletext"/>
              <w:spacing w:before="0" w:after="0"/>
              <w:jc w:val="right"/>
              <w:rPr>
                <w:rFonts w:cs="Arial"/>
                <w:sz w:val="17"/>
                <w:szCs w:val="17"/>
                <w:lang w:val="en-US"/>
              </w:rPr>
            </w:pPr>
            <w:r w:rsidRPr="00680BAF">
              <w:rPr>
                <w:rFonts w:cs="Arial"/>
                <w:color w:val="000000"/>
                <w:sz w:val="17"/>
                <w:szCs w:val="17"/>
              </w:rPr>
              <w:t>7.4</w:t>
            </w:r>
          </w:p>
        </w:tc>
        <w:tc>
          <w:tcPr>
            <w:tcW w:w="284" w:type="dxa"/>
            <w:gridSpan w:val="2"/>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p>
        </w:tc>
        <w:tc>
          <w:tcPr>
            <w:tcW w:w="850" w:type="dxa"/>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3,494</w:t>
            </w:r>
          </w:p>
        </w:tc>
        <w:tc>
          <w:tcPr>
            <w:tcW w:w="1525" w:type="dxa"/>
            <w:tcBorders>
              <w:top w:val="nil"/>
              <w:left w:val="nil"/>
              <w:bottom w:val="nil"/>
              <w:right w:val="nil"/>
            </w:tcBorders>
            <w:vAlign w:val="bottom"/>
          </w:tcPr>
          <w:p w:rsidR="004631F6" w:rsidRPr="00680BAF" w:rsidRDefault="004631F6" w:rsidP="005C7C67">
            <w:pPr>
              <w:pStyle w:val="Tabletext"/>
              <w:spacing w:before="0" w:after="0"/>
              <w:jc w:val="center"/>
              <w:rPr>
                <w:sz w:val="17"/>
                <w:szCs w:val="17"/>
              </w:rPr>
            </w:pPr>
            <w:r w:rsidRPr="00680BAF">
              <w:rPr>
                <w:sz w:val="17"/>
                <w:szCs w:val="17"/>
              </w:rPr>
              <w:t>14.9</w:t>
            </w:r>
          </w:p>
        </w:tc>
      </w:tr>
      <w:tr w:rsidR="004631F6" w:rsidRPr="00680BAF" w:rsidTr="00680BAF">
        <w:trPr>
          <w:gridAfter w:val="1"/>
          <w:wAfter w:w="35" w:type="dxa"/>
          <w:trHeight w:val="300"/>
        </w:trPr>
        <w:tc>
          <w:tcPr>
            <w:tcW w:w="481" w:type="dxa"/>
            <w:tcBorders>
              <w:top w:val="nil"/>
              <w:left w:val="nil"/>
              <w:bottom w:val="nil"/>
              <w:right w:val="nil"/>
            </w:tcBorders>
            <w:vAlign w:val="bottom"/>
          </w:tcPr>
          <w:p w:rsidR="004631F6" w:rsidRPr="00680BAF" w:rsidRDefault="004631F6" w:rsidP="005C7C67">
            <w:pPr>
              <w:pStyle w:val="Tabletext"/>
              <w:spacing w:before="0" w:after="0"/>
              <w:rPr>
                <w:lang w:val="en-US"/>
              </w:rPr>
            </w:pPr>
            <w:r w:rsidRPr="00680BAF">
              <w:rPr>
                <w:lang w:val="en-US"/>
              </w:rPr>
              <w:t>08</w:t>
            </w:r>
          </w:p>
        </w:tc>
        <w:tc>
          <w:tcPr>
            <w:tcW w:w="3331" w:type="dxa"/>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rPr>
                <w:rFonts w:cs="Arial"/>
                <w:sz w:val="17"/>
                <w:szCs w:val="17"/>
                <w:lang w:val="en-US"/>
              </w:rPr>
            </w:pPr>
            <w:r w:rsidRPr="00680BAF">
              <w:rPr>
                <w:rFonts w:cs="Arial"/>
                <w:sz w:val="17"/>
                <w:szCs w:val="17"/>
                <w:lang w:val="en-US"/>
              </w:rPr>
              <w:t>Management and Commerce</w:t>
            </w:r>
          </w:p>
        </w:tc>
        <w:tc>
          <w:tcPr>
            <w:tcW w:w="1433" w:type="dxa"/>
            <w:gridSpan w:val="2"/>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71,650</w:t>
            </w:r>
          </w:p>
        </w:tc>
        <w:tc>
          <w:tcPr>
            <w:tcW w:w="992" w:type="dxa"/>
            <w:tcBorders>
              <w:top w:val="nil"/>
              <w:left w:val="nil"/>
              <w:bottom w:val="nil"/>
              <w:right w:val="nil"/>
            </w:tcBorders>
            <w:shd w:val="clear" w:color="auto" w:fill="auto"/>
            <w:noWrap/>
            <w:vAlign w:val="bottom"/>
            <w:hideMark/>
          </w:tcPr>
          <w:p w:rsidR="004631F6" w:rsidRPr="00680BAF" w:rsidRDefault="004631F6" w:rsidP="00B82326">
            <w:pPr>
              <w:pStyle w:val="Tabletext"/>
              <w:spacing w:before="0" w:after="0"/>
              <w:jc w:val="right"/>
              <w:rPr>
                <w:rFonts w:cs="Arial"/>
                <w:sz w:val="17"/>
                <w:szCs w:val="17"/>
                <w:lang w:val="en-US"/>
              </w:rPr>
            </w:pPr>
            <w:r w:rsidRPr="00680BAF">
              <w:rPr>
                <w:rFonts w:cs="Arial"/>
                <w:color w:val="000000"/>
                <w:sz w:val="17"/>
                <w:szCs w:val="17"/>
              </w:rPr>
              <w:t>22.6</w:t>
            </w:r>
          </w:p>
        </w:tc>
        <w:tc>
          <w:tcPr>
            <w:tcW w:w="284" w:type="dxa"/>
            <w:gridSpan w:val="2"/>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p>
        </w:tc>
        <w:tc>
          <w:tcPr>
            <w:tcW w:w="850" w:type="dxa"/>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9,288</w:t>
            </w:r>
          </w:p>
        </w:tc>
        <w:tc>
          <w:tcPr>
            <w:tcW w:w="1525" w:type="dxa"/>
            <w:tcBorders>
              <w:top w:val="nil"/>
              <w:left w:val="nil"/>
              <w:bottom w:val="nil"/>
              <w:right w:val="nil"/>
            </w:tcBorders>
            <w:vAlign w:val="bottom"/>
          </w:tcPr>
          <w:p w:rsidR="004631F6" w:rsidRPr="00680BAF" w:rsidRDefault="004631F6" w:rsidP="005C7C67">
            <w:pPr>
              <w:pStyle w:val="Tabletext"/>
              <w:spacing w:before="0" w:after="0"/>
              <w:jc w:val="center"/>
              <w:rPr>
                <w:sz w:val="17"/>
                <w:szCs w:val="17"/>
              </w:rPr>
            </w:pPr>
            <w:r w:rsidRPr="00680BAF">
              <w:rPr>
                <w:sz w:val="17"/>
                <w:szCs w:val="17"/>
              </w:rPr>
              <w:t>13.0</w:t>
            </w:r>
          </w:p>
        </w:tc>
      </w:tr>
      <w:tr w:rsidR="004631F6" w:rsidRPr="00680BAF" w:rsidTr="00680BAF">
        <w:trPr>
          <w:gridAfter w:val="1"/>
          <w:wAfter w:w="35" w:type="dxa"/>
          <w:trHeight w:val="300"/>
        </w:trPr>
        <w:tc>
          <w:tcPr>
            <w:tcW w:w="481" w:type="dxa"/>
            <w:tcBorders>
              <w:top w:val="nil"/>
              <w:left w:val="nil"/>
              <w:bottom w:val="nil"/>
              <w:right w:val="nil"/>
            </w:tcBorders>
            <w:vAlign w:val="bottom"/>
          </w:tcPr>
          <w:p w:rsidR="004631F6" w:rsidRPr="00680BAF" w:rsidRDefault="004631F6" w:rsidP="005C7C67">
            <w:pPr>
              <w:pStyle w:val="Tabletext"/>
              <w:spacing w:before="0" w:after="0"/>
              <w:rPr>
                <w:lang w:val="en-US"/>
              </w:rPr>
            </w:pPr>
            <w:r w:rsidRPr="00680BAF">
              <w:rPr>
                <w:lang w:val="en-US"/>
              </w:rPr>
              <w:t>09</w:t>
            </w:r>
          </w:p>
        </w:tc>
        <w:tc>
          <w:tcPr>
            <w:tcW w:w="3331" w:type="dxa"/>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rPr>
                <w:rFonts w:cs="Arial"/>
                <w:sz w:val="17"/>
                <w:szCs w:val="17"/>
                <w:lang w:val="en-US"/>
              </w:rPr>
            </w:pPr>
            <w:r w:rsidRPr="00680BAF">
              <w:rPr>
                <w:rFonts w:cs="Arial"/>
                <w:sz w:val="17"/>
                <w:szCs w:val="17"/>
                <w:lang w:val="en-US"/>
              </w:rPr>
              <w:t>Society and Culture</w:t>
            </w:r>
          </w:p>
        </w:tc>
        <w:tc>
          <w:tcPr>
            <w:tcW w:w="1433" w:type="dxa"/>
            <w:gridSpan w:val="2"/>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66,411</w:t>
            </w:r>
          </w:p>
        </w:tc>
        <w:tc>
          <w:tcPr>
            <w:tcW w:w="992" w:type="dxa"/>
            <w:tcBorders>
              <w:top w:val="nil"/>
              <w:left w:val="nil"/>
              <w:bottom w:val="nil"/>
              <w:right w:val="nil"/>
            </w:tcBorders>
            <w:shd w:val="clear" w:color="auto" w:fill="auto"/>
            <w:noWrap/>
            <w:vAlign w:val="bottom"/>
            <w:hideMark/>
          </w:tcPr>
          <w:p w:rsidR="004631F6" w:rsidRPr="00680BAF" w:rsidRDefault="004631F6" w:rsidP="00B82326">
            <w:pPr>
              <w:pStyle w:val="Tabletext"/>
              <w:spacing w:before="0" w:after="0"/>
              <w:jc w:val="right"/>
              <w:rPr>
                <w:rFonts w:cs="Arial"/>
                <w:sz w:val="17"/>
                <w:szCs w:val="17"/>
                <w:lang w:val="en-US"/>
              </w:rPr>
            </w:pPr>
            <w:r w:rsidRPr="00680BAF">
              <w:rPr>
                <w:rFonts w:cs="Arial"/>
                <w:color w:val="000000"/>
                <w:sz w:val="17"/>
                <w:szCs w:val="17"/>
              </w:rPr>
              <w:t>20.9</w:t>
            </w:r>
          </w:p>
        </w:tc>
        <w:tc>
          <w:tcPr>
            <w:tcW w:w="284" w:type="dxa"/>
            <w:gridSpan w:val="2"/>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p>
        </w:tc>
        <w:tc>
          <w:tcPr>
            <w:tcW w:w="850" w:type="dxa"/>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5,514</w:t>
            </w:r>
          </w:p>
        </w:tc>
        <w:tc>
          <w:tcPr>
            <w:tcW w:w="1525" w:type="dxa"/>
            <w:tcBorders>
              <w:top w:val="nil"/>
              <w:left w:val="nil"/>
              <w:bottom w:val="nil"/>
              <w:right w:val="nil"/>
            </w:tcBorders>
            <w:vAlign w:val="bottom"/>
          </w:tcPr>
          <w:p w:rsidR="004631F6" w:rsidRPr="00680BAF" w:rsidRDefault="004631F6" w:rsidP="005C7C67">
            <w:pPr>
              <w:pStyle w:val="Tabletext"/>
              <w:spacing w:before="0" w:after="0"/>
              <w:jc w:val="center"/>
              <w:rPr>
                <w:sz w:val="17"/>
                <w:szCs w:val="17"/>
              </w:rPr>
            </w:pPr>
            <w:r w:rsidRPr="00680BAF">
              <w:rPr>
                <w:sz w:val="17"/>
                <w:szCs w:val="17"/>
              </w:rPr>
              <w:t>8.3</w:t>
            </w:r>
          </w:p>
        </w:tc>
      </w:tr>
      <w:tr w:rsidR="004631F6" w:rsidRPr="00680BAF" w:rsidTr="00680BAF">
        <w:trPr>
          <w:gridAfter w:val="1"/>
          <w:wAfter w:w="35" w:type="dxa"/>
          <w:trHeight w:val="300"/>
        </w:trPr>
        <w:tc>
          <w:tcPr>
            <w:tcW w:w="481" w:type="dxa"/>
            <w:tcBorders>
              <w:top w:val="nil"/>
              <w:left w:val="nil"/>
              <w:bottom w:val="nil"/>
              <w:right w:val="nil"/>
            </w:tcBorders>
            <w:vAlign w:val="bottom"/>
          </w:tcPr>
          <w:p w:rsidR="004631F6" w:rsidRPr="00680BAF" w:rsidRDefault="004631F6" w:rsidP="005C7C67">
            <w:pPr>
              <w:pStyle w:val="Tabletext"/>
              <w:spacing w:before="0" w:after="0"/>
              <w:rPr>
                <w:lang w:val="en-US"/>
              </w:rPr>
            </w:pPr>
            <w:r w:rsidRPr="00680BAF">
              <w:rPr>
                <w:lang w:val="en-US"/>
              </w:rPr>
              <w:t>10</w:t>
            </w:r>
          </w:p>
        </w:tc>
        <w:tc>
          <w:tcPr>
            <w:tcW w:w="3331" w:type="dxa"/>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rPr>
                <w:rFonts w:cs="Arial"/>
                <w:sz w:val="17"/>
                <w:szCs w:val="17"/>
                <w:lang w:val="en-US"/>
              </w:rPr>
            </w:pPr>
            <w:r w:rsidRPr="00680BAF">
              <w:rPr>
                <w:rFonts w:cs="Arial"/>
                <w:sz w:val="17"/>
                <w:szCs w:val="17"/>
                <w:lang w:val="en-US"/>
              </w:rPr>
              <w:t>Creative Arts</w:t>
            </w:r>
          </w:p>
        </w:tc>
        <w:tc>
          <w:tcPr>
            <w:tcW w:w="1433" w:type="dxa"/>
            <w:gridSpan w:val="2"/>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23,854</w:t>
            </w:r>
          </w:p>
        </w:tc>
        <w:tc>
          <w:tcPr>
            <w:tcW w:w="992" w:type="dxa"/>
            <w:tcBorders>
              <w:top w:val="nil"/>
              <w:left w:val="nil"/>
              <w:bottom w:val="nil"/>
              <w:right w:val="nil"/>
            </w:tcBorders>
            <w:shd w:val="clear" w:color="auto" w:fill="auto"/>
            <w:noWrap/>
            <w:vAlign w:val="bottom"/>
            <w:hideMark/>
          </w:tcPr>
          <w:p w:rsidR="004631F6" w:rsidRPr="00680BAF" w:rsidRDefault="004631F6" w:rsidP="00B82326">
            <w:pPr>
              <w:pStyle w:val="Tabletext"/>
              <w:spacing w:before="0" w:after="0"/>
              <w:jc w:val="right"/>
              <w:rPr>
                <w:rFonts w:cs="Arial"/>
                <w:sz w:val="17"/>
                <w:szCs w:val="17"/>
                <w:lang w:val="en-US"/>
              </w:rPr>
            </w:pPr>
            <w:r w:rsidRPr="00680BAF">
              <w:rPr>
                <w:rFonts w:cs="Arial"/>
                <w:color w:val="000000"/>
                <w:sz w:val="17"/>
                <w:szCs w:val="17"/>
              </w:rPr>
              <w:t>7.5</w:t>
            </w:r>
          </w:p>
        </w:tc>
        <w:tc>
          <w:tcPr>
            <w:tcW w:w="284" w:type="dxa"/>
            <w:gridSpan w:val="2"/>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p>
        </w:tc>
        <w:tc>
          <w:tcPr>
            <w:tcW w:w="850" w:type="dxa"/>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1,995</w:t>
            </w:r>
          </w:p>
        </w:tc>
        <w:tc>
          <w:tcPr>
            <w:tcW w:w="1525" w:type="dxa"/>
            <w:tcBorders>
              <w:top w:val="nil"/>
              <w:left w:val="nil"/>
              <w:bottom w:val="nil"/>
              <w:right w:val="nil"/>
            </w:tcBorders>
            <w:vAlign w:val="bottom"/>
          </w:tcPr>
          <w:p w:rsidR="004631F6" w:rsidRPr="00680BAF" w:rsidRDefault="004631F6" w:rsidP="005C7C67">
            <w:pPr>
              <w:pStyle w:val="Tabletext"/>
              <w:spacing w:before="0" w:after="0"/>
              <w:jc w:val="center"/>
              <w:rPr>
                <w:sz w:val="17"/>
                <w:szCs w:val="17"/>
              </w:rPr>
            </w:pPr>
            <w:r w:rsidRPr="00680BAF">
              <w:rPr>
                <w:sz w:val="17"/>
                <w:szCs w:val="17"/>
              </w:rPr>
              <w:t>8.4</w:t>
            </w:r>
          </w:p>
        </w:tc>
      </w:tr>
      <w:tr w:rsidR="004631F6" w:rsidRPr="00680BAF" w:rsidTr="00680BAF">
        <w:trPr>
          <w:gridAfter w:val="1"/>
          <w:wAfter w:w="35" w:type="dxa"/>
          <w:trHeight w:val="300"/>
        </w:trPr>
        <w:tc>
          <w:tcPr>
            <w:tcW w:w="481" w:type="dxa"/>
            <w:tcBorders>
              <w:top w:val="nil"/>
              <w:left w:val="nil"/>
              <w:bottom w:val="nil"/>
              <w:right w:val="nil"/>
            </w:tcBorders>
            <w:vAlign w:val="bottom"/>
          </w:tcPr>
          <w:p w:rsidR="004631F6" w:rsidRPr="00680BAF" w:rsidRDefault="004631F6" w:rsidP="005C7C67">
            <w:pPr>
              <w:pStyle w:val="Tabletext"/>
              <w:spacing w:before="0" w:after="0"/>
              <w:rPr>
                <w:lang w:val="en-US"/>
              </w:rPr>
            </w:pPr>
            <w:r w:rsidRPr="00680BAF">
              <w:rPr>
                <w:lang w:val="en-US"/>
              </w:rPr>
              <w:t>11</w:t>
            </w:r>
          </w:p>
        </w:tc>
        <w:tc>
          <w:tcPr>
            <w:tcW w:w="3331" w:type="dxa"/>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rPr>
                <w:rFonts w:cs="Arial"/>
                <w:sz w:val="17"/>
                <w:szCs w:val="17"/>
                <w:lang w:val="en-US"/>
              </w:rPr>
            </w:pPr>
            <w:r w:rsidRPr="00680BAF">
              <w:rPr>
                <w:rFonts w:cs="Arial"/>
                <w:sz w:val="17"/>
                <w:szCs w:val="17"/>
                <w:lang w:val="en-US"/>
              </w:rPr>
              <w:t>Food, Hospitality and Personal Services</w:t>
            </w:r>
          </w:p>
        </w:tc>
        <w:tc>
          <w:tcPr>
            <w:tcW w:w="1433" w:type="dxa"/>
            <w:gridSpan w:val="2"/>
            <w:tcBorders>
              <w:top w:val="nil"/>
              <w:left w:val="nil"/>
              <w:bottom w:val="nil"/>
              <w:right w:val="nil"/>
            </w:tcBorders>
            <w:shd w:val="clear" w:color="auto" w:fill="auto"/>
            <w:noWrap/>
            <w:vAlign w:val="bottom"/>
            <w:hideMark/>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0</w:t>
            </w:r>
          </w:p>
        </w:tc>
        <w:tc>
          <w:tcPr>
            <w:tcW w:w="992" w:type="dxa"/>
            <w:tcBorders>
              <w:top w:val="nil"/>
              <w:left w:val="nil"/>
              <w:bottom w:val="nil"/>
              <w:right w:val="nil"/>
            </w:tcBorders>
            <w:shd w:val="clear" w:color="auto" w:fill="auto"/>
            <w:noWrap/>
            <w:vAlign w:val="bottom"/>
            <w:hideMark/>
          </w:tcPr>
          <w:p w:rsidR="004631F6" w:rsidRPr="00680BAF" w:rsidRDefault="004631F6" w:rsidP="00B82326">
            <w:pPr>
              <w:pStyle w:val="Tabletext"/>
              <w:spacing w:before="0" w:after="0"/>
              <w:jc w:val="right"/>
              <w:rPr>
                <w:rFonts w:cs="Arial"/>
                <w:sz w:val="17"/>
                <w:szCs w:val="17"/>
                <w:lang w:val="en-US"/>
              </w:rPr>
            </w:pPr>
            <w:r w:rsidRPr="00680BAF">
              <w:rPr>
                <w:rFonts w:cs="Arial"/>
                <w:color w:val="000000"/>
                <w:sz w:val="17"/>
                <w:szCs w:val="17"/>
              </w:rPr>
              <w:t>0.0</w:t>
            </w:r>
          </w:p>
        </w:tc>
        <w:tc>
          <w:tcPr>
            <w:tcW w:w="284" w:type="dxa"/>
            <w:gridSpan w:val="2"/>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p>
        </w:tc>
        <w:tc>
          <w:tcPr>
            <w:tcW w:w="850" w:type="dxa"/>
            <w:tcBorders>
              <w:top w:val="nil"/>
              <w:left w:val="nil"/>
              <w:bottom w:val="nil"/>
              <w:right w:val="nil"/>
            </w:tcBorders>
            <w:vAlign w:val="bottom"/>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0</w:t>
            </w:r>
          </w:p>
        </w:tc>
        <w:tc>
          <w:tcPr>
            <w:tcW w:w="1525" w:type="dxa"/>
            <w:tcBorders>
              <w:top w:val="nil"/>
              <w:left w:val="nil"/>
              <w:bottom w:val="nil"/>
              <w:right w:val="nil"/>
            </w:tcBorders>
            <w:vAlign w:val="bottom"/>
          </w:tcPr>
          <w:p w:rsidR="004631F6" w:rsidRPr="00680BAF" w:rsidRDefault="004631F6" w:rsidP="005C7C67">
            <w:pPr>
              <w:pStyle w:val="Tabletext"/>
              <w:spacing w:before="0" w:after="0"/>
              <w:jc w:val="center"/>
              <w:rPr>
                <w:sz w:val="17"/>
                <w:szCs w:val="17"/>
              </w:rPr>
            </w:pPr>
            <w:r w:rsidRPr="00680BAF">
              <w:rPr>
                <w:sz w:val="17"/>
                <w:szCs w:val="17"/>
              </w:rPr>
              <w:t>-</w:t>
            </w:r>
          </w:p>
        </w:tc>
      </w:tr>
      <w:tr w:rsidR="004631F6" w:rsidRPr="00680BAF" w:rsidTr="00680BAF">
        <w:trPr>
          <w:gridAfter w:val="1"/>
          <w:wAfter w:w="35" w:type="dxa"/>
          <w:trHeight w:val="300"/>
        </w:trPr>
        <w:tc>
          <w:tcPr>
            <w:tcW w:w="481" w:type="dxa"/>
            <w:tcBorders>
              <w:top w:val="nil"/>
              <w:left w:val="nil"/>
              <w:right w:val="nil"/>
            </w:tcBorders>
            <w:vAlign w:val="bottom"/>
          </w:tcPr>
          <w:p w:rsidR="004631F6" w:rsidRPr="00680BAF" w:rsidRDefault="004631F6" w:rsidP="005C7C67">
            <w:pPr>
              <w:pStyle w:val="Tabletext"/>
              <w:spacing w:before="0" w:after="0"/>
              <w:rPr>
                <w:lang w:val="en-US"/>
              </w:rPr>
            </w:pPr>
            <w:r w:rsidRPr="00680BAF">
              <w:rPr>
                <w:lang w:val="en-US"/>
              </w:rPr>
              <w:t>12</w:t>
            </w:r>
          </w:p>
        </w:tc>
        <w:tc>
          <w:tcPr>
            <w:tcW w:w="3331" w:type="dxa"/>
            <w:tcBorders>
              <w:top w:val="nil"/>
              <w:left w:val="nil"/>
              <w:right w:val="nil"/>
            </w:tcBorders>
            <w:shd w:val="clear" w:color="auto" w:fill="auto"/>
            <w:noWrap/>
            <w:vAlign w:val="bottom"/>
            <w:hideMark/>
          </w:tcPr>
          <w:p w:rsidR="004631F6" w:rsidRPr="00680BAF" w:rsidRDefault="004631F6" w:rsidP="005C7C67">
            <w:pPr>
              <w:pStyle w:val="Tabletext"/>
              <w:spacing w:before="0" w:after="0"/>
              <w:rPr>
                <w:rFonts w:cs="Arial"/>
                <w:sz w:val="17"/>
                <w:szCs w:val="17"/>
                <w:lang w:val="en-US"/>
              </w:rPr>
            </w:pPr>
            <w:r w:rsidRPr="00680BAF">
              <w:rPr>
                <w:rFonts w:cs="Arial"/>
                <w:sz w:val="17"/>
                <w:szCs w:val="17"/>
                <w:lang w:val="en-US"/>
              </w:rPr>
              <w:t>Mixed Field Programs</w:t>
            </w:r>
          </w:p>
        </w:tc>
        <w:tc>
          <w:tcPr>
            <w:tcW w:w="1433" w:type="dxa"/>
            <w:gridSpan w:val="2"/>
            <w:tcBorders>
              <w:top w:val="nil"/>
              <w:left w:val="nil"/>
              <w:right w:val="nil"/>
            </w:tcBorders>
            <w:shd w:val="clear" w:color="auto" w:fill="auto"/>
            <w:noWrap/>
            <w:vAlign w:val="bottom"/>
            <w:hideMark/>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6,229</w:t>
            </w:r>
          </w:p>
        </w:tc>
        <w:tc>
          <w:tcPr>
            <w:tcW w:w="992" w:type="dxa"/>
            <w:tcBorders>
              <w:top w:val="nil"/>
              <w:left w:val="nil"/>
              <w:right w:val="nil"/>
            </w:tcBorders>
            <w:shd w:val="clear" w:color="auto" w:fill="auto"/>
            <w:noWrap/>
            <w:vAlign w:val="bottom"/>
            <w:hideMark/>
          </w:tcPr>
          <w:p w:rsidR="004631F6" w:rsidRPr="00680BAF" w:rsidRDefault="004631F6" w:rsidP="00B82326">
            <w:pPr>
              <w:pStyle w:val="Tabletext"/>
              <w:spacing w:before="0" w:after="0"/>
              <w:jc w:val="right"/>
              <w:rPr>
                <w:rFonts w:cs="Arial"/>
                <w:sz w:val="17"/>
                <w:szCs w:val="17"/>
                <w:lang w:val="en-US"/>
              </w:rPr>
            </w:pPr>
            <w:r w:rsidRPr="00680BAF">
              <w:rPr>
                <w:rFonts w:cs="Arial"/>
                <w:color w:val="000000"/>
                <w:sz w:val="17"/>
                <w:szCs w:val="17"/>
              </w:rPr>
              <w:t>2.0</w:t>
            </w:r>
          </w:p>
        </w:tc>
        <w:tc>
          <w:tcPr>
            <w:tcW w:w="284" w:type="dxa"/>
            <w:gridSpan w:val="2"/>
            <w:tcBorders>
              <w:top w:val="nil"/>
              <w:left w:val="nil"/>
              <w:right w:val="nil"/>
            </w:tcBorders>
            <w:vAlign w:val="bottom"/>
          </w:tcPr>
          <w:p w:rsidR="004631F6" w:rsidRPr="00680BAF" w:rsidRDefault="004631F6" w:rsidP="005C7C67">
            <w:pPr>
              <w:pStyle w:val="Tabletext"/>
              <w:spacing w:before="0" w:after="0"/>
              <w:jc w:val="right"/>
              <w:rPr>
                <w:rFonts w:cs="Arial"/>
                <w:sz w:val="17"/>
                <w:szCs w:val="17"/>
                <w:lang w:val="en-US"/>
              </w:rPr>
            </w:pPr>
          </w:p>
        </w:tc>
        <w:tc>
          <w:tcPr>
            <w:tcW w:w="850" w:type="dxa"/>
            <w:tcBorders>
              <w:top w:val="nil"/>
              <w:left w:val="nil"/>
              <w:right w:val="nil"/>
            </w:tcBorders>
            <w:vAlign w:val="bottom"/>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217</w:t>
            </w:r>
          </w:p>
        </w:tc>
        <w:tc>
          <w:tcPr>
            <w:tcW w:w="1525" w:type="dxa"/>
            <w:tcBorders>
              <w:top w:val="nil"/>
              <w:left w:val="nil"/>
              <w:right w:val="nil"/>
            </w:tcBorders>
            <w:vAlign w:val="bottom"/>
          </w:tcPr>
          <w:p w:rsidR="004631F6" w:rsidRPr="00680BAF" w:rsidRDefault="004631F6" w:rsidP="005C7C67">
            <w:pPr>
              <w:pStyle w:val="Tabletext"/>
              <w:spacing w:before="0" w:after="0"/>
              <w:jc w:val="center"/>
              <w:rPr>
                <w:sz w:val="17"/>
                <w:szCs w:val="17"/>
              </w:rPr>
            </w:pPr>
            <w:r w:rsidRPr="00680BAF">
              <w:rPr>
                <w:sz w:val="17"/>
                <w:szCs w:val="17"/>
              </w:rPr>
              <w:t>3.5</w:t>
            </w:r>
          </w:p>
        </w:tc>
      </w:tr>
      <w:tr w:rsidR="004631F6" w:rsidRPr="00C6045A" w:rsidTr="00680BAF">
        <w:trPr>
          <w:gridAfter w:val="1"/>
          <w:wAfter w:w="35" w:type="dxa"/>
          <w:trHeight w:val="300"/>
        </w:trPr>
        <w:tc>
          <w:tcPr>
            <w:tcW w:w="481" w:type="dxa"/>
            <w:tcBorders>
              <w:left w:val="nil"/>
              <w:bottom w:val="single" w:sz="4" w:space="0" w:color="auto"/>
              <w:right w:val="nil"/>
            </w:tcBorders>
            <w:vAlign w:val="bottom"/>
          </w:tcPr>
          <w:p w:rsidR="004631F6" w:rsidRPr="00CF3729" w:rsidRDefault="004631F6" w:rsidP="005C7C67">
            <w:pPr>
              <w:pStyle w:val="Tabletext"/>
              <w:spacing w:before="0" w:after="0"/>
              <w:rPr>
                <w:lang w:val="en-US"/>
              </w:rPr>
            </w:pPr>
            <w:r>
              <w:rPr>
                <w:lang w:val="en-US"/>
              </w:rPr>
              <w:t>-</w:t>
            </w:r>
          </w:p>
        </w:tc>
        <w:tc>
          <w:tcPr>
            <w:tcW w:w="3331" w:type="dxa"/>
            <w:tcBorders>
              <w:left w:val="nil"/>
              <w:bottom w:val="single" w:sz="4" w:space="0" w:color="auto"/>
              <w:right w:val="nil"/>
            </w:tcBorders>
            <w:shd w:val="clear" w:color="auto" w:fill="auto"/>
            <w:noWrap/>
            <w:vAlign w:val="bottom"/>
            <w:hideMark/>
          </w:tcPr>
          <w:p w:rsidR="004631F6" w:rsidRPr="00C6045A" w:rsidRDefault="004631F6" w:rsidP="005C7C67">
            <w:pPr>
              <w:pStyle w:val="Tabletext"/>
              <w:spacing w:before="0" w:after="0"/>
              <w:rPr>
                <w:rFonts w:cs="Arial"/>
                <w:sz w:val="17"/>
                <w:szCs w:val="17"/>
                <w:lang w:val="en-US"/>
              </w:rPr>
            </w:pPr>
            <w:r w:rsidRPr="00C6045A">
              <w:rPr>
                <w:rFonts w:cs="Arial"/>
                <w:sz w:val="17"/>
                <w:szCs w:val="17"/>
                <w:lang w:val="en-US"/>
              </w:rPr>
              <w:t>Non-award</w:t>
            </w:r>
          </w:p>
        </w:tc>
        <w:tc>
          <w:tcPr>
            <w:tcW w:w="1433" w:type="dxa"/>
            <w:gridSpan w:val="2"/>
            <w:tcBorders>
              <w:left w:val="nil"/>
              <w:bottom w:val="single" w:sz="4" w:space="0" w:color="auto"/>
              <w:right w:val="nil"/>
            </w:tcBorders>
            <w:shd w:val="clear" w:color="auto" w:fill="auto"/>
            <w:noWrap/>
            <w:vAlign w:val="bottom"/>
            <w:hideMark/>
          </w:tcPr>
          <w:p w:rsidR="004631F6" w:rsidRPr="00C6045A" w:rsidRDefault="004631F6" w:rsidP="005C7C67">
            <w:pPr>
              <w:pStyle w:val="Tabletext"/>
              <w:spacing w:before="0" w:after="0"/>
              <w:jc w:val="right"/>
              <w:rPr>
                <w:rFonts w:cs="Arial"/>
                <w:sz w:val="17"/>
                <w:szCs w:val="17"/>
                <w:lang w:val="en-US"/>
              </w:rPr>
            </w:pPr>
            <w:r w:rsidRPr="00C6045A">
              <w:rPr>
                <w:rFonts w:cs="Arial"/>
                <w:sz w:val="17"/>
                <w:szCs w:val="17"/>
                <w:lang w:val="en-US"/>
              </w:rPr>
              <w:t>16,868</w:t>
            </w:r>
          </w:p>
        </w:tc>
        <w:tc>
          <w:tcPr>
            <w:tcW w:w="992" w:type="dxa"/>
            <w:tcBorders>
              <w:left w:val="nil"/>
              <w:bottom w:val="single" w:sz="4" w:space="0" w:color="auto"/>
              <w:right w:val="nil"/>
            </w:tcBorders>
            <w:shd w:val="clear" w:color="auto" w:fill="auto"/>
            <w:noWrap/>
            <w:vAlign w:val="bottom"/>
            <w:hideMark/>
          </w:tcPr>
          <w:p w:rsidR="004631F6" w:rsidRPr="00680BAF" w:rsidRDefault="004631F6" w:rsidP="00B82326">
            <w:pPr>
              <w:pStyle w:val="Tabletext"/>
              <w:spacing w:before="0" w:after="0"/>
              <w:jc w:val="right"/>
              <w:rPr>
                <w:rFonts w:cs="Arial"/>
                <w:sz w:val="17"/>
                <w:szCs w:val="17"/>
                <w:lang w:val="en-US"/>
              </w:rPr>
            </w:pPr>
            <w:r w:rsidRPr="00680BAF">
              <w:rPr>
                <w:rFonts w:cs="Arial"/>
                <w:color w:val="000000"/>
                <w:sz w:val="17"/>
                <w:szCs w:val="17"/>
              </w:rPr>
              <w:t>5.3</w:t>
            </w:r>
          </w:p>
        </w:tc>
        <w:tc>
          <w:tcPr>
            <w:tcW w:w="284" w:type="dxa"/>
            <w:gridSpan w:val="2"/>
            <w:tcBorders>
              <w:left w:val="nil"/>
              <w:bottom w:val="single" w:sz="4" w:space="0" w:color="auto"/>
              <w:right w:val="nil"/>
            </w:tcBorders>
            <w:vAlign w:val="bottom"/>
          </w:tcPr>
          <w:p w:rsidR="004631F6" w:rsidRPr="00680BAF" w:rsidRDefault="004631F6" w:rsidP="005C7C67">
            <w:pPr>
              <w:pStyle w:val="Tabletext"/>
              <w:spacing w:before="0" w:after="0"/>
              <w:jc w:val="right"/>
              <w:rPr>
                <w:rFonts w:cs="Arial"/>
                <w:sz w:val="17"/>
                <w:szCs w:val="17"/>
                <w:lang w:val="en-US"/>
              </w:rPr>
            </w:pPr>
          </w:p>
        </w:tc>
        <w:tc>
          <w:tcPr>
            <w:tcW w:w="850" w:type="dxa"/>
            <w:tcBorders>
              <w:left w:val="nil"/>
              <w:bottom w:val="single" w:sz="4" w:space="0" w:color="auto"/>
              <w:right w:val="nil"/>
            </w:tcBorders>
            <w:vAlign w:val="bottom"/>
          </w:tcPr>
          <w:p w:rsidR="004631F6" w:rsidRPr="00680BAF" w:rsidRDefault="004631F6" w:rsidP="005C7C67">
            <w:pPr>
              <w:pStyle w:val="Tabletext"/>
              <w:spacing w:before="0" w:after="0"/>
              <w:jc w:val="right"/>
              <w:rPr>
                <w:rFonts w:cs="Arial"/>
                <w:sz w:val="17"/>
                <w:szCs w:val="17"/>
                <w:lang w:val="en-US"/>
              </w:rPr>
            </w:pPr>
            <w:r w:rsidRPr="00680BAF">
              <w:rPr>
                <w:rFonts w:cs="Arial"/>
                <w:sz w:val="17"/>
                <w:szCs w:val="17"/>
                <w:lang w:val="en-US"/>
              </w:rPr>
              <w:t>77</w:t>
            </w:r>
          </w:p>
        </w:tc>
        <w:tc>
          <w:tcPr>
            <w:tcW w:w="1525" w:type="dxa"/>
            <w:tcBorders>
              <w:left w:val="nil"/>
              <w:bottom w:val="single" w:sz="4" w:space="0" w:color="auto"/>
              <w:right w:val="nil"/>
            </w:tcBorders>
            <w:vAlign w:val="bottom"/>
          </w:tcPr>
          <w:p w:rsidR="004631F6" w:rsidRPr="00680BAF" w:rsidRDefault="004631F6" w:rsidP="005C7C67">
            <w:pPr>
              <w:pStyle w:val="Tabletext"/>
              <w:spacing w:before="0" w:after="0"/>
              <w:jc w:val="center"/>
              <w:rPr>
                <w:sz w:val="17"/>
                <w:szCs w:val="17"/>
              </w:rPr>
            </w:pPr>
            <w:r w:rsidRPr="00680BAF">
              <w:rPr>
                <w:sz w:val="17"/>
                <w:szCs w:val="17"/>
              </w:rPr>
              <w:t>0.5</w:t>
            </w:r>
          </w:p>
        </w:tc>
      </w:tr>
      <w:tr w:rsidR="004631F6" w:rsidRPr="00C6045A" w:rsidTr="00680BAF">
        <w:trPr>
          <w:gridAfter w:val="1"/>
          <w:wAfter w:w="35" w:type="dxa"/>
          <w:trHeight w:val="300"/>
        </w:trPr>
        <w:tc>
          <w:tcPr>
            <w:tcW w:w="481" w:type="dxa"/>
            <w:tcBorders>
              <w:top w:val="nil"/>
              <w:left w:val="nil"/>
              <w:bottom w:val="single" w:sz="4" w:space="0" w:color="auto"/>
              <w:right w:val="nil"/>
            </w:tcBorders>
            <w:vAlign w:val="bottom"/>
          </w:tcPr>
          <w:p w:rsidR="004631F6" w:rsidRPr="00CF3729" w:rsidRDefault="004631F6" w:rsidP="00611727">
            <w:pPr>
              <w:pStyle w:val="Tabletext"/>
              <w:spacing w:before="0" w:after="0"/>
              <w:rPr>
                <w:lang w:val="en-US"/>
              </w:rPr>
            </w:pPr>
          </w:p>
        </w:tc>
        <w:tc>
          <w:tcPr>
            <w:tcW w:w="3331" w:type="dxa"/>
            <w:tcBorders>
              <w:top w:val="nil"/>
              <w:left w:val="nil"/>
              <w:bottom w:val="single" w:sz="4" w:space="0" w:color="auto"/>
              <w:right w:val="nil"/>
            </w:tcBorders>
            <w:shd w:val="clear" w:color="auto" w:fill="auto"/>
            <w:noWrap/>
            <w:vAlign w:val="bottom"/>
            <w:hideMark/>
          </w:tcPr>
          <w:p w:rsidR="004631F6" w:rsidRPr="00C6045A" w:rsidRDefault="004631F6" w:rsidP="00611727">
            <w:pPr>
              <w:pStyle w:val="Tabletext"/>
              <w:spacing w:before="0" w:after="0"/>
              <w:rPr>
                <w:rFonts w:cs="Arial"/>
                <w:sz w:val="17"/>
                <w:szCs w:val="17"/>
                <w:lang w:val="en-US"/>
              </w:rPr>
            </w:pPr>
            <w:r w:rsidRPr="00B91E28">
              <w:rPr>
                <w:rFonts w:cs="Arial"/>
                <w:sz w:val="17"/>
                <w:szCs w:val="17"/>
                <w:lang w:val="en-US"/>
              </w:rPr>
              <w:t>All Fields of Education (FOE</w:t>
            </w:r>
            <w:r>
              <w:rPr>
                <w:rFonts w:cs="Arial"/>
                <w:sz w:val="17"/>
                <w:szCs w:val="17"/>
                <w:lang w:val="en-US"/>
              </w:rPr>
              <w:t>s</w:t>
            </w:r>
            <w:r w:rsidRPr="00B91E28">
              <w:rPr>
                <w:rFonts w:cs="Arial"/>
                <w:sz w:val="17"/>
                <w:szCs w:val="17"/>
                <w:lang w:val="en-US"/>
              </w:rPr>
              <w:t>)</w:t>
            </w:r>
          </w:p>
        </w:tc>
        <w:tc>
          <w:tcPr>
            <w:tcW w:w="1433" w:type="dxa"/>
            <w:gridSpan w:val="2"/>
            <w:tcBorders>
              <w:top w:val="nil"/>
              <w:left w:val="nil"/>
              <w:bottom w:val="single" w:sz="4" w:space="0" w:color="auto"/>
              <w:right w:val="nil"/>
            </w:tcBorders>
            <w:shd w:val="clear" w:color="auto" w:fill="auto"/>
            <w:noWrap/>
            <w:vAlign w:val="bottom"/>
            <w:hideMark/>
          </w:tcPr>
          <w:p w:rsidR="004631F6" w:rsidRPr="00C6045A" w:rsidRDefault="004631F6" w:rsidP="00611727">
            <w:pPr>
              <w:pStyle w:val="Tabletext"/>
              <w:spacing w:before="0" w:after="0"/>
              <w:jc w:val="right"/>
              <w:rPr>
                <w:rFonts w:cs="Arial"/>
                <w:sz w:val="17"/>
                <w:szCs w:val="17"/>
                <w:lang w:val="en-US"/>
              </w:rPr>
            </w:pPr>
            <w:r>
              <w:rPr>
                <w:rFonts w:cs="Arial"/>
                <w:sz w:val="17"/>
                <w:szCs w:val="17"/>
                <w:lang w:val="en-US"/>
              </w:rPr>
              <w:t>317,670</w:t>
            </w:r>
          </w:p>
        </w:tc>
        <w:tc>
          <w:tcPr>
            <w:tcW w:w="992" w:type="dxa"/>
            <w:tcBorders>
              <w:top w:val="nil"/>
              <w:left w:val="nil"/>
              <w:bottom w:val="single" w:sz="4" w:space="0" w:color="auto"/>
              <w:right w:val="nil"/>
            </w:tcBorders>
            <w:shd w:val="clear" w:color="auto" w:fill="auto"/>
            <w:noWrap/>
            <w:vAlign w:val="bottom"/>
            <w:hideMark/>
          </w:tcPr>
          <w:p w:rsidR="004631F6" w:rsidRPr="00680BAF" w:rsidRDefault="004631F6" w:rsidP="00B82326">
            <w:pPr>
              <w:pStyle w:val="Tabletext"/>
              <w:spacing w:before="0" w:after="0"/>
              <w:jc w:val="right"/>
              <w:rPr>
                <w:rFonts w:cs="Arial"/>
                <w:sz w:val="17"/>
                <w:szCs w:val="17"/>
                <w:lang w:val="en-US"/>
              </w:rPr>
            </w:pPr>
            <w:r w:rsidRPr="00680BAF">
              <w:rPr>
                <w:rFonts w:cs="Arial"/>
                <w:sz w:val="17"/>
                <w:szCs w:val="17"/>
                <w:lang w:val="en-US"/>
              </w:rPr>
              <w:t>100.0</w:t>
            </w:r>
          </w:p>
        </w:tc>
        <w:tc>
          <w:tcPr>
            <w:tcW w:w="284" w:type="dxa"/>
            <w:gridSpan w:val="2"/>
            <w:tcBorders>
              <w:top w:val="nil"/>
              <w:left w:val="nil"/>
              <w:bottom w:val="single" w:sz="4" w:space="0" w:color="auto"/>
              <w:right w:val="nil"/>
            </w:tcBorders>
            <w:vAlign w:val="bottom"/>
          </w:tcPr>
          <w:p w:rsidR="004631F6" w:rsidRPr="00680BAF" w:rsidRDefault="004631F6" w:rsidP="00611727">
            <w:pPr>
              <w:pStyle w:val="Tabletext"/>
              <w:spacing w:before="0" w:after="0"/>
              <w:jc w:val="right"/>
              <w:rPr>
                <w:rFonts w:cs="Arial"/>
                <w:sz w:val="17"/>
                <w:szCs w:val="17"/>
                <w:lang w:val="en-US"/>
              </w:rPr>
            </w:pPr>
          </w:p>
        </w:tc>
        <w:tc>
          <w:tcPr>
            <w:tcW w:w="850" w:type="dxa"/>
            <w:tcBorders>
              <w:top w:val="nil"/>
              <w:left w:val="nil"/>
              <w:bottom w:val="single" w:sz="4" w:space="0" w:color="auto"/>
              <w:right w:val="nil"/>
            </w:tcBorders>
            <w:vAlign w:val="bottom"/>
          </w:tcPr>
          <w:p w:rsidR="004631F6" w:rsidRPr="00680BAF" w:rsidRDefault="004631F6" w:rsidP="00611727">
            <w:pPr>
              <w:pStyle w:val="Tabletext"/>
              <w:spacing w:before="0" w:after="0"/>
              <w:jc w:val="right"/>
              <w:rPr>
                <w:rFonts w:cs="Arial"/>
                <w:sz w:val="17"/>
                <w:szCs w:val="17"/>
                <w:lang w:val="en-US"/>
              </w:rPr>
            </w:pPr>
            <w:r w:rsidRPr="00680BAF">
              <w:rPr>
                <w:rFonts w:cs="Arial"/>
                <w:sz w:val="17"/>
                <w:szCs w:val="17"/>
                <w:lang w:val="en-US"/>
              </w:rPr>
              <w:t>30,298</w:t>
            </w:r>
          </w:p>
        </w:tc>
        <w:tc>
          <w:tcPr>
            <w:tcW w:w="1525" w:type="dxa"/>
            <w:tcBorders>
              <w:top w:val="nil"/>
              <w:left w:val="nil"/>
              <w:bottom w:val="single" w:sz="4" w:space="0" w:color="auto"/>
              <w:right w:val="nil"/>
            </w:tcBorders>
            <w:vAlign w:val="bottom"/>
          </w:tcPr>
          <w:p w:rsidR="004631F6" w:rsidRPr="00680BAF" w:rsidRDefault="004631F6" w:rsidP="00611727">
            <w:pPr>
              <w:pStyle w:val="Tabletext"/>
              <w:spacing w:before="0" w:after="0"/>
              <w:jc w:val="center"/>
              <w:rPr>
                <w:sz w:val="17"/>
                <w:szCs w:val="17"/>
              </w:rPr>
            </w:pPr>
            <w:r w:rsidRPr="00680BAF">
              <w:rPr>
                <w:sz w:val="17"/>
                <w:szCs w:val="17"/>
              </w:rPr>
              <w:t>9.5</w:t>
            </w:r>
          </w:p>
        </w:tc>
      </w:tr>
    </w:tbl>
    <w:p w:rsidR="004631F6" w:rsidRDefault="004631F6" w:rsidP="00210540">
      <w:pPr>
        <w:pStyle w:val="Source"/>
      </w:pPr>
      <w:r>
        <w:t>Source: DEEWR (2010) Higher Education Statistics Collection. Unpublished data</w:t>
      </w:r>
    </w:p>
    <w:p w:rsidR="004631F6" w:rsidRDefault="004631F6" w:rsidP="00210540">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4631F6" w:rsidRDefault="004631F6">
      <w:pPr>
        <w:spacing w:before="0" w:line="240" w:lineRule="auto"/>
      </w:pPr>
      <w:r>
        <w:br w:type="page"/>
      </w:r>
    </w:p>
    <w:p w:rsidR="003F52DC" w:rsidRDefault="003F52DC" w:rsidP="003F52DC">
      <w:pPr>
        <w:pStyle w:val="Heading1"/>
      </w:pPr>
      <w:bookmarkStart w:id="25" w:name="_Toc350434027"/>
      <w:bookmarkStart w:id="26" w:name="_Toc358384114"/>
      <w:bookmarkStart w:id="27" w:name="_Toc370995877"/>
      <w:bookmarkStart w:id="28" w:name="_Toc349838995"/>
      <w:bookmarkStart w:id="29" w:name="_Toc298162803"/>
      <w:bookmarkEnd w:id="4"/>
      <w:bookmarkEnd w:id="5"/>
      <w:bookmarkEnd w:id="6"/>
      <w:r>
        <w:lastRenderedPageBreak/>
        <w:t>VET-HE pathways by university</w:t>
      </w:r>
      <w:bookmarkEnd w:id="25"/>
      <w:bookmarkEnd w:id="26"/>
      <w:bookmarkEnd w:id="27"/>
      <w:r>
        <w:t xml:space="preserve"> </w:t>
      </w:r>
    </w:p>
    <w:p w:rsidR="00CB21CE" w:rsidRDefault="003F3C6D" w:rsidP="00CB21CE">
      <w:pPr>
        <w:pStyle w:val="Text"/>
        <w:ind w:right="0"/>
      </w:pPr>
      <w:r>
        <w:t xml:space="preserve">The rate of admission of VET award-holders varies considerably between fields of education and institutions. </w:t>
      </w:r>
      <w:r w:rsidR="00CB21CE">
        <w:t xml:space="preserve">As shown in Appendix A.1, some universities admit VET award-holders at high rates in all fields of education where they offer undergraduate programs. However, in other universities, the rate of admission of VET award-holders varies considerably between fields of education. There are also some universities which have consistently low rates of admission of VET award-holders in all their undergraduate programs, regardless of field of education. </w:t>
      </w:r>
    </w:p>
    <w:p w:rsidR="003F3C6D" w:rsidRDefault="00504CB1" w:rsidP="003F3C6D">
      <w:pPr>
        <w:pStyle w:val="Text"/>
        <w:ind w:right="0"/>
        <w:rPr>
          <w:rFonts w:cstheme="minorHAnsi"/>
        </w:rPr>
      </w:pPr>
      <w:r>
        <w:t xml:space="preserve">We </w:t>
      </w:r>
      <w:r w:rsidR="003F3C6D">
        <w:t>investigate these variations by distinguishing between groups of institutions in terms of their admissions on the basis of a VET award and their pattern of admissions across fields of education</w:t>
      </w:r>
      <w:r>
        <w:t>, using Cluster analysis</w:t>
      </w:r>
      <w:r w:rsidR="003F3C6D">
        <w:t xml:space="preserve">. </w:t>
      </w:r>
    </w:p>
    <w:p w:rsidR="003F3C6D" w:rsidRDefault="003F3C6D" w:rsidP="003F3C6D">
      <w:pPr>
        <w:pStyle w:val="Heading3"/>
      </w:pPr>
      <w:r>
        <w:t>Method</w:t>
      </w:r>
    </w:p>
    <w:p w:rsidR="003F3C6D" w:rsidRDefault="003F3C6D" w:rsidP="003F3C6D">
      <w:pPr>
        <w:pStyle w:val="Text"/>
        <w:ind w:right="0"/>
      </w:pPr>
      <w:r>
        <w:t>Cluster analysis is a purely descriptive technique which classifies objects (i.e. universities) based on selected characteristics. It is used for this report to group together the universities that were most similar to each other on their</w:t>
      </w:r>
      <w:r w:rsidRPr="007B4043">
        <w:t xml:space="preserve"> percentage admissions on the basis of a VET award </w:t>
      </w:r>
      <w:r>
        <w:t>for all 10 broad fields of education (FOE). The data for the cluster analysis was taken from Appendix A.</w:t>
      </w:r>
      <w:r w:rsidR="00611727">
        <w:t>1</w:t>
      </w:r>
      <w:r>
        <w:t xml:space="preserve">. </w:t>
      </w:r>
    </w:p>
    <w:p w:rsidR="00477DF9" w:rsidRDefault="003F3C6D" w:rsidP="003F3C6D">
      <w:pPr>
        <w:pStyle w:val="Text"/>
        <w:ind w:right="0"/>
      </w:pPr>
      <w:r>
        <w:t>The analysis was conducted in SPSS and conducted according to procedures recommended by Hair et al (2008) and Everitt, Landau and Leese (2001</w:t>
      </w:r>
      <w:r w:rsidR="00725973">
        <w:t>). T</w:t>
      </w:r>
      <w:r>
        <w:t>hese procedures resulted in the identification of three clusters of institutions.</w:t>
      </w:r>
    </w:p>
    <w:p w:rsidR="00725973" w:rsidRPr="009625D5" w:rsidRDefault="00725973" w:rsidP="003F3C6D">
      <w:pPr>
        <w:pStyle w:val="Text"/>
        <w:ind w:right="0"/>
        <w:rPr>
          <w:rFonts w:cstheme="minorHAnsi"/>
        </w:rPr>
      </w:pPr>
      <w:r>
        <w:t xml:space="preserve"> </w:t>
      </w:r>
      <w:r w:rsidRPr="00725973">
        <w:rPr>
          <w:rFonts w:cstheme="minorHAnsi"/>
        </w:rPr>
        <w:t>First, the data w</w:t>
      </w:r>
      <w:r>
        <w:rPr>
          <w:rFonts w:cstheme="minorHAnsi"/>
        </w:rPr>
        <w:t>ere</w:t>
      </w:r>
      <w:r w:rsidRPr="00725973">
        <w:rPr>
          <w:rFonts w:cstheme="minorHAnsi"/>
        </w:rPr>
        <w:t xml:space="preserve"> clustered using the Ward method (</w:t>
      </w:r>
      <w:r w:rsidR="00F82B97">
        <w:rPr>
          <w:rFonts w:cstheme="minorHAnsi"/>
        </w:rPr>
        <w:t>t</w:t>
      </w:r>
      <w:r w:rsidRPr="00725973">
        <w:rPr>
          <w:rFonts w:cstheme="minorHAnsi"/>
        </w:rPr>
        <w:t>his is an hierarchical procedure that produces clusters where the variation wi</w:t>
      </w:r>
      <w:r w:rsidR="00F82B97">
        <w:rPr>
          <w:rFonts w:cstheme="minorHAnsi"/>
        </w:rPr>
        <w:t>thin group members is minimised</w:t>
      </w:r>
      <w:r w:rsidRPr="00725973">
        <w:rPr>
          <w:rFonts w:cstheme="minorHAnsi"/>
        </w:rPr>
        <w:t>)</w:t>
      </w:r>
      <w:r w:rsidR="00F82B97">
        <w:rPr>
          <w:rFonts w:cstheme="minorHAnsi"/>
        </w:rPr>
        <w:t>.</w:t>
      </w:r>
      <w:r w:rsidRPr="00725973">
        <w:rPr>
          <w:rFonts w:cstheme="minorHAnsi"/>
        </w:rPr>
        <w:t xml:space="preserve"> This method was used primarily to identify how many clusters existed in the data. While there is no one best way of choosing the right number of clusters (Hair et al 2008), a three-cluster solution was chosen based on an examination of the agglomeration schedule.  One issue in using the Ward method is that, if a case (i.e. university) has some missing data (i.e. zero VET enrolments for one or more FOEs) then it is not assigned to a cluster. Therefore, a second cluster analysis was conducted using the K-means procedure which allows for missing data. This procedure requires that the number of clusters is specified upfront. Given the Ward method indicated a three cluster solution this number of clusters was specified for the K-means procedure.  </w:t>
      </w:r>
    </w:p>
    <w:p w:rsidR="003F3C6D" w:rsidRDefault="003F3C6D" w:rsidP="003F3C6D">
      <w:pPr>
        <w:pStyle w:val="Heading3"/>
      </w:pPr>
      <w:r>
        <w:t>Three clusters</w:t>
      </w:r>
    </w:p>
    <w:p w:rsidR="00477DF9" w:rsidRDefault="003F3C6D" w:rsidP="003F3C6D">
      <w:pPr>
        <w:spacing w:line="300" w:lineRule="atLeast"/>
      </w:pPr>
      <w:r>
        <w:t xml:space="preserve">Details of the three clusters of institutions are provided in </w:t>
      </w:r>
      <w:r w:rsidRPr="007B4043">
        <w:t xml:space="preserve">Table </w:t>
      </w:r>
      <w:r w:rsidR="00C70C68">
        <w:t>3</w:t>
      </w:r>
      <w:r>
        <w:t>.</w:t>
      </w:r>
    </w:p>
    <w:p w:rsidR="003F3C6D" w:rsidRDefault="003F3C6D" w:rsidP="003F3C6D">
      <w:pPr>
        <w:spacing w:line="300" w:lineRule="atLeast"/>
      </w:pPr>
      <w:r>
        <w:t xml:space="preserve"> Institutions within each cluster are listed in order of their total average admissions on the basis of a VET award with total average VET admissions for each university displayed in parentheses.</w:t>
      </w:r>
    </w:p>
    <w:p w:rsidR="00F82B97" w:rsidRDefault="00F82B97">
      <w:pPr>
        <w:spacing w:before="0" w:line="240" w:lineRule="auto"/>
        <w:rPr>
          <w:rFonts w:ascii="Tahoma" w:hAnsi="Tahoma"/>
          <w:b/>
          <w:sz w:val="17"/>
        </w:rPr>
      </w:pPr>
      <w:bookmarkStart w:id="30" w:name="_Toc349839106"/>
      <w:bookmarkStart w:id="31" w:name="_Toc350786309"/>
      <w:r>
        <w:br w:type="page"/>
      </w:r>
    </w:p>
    <w:p w:rsidR="003F3C6D" w:rsidRDefault="003F3C6D" w:rsidP="003F3C6D">
      <w:pPr>
        <w:pStyle w:val="tabletitle"/>
      </w:pPr>
      <w:bookmarkStart w:id="32" w:name="_Toc370995912"/>
      <w:r>
        <w:lastRenderedPageBreak/>
        <w:t xml:space="preserve">Table </w:t>
      </w:r>
      <w:r w:rsidR="006A154F">
        <w:t>3</w:t>
      </w:r>
      <w:r>
        <w:tab/>
      </w:r>
      <w:r w:rsidRPr="00A618B9">
        <w:t>Institutional clusters on admission on the basis</w:t>
      </w:r>
      <w:r>
        <w:t xml:space="preserve"> of a VET award: size and</w:t>
      </w:r>
      <w:r w:rsidRPr="00A618B9">
        <w:t xml:space="preserve"> membership </w:t>
      </w:r>
      <w:r>
        <w:t>(2010)</w:t>
      </w:r>
      <w:bookmarkEnd w:id="30"/>
      <w:bookmarkEnd w:id="31"/>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2"/>
        <w:gridCol w:w="2295"/>
        <w:gridCol w:w="2350"/>
        <w:gridCol w:w="2407"/>
      </w:tblGrid>
      <w:tr w:rsidR="003F3C6D" w:rsidRPr="00453CF6" w:rsidTr="00E40147">
        <w:tc>
          <w:tcPr>
            <w:tcW w:w="1952" w:type="dxa"/>
            <w:tcBorders>
              <w:top w:val="single" w:sz="4" w:space="0" w:color="auto"/>
              <w:bottom w:val="single" w:sz="4" w:space="0" w:color="auto"/>
            </w:tcBorders>
            <w:vAlign w:val="bottom"/>
          </w:tcPr>
          <w:p w:rsidR="003F3C6D" w:rsidRPr="00453CF6" w:rsidRDefault="003F3C6D" w:rsidP="00E40147">
            <w:pPr>
              <w:spacing w:before="40" w:after="40" w:line="276" w:lineRule="auto"/>
              <w:jc w:val="center"/>
              <w:rPr>
                <w:rFonts w:cstheme="minorHAnsi"/>
                <w:b/>
                <w:color w:val="000000"/>
                <w:sz w:val="18"/>
                <w:szCs w:val="18"/>
              </w:rPr>
            </w:pPr>
          </w:p>
        </w:tc>
        <w:tc>
          <w:tcPr>
            <w:tcW w:w="2295" w:type="dxa"/>
            <w:tcBorders>
              <w:top w:val="single" w:sz="4" w:space="0" w:color="auto"/>
              <w:bottom w:val="single" w:sz="4" w:space="0" w:color="auto"/>
            </w:tcBorders>
            <w:vAlign w:val="bottom"/>
          </w:tcPr>
          <w:p w:rsidR="003F3C6D" w:rsidRDefault="003F3C6D" w:rsidP="00E40147">
            <w:pPr>
              <w:spacing w:before="40" w:after="40" w:line="276" w:lineRule="auto"/>
              <w:jc w:val="center"/>
              <w:rPr>
                <w:rFonts w:cstheme="minorHAnsi"/>
                <w:b/>
                <w:color w:val="000000"/>
                <w:sz w:val="18"/>
                <w:szCs w:val="18"/>
              </w:rPr>
            </w:pPr>
            <w:r w:rsidRPr="00453CF6">
              <w:rPr>
                <w:rFonts w:cstheme="minorHAnsi"/>
                <w:b/>
                <w:color w:val="000000"/>
                <w:sz w:val="18"/>
                <w:szCs w:val="18"/>
              </w:rPr>
              <w:t>Cluster 1</w:t>
            </w:r>
          </w:p>
          <w:p w:rsidR="003F3C6D" w:rsidRPr="00453CF6" w:rsidRDefault="003F3C6D" w:rsidP="00E40147">
            <w:pPr>
              <w:spacing w:before="40" w:after="40" w:line="276" w:lineRule="auto"/>
              <w:jc w:val="center"/>
              <w:rPr>
                <w:rFonts w:cstheme="minorHAnsi"/>
                <w:color w:val="000000"/>
                <w:sz w:val="18"/>
                <w:szCs w:val="18"/>
              </w:rPr>
            </w:pPr>
            <w:r w:rsidRPr="00453CF6">
              <w:rPr>
                <w:rFonts w:cstheme="minorHAnsi"/>
                <w:color w:val="000000"/>
                <w:sz w:val="18"/>
                <w:szCs w:val="18"/>
              </w:rPr>
              <w:t>(n = 7)</w:t>
            </w:r>
          </w:p>
        </w:tc>
        <w:tc>
          <w:tcPr>
            <w:tcW w:w="2350" w:type="dxa"/>
            <w:tcBorders>
              <w:top w:val="single" w:sz="4" w:space="0" w:color="auto"/>
              <w:bottom w:val="single" w:sz="4" w:space="0" w:color="auto"/>
            </w:tcBorders>
            <w:vAlign w:val="bottom"/>
          </w:tcPr>
          <w:p w:rsidR="003F3C6D" w:rsidRPr="00453CF6" w:rsidRDefault="003F3C6D" w:rsidP="00E40147">
            <w:pPr>
              <w:spacing w:before="40" w:after="40" w:line="276" w:lineRule="auto"/>
              <w:jc w:val="center"/>
              <w:rPr>
                <w:rFonts w:cstheme="minorHAnsi"/>
                <w:b/>
                <w:color w:val="000000"/>
                <w:sz w:val="18"/>
                <w:szCs w:val="18"/>
              </w:rPr>
            </w:pPr>
            <w:r w:rsidRPr="00453CF6">
              <w:rPr>
                <w:rFonts w:cstheme="minorHAnsi"/>
                <w:b/>
                <w:color w:val="000000"/>
                <w:sz w:val="18"/>
                <w:szCs w:val="18"/>
              </w:rPr>
              <w:t>Cluster 2</w:t>
            </w:r>
          </w:p>
          <w:p w:rsidR="003F3C6D" w:rsidRPr="00453CF6" w:rsidRDefault="003F3C6D" w:rsidP="00E40147">
            <w:pPr>
              <w:spacing w:before="40" w:after="40" w:line="276" w:lineRule="auto"/>
              <w:jc w:val="center"/>
              <w:rPr>
                <w:rFonts w:cstheme="minorHAnsi"/>
                <w:color w:val="000000"/>
                <w:sz w:val="18"/>
                <w:szCs w:val="18"/>
              </w:rPr>
            </w:pPr>
            <w:r w:rsidRPr="00453CF6">
              <w:rPr>
                <w:rFonts w:cstheme="minorHAnsi"/>
                <w:color w:val="000000"/>
                <w:sz w:val="18"/>
                <w:szCs w:val="18"/>
              </w:rPr>
              <w:t>(n = 16)</w:t>
            </w:r>
          </w:p>
        </w:tc>
        <w:tc>
          <w:tcPr>
            <w:tcW w:w="2407" w:type="dxa"/>
            <w:tcBorders>
              <w:top w:val="single" w:sz="4" w:space="0" w:color="auto"/>
              <w:bottom w:val="single" w:sz="4" w:space="0" w:color="auto"/>
            </w:tcBorders>
            <w:vAlign w:val="bottom"/>
          </w:tcPr>
          <w:p w:rsidR="003F3C6D" w:rsidRDefault="003F3C6D" w:rsidP="00E40147">
            <w:pPr>
              <w:spacing w:before="40" w:after="40" w:line="276" w:lineRule="auto"/>
              <w:jc w:val="center"/>
              <w:rPr>
                <w:rFonts w:cstheme="minorHAnsi"/>
                <w:b/>
                <w:color w:val="000000"/>
                <w:sz w:val="18"/>
                <w:szCs w:val="18"/>
              </w:rPr>
            </w:pPr>
            <w:r w:rsidRPr="00453CF6">
              <w:rPr>
                <w:rFonts w:cstheme="minorHAnsi"/>
                <w:b/>
                <w:color w:val="000000"/>
                <w:sz w:val="18"/>
                <w:szCs w:val="18"/>
              </w:rPr>
              <w:t>Cluster 3</w:t>
            </w:r>
          </w:p>
          <w:p w:rsidR="003F3C6D" w:rsidRPr="00453CF6" w:rsidRDefault="003F3C6D" w:rsidP="00E40147">
            <w:pPr>
              <w:spacing w:before="40" w:after="40" w:line="276" w:lineRule="auto"/>
              <w:jc w:val="center"/>
              <w:rPr>
                <w:rFonts w:cstheme="minorHAnsi"/>
                <w:color w:val="000000"/>
                <w:sz w:val="18"/>
                <w:szCs w:val="18"/>
              </w:rPr>
            </w:pPr>
            <w:r w:rsidRPr="00453CF6">
              <w:rPr>
                <w:rFonts w:cstheme="minorHAnsi"/>
                <w:color w:val="000000"/>
                <w:sz w:val="18"/>
                <w:szCs w:val="18"/>
              </w:rPr>
              <w:t>(n = 14)</w:t>
            </w:r>
          </w:p>
        </w:tc>
      </w:tr>
      <w:tr w:rsidR="003F3C6D" w:rsidRPr="00453CF6" w:rsidTr="00E40147">
        <w:tc>
          <w:tcPr>
            <w:tcW w:w="1952" w:type="dxa"/>
            <w:tcBorders>
              <w:top w:val="single" w:sz="4" w:space="0" w:color="auto"/>
              <w:bottom w:val="single" w:sz="4" w:space="0" w:color="auto"/>
            </w:tcBorders>
            <w:vAlign w:val="bottom"/>
          </w:tcPr>
          <w:p w:rsidR="003F3C6D" w:rsidRPr="00453CF6" w:rsidRDefault="003F3C6D" w:rsidP="00E40147">
            <w:pPr>
              <w:spacing w:before="120" w:after="100" w:afterAutospacing="1" w:line="276" w:lineRule="auto"/>
              <w:rPr>
                <w:rFonts w:cstheme="minorHAnsi"/>
                <w:color w:val="000000"/>
                <w:sz w:val="18"/>
                <w:szCs w:val="18"/>
              </w:rPr>
            </w:pPr>
            <w:r w:rsidRPr="00453CF6">
              <w:rPr>
                <w:rFonts w:cstheme="minorHAnsi"/>
                <w:color w:val="000000"/>
                <w:sz w:val="18"/>
                <w:szCs w:val="18"/>
              </w:rPr>
              <w:t>Average admission on basis of VET</w:t>
            </w:r>
          </w:p>
        </w:tc>
        <w:tc>
          <w:tcPr>
            <w:tcW w:w="2295" w:type="dxa"/>
            <w:tcBorders>
              <w:top w:val="single" w:sz="4" w:space="0" w:color="auto"/>
              <w:bottom w:val="single" w:sz="4" w:space="0" w:color="auto"/>
            </w:tcBorders>
            <w:vAlign w:val="bottom"/>
          </w:tcPr>
          <w:p w:rsidR="003F3C6D" w:rsidRPr="00453CF6" w:rsidRDefault="004B5099" w:rsidP="00E40147">
            <w:pPr>
              <w:tabs>
                <w:tab w:val="decimal" w:pos="1087"/>
              </w:tabs>
              <w:spacing w:before="120" w:after="100" w:afterAutospacing="1" w:line="276" w:lineRule="auto"/>
              <w:rPr>
                <w:rFonts w:cstheme="minorHAnsi"/>
                <w:color w:val="000000"/>
                <w:sz w:val="18"/>
                <w:szCs w:val="18"/>
              </w:rPr>
            </w:pPr>
            <w:r>
              <w:rPr>
                <w:rFonts w:cstheme="minorHAnsi"/>
                <w:color w:val="000000"/>
                <w:sz w:val="18"/>
                <w:szCs w:val="18"/>
              </w:rPr>
              <w:t>19</w:t>
            </w:r>
            <w:r w:rsidR="003F3C6D" w:rsidRPr="00453CF6">
              <w:rPr>
                <w:rFonts w:cstheme="minorHAnsi"/>
                <w:color w:val="000000"/>
                <w:sz w:val="18"/>
                <w:szCs w:val="18"/>
              </w:rPr>
              <w:t>%</w:t>
            </w:r>
          </w:p>
        </w:tc>
        <w:tc>
          <w:tcPr>
            <w:tcW w:w="2350" w:type="dxa"/>
            <w:tcBorders>
              <w:top w:val="single" w:sz="4" w:space="0" w:color="auto"/>
              <w:bottom w:val="single" w:sz="4" w:space="0" w:color="auto"/>
            </w:tcBorders>
            <w:vAlign w:val="bottom"/>
          </w:tcPr>
          <w:p w:rsidR="003F3C6D" w:rsidRPr="00453CF6" w:rsidRDefault="003F3C6D" w:rsidP="004B5099">
            <w:pPr>
              <w:tabs>
                <w:tab w:val="decimal" w:pos="1087"/>
              </w:tabs>
              <w:spacing w:before="120" w:after="100" w:afterAutospacing="1" w:line="276" w:lineRule="auto"/>
              <w:rPr>
                <w:rFonts w:cstheme="minorHAnsi"/>
                <w:color w:val="000000"/>
                <w:sz w:val="18"/>
                <w:szCs w:val="18"/>
              </w:rPr>
            </w:pPr>
            <w:r w:rsidRPr="00453CF6">
              <w:rPr>
                <w:rFonts w:cstheme="minorHAnsi"/>
                <w:color w:val="000000"/>
                <w:sz w:val="18"/>
                <w:szCs w:val="18"/>
              </w:rPr>
              <w:t>10%</w:t>
            </w:r>
          </w:p>
        </w:tc>
        <w:tc>
          <w:tcPr>
            <w:tcW w:w="2407" w:type="dxa"/>
            <w:tcBorders>
              <w:top w:val="single" w:sz="4" w:space="0" w:color="auto"/>
              <w:bottom w:val="single" w:sz="4" w:space="0" w:color="auto"/>
            </w:tcBorders>
            <w:vAlign w:val="bottom"/>
          </w:tcPr>
          <w:p w:rsidR="003F3C6D" w:rsidRPr="00453CF6" w:rsidRDefault="003F3C6D" w:rsidP="004B5099">
            <w:pPr>
              <w:tabs>
                <w:tab w:val="decimal" w:pos="1087"/>
              </w:tabs>
              <w:spacing w:before="120" w:after="100" w:afterAutospacing="1" w:line="276" w:lineRule="auto"/>
              <w:rPr>
                <w:rFonts w:cstheme="minorHAnsi"/>
                <w:color w:val="000000"/>
                <w:sz w:val="18"/>
                <w:szCs w:val="18"/>
              </w:rPr>
            </w:pPr>
            <w:r w:rsidRPr="00453CF6">
              <w:rPr>
                <w:rFonts w:cstheme="minorHAnsi"/>
                <w:color w:val="000000"/>
                <w:sz w:val="18"/>
                <w:szCs w:val="18"/>
              </w:rPr>
              <w:t>3%</w:t>
            </w:r>
          </w:p>
        </w:tc>
      </w:tr>
      <w:tr w:rsidR="003F3C6D" w:rsidRPr="00453CF6" w:rsidTr="00E40147">
        <w:tc>
          <w:tcPr>
            <w:tcW w:w="1952" w:type="dxa"/>
            <w:tcBorders>
              <w:top w:val="single" w:sz="4" w:space="0" w:color="auto"/>
            </w:tcBorders>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Institutions</w:t>
            </w:r>
          </w:p>
        </w:tc>
        <w:tc>
          <w:tcPr>
            <w:tcW w:w="2295" w:type="dxa"/>
            <w:tcBorders>
              <w:top w:val="single" w:sz="4" w:space="0" w:color="auto"/>
            </w:tcBorders>
            <w:vAlign w:val="bottom"/>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Charles Sturt University (26%)</w:t>
            </w:r>
          </w:p>
        </w:tc>
        <w:tc>
          <w:tcPr>
            <w:tcW w:w="2350" w:type="dxa"/>
            <w:tcBorders>
              <w:top w:val="single" w:sz="4" w:space="0" w:color="auto"/>
            </w:tcBorders>
            <w:vAlign w:val="bottom"/>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 xml:space="preserve">La Trobe University </w:t>
            </w:r>
            <w:r>
              <w:rPr>
                <w:rFonts w:cstheme="minorHAnsi"/>
                <w:color w:val="000000"/>
                <w:sz w:val="18"/>
                <w:szCs w:val="18"/>
              </w:rPr>
              <w:t xml:space="preserve">   </w:t>
            </w:r>
            <w:r w:rsidRPr="00B9468F">
              <w:rPr>
                <w:rFonts w:cstheme="minorHAnsi"/>
                <w:color w:val="000000"/>
                <w:sz w:val="18"/>
                <w:szCs w:val="18"/>
              </w:rPr>
              <w:t>(15%)</w:t>
            </w:r>
          </w:p>
        </w:tc>
        <w:tc>
          <w:tcPr>
            <w:tcW w:w="2407" w:type="dxa"/>
            <w:tcBorders>
              <w:top w:val="single" w:sz="4" w:space="0" w:color="auto"/>
            </w:tcBorders>
            <w:vAlign w:val="bottom"/>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The Flinders University of South Australia</w:t>
            </w:r>
            <w:r>
              <w:rPr>
                <w:rFonts w:cstheme="minorHAnsi"/>
                <w:color w:val="000000"/>
                <w:sz w:val="18"/>
                <w:szCs w:val="18"/>
              </w:rPr>
              <w:t xml:space="preserve"> (7%)</w:t>
            </w:r>
          </w:p>
        </w:tc>
      </w:tr>
      <w:tr w:rsidR="003F3C6D" w:rsidRPr="00453CF6" w:rsidTr="00E40147">
        <w:tc>
          <w:tcPr>
            <w:tcW w:w="1952" w:type="dxa"/>
          </w:tcPr>
          <w:p w:rsidR="003F3C6D" w:rsidRPr="00B9468F" w:rsidRDefault="003F3C6D" w:rsidP="00E40147">
            <w:pPr>
              <w:spacing w:before="120" w:after="100" w:afterAutospacing="1" w:line="276" w:lineRule="auto"/>
              <w:rPr>
                <w:rFonts w:cstheme="minorHAnsi"/>
                <w:color w:val="000000"/>
                <w:sz w:val="18"/>
                <w:szCs w:val="18"/>
              </w:rPr>
            </w:pPr>
          </w:p>
        </w:tc>
        <w:tc>
          <w:tcPr>
            <w:tcW w:w="2295" w:type="dxa"/>
            <w:vAlign w:val="bottom"/>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RMIT University (21%)</w:t>
            </w:r>
          </w:p>
          <w:p w:rsidR="003F3C6D" w:rsidRPr="00B9468F" w:rsidRDefault="003F3C6D" w:rsidP="00E40147">
            <w:pPr>
              <w:spacing w:before="120" w:after="100" w:afterAutospacing="1" w:line="276" w:lineRule="auto"/>
              <w:rPr>
                <w:rFonts w:cstheme="minorHAnsi"/>
                <w:color w:val="000000"/>
                <w:sz w:val="18"/>
                <w:szCs w:val="18"/>
              </w:rPr>
            </w:pPr>
          </w:p>
        </w:tc>
        <w:tc>
          <w:tcPr>
            <w:tcW w:w="2350" w:type="dxa"/>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University of Canberra (13%)</w:t>
            </w:r>
          </w:p>
        </w:tc>
        <w:tc>
          <w:tcPr>
            <w:tcW w:w="2407" w:type="dxa"/>
          </w:tcPr>
          <w:p w:rsidR="003F3C6D" w:rsidRPr="00805BC7" w:rsidRDefault="003F3C6D" w:rsidP="00E40147">
            <w:pPr>
              <w:spacing w:before="120" w:after="100" w:afterAutospacing="1" w:line="276" w:lineRule="auto"/>
              <w:rPr>
                <w:rFonts w:cstheme="minorHAnsi"/>
                <w:color w:val="000000"/>
                <w:sz w:val="18"/>
                <w:szCs w:val="18"/>
              </w:rPr>
            </w:pPr>
            <w:r w:rsidRPr="00805BC7">
              <w:rPr>
                <w:rFonts w:cstheme="minorHAnsi"/>
                <w:color w:val="000000"/>
                <w:sz w:val="18"/>
                <w:szCs w:val="18"/>
              </w:rPr>
              <w:t>University of Southern Queensland (6%)</w:t>
            </w:r>
          </w:p>
        </w:tc>
      </w:tr>
      <w:tr w:rsidR="003F3C6D" w:rsidRPr="00453CF6" w:rsidTr="00E40147">
        <w:tc>
          <w:tcPr>
            <w:tcW w:w="1952" w:type="dxa"/>
          </w:tcPr>
          <w:p w:rsidR="003F3C6D" w:rsidRPr="00B9468F" w:rsidRDefault="003F3C6D" w:rsidP="00E40147">
            <w:pPr>
              <w:spacing w:before="120" w:after="100" w:afterAutospacing="1" w:line="276" w:lineRule="auto"/>
              <w:rPr>
                <w:rFonts w:cstheme="minorHAnsi"/>
                <w:color w:val="000000"/>
                <w:sz w:val="18"/>
                <w:szCs w:val="18"/>
              </w:rPr>
            </w:pPr>
          </w:p>
        </w:tc>
        <w:tc>
          <w:tcPr>
            <w:tcW w:w="2295" w:type="dxa"/>
            <w:vAlign w:val="bottom"/>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Swinburne University of Technology (20%)</w:t>
            </w:r>
          </w:p>
        </w:tc>
        <w:tc>
          <w:tcPr>
            <w:tcW w:w="2350" w:type="dxa"/>
          </w:tcPr>
          <w:p w:rsidR="003F3C6D" w:rsidRPr="00B9468F" w:rsidRDefault="003F3C6D" w:rsidP="00E40147">
            <w:pPr>
              <w:spacing w:before="120" w:after="100" w:afterAutospacing="1" w:line="276" w:lineRule="auto"/>
              <w:rPr>
                <w:rFonts w:cstheme="minorHAnsi"/>
                <w:sz w:val="18"/>
                <w:szCs w:val="18"/>
              </w:rPr>
            </w:pPr>
            <w:r w:rsidRPr="00B9468F">
              <w:rPr>
                <w:rFonts w:cstheme="minorHAnsi"/>
                <w:sz w:val="18"/>
                <w:szCs w:val="18"/>
              </w:rPr>
              <w:t>Charles Darwin University (12%)</w:t>
            </w:r>
          </w:p>
        </w:tc>
        <w:tc>
          <w:tcPr>
            <w:tcW w:w="2407" w:type="dxa"/>
          </w:tcPr>
          <w:p w:rsidR="003F3C6D" w:rsidRPr="00805BC7" w:rsidRDefault="003F3C6D" w:rsidP="00E40147">
            <w:pPr>
              <w:spacing w:before="120" w:after="100" w:afterAutospacing="1" w:line="276" w:lineRule="auto"/>
              <w:rPr>
                <w:rFonts w:cstheme="minorHAnsi"/>
                <w:color w:val="000000"/>
                <w:sz w:val="18"/>
                <w:szCs w:val="18"/>
              </w:rPr>
            </w:pPr>
            <w:r w:rsidRPr="00805BC7">
              <w:rPr>
                <w:rFonts w:cstheme="minorHAnsi"/>
                <w:color w:val="000000"/>
                <w:sz w:val="18"/>
                <w:szCs w:val="18"/>
              </w:rPr>
              <w:t>The Australian National University (5%)</w:t>
            </w:r>
          </w:p>
        </w:tc>
      </w:tr>
      <w:tr w:rsidR="003F3C6D" w:rsidRPr="00453CF6" w:rsidTr="00E40147">
        <w:tc>
          <w:tcPr>
            <w:tcW w:w="1952" w:type="dxa"/>
          </w:tcPr>
          <w:p w:rsidR="003F3C6D" w:rsidRPr="00B9468F" w:rsidRDefault="003F3C6D" w:rsidP="00E40147">
            <w:pPr>
              <w:spacing w:before="120" w:after="100" w:afterAutospacing="1" w:line="276" w:lineRule="auto"/>
              <w:rPr>
                <w:rFonts w:cstheme="minorHAnsi"/>
                <w:color w:val="000000"/>
                <w:sz w:val="18"/>
                <w:szCs w:val="18"/>
              </w:rPr>
            </w:pPr>
          </w:p>
        </w:tc>
        <w:tc>
          <w:tcPr>
            <w:tcW w:w="2295" w:type="dxa"/>
            <w:vAlign w:val="bottom"/>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University of Western Sydney (17%)</w:t>
            </w:r>
          </w:p>
        </w:tc>
        <w:tc>
          <w:tcPr>
            <w:tcW w:w="2350" w:type="dxa"/>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University of South Australia (12%)</w:t>
            </w:r>
          </w:p>
        </w:tc>
        <w:tc>
          <w:tcPr>
            <w:tcW w:w="2407" w:type="dxa"/>
          </w:tcPr>
          <w:p w:rsidR="003F3C6D" w:rsidRPr="00805BC7" w:rsidRDefault="003F3C6D" w:rsidP="00E40147">
            <w:pPr>
              <w:spacing w:before="120" w:after="100" w:afterAutospacing="1" w:line="276" w:lineRule="auto"/>
              <w:rPr>
                <w:rFonts w:cstheme="minorHAnsi"/>
                <w:color w:val="000000"/>
                <w:sz w:val="18"/>
                <w:szCs w:val="18"/>
              </w:rPr>
            </w:pPr>
            <w:r w:rsidRPr="00805BC7">
              <w:rPr>
                <w:rFonts w:cstheme="minorHAnsi"/>
                <w:color w:val="000000"/>
                <w:sz w:val="18"/>
                <w:szCs w:val="18"/>
              </w:rPr>
              <w:t>James Cook University (4%)</w:t>
            </w:r>
          </w:p>
        </w:tc>
      </w:tr>
      <w:tr w:rsidR="003F3C6D" w:rsidRPr="00453CF6" w:rsidTr="00E40147">
        <w:tc>
          <w:tcPr>
            <w:tcW w:w="1952" w:type="dxa"/>
          </w:tcPr>
          <w:p w:rsidR="003F3C6D" w:rsidRPr="00B9468F" w:rsidRDefault="003F3C6D" w:rsidP="00E40147">
            <w:pPr>
              <w:spacing w:before="120" w:after="100" w:afterAutospacing="1" w:line="276" w:lineRule="auto"/>
              <w:rPr>
                <w:rFonts w:cstheme="minorHAnsi"/>
                <w:color w:val="000000"/>
                <w:sz w:val="18"/>
                <w:szCs w:val="18"/>
              </w:rPr>
            </w:pPr>
          </w:p>
        </w:tc>
        <w:tc>
          <w:tcPr>
            <w:tcW w:w="2295" w:type="dxa"/>
            <w:vAlign w:val="bottom"/>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Victoria University of Technology (16%)</w:t>
            </w:r>
          </w:p>
        </w:tc>
        <w:tc>
          <w:tcPr>
            <w:tcW w:w="2350" w:type="dxa"/>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 xml:space="preserve">University of Ballarat (11%)  </w:t>
            </w:r>
          </w:p>
        </w:tc>
        <w:tc>
          <w:tcPr>
            <w:tcW w:w="2407" w:type="dxa"/>
          </w:tcPr>
          <w:p w:rsidR="003F3C6D" w:rsidRPr="008B6994" w:rsidRDefault="003F3C6D" w:rsidP="00E40147">
            <w:pPr>
              <w:spacing w:before="120" w:after="100" w:afterAutospacing="1" w:line="276" w:lineRule="auto"/>
              <w:rPr>
                <w:rFonts w:cstheme="minorHAnsi"/>
                <w:color w:val="000000"/>
                <w:sz w:val="18"/>
                <w:szCs w:val="18"/>
              </w:rPr>
            </w:pPr>
            <w:r w:rsidRPr="008B6994">
              <w:rPr>
                <w:rFonts w:cstheme="minorHAnsi"/>
                <w:color w:val="000000"/>
                <w:sz w:val="18"/>
                <w:szCs w:val="18"/>
              </w:rPr>
              <w:t>University of the Sunshine Coast (4%)</w:t>
            </w:r>
          </w:p>
        </w:tc>
      </w:tr>
      <w:tr w:rsidR="003F3C6D" w:rsidRPr="00453CF6" w:rsidTr="00E40147">
        <w:tc>
          <w:tcPr>
            <w:tcW w:w="1952" w:type="dxa"/>
          </w:tcPr>
          <w:p w:rsidR="003F3C6D" w:rsidRPr="00B9468F" w:rsidRDefault="003F3C6D" w:rsidP="00E40147">
            <w:pPr>
              <w:spacing w:before="120" w:after="100" w:afterAutospacing="1" w:line="276" w:lineRule="auto"/>
              <w:rPr>
                <w:rFonts w:cstheme="minorHAnsi"/>
                <w:color w:val="000000"/>
                <w:sz w:val="18"/>
                <w:szCs w:val="18"/>
              </w:rPr>
            </w:pPr>
          </w:p>
        </w:tc>
        <w:tc>
          <w:tcPr>
            <w:tcW w:w="2295" w:type="dxa"/>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Edith Cowan University (16%)</w:t>
            </w:r>
          </w:p>
        </w:tc>
        <w:tc>
          <w:tcPr>
            <w:tcW w:w="2350" w:type="dxa"/>
          </w:tcPr>
          <w:p w:rsidR="003F3C6D" w:rsidRPr="00B9468F" w:rsidRDefault="003F3C6D" w:rsidP="00E40147">
            <w:pPr>
              <w:spacing w:before="120" w:after="100" w:afterAutospacing="1" w:line="276" w:lineRule="auto"/>
              <w:rPr>
                <w:sz w:val="18"/>
              </w:rPr>
            </w:pPr>
            <w:r w:rsidRPr="00B9468F">
              <w:rPr>
                <w:rFonts w:cstheme="minorHAnsi"/>
                <w:color w:val="000000"/>
                <w:sz w:val="18"/>
                <w:szCs w:val="18"/>
              </w:rPr>
              <w:t>University of Tasmania (11%)</w:t>
            </w:r>
          </w:p>
        </w:tc>
        <w:tc>
          <w:tcPr>
            <w:tcW w:w="2407" w:type="dxa"/>
          </w:tcPr>
          <w:p w:rsidR="003F3C6D" w:rsidRPr="008B6994" w:rsidRDefault="003F3C6D" w:rsidP="00E40147">
            <w:pPr>
              <w:spacing w:before="120" w:after="100" w:afterAutospacing="1" w:line="276" w:lineRule="auto"/>
              <w:rPr>
                <w:rFonts w:cstheme="minorHAnsi"/>
                <w:color w:val="000000"/>
                <w:sz w:val="18"/>
                <w:szCs w:val="18"/>
              </w:rPr>
            </w:pPr>
            <w:r w:rsidRPr="008B6994">
              <w:rPr>
                <w:rFonts w:cstheme="minorHAnsi"/>
                <w:color w:val="000000"/>
                <w:sz w:val="18"/>
                <w:szCs w:val="18"/>
              </w:rPr>
              <w:t>Monash University (4%)</w:t>
            </w:r>
          </w:p>
        </w:tc>
      </w:tr>
      <w:tr w:rsidR="003F3C6D" w:rsidRPr="00453CF6" w:rsidTr="00E40147">
        <w:tc>
          <w:tcPr>
            <w:tcW w:w="1952" w:type="dxa"/>
          </w:tcPr>
          <w:p w:rsidR="003F3C6D" w:rsidRPr="00B9468F" w:rsidRDefault="003F3C6D" w:rsidP="00E40147">
            <w:pPr>
              <w:spacing w:before="120" w:after="100" w:afterAutospacing="1" w:line="276" w:lineRule="auto"/>
              <w:rPr>
                <w:rFonts w:cstheme="minorHAnsi"/>
                <w:color w:val="000000"/>
                <w:sz w:val="18"/>
                <w:szCs w:val="18"/>
              </w:rPr>
            </w:pPr>
          </w:p>
        </w:tc>
        <w:tc>
          <w:tcPr>
            <w:tcW w:w="2295" w:type="dxa"/>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Deakin University (16%)</w:t>
            </w:r>
          </w:p>
        </w:tc>
        <w:tc>
          <w:tcPr>
            <w:tcW w:w="2350" w:type="dxa"/>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Griffith University (11%)</w:t>
            </w:r>
          </w:p>
        </w:tc>
        <w:tc>
          <w:tcPr>
            <w:tcW w:w="2407" w:type="dxa"/>
          </w:tcPr>
          <w:p w:rsidR="003F3C6D" w:rsidRPr="008B6994" w:rsidRDefault="003F3C6D" w:rsidP="00E40147">
            <w:pPr>
              <w:spacing w:before="120" w:after="100" w:afterAutospacing="1" w:line="276" w:lineRule="auto"/>
              <w:rPr>
                <w:rFonts w:cstheme="minorHAnsi"/>
                <w:color w:val="000000"/>
                <w:sz w:val="18"/>
                <w:szCs w:val="18"/>
              </w:rPr>
            </w:pPr>
            <w:r w:rsidRPr="008B6994">
              <w:rPr>
                <w:rFonts w:cstheme="minorHAnsi"/>
                <w:color w:val="000000"/>
                <w:sz w:val="18"/>
                <w:szCs w:val="18"/>
              </w:rPr>
              <w:t>Macquarie University (3%)</w:t>
            </w:r>
          </w:p>
        </w:tc>
      </w:tr>
      <w:tr w:rsidR="003F3C6D" w:rsidRPr="00453CF6" w:rsidTr="00E40147">
        <w:tc>
          <w:tcPr>
            <w:tcW w:w="1952" w:type="dxa"/>
          </w:tcPr>
          <w:p w:rsidR="003F3C6D" w:rsidRPr="00B9468F" w:rsidRDefault="003F3C6D" w:rsidP="00E40147">
            <w:pPr>
              <w:spacing w:before="120" w:after="100" w:afterAutospacing="1" w:line="276" w:lineRule="auto"/>
              <w:rPr>
                <w:rFonts w:cstheme="minorHAnsi"/>
                <w:color w:val="000000"/>
                <w:sz w:val="18"/>
                <w:szCs w:val="18"/>
              </w:rPr>
            </w:pPr>
          </w:p>
        </w:tc>
        <w:tc>
          <w:tcPr>
            <w:tcW w:w="2295" w:type="dxa"/>
          </w:tcPr>
          <w:p w:rsidR="003F3C6D" w:rsidRPr="00B9468F" w:rsidRDefault="003F3C6D" w:rsidP="00E40147">
            <w:pPr>
              <w:spacing w:before="120" w:after="100" w:afterAutospacing="1" w:line="276" w:lineRule="auto"/>
              <w:rPr>
                <w:rFonts w:cstheme="minorHAnsi"/>
                <w:color w:val="000000"/>
                <w:sz w:val="18"/>
                <w:szCs w:val="18"/>
              </w:rPr>
            </w:pPr>
          </w:p>
        </w:tc>
        <w:tc>
          <w:tcPr>
            <w:tcW w:w="2350" w:type="dxa"/>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University of Wollongong (11%)</w:t>
            </w:r>
          </w:p>
        </w:tc>
        <w:tc>
          <w:tcPr>
            <w:tcW w:w="2407" w:type="dxa"/>
          </w:tcPr>
          <w:p w:rsidR="003F3C6D" w:rsidRPr="008B6994" w:rsidRDefault="003F3C6D" w:rsidP="00E40147">
            <w:pPr>
              <w:spacing w:before="120" w:after="100" w:afterAutospacing="1" w:line="276" w:lineRule="auto"/>
              <w:rPr>
                <w:rFonts w:cstheme="minorHAnsi"/>
                <w:color w:val="000000"/>
                <w:sz w:val="18"/>
                <w:szCs w:val="18"/>
              </w:rPr>
            </w:pPr>
            <w:r w:rsidRPr="008B6994">
              <w:rPr>
                <w:rFonts w:cstheme="minorHAnsi"/>
                <w:color w:val="000000"/>
                <w:sz w:val="18"/>
                <w:szCs w:val="18"/>
              </w:rPr>
              <w:t>Curtin University of Technology (3%)</w:t>
            </w:r>
          </w:p>
        </w:tc>
      </w:tr>
      <w:tr w:rsidR="003F3C6D" w:rsidRPr="00453CF6" w:rsidTr="00E40147">
        <w:tc>
          <w:tcPr>
            <w:tcW w:w="1952" w:type="dxa"/>
          </w:tcPr>
          <w:p w:rsidR="003F3C6D" w:rsidRPr="00B9468F" w:rsidRDefault="003F3C6D" w:rsidP="00E40147">
            <w:pPr>
              <w:spacing w:before="120" w:after="100" w:afterAutospacing="1" w:line="276" w:lineRule="auto"/>
              <w:rPr>
                <w:rFonts w:cstheme="minorHAnsi"/>
                <w:color w:val="000000"/>
                <w:sz w:val="18"/>
                <w:szCs w:val="18"/>
              </w:rPr>
            </w:pPr>
          </w:p>
        </w:tc>
        <w:tc>
          <w:tcPr>
            <w:tcW w:w="2295" w:type="dxa"/>
          </w:tcPr>
          <w:p w:rsidR="003F3C6D" w:rsidRPr="00B9468F" w:rsidRDefault="003F3C6D" w:rsidP="00E40147">
            <w:pPr>
              <w:spacing w:before="120" w:after="100" w:afterAutospacing="1" w:line="276" w:lineRule="auto"/>
              <w:rPr>
                <w:rFonts w:cstheme="minorHAnsi"/>
                <w:color w:val="000000"/>
                <w:sz w:val="18"/>
                <w:szCs w:val="18"/>
              </w:rPr>
            </w:pPr>
          </w:p>
        </w:tc>
        <w:tc>
          <w:tcPr>
            <w:tcW w:w="2350" w:type="dxa"/>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Central Queensland University (11%)</w:t>
            </w:r>
          </w:p>
        </w:tc>
        <w:tc>
          <w:tcPr>
            <w:tcW w:w="2407" w:type="dxa"/>
          </w:tcPr>
          <w:p w:rsidR="003F3C6D" w:rsidRPr="00A2522B" w:rsidRDefault="003F3C6D" w:rsidP="00E40147">
            <w:pPr>
              <w:spacing w:before="120" w:after="100" w:afterAutospacing="1" w:line="276" w:lineRule="auto"/>
              <w:rPr>
                <w:rFonts w:cstheme="minorHAnsi"/>
                <w:color w:val="000000"/>
                <w:sz w:val="18"/>
                <w:szCs w:val="18"/>
              </w:rPr>
            </w:pPr>
            <w:r w:rsidRPr="00A2522B">
              <w:rPr>
                <w:rFonts w:cstheme="minorHAnsi"/>
                <w:color w:val="000000"/>
                <w:sz w:val="18"/>
                <w:szCs w:val="18"/>
              </w:rPr>
              <w:t>The University of New South Wales (3%)</w:t>
            </w:r>
          </w:p>
        </w:tc>
      </w:tr>
      <w:tr w:rsidR="003F3C6D" w:rsidRPr="00453CF6" w:rsidTr="00E40147">
        <w:tc>
          <w:tcPr>
            <w:tcW w:w="1952" w:type="dxa"/>
          </w:tcPr>
          <w:p w:rsidR="003F3C6D" w:rsidRPr="00B9468F" w:rsidRDefault="003F3C6D" w:rsidP="00E40147">
            <w:pPr>
              <w:spacing w:before="120" w:after="100" w:afterAutospacing="1" w:line="276" w:lineRule="auto"/>
              <w:rPr>
                <w:rFonts w:cstheme="minorHAnsi"/>
                <w:color w:val="000000"/>
                <w:sz w:val="18"/>
                <w:szCs w:val="18"/>
              </w:rPr>
            </w:pPr>
          </w:p>
        </w:tc>
        <w:tc>
          <w:tcPr>
            <w:tcW w:w="2295" w:type="dxa"/>
          </w:tcPr>
          <w:p w:rsidR="003F3C6D" w:rsidRPr="00B9468F" w:rsidRDefault="003F3C6D" w:rsidP="00E40147">
            <w:pPr>
              <w:spacing w:before="120" w:after="100" w:afterAutospacing="1" w:line="276" w:lineRule="auto"/>
              <w:rPr>
                <w:rFonts w:cstheme="minorHAnsi"/>
                <w:color w:val="000000"/>
                <w:sz w:val="18"/>
                <w:szCs w:val="18"/>
              </w:rPr>
            </w:pPr>
          </w:p>
        </w:tc>
        <w:tc>
          <w:tcPr>
            <w:tcW w:w="2350" w:type="dxa"/>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Murdoch University (10%</w:t>
            </w:r>
          </w:p>
        </w:tc>
        <w:tc>
          <w:tcPr>
            <w:tcW w:w="2407" w:type="dxa"/>
          </w:tcPr>
          <w:p w:rsidR="003F3C6D" w:rsidRPr="00A2522B" w:rsidRDefault="003F3C6D" w:rsidP="00E40147">
            <w:pPr>
              <w:spacing w:before="120" w:after="100" w:afterAutospacing="1" w:line="276" w:lineRule="auto"/>
              <w:rPr>
                <w:rFonts w:cstheme="minorHAnsi"/>
                <w:color w:val="000000"/>
                <w:sz w:val="18"/>
                <w:szCs w:val="18"/>
              </w:rPr>
            </w:pPr>
            <w:r w:rsidRPr="00A2522B">
              <w:rPr>
                <w:rFonts w:cstheme="minorHAnsi"/>
                <w:color w:val="000000"/>
                <w:sz w:val="18"/>
                <w:szCs w:val="18"/>
              </w:rPr>
              <w:t>The University of Sydney (2%)</w:t>
            </w:r>
          </w:p>
        </w:tc>
      </w:tr>
      <w:tr w:rsidR="003F3C6D" w:rsidRPr="00453CF6" w:rsidTr="00E40147">
        <w:tc>
          <w:tcPr>
            <w:tcW w:w="1952" w:type="dxa"/>
          </w:tcPr>
          <w:p w:rsidR="003F3C6D" w:rsidRPr="00B9468F" w:rsidRDefault="003F3C6D" w:rsidP="00E40147">
            <w:pPr>
              <w:spacing w:before="120" w:after="100" w:afterAutospacing="1" w:line="276" w:lineRule="auto"/>
              <w:rPr>
                <w:rFonts w:cstheme="minorHAnsi"/>
                <w:color w:val="000000"/>
                <w:sz w:val="18"/>
                <w:szCs w:val="18"/>
              </w:rPr>
            </w:pPr>
          </w:p>
        </w:tc>
        <w:tc>
          <w:tcPr>
            <w:tcW w:w="2295" w:type="dxa"/>
          </w:tcPr>
          <w:p w:rsidR="003F3C6D" w:rsidRPr="00B9468F" w:rsidRDefault="003F3C6D" w:rsidP="00E40147">
            <w:pPr>
              <w:spacing w:before="120" w:after="100" w:afterAutospacing="1" w:line="276" w:lineRule="auto"/>
              <w:rPr>
                <w:rFonts w:cstheme="minorHAnsi"/>
                <w:color w:val="000000"/>
                <w:sz w:val="18"/>
                <w:szCs w:val="18"/>
              </w:rPr>
            </w:pPr>
          </w:p>
        </w:tc>
        <w:tc>
          <w:tcPr>
            <w:tcW w:w="2350" w:type="dxa"/>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Australian Catholic University (10%)</w:t>
            </w:r>
          </w:p>
        </w:tc>
        <w:tc>
          <w:tcPr>
            <w:tcW w:w="2407" w:type="dxa"/>
          </w:tcPr>
          <w:p w:rsidR="003F3C6D" w:rsidRDefault="003F3C6D" w:rsidP="00E40147">
            <w:pPr>
              <w:spacing w:before="120" w:after="100" w:afterAutospacing="1" w:line="276" w:lineRule="auto"/>
            </w:pPr>
            <w:r w:rsidRPr="00A2522B">
              <w:rPr>
                <w:rFonts w:cstheme="minorHAnsi"/>
                <w:color w:val="000000"/>
                <w:sz w:val="18"/>
                <w:szCs w:val="18"/>
              </w:rPr>
              <w:t>The University of Adelaide( 1%)</w:t>
            </w:r>
          </w:p>
        </w:tc>
      </w:tr>
      <w:tr w:rsidR="003F3C6D" w:rsidRPr="00453CF6" w:rsidTr="00E40147">
        <w:tc>
          <w:tcPr>
            <w:tcW w:w="1952" w:type="dxa"/>
          </w:tcPr>
          <w:p w:rsidR="003F3C6D" w:rsidRPr="00B9468F" w:rsidRDefault="003F3C6D" w:rsidP="00E40147">
            <w:pPr>
              <w:spacing w:before="120" w:after="100" w:afterAutospacing="1" w:line="276" w:lineRule="auto"/>
              <w:rPr>
                <w:rFonts w:cstheme="minorHAnsi"/>
                <w:color w:val="000000"/>
                <w:sz w:val="18"/>
                <w:szCs w:val="18"/>
              </w:rPr>
            </w:pPr>
          </w:p>
        </w:tc>
        <w:tc>
          <w:tcPr>
            <w:tcW w:w="2295" w:type="dxa"/>
          </w:tcPr>
          <w:p w:rsidR="003F3C6D" w:rsidRPr="00B9468F" w:rsidRDefault="003F3C6D" w:rsidP="00E40147">
            <w:pPr>
              <w:spacing w:before="120" w:after="100" w:afterAutospacing="1" w:line="276" w:lineRule="auto"/>
              <w:rPr>
                <w:rFonts w:cstheme="minorHAnsi"/>
                <w:color w:val="000000"/>
                <w:sz w:val="18"/>
                <w:szCs w:val="18"/>
              </w:rPr>
            </w:pPr>
          </w:p>
        </w:tc>
        <w:tc>
          <w:tcPr>
            <w:tcW w:w="2350" w:type="dxa"/>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The University of Newcastle (10%)</w:t>
            </w:r>
          </w:p>
        </w:tc>
        <w:tc>
          <w:tcPr>
            <w:tcW w:w="2407" w:type="dxa"/>
            <w:vAlign w:val="bottom"/>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The University of Melbourne</w:t>
            </w:r>
            <w:r>
              <w:rPr>
                <w:rFonts w:cstheme="minorHAnsi"/>
                <w:color w:val="000000"/>
                <w:sz w:val="18"/>
                <w:szCs w:val="18"/>
              </w:rPr>
              <w:t xml:space="preserve"> (1%)</w:t>
            </w:r>
          </w:p>
        </w:tc>
      </w:tr>
      <w:tr w:rsidR="003F3C6D" w:rsidRPr="00453CF6" w:rsidTr="00E40147">
        <w:tc>
          <w:tcPr>
            <w:tcW w:w="1952" w:type="dxa"/>
          </w:tcPr>
          <w:p w:rsidR="003F3C6D" w:rsidRPr="00B9468F" w:rsidRDefault="003F3C6D" w:rsidP="00E40147">
            <w:pPr>
              <w:spacing w:before="120" w:after="100" w:afterAutospacing="1" w:line="276" w:lineRule="auto"/>
              <w:rPr>
                <w:rFonts w:cstheme="minorHAnsi"/>
                <w:color w:val="000000"/>
                <w:sz w:val="18"/>
                <w:szCs w:val="18"/>
              </w:rPr>
            </w:pPr>
          </w:p>
        </w:tc>
        <w:tc>
          <w:tcPr>
            <w:tcW w:w="2295" w:type="dxa"/>
          </w:tcPr>
          <w:p w:rsidR="003F3C6D" w:rsidRPr="00B9468F" w:rsidRDefault="003F3C6D" w:rsidP="00E40147">
            <w:pPr>
              <w:spacing w:before="120" w:after="100" w:afterAutospacing="1" w:line="276" w:lineRule="auto"/>
              <w:rPr>
                <w:rFonts w:cstheme="minorHAnsi"/>
                <w:color w:val="000000"/>
                <w:sz w:val="18"/>
                <w:szCs w:val="18"/>
              </w:rPr>
            </w:pPr>
          </w:p>
        </w:tc>
        <w:tc>
          <w:tcPr>
            <w:tcW w:w="2350" w:type="dxa"/>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The University of New England (9%)</w:t>
            </w:r>
          </w:p>
        </w:tc>
        <w:tc>
          <w:tcPr>
            <w:tcW w:w="2407" w:type="dxa"/>
            <w:vAlign w:val="bottom"/>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The University of Queensland</w:t>
            </w:r>
            <w:r>
              <w:rPr>
                <w:rFonts w:cstheme="minorHAnsi"/>
                <w:color w:val="000000"/>
                <w:sz w:val="18"/>
                <w:szCs w:val="18"/>
              </w:rPr>
              <w:t xml:space="preserve"> (1%)</w:t>
            </w:r>
          </w:p>
        </w:tc>
      </w:tr>
      <w:tr w:rsidR="003F3C6D" w:rsidRPr="00453CF6" w:rsidTr="00E40147">
        <w:tc>
          <w:tcPr>
            <w:tcW w:w="1952" w:type="dxa"/>
          </w:tcPr>
          <w:p w:rsidR="003F3C6D" w:rsidRPr="00B9468F" w:rsidRDefault="003F3C6D" w:rsidP="00E40147">
            <w:pPr>
              <w:spacing w:before="120" w:after="100" w:afterAutospacing="1" w:line="276" w:lineRule="auto"/>
              <w:rPr>
                <w:rFonts w:cstheme="minorHAnsi"/>
                <w:sz w:val="18"/>
                <w:szCs w:val="18"/>
              </w:rPr>
            </w:pPr>
          </w:p>
        </w:tc>
        <w:tc>
          <w:tcPr>
            <w:tcW w:w="2295" w:type="dxa"/>
          </w:tcPr>
          <w:p w:rsidR="003F3C6D" w:rsidRPr="00B9468F" w:rsidRDefault="003F3C6D" w:rsidP="00E40147">
            <w:pPr>
              <w:spacing w:before="120" w:after="100" w:afterAutospacing="1" w:line="276" w:lineRule="auto"/>
              <w:rPr>
                <w:rFonts w:cstheme="minorHAnsi"/>
                <w:sz w:val="18"/>
                <w:szCs w:val="18"/>
              </w:rPr>
            </w:pPr>
          </w:p>
        </w:tc>
        <w:tc>
          <w:tcPr>
            <w:tcW w:w="2350" w:type="dxa"/>
          </w:tcPr>
          <w:p w:rsidR="003F3C6D" w:rsidRPr="00B9468F" w:rsidRDefault="003F3C6D" w:rsidP="00E40147">
            <w:pPr>
              <w:spacing w:before="120" w:after="100" w:afterAutospacing="1" w:line="276" w:lineRule="auto"/>
              <w:rPr>
                <w:sz w:val="18"/>
              </w:rPr>
            </w:pPr>
            <w:r w:rsidRPr="00B9468F">
              <w:rPr>
                <w:rFonts w:cstheme="minorHAnsi"/>
                <w:color w:val="000000"/>
                <w:sz w:val="18"/>
                <w:szCs w:val="18"/>
              </w:rPr>
              <w:t>Southern Cross University (8%)</w:t>
            </w:r>
          </w:p>
        </w:tc>
        <w:tc>
          <w:tcPr>
            <w:tcW w:w="2407" w:type="dxa"/>
            <w:vAlign w:val="bottom"/>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The University of Western Australia</w:t>
            </w:r>
            <w:r>
              <w:rPr>
                <w:rFonts w:cstheme="minorHAnsi"/>
                <w:color w:val="000000"/>
                <w:sz w:val="18"/>
                <w:szCs w:val="18"/>
              </w:rPr>
              <w:t xml:space="preserve"> (0%)</w:t>
            </w:r>
          </w:p>
        </w:tc>
      </w:tr>
      <w:tr w:rsidR="003F3C6D" w:rsidRPr="00453CF6" w:rsidTr="00E40147">
        <w:tc>
          <w:tcPr>
            <w:tcW w:w="1952" w:type="dxa"/>
          </w:tcPr>
          <w:p w:rsidR="003F3C6D" w:rsidRPr="00B9468F" w:rsidRDefault="003F3C6D" w:rsidP="00E40147">
            <w:pPr>
              <w:spacing w:before="120" w:after="100" w:afterAutospacing="1" w:line="276" w:lineRule="auto"/>
              <w:rPr>
                <w:rFonts w:cstheme="minorHAnsi"/>
                <w:color w:val="000000"/>
                <w:sz w:val="18"/>
                <w:szCs w:val="18"/>
              </w:rPr>
            </w:pPr>
          </w:p>
        </w:tc>
        <w:tc>
          <w:tcPr>
            <w:tcW w:w="2295" w:type="dxa"/>
          </w:tcPr>
          <w:p w:rsidR="003F3C6D" w:rsidRPr="00B9468F" w:rsidRDefault="003F3C6D" w:rsidP="00E40147">
            <w:pPr>
              <w:spacing w:before="120" w:after="100" w:afterAutospacing="1" w:line="276" w:lineRule="auto"/>
              <w:rPr>
                <w:rFonts w:cstheme="minorHAnsi"/>
                <w:color w:val="000000"/>
                <w:sz w:val="18"/>
                <w:szCs w:val="18"/>
              </w:rPr>
            </w:pPr>
          </w:p>
        </w:tc>
        <w:tc>
          <w:tcPr>
            <w:tcW w:w="2350" w:type="dxa"/>
            <w:vAlign w:val="bottom"/>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University of Technology, Sydney (8%)</w:t>
            </w:r>
          </w:p>
        </w:tc>
        <w:tc>
          <w:tcPr>
            <w:tcW w:w="2407" w:type="dxa"/>
          </w:tcPr>
          <w:p w:rsidR="003F3C6D" w:rsidRPr="00B9468F" w:rsidRDefault="003F3C6D" w:rsidP="00E40147">
            <w:pPr>
              <w:spacing w:before="120" w:after="100" w:afterAutospacing="1" w:line="276" w:lineRule="auto"/>
              <w:rPr>
                <w:rFonts w:cstheme="minorHAnsi"/>
                <w:sz w:val="18"/>
                <w:szCs w:val="18"/>
              </w:rPr>
            </w:pPr>
          </w:p>
        </w:tc>
      </w:tr>
      <w:tr w:rsidR="003F3C6D" w:rsidRPr="00453CF6" w:rsidTr="00E40147">
        <w:tc>
          <w:tcPr>
            <w:tcW w:w="1952" w:type="dxa"/>
            <w:tcBorders>
              <w:bottom w:val="single" w:sz="4" w:space="0" w:color="auto"/>
            </w:tcBorders>
          </w:tcPr>
          <w:p w:rsidR="003F3C6D" w:rsidRPr="00B9468F" w:rsidRDefault="003F3C6D" w:rsidP="00E40147">
            <w:pPr>
              <w:spacing w:before="120" w:after="100" w:afterAutospacing="1" w:line="276" w:lineRule="auto"/>
              <w:rPr>
                <w:rFonts w:cstheme="minorHAnsi"/>
                <w:color w:val="000000"/>
                <w:sz w:val="18"/>
                <w:szCs w:val="18"/>
              </w:rPr>
            </w:pPr>
          </w:p>
        </w:tc>
        <w:tc>
          <w:tcPr>
            <w:tcW w:w="2295" w:type="dxa"/>
            <w:tcBorders>
              <w:bottom w:val="single" w:sz="4" w:space="0" w:color="auto"/>
            </w:tcBorders>
          </w:tcPr>
          <w:p w:rsidR="003F3C6D" w:rsidRPr="00B9468F" w:rsidRDefault="003F3C6D" w:rsidP="00E40147">
            <w:pPr>
              <w:spacing w:before="120" w:after="100" w:afterAutospacing="1" w:line="276" w:lineRule="auto"/>
              <w:rPr>
                <w:rFonts w:cstheme="minorHAnsi"/>
                <w:color w:val="000000"/>
                <w:sz w:val="18"/>
                <w:szCs w:val="18"/>
              </w:rPr>
            </w:pPr>
          </w:p>
        </w:tc>
        <w:tc>
          <w:tcPr>
            <w:tcW w:w="2350" w:type="dxa"/>
            <w:tcBorders>
              <w:bottom w:val="single" w:sz="4" w:space="0" w:color="auto"/>
            </w:tcBorders>
            <w:vAlign w:val="bottom"/>
          </w:tcPr>
          <w:p w:rsidR="003F3C6D" w:rsidRPr="00B9468F" w:rsidRDefault="003F3C6D" w:rsidP="00E40147">
            <w:pPr>
              <w:spacing w:before="120" w:after="100" w:afterAutospacing="1" w:line="276" w:lineRule="auto"/>
              <w:rPr>
                <w:rFonts w:cstheme="minorHAnsi"/>
                <w:color w:val="000000"/>
                <w:sz w:val="18"/>
                <w:szCs w:val="18"/>
              </w:rPr>
            </w:pPr>
            <w:r w:rsidRPr="00B9468F">
              <w:rPr>
                <w:rFonts w:cstheme="minorHAnsi"/>
                <w:color w:val="000000"/>
                <w:sz w:val="18"/>
                <w:szCs w:val="18"/>
              </w:rPr>
              <w:t>Queensland University of Technology (7%)</w:t>
            </w:r>
          </w:p>
        </w:tc>
        <w:tc>
          <w:tcPr>
            <w:tcW w:w="2407" w:type="dxa"/>
            <w:tcBorders>
              <w:bottom w:val="single" w:sz="4" w:space="0" w:color="auto"/>
            </w:tcBorders>
          </w:tcPr>
          <w:p w:rsidR="003F3C6D" w:rsidRPr="00B9468F" w:rsidRDefault="003F3C6D" w:rsidP="00E40147">
            <w:pPr>
              <w:spacing w:before="120" w:after="100" w:afterAutospacing="1" w:line="276" w:lineRule="auto"/>
              <w:rPr>
                <w:rFonts w:cstheme="minorHAnsi"/>
                <w:sz w:val="18"/>
                <w:szCs w:val="18"/>
              </w:rPr>
            </w:pPr>
          </w:p>
        </w:tc>
      </w:tr>
    </w:tbl>
    <w:p w:rsidR="004B5099" w:rsidRDefault="004B5099" w:rsidP="004B5099">
      <w:pPr>
        <w:pStyle w:val="Heading2"/>
      </w:pPr>
      <w:bookmarkStart w:id="33" w:name="_Toc350434028"/>
      <w:bookmarkStart w:id="34" w:name="_Toc358384115"/>
      <w:bookmarkStart w:id="35" w:name="_Toc370995878"/>
      <w:r>
        <w:t>Clusters of broad fields of education (FOEs)</w:t>
      </w:r>
      <w:bookmarkEnd w:id="33"/>
      <w:bookmarkEnd w:id="34"/>
      <w:bookmarkEnd w:id="35"/>
    </w:p>
    <w:p w:rsidR="004B5099" w:rsidRDefault="004B5099" w:rsidP="004B5099">
      <w:pPr>
        <w:spacing w:line="300" w:lineRule="exact"/>
        <w:rPr>
          <w:rFonts w:cstheme="minorHAnsi"/>
        </w:rPr>
      </w:pPr>
      <w:r>
        <w:rPr>
          <w:rFonts w:cstheme="minorHAnsi"/>
        </w:rPr>
        <w:t xml:space="preserve">To take into account the variation in admission rates by field of education, we performed a further cluster analysis on the 10 broad fields of education (FOEs) in which Australian universities offer undergraduate programs, as shown in Table 4. </w:t>
      </w:r>
    </w:p>
    <w:p w:rsidR="00F82B97" w:rsidRDefault="00F82B97">
      <w:pPr>
        <w:spacing w:before="0" w:line="240" w:lineRule="auto"/>
        <w:rPr>
          <w:rFonts w:ascii="Tahoma" w:hAnsi="Tahoma"/>
          <w:b/>
          <w:sz w:val="17"/>
        </w:rPr>
      </w:pPr>
      <w:bookmarkStart w:id="36" w:name="_Toc350434043"/>
      <w:bookmarkStart w:id="37" w:name="_Toc350786310"/>
      <w:r>
        <w:br w:type="page"/>
      </w:r>
    </w:p>
    <w:p w:rsidR="004B5099" w:rsidRDefault="004B5099" w:rsidP="004B5099">
      <w:pPr>
        <w:pStyle w:val="tabletitle"/>
      </w:pPr>
      <w:bookmarkStart w:id="38" w:name="_Toc370995913"/>
      <w:r>
        <w:lastRenderedPageBreak/>
        <w:t>Table 4</w:t>
      </w:r>
      <w:r>
        <w:tab/>
        <w:t>Clusters of broad field of education (FOE), Australia 2010</w:t>
      </w:r>
      <w:bookmarkEnd w:id="36"/>
      <w:bookmarkEnd w:id="37"/>
      <w:bookmarkEnd w:id="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4961"/>
        <w:gridCol w:w="3084"/>
      </w:tblGrid>
      <w:tr w:rsidR="004B5099" w:rsidRPr="000B72D6" w:rsidTr="005A04CB">
        <w:tc>
          <w:tcPr>
            <w:tcW w:w="959" w:type="dxa"/>
            <w:tcBorders>
              <w:top w:val="single" w:sz="4" w:space="0" w:color="auto"/>
              <w:bottom w:val="single" w:sz="4" w:space="0" w:color="auto"/>
            </w:tcBorders>
          </w:tcPr>
          <w:p w:rsidR="004B5099" w:rsidRPr="000B72D6" w:rsidRDefault="004B5099" w:rsidP="005A04CB">
            <w:pPr>
              <w:spacing w:before="120" w:line="240" w:lineRule="auto"/>
              <w:rPr>
                <w:sz w:val="18"/>
                <w:szCs w:val="18"/>
              </w:rPr>
            </w:pPr>
          </w:p>
        </w:tc>
        <w:tc>
          <w:tcPr>
            <w:tcW w:w="4961" w:type="dxa"/>
            <w:tcBorders>
              <w:top w:val="single" w:sz="4" w:space="0" w:color="auto"/>
              <w:bottom w:val="single" w:sz="4" w:space="0" w:color="auto"/>
            </w:tcBorders>
          </w:tcPr>
          <w:p w:rsidR="004B5099" w:rsidRPr="000B72D6" w:rsidRDefault="004B5099" w:rsidP="005A04CB">
            <w:pPr>
              <w:spacing w:before="120" w:line="240" w:lineRule="auto"/>
              <w:jc w:val="center"/>
              <w:rPr>
                <w:b/>
                <w:sz w:val="18"/>
                <w:szCs w:val="18"/>
              </w:rPr>
            </w:pPr>
            <w:r w:rsidRPr="000B72D6">
              <w:rPr>
                <w:b/>
                <w:sz w:val="18"/>
                <w:szCs w:val="18"/>
              </w:rPr>
              <w:t>Broad F</w:t>
            </w:r>
            <w:r>
              <w:rPr>
                <w:b/>
                <w:sz w:val="18"/>
                <w:szCs w:val="18"/>
              </w:rPr>
              <w:t>ield of Education (F</w:t>
            </w:r>
            <w:r w:rsidRPr="000B72D6">
              <w:rPr>
                <w:b/>
                <w:sz w:val="18"/>
                <w:szCs w:val="18"/>
              </w:rPr>
              <w:t>OE</w:t>
            </w:r>
            <w:r>
              <w:rPr>
                <w:b/>
                <w:sz w:val="18"/>
                <w:szCs w:val="18"/>
              </w:rPr>
              <w:t>)</w:t>
            </w:r>
          </w:p>
        </w:tc>
        <w:tc>
          <w:tcPr>
            <w:tcW w:w="3084" w:type="dxa"/>
            <w:tcBorders>
              <w:top w:val="single" w:sz="4" w:space="0" w:color="auto"/>
              <w:bottom w:val="single" w:sz="4" w:space="0" w:color="auto"/>
            </w:tcBorders>
          </w:tcPr>
          <w:p w:rsidR="004B5099" w:rsidRPr="000B72D6" w:rsidRDefault="004B5099" w:rsidP="005A04CB">
            <w:pPr>
              <w:spacing w:before="120" w:line="240" w:lineRule="auto"/>
              <w:jc w:val="center"/>
              <w:rPr>
                <w:b/>
                <w:sz w:val="18"/>
                <w:szCs w:val="18"/>
              </w:rPr>
            </w:pPr>
            <w:r>
              <w:rPr>
                <w:b/>
                <w:sz w:val="18"/>
                <w:szCs w:val="18"/>
              </w:rPr>
              <w:t>Admissions</w:t>
            </w:r>
            <w:r w:rsidRPr="000B72D6">
              <w:rPr>
                <w:b/>
                <w:sz w:val="18"/>
                <w:szCs w:val="18"/>
              </w:rPr>
              <w:t xml:space="preserve"> on basis of VET</w:t>
            </w:r>
            <w:r>
              <w:rPr>
                <w:b/>
                <w:sz w:val="18"/>
                <w:szCs w:val="18"/>
              </w:rPr>
              <w:t xml:space="preserve"> award </w:t>
            </w:r>
          </w:p>
        </w:tc>
      </w:tr>
      <w:tr w:rsidR="004B5099" w:rsidRPr="000B72D6" w:rsidTr="005A04CB">
        <w:tc>
          <w:tcPr>
            <w:tcW w:w="959" w:type="dxa"/>
            <w:tcBorders>
              <w:top w:val="single" w:sz="4" w:space="0" w:color="auto"/>
              <w:bottom w:val="single" w:sz="4" w:space="0" w:color="auto"/>
            </w:tcBorders>
          </w:tcPr>
          <w:p w:rsidR="004B5099" w:rsidRPr="000B72D6" w:rsidRDefault="004B5099" w:rsidP="005A04CB">
            <w:pPr>
              <w:spacing w:before="120" w:line="240" w:lineRule="auto"/>
              <w:rPr>
                <w:sz w:val="18"/>
                <w:szCs w:val="18"/>
              </w:rPr>
            </w:pPr>
            <w:r>
              <w:rPr>
                <w:sz w:val="18"/>
                <w:szCs w:val="18"/>
              </w:rPr>
              <w:t>Cluster A</w:t>
            </w:r>
          </w:p>
        </w:tc>
        <w:tc>
          <w:tcPr>
            <w:tcW w:w="4961" w:type="dxa"/>
            <w:tcBorders>
              <w:top w:val="single" w:sz="4" w:space="0" w:color="auto"/>
              <w:bottom w:val="single" w:sz="4" w:space="0" w:color="auto"/>
            </w:tcBorders>
          </w:tcPr>
          <w:p w:rsidR="004B5099" w:rsidRPr="000B72D6" w:rsidRDefault="004B5099" w:rsidP="005A04CB">
            <w:pPr>
              <w:spacing w:before="120" w:line="240" w:lineRule="auto"/>
              <w:rPr>
                <w:sz w:val="18"/>
                <w:szCs w:val="18"/>
              </w:rPr>
            </w:pPr>
            <w:r w:rsidRPr="000B72D6">
              <w:rPr>
                <w:sz w:val="18"/>
                <w:szCs w:val="18"/>
              </w:rPr>
              <w:t>08</w:t>
            </w:r>
            <w:r>
              <w:rPr>
                <w:sz w:val="18"/>
                <w:szCs w:val="18"/>
              </w:rPr>
              <w:t xml:space="preserve"> — </w:t>
            </w:r>
            <w:r w:rsidRPr="000B72D6">
              <w:rPr>
                <w:sz w:val="18"/>
                <w:szCs w:val="18"/>
              </w:rPr>
              <w:t>Management and Commerce</w:t>
            </w:r>
            <w:r>
              <w:rPr>
                <w:sz w:val="18"/>
                <w:szCs w:val="18"/>
              </w:rPr>
              <w:t xml:space="preserve"> (13%)</w:t>
            </w:r>
          </w:p>
          <w:p w:rsidR="004B5099" w:rsidRPr="000B72D6" w:rsidRDefault="004B5099" w:rsidP="005A04CB">
            <w:pPr>
              <w:spacing w:before="120" w:line="240" w:lineRule="auto"/>
              <w:rPr>
                <w:sz w:val="18"/>
                <w:szCs w:val="18"/>
              </w:rPr>
            </w:pPr>
            <w:r w:rsidRPr="000B72D6">
              <w:rPr>
                <w:sz w:val="18"/>
                <w:szCs w:val="18"/>
              </w:rPr>
              <w:t xml:space="preserve">10 </w:t>
            </w:r>
            <w:r>
              <w:rPr>
                <w:sz w:val="18"/>
                <w:szCs w:val="18"/>
              </w:rPr>
              <w:t xml:space="preserve">— </w:t>
            </w:r>
            <w:r w:rsidRPr="000B72D6">
              <w:rPr>
                <w:sz w:val="18"/>
                <w:szCs w:val="18"/>
              </w:rPr>
              <w:t>Creative Arts</w:t>
            </w:r>
            <w:r w:rsidR="00B82343">
              <w:rPr>
                <w:sz w:val="18"/>
                <w:szCs w:val="18"/>
              </w:rPr>
              <w:t xml:space="preserve"> (</w:t>
            </w:r>
            <w:r>
              <w:rPr>
                <w:sz w:val="18"/>
                <w:szCs w:val="18"/>
              </w:rPr>
              <w:t>8%)</w:t>
            </w:r>
          </w:p>
          <w:p w:rsidR="004B5099" w:rsidRPr="000B72D6" w:rsidRDefault="004B5099" w:rsidP="005A04CB">
            <w:pPr>
              <w:spacing w:before="120" w:line="240" w:lineRule="auto"/>
              <w:rPr>
                <w:sz w:val="18"/>
                <w:szCs w:val="18"/>
              </w:rPr>
            </w:pPr>
            <w:r w:rsidRPr="000B72D6">
              <w:rPr>
                <w:sz w:val="18"/>
                <w:szCs w:val="18"/>
              </w:rPr>
              <w:t xml:space="preserve">06 </w:t>
            </w:r>
            <w:r>
              <w:rPr>
                <w:sz w:val="18"/>
                <w:szCs w:val="18"/>
              </w:rPr>
              <w:t xml:space="preserve">— </w:t>
            </w:r>
            <w:r w:rsidRPr="000B72D6">
              <w:rPr>
                <w:sz w:val="18"/>
                <w:szCs w:val="18"/>
              </w:rPr>
              <w:t>Health</w:t>
            </w:r>
            <w:r>
              <w:rPr>
                <w:sz w:val="18"/>
                <w:szCs w:val="18"/>
              </w:rPr>
              <w:t xml:space="preserve"> (12%)</w:t>
            </w:r>
          </w:p>
        </w:tc>
        <w:tc>
          <w:tcPr>
            <w:tcW w:w="3084" w:type="dxa"/>
            <w:tcBorders>
              <w:top w:val="single" w:sz="4" w:space="0" w:color="auto"/>
              <w:bottom w:val="single" w:sz="4" w:space="0" w:color="auto"/>
            </w:tcBorders>
          </w:tcPr>
          <w:p w:rsidR="004B5099" w:rsidRPr="000B72D6" w:rsidRDefault="004B5099" w:rsidP="005A04CB">
            <w:pPr>
              <w:tabs>
                <w:tab w:val="decimal" w:pos="1185"/>
              </w:tabs>
              <w:spacing w:before="120" w:line="240" w:lineRule="auto"/>
              <w:rPr>
                <w:sz w:val="18"/>
                <w:szCs w:val="18"/>
              </w:rPr>
            </w:pPr>
            <w:r>
              <w:rPr>
                <w:sz w:val="18"/>
                <w:szCs w:val="18"/>
              </w:rPr>
              <w:t>12%</w:t>
            </w:r>
          </w:p>
        </w:tc>
      </w:tr>
      <w:tr w:rsidR="004B5099" w:rsidRPr="000B72D6" w:rsidTr="005A04CB">
        <w:tc>
          <w:tcPr>
            <w:tcW w:w="959" w:type="dxa"/>
            <w:tcBorders>
              <w:top w:val="single" w:sz="4" w:space="0" w:color="auto"/>
              <w:bottom w:val="single" w:sz="4" w:space="0" w:color="auto"/>
            </w:tcBorders>
          </w:tcPr>
          <w:p w:rsidR="004B5099" w:rsidRPr="000B72D6" w:rsidRDefault="004B5099" w:rsidP="005A04CB">
            <w:pPr>
              <w:spacing w:before="120" w:line="240" w:lineRule="auto"/>
              <w:rPr>
                <w:sz w:val="18"/>
                <w:szCs w:val="18"/>
              </w:rPr>
            </w:pPr>
            <w:r>
              <w:rPr>
                <w:sz w:val="18"/>
                <w:szCs w:val="18"/>
              </w:rPr>
              <w:t>Outliers</w:t>
            </w:r>
          </w:p>
        </w:tc>
        <w:tc>
          <w:tcPr>
            <w:tcW w:w="4961" w:type="dxa"/>
            <w:tcBorders>
              <w:top w:val="single" w:sz="4" w:space="0" w:color="auto"/>
              <w:bottom w:val="single" w:sz="4" w:space="0" w:color="auto"/>
            </w:tcBorders>
          </w:tcPr>
          <w:p w:rsidR="004B5099" w:rsidRPr="000B72D6" w:rsidRDefault="004B5099" w:rsidP="005A04CB">
            <w:pPr>
              <w:spacing w:before="120" w:line="240" w:lineRule="auto"/>
              <w:rPr>
                <w:sz w:val="18"/>
                <w:szCs w:val="18"/>
              </w:rPr>
            </w:pPr>
            <w:r w:rsidRPr="000B72D6">
              <w:rPr>
                <w:sz w:val="18"/>
                <w:szCs w:val="18"/>
              </w:rPr>
              <w:t xml:space="preserve">07 </w:t>
            </w:r>
            <w:r>
              <w:rPr>
                <w:sz w:val="18"/>
                <w:szCs w:val="18"/>
              </w:rPr>
              <w:t xml:space="preserve">— </w:t>
            </w:r>
            <w:r w:rsidRPr="000B72D6">
              <w:rPr>
                <w:sz w:val="18"/>
                <w:szCs w:val="18"/>
              </w:rPr>
              <w:t>Education</w:t>
            </w:r>
            <w:r>
              <w:rPr>
                <w:sz w:val="18"/>
                <w:szCs w:val="18"/>
              </w:rPr>
              <w:t xml:space="preserve"> (15%)</w:t>
            </w:r>
          </w:p>
          <w:p w:rsidR="004B5099" w:rsidRPr="000B72D6" w:rsidRDefault="004B5099" w:rsidP="005A04CB">
            <w:pPr>
              <w:spacing w:before="120" w:line="240" w:lineRule="auto"/>
              <w:rPr>
                <w:sz w:val="18"/>
                <w:szCs w:val="18"/>
              </w:rPr>
            </w:pPr>
            <w:r w:rsidRPr="000B72D6">
              <w:rPr>
                <w:sz w:val="18"/>
                <w:szCs w:val="18"/>
              </w:rPr>
              <w:t xml:space="preserve">02 </w:t>
            </w:r>
            <w:r>
              <w:rPr>
                <w:sz w:val="18"/>
                <w:szCs w:val="18"/>
              </w:rPr>
              <w:t xml:space="preserve">— </w:t>
            </w:r>
            <w:r w:rsidRPr="000B72D6">
              <w:rPr>
                <w:sz w:val="18"/>
                <w:szCs w:val="18"/>
              </w:rPr>
              <w:t>Information Technology</w:t>
            </w:r>
            <w:r>
              <w:rPr>
                <w:sz w:val="18"/>
                <w:szCs w:val="18"/>
              </w:rPr>
              <w:t xml:space="preserve"> (14%)</w:t>
            </w:r>
          </w:p>
        </w:tc>
        <w:tc>
          <w:tcPr>
            <w:tcW w:w="3084" w:type="dxa"/>
            <w:tcBorders>
              <w:top w:val="single" w:sz="4" w:space="0" w:color="auto"/>
              <w:bottom w:val="single" w:sz="4" w:space="0" w:color="auto"/>
            </w:tcBorders>
          </w:tcPr>
          <w:p w:rsidR="004B5099" w:rsidRPr="000B72D6" w:rsidRDefault="004B5099" w:rsidP="005A04CB">
            <w:pPr>
              <w:tabs>
                <w:tab w:val="decimal" w:pos="1185"/>
              </w:tabs>
              <w:spacing w:before="120" w:line="240" w:lineRule="auto"/>
              <w:rPr>
                <w:sz w:val="18"/>
                <w:szCs w:val="18"/>
              </w:rPr>
            </w:pPr>
            <w:r>
              <w:rPr>
                <w:sz w:val="18"/>
                <w:szCs w:val="18"/>
              </w:rPr>
              <w:t>15%</w:t>
            </w:r>
          </w:p>
        </w:tc>
      </w:tr>
      <w:tr w:rsidR="004B5099" w:rsidRPr="000B72D6" w:rsidTr="005A04CB">
        <w:tc>
          <w:tcPr>
            <w:tcW w:w="959" w:type="dxa"/>
            <w:tcBorders>
              <w:top w:val="single" w:sz="4" w:space="0" w:color="auto"/>
              <w:bottom w:val="single" w:sz="4" w:space="0" w:color="auto"/>
            </w:tcBorders>
          </w:tcPr>
          <w:p w:rsidR="004B5099" w:rsidRPr="000B72D6" w:rsidRDefault="004B5099" w:rsidP="005A04CB">
            <w:pPr>
              <w:spacing w:before="120" w:line="240" w:lineRule="auto"/>
              <w:rPr>
                <w:sz w:val="18"/>
                <w:szCs w:val="18"/>
              </w:rPr>
            </w:pPr>
            <w:r>
              <w:rPr>
                <w:sz w:val="18"/>
                <w:szCs w:val="18"/>
              </w:rPr>
              <w:t>Cluster B</w:t>
            </w:r>
          </w:p>
        </w:tc>
        <w:tc>
          <w:tcPr>
            <w:tcW w:w="4961" w:type="dxa"/>
            <w:tcBorders>
              <w:top w:val="single" w:sz="4" w:space="0" w:color="auto"/>
              <w:bottom w:val="single" w:sz="4" w:space="0" w:color="auto"/>
            </w:tcBorders>
          </w:tcPr>
          <w:p w:rsidR="004B5099" w:rsidRPr="000B72D6" w:rsidRDefault="004B5099" w:rsidP="005A04CB">
            <w:pPr>
              <w:spacing w:before="120" w:line="240" w:lineRule="auto"/>
              <w:rPr>
                <w:sz w:val="18"/>
                <w:szCs w:val="18"/>
              </w:rPr>
            </w:pPr>
            <w:r w:rsidRPr="000B72D6">
              <w:rPr>
                <w:sz w:val="18"/>
                <w:szCs w:val="18"/>
              </w:rPr>
              <w:t xml:space="preserve">03 </w:t>
            </w:r>
            <w:r>
              <w:rPr>
                <w:sz w:val="18"/>
                <w:szCs w:val="18"/>
              </w:rPr>
              <w:t xml:space="preserve">— </w:t>
            </w:r>
            <w:r w:rsidRPr="000B72D6">
              <w:rPr>
                <w:sz w:val="18"/>
                <w:szCs w:val="18"/>
              </w:rPr>
              <w:t>Engineering and Related Technologies</w:t>
            </w:r>
            <w:r>
              <w:rPr>
                <w:sz w:val="18"/>
                <w:szCs w:val="18"/>
              </w:rPr>
              <w:t xml:space="preserve"> (7%)</w:t>
            </w:r>
          </w:p>
          <w:p w:rsidR="004B5099" w:rsidRPr="000B72D6" w:rsidRDefault="004B5099" w:rsidP="005A04CB">
            <w:pPr>
              <w:spacing w:before="120" w:line="240" w:lineRule="auto"/>
              <w:rPr>
                <w:sz w:val="18"/>
                <w:szCs w:val="18"/>
              </w:rPr>
            </w:pPr>
            <w:r w:rsidRPr="000B72D6">
              <w:rPr>
                <w:sz w:val="18"/>
                <w:szCs w:val="18"/>
              </w:rPr>
              <w:t xml:space="preserve">04 </w:t>
            </w:r>
            <w:r>
              <w:rPr>
                <w:sz w:val="18"/>
                <w:szCs w:val="18"/>
              </w:rPr>
              <w:t xml:space="preserve">— </w:t>
            </w:r>
            <w:r w:rsidRPr="000B72D6">
              <w:rPr>
                <w:sz w:val="18"/>
                <w:szCs w:val="18"/>
              </w:rPr>
              <w:t>Architecture and Building</w:t>
            </w:r>
            <w:r>
              <w:rPr>
                <w:sz w:val="18"/>
                <w:szCs w:val="18"/>
              </w:rPr>
              <w:t xml:space="preserve"> (10%)</w:t>
            </w:r>
          </w:p>
        </w:tc>
        <w:tc>
          <w:tcPr>
            <w:tcW w:w="3084" w:type="dxa"/>
            <w:tcBorders>
              <w:top w:val="single" w:sz="4" w:space="0" w:color="auto"/>
              <w:bottom w:val="single" w:sz="4" w:space="0" w:color="auto"/>
            </w:tcBorders>
          </w:tcPr>
          <w:p w:rsidR="004B5099" w:rsidRPr="000B72D6" w:rsidRDefault="004B5099" w:rsidP="005A04CB">
            <w:pPr>
              <w:tabs>
                <w:tab w:val="decimal" w:pos="1185"/>
              </w:tabs>
              <w:spacing w:before="120" w:line="240" w:lineRule="auto"/>
              <w:rPr>
                <w:sz w:val="18"/>
                <w:szCs w:val="18"/>
              </w:rPr>
            </w:pPr>
            <w:r>
              <w:rPr>
                <w:sz w:val="18"/>
                <w:szCs w:val="18"/>
              </w:rPr>
              <w:t>8%</w:t>
            </w:r>
          </w:p>
        </w:tc>
      </w:tr>
      <w:tr w:rsidR="004B5099" w:rsidRPr="000B72D6" w:rsidTr="005A04CB">
        <w:tc>
          <w:tcPr>
            <w:tcW w:w="959" w:type="dxa"/>
            <w:tcBorders>
              <w:top w:val="single" w:sz="4" w:space="0" w:color="auto"/>
              <w:bottom w:val="single" w:sz="4" w:space="0" w:color="auto"/>
            </w:tcBorders>
          </w:tcPr>
          <w:p w:rsidR="004B5099" w:rsidRPr="000B72D6" w:rsidRDefault="004B5099" w:rsidP="005A04CB">
            <w:pPr>
              <w:spacing w:before="120" w:line="240" w:lineRule="auto"/>
              <w:rPr>
                <w:sz w:val="18"/>
                <w:szCs w:val="18"/>
              </w:rPr>
            </w:pPr>
            <w:r>
              <w:rPr>
                <w:sz w:val="18"/>
                <w:szCs w:val="18"/>
              </w:rPr>
              <w:t>Cluster C</w:t>
            </w:r>
          </w:p>
        </w:tc>
        <w:tc>
          <w:tcPr>
            <w:tcW w:w="4961" w:type="dxa"/>
            <w:tcBorders>
              <w:top w:val="single" w:sz="4" w:space="0" w:color="auto"/>
              <w:bottom w:val="single" w:sz="4" w:space="0" w:color="auto"/>
            </w:tcBorders>
          </w:tcPr>
          <w:p w:rsidR="004B5099" w:rsidRPr="000B72D6" w:rsidRDefault="004B5099" w:rsidP="005A04CB">
            <w:pPr>
              <w:spacing w:before="120" w:line="240" w:lineRule="auto"/>
              <w:rPr>
                <w:sz w:val="18"/>
                <w:szCs w:val="18"/>
              </w:rPr>
            </w:pPr>
            <w:r w:rsidRPr="000B72D6">
              <w:rPr>
                <w:sz w:val="18"/>
                <w:szCs w:val="18"/>
              </w:rPr>
              <w:t xml:space="preserve">05 </w:t>
            </w:r>
            <w:r>
              <w:rPr>
                <w:sz w:val="18"/>
                <w:szCs w:val="18"/>
              </w:rPr>
              <w:t xml:space="preserve">— </w:t>
            </w:r>
            <w:r w:rsidRPr="000B72D6">
              <w:rPr>
                <w:sz w:val="18"/>
                <w:szCs w:val="18"/>
              </w:rPr>
              <w:t>Agriculture, Environmental and Related Studies</w:t>
            </w:r>
            <w:r>
              <w:rPr>
                <w:sz w:val="18"/>
                <w:szCs w:val="18"/>
              </w:rPr>
              <w:t xml:space="preserve"> (6%)</w:t>
            </w:r>
          </w:p>
          <w:p w:rsidR="004B5099" w:rsidRPr="000B72D6" w:rsidRDefault="004B5099" w:rsidP="005A04CB">
            <w:pPr>
              <w:spacing w:before="120" w:line="240" w:lineRule="auto"/>
              <w:rPr>
                <w:sz w:val="18"/>
                <w:szCs w:val="18"/>
              </w:rPr>
            </w:pPr>
            <w:r w:rsidRPr="000B72D6">
              <w:rPr>
                <w:sz w:val="18"/>
                <w:szCs w:val="18"/>
              </w:rPr>
              <w:t xml:space="preserve">09 </w:t>
            </w:r>
            <w:r>
              <w:rPr>
                <w:sz w:val="18"/>
                <w:szCs w:val="18"/>
              </w:rPr>
              <w:t>— Society and C</w:t>
            </w:r>
            <w:r w:rsidRPr="000B72D6">
              <w:rPr>
                <w:sz w:val="18"/>
                <w:szCs w:val="18"/>
              </w:rPr>
              <w:t>ulture</w:t>
            </w:r>
            <w:r>
              <w:rPr>
                <w:sz w:val="18"/>
                <w:szCs w:val="18"/>
              </w:rPr>
              <w:t xml:space="preserve"> (8%)</w:t>
            </w:r>
          </w:p>
          <w:p w:rsidR="004B5099" w:rsidRPr="000B72D6" w:rsidRDefault="004B5099" w:rsidP="005A04CB">
            <w:pPr>
              <w:spacing w:before="120" w:line="240" w:lineRule="auto"/>
              <w:rPr>
                <w:sz w:val="18"/>
                <w:szCs w:val="18"/>
              </w:rPr>
            </w:pPr>
            <w:r w:rsidRPr="000B72D6">
              <w:rPr>
                <w:sz w:val="18"/>
                <w:szCs w:val="18"/>
              </w:rPr>
              <w:t xml:space="preserve">01 </w:t>
            </w:r>
            <w:r>
              <w:rPr>
                <w:sz w:val="18"/>
                <w:szCs w:val="18"/>
              </w:rPr>
              <w:t>— Natural and P</w:t>
            </w:r>
            <w:r w:rsidRPr="000B72D6">
              <w:rPr>
                <w:sz w:val="18"/>
                <w:szCs w:val="18"/>
              </w:rPr>
              <w:t>hysical Sciences</w:t>
            </w:r>
            <w:r>
              <w:rPr>
                <w:sz w:val="18"/>
                <w:szCs w:val="18"/>
              </w:rPr>
              <w:t xml:space="preserve"> (4%)</w:t>
            </w:r>
          </w:p>
        </w:tc>
        <w:tc>
          <w:tcPr>
            <w:tcW w:w="3084" w:type="dxa"/>
            <w:tcBorders>
              <w:top w:val="single" w:sz="4" w:space="0" w:color="auto"/>
              <w:bottom w:val="single" w:sz="4" w:space="0" w:color="auto"/>
            </w:tcBorders>
          </w:tcPr>
          <w:p w:rsidR="004B5099" w:rsidRPr="000B72D6" w:rsidRDefault="004B5099" w:rsidP="005A04CB">
            <w:pPr>
              <w:tabs>
                <w:tab w:val="decimal" w:pos="1185"/>
              </w:tabs>
              <w:spacing w:before="120" w:line="240" w:lineRule="auto"/>
              <w:rPr>
                <w:sz w:val="18"/>
                <w:szCs w:val="18"/>
              </w:rPr>
            </w:pPr>
            <w:r>
              <w:rPr>
                <w:sz w:val="18"/>
                <w:szCs w:val="18"/>
              </w:rPr>
              <w:t>7%</w:t>
            </w:r>
          </w:p>
        </w:tc>
      </w:tr>
    </w:tbl>
    <w:p w:rsidR="004B5099" w:rsidRDefault="004B5099" w:rsidP="004B5099">
      <w:pPr>
        <w:spacing w:line="300" w:lineRule="exact"/>
      </w:pPr>
      <w:r>
        <w:t>This clustering procedure grouped the 10 FOEs into th</w:t>
      </w:r>
      <w:r w:rsidRPr="007608DE">
        <w:t xml:space="preserve">ree </w:t>
      </w:r>
      <w:r>
        <w:t>clusters of FOEs</w:t>
      </w:r>
      <w:r w:rsidRPr="007608DE">
        <w:t xml:space="preserve"> and two outliers</w:t>
      </w:r>
      <w:r>
        <w:rPr>
          <w:rStyle w:val="FootnoteReference"/>
        </w:rPr>
        <w:footnoteReference w:id="6"/>
      </w:r>
      <w:r w:rsidRPr="007608DE">
        <w:t xml:space="preserve">. </w:t>
      </w:r>
      <w:r>
        <w:t>Table 4</w:t>
      </w:r>
      <w:r w:rsidRPr="007608DE">
        <w:t xml:space="preserve"> i</w:t>
      </w:r>
      <w:r>
        <w:t xml:space="preserve">ndicates </w:t>
      </w:r>
      <w:r w:rsidRPr="007608DE">
        <w:t xml:space="preserve">the FOEs </w:t>
      </w:r>
      <w:r>
        <w:t>within each cluster and t</w:t>
      </w:r>
      <w:r w:rsidRPr="007608DE">
        <w:t xml:space="preserve">he admission </w:t>
      </w:r>
      <w:r>
        <w:t xml:space="preserve">rate of VET award-holders </w:t>
      </w:r>
      <w:r w:rsidRPr="007608DE">
        <w:t xml:space="preserve">for </w:t>
      </w:r>
      <w:r>
        <w:t>the cluster</w:t>
      </w:r>
      <w:r w:rsidRPr="007608DE">
        <w:t>.</w:t>
      </w:r>
      <w:r>
        <w:t xml:space="preserve"> These are labelled ‘Cluster A’, ‘Cluster B’ and ‘Cluster C’ to avoid confusion with the institutional clusters.</w:t>
      </w:r>
    </w:p>
    <w:p w:rsidR="006A2B13" w:rsidRPr="00602388" w:rsidRDefault="006A2B13" w:rsidP="006A2B13">
      <w:pPr>
        <w:pStyle w:val="Heading2"/>
      </w:pPr>
      <w:bookmarkStart w:id="39" w:name="_Toc358384116"/>
      <w:bookmarkStart w:id="40" w:name="_Toc370995879"/>
      <w:bookmarkStart w:id="41" w:name="_Toc350434029"/>
      <w:r>
        <w:t>Clusters of FOEs</w:t>
      </w:r>
      <w:bookmarkEnd w:id="39"/>
      <w:bookmarkEnd w:id="40"/>
    </w:p>
    <w:p w:rsidR="006A2B13" w:rsidRPr="00602388" w:rsidRDefault="006A2B13" w:rsidP="006A2B13">
      <w:pPr>
        <w:pStyle w:val="Text"/>
      </w:pPr>
      <w:r w:rsidRPr="00602388">
        <w:t xml:space="preserve">Cluster </w:t>
      </w:r>
      <w:r>
        <w:t>A</w:t>
      </w:r>
      <w:r w:rsidRPr="00602388">
        <w:t xml:space="preserve"> contains broad fields of education where the patterns of rates of admission and the proportions of VET award holders tend to be uniform (high to medium) in most universities. The three fields in this </w:t>
      </w:r>
      <w:r>
        <w:t xml:space="preserve">cluster </w:t>
      </w:r>
      <w:r w:rsidRPr="00602388">
        <w:t xml:space="preserve">are: Management and Commerce (FOE 08); Creative Arts (FOE 10); and Health (FOE 06). In this support document we analyse patterns of participation in Management and Commerce (FOE 08), to inform our understanding of the admission of VET award-holders in fields of education within </w:t>
      </w:r>
      <w:r>
        <w:t>Cluster A</w:t>
      </w:r>
      <w:r w:rsidRPr="00602388">
        <w:t>.</w:t>
      </w:r>
    </w:p>
    <w:p w:rsidR="006A2B13" w:rsidRPr="00602388" w:rsidRDefault="006A2B13" w:rsidP="006A2B13">
      <w:pPr>
        <w:pStyle w:val="Text"/>
      </w:pPr>
      <w:r w:rsidRPr="00602388">
        <w:t xml:space="preserve">Two outliers were identified among broad fields of education - Education (FOE 07) and Information Technology (FOE 02). These two fields have the higher rates of admission of VET award-holders and are taught in most universities. However the admission rates of VET award-holders in these two fields of study tend to vary within the one institution (e.g. one high and one medium to low), so these two fields are identified as outliers to </w:t>
      </w:r>
      <w:r>
        <w:t>Cluster A</w:t>
      </w:r>
      <w:r w:rsidRPr="00602388">
        <w:t xml:space="preserve">. We examine patterns of participation in Education (FOE 07), to explore this issue, within this support document. </w:t>
      </w:r>
    </w:p>
    <w:p w:rsidR="006A2B13" w:rsidRPr="00602388" w:rsidRDefault="006A2B13" w:rsidP="006A2B13">
      <w:pPr>
        <w:pStyle w:val="Text"/>
      </w:pPr>
      <w:r w:rsidRPr="00602388">
        <w:t xml:space="preserve">The second cluster </w:t>
      </w:r>
      <w:r>
        <w:t xml:space="preserve">(Cluster B) </w:t>
      </w:r>
      <w:r w:rsidRPr="00602388">
        <w:t xml:space="preserve">contains two fields of education which have moderate to low percentage means of students admitted on the basis of a VET award – Engineering and Related Technologies (FOE 03) and Architecture and Building (FOE 04). Several universities do not offer undergraduate courses in these fields and the admission rates vary quite significantly between universities. We therefore explore the field of Engineering and Related Technologies in this support document. </w:t>
      </w:r>
    </w:p>
    <w:p w:rsidR="006A2B13" w:rsidRPr="00602388" w:rsidRDefault="006A2B13" w:rsidP="006A2B13">
      <w:pPr>
        <w:pStyle w:val="Text"/>
      </w:pPr>
      <w:r w:rsidRPr="00602388">
        <w:t xml:space="preserve">Fields of education in the third cluster </w:t>
      </w:r>
      <w:r>
        <w:t xml:space="preserve">(Cluster C) </w:t>
      </w:r>
      <w:r w:rsidRPr="00602388">
        <w:t>have the lowest rates of admission of students on the basis of a VET award. While all universities offer courses in Society and Culture (FOE 8) and Natural and Physical Sciences (FOE 01), only 22 universities offer courses in Agriculture, Environmental and Related Studies (FOE 5) as we illustrate in th</w:t>
      </w:r>
      <w:r>
        <w:t xml:space="preserve">e analysis of this field in this </w:t>
      </w:r>
      <w:r w:rsidRPr="00602388">
        <w:t xml:space="preserve">support document.  </w:t>
      </w:r>
    </w:p>
    <w:p w:rsidR="004B5099" w:rsidRDefault="004B5099" w:rsidP="004B5099">
      <w:pPr>
        <w:pStyle w:val="Heading2"/>
      </w:pPr>
      <w:bookmarkStart w:id="42" w:name="_Toc358384117"/>
      <w:bookmarkStart w:id="43" w:name="_Toc370995880"/>
      <w:r>
        <w:lastRenderedPageBreak/>
        <w:t>Discussion</w:t>
      </w:r>
      <w:bookmarkEnd w:id="41"/>
      <w:bookmarkEnd w:id="42"/>
      <w:bookmarkEnd w:id="43"/>
      <w:r>
        <w:t xml:space="preserve"> </w:t>
      </w:r>
    </w:p>
    <w:p w:rsidR="004B5099" w:rsidRDefault="004B5099" w:rsidP="004B5099">
      <w:pPr>
        <w:spacing w:line="300" w:lineRule="exact"/>
      </w:pPr>
      <w:r>
        <w:t xml:space="preserve">Combining the information about both the institutional and FOE clusters provides a clearer picture of the patterns of admission of VET award-holders within and between clusters of universities. We now present data on rates of admission of VET award holders by broad field of education for each of the universities in each institutional cluster. Within each institutional cluster, universities are listed in order of their rate of admission on the basis of a VET award. </w:t>
      </w:r>
      <w:r w:rsidRPr="00642DF9">
        <w:t xml:space="preserve">The shaded cells indicate that the </w:t>
      </w:r>
      <w:r>
        <w:t xml:space="preserve">university’s rate of admission of VET award-holders is </w:t>
      </w:r>
      <w:r w:rsidRPr="00642DF9">
        <w:t>above the sector average</w:t>
      </w:r>
      <w:r>
        <w:t>. Blank cells indicate that no enrolments are recorded against this field of education.</w:t>
      </w:r>
    </w:p>
    <w:p w:rsidR="004B5099" w:rsidRDefault="004B5099" w:rsidP="004B5099">
      <w:pPr>
        <w:pStyle w:val="tabletitle"/>
      </w:pPr>
      <w:bookmarkStart w:id="44" w:name="_Toc350434044"/>
      <w:bookmarkStart w:id="45" w:name="_Toc350786311"/>
      <w:bookmarkStart w:id="46" w:name="_Toc370995914"/>
      <w:r>
        <w:t>Table 5</w:t>
      </w:r>
      <w:r>
        <w:tab/>
        <w:t>Cluster 1 universities’ rates of admission on the basis of a VET award by broad field of education (FOE) Cluster, Australia 2010</w:t>
      </w:r>
      <w:bookmarkEnd w:id="44"/>
      <w:bookmarkEnd w:id="45"/>
      <w:bookmarkEnd w:id="46"/>
      <w:r>
        <w:t xml:space="preserve"> </w:t>
      </w:r>
    </w:p>
    <w:tbl>
      <w:tblPr>
        <w:tblW w:w="9849" w:type="dxa"/>
        <w:tblLook w:val="04A0"/>
      </w:tblPr>
      <w:tblGrid>
        <w:gridCol w:w="2538"/>
        <w:gridCol w:w="691"/>
        <w:gridCol w:w="691"/>
        <w:gridCol w:w="691"/>
        <w:gridCol w:w="691"/>
        <w:gridCol w:w="691"/>
        <w:gridCol w:w="691"/>
        <w:gridCol w:w="691"/>
        <w:gridCol w:w="691"/>
        <w:gridCol w:w="691"/>
        <w:gridCol w:w="691"/>
        <w:gridCol w:w="642"/>
      </w:tblGrid>
      <w:tr w:rsidR="004B5099" w:rsidRPr="00052974" w:rsidTr="00F82B97">
        <w:trPr>
          <w:trHeight w:val="296"/>
        </w:trPr>
        <w:tc>
          <w:tcPr>
            <w:tcW w:w="2538" w:type="dxa"/>
            <w:tcBorders>
              <w:top w:val="single" w:sz="4" w:space="0" w:color="auto"/>
              <w:left w:val="nil"/>
              <w:bottom w:val="single" w:sz="4" w:space="0" w:color="auto"/>
              <w:right w:val="nil"/>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p>
        </w:tc>
        <w:tc>
          <w:tcPr>
            <w:tcW w:w="6693" w:type="dxa"/>
            <w:gridSpan w:val="10"/>
            <w:tcBorders>
              <w:top w:val="single" w:sz="4" w:space="0" w:color="auto"/>
              <w:left w:val="nil"/>
              <w:bottom w:val="single" w:sz="4" w:space="0" w:color="auto"/>
              <w:right w:val="nil"/>
            </w:tcBorders>
            <w:shd w:val="clear" w:color="000000" w:fill="FFFFFF"/>
            <w:noWrap/>
            <w:vAlign w:val="bottom"/>
            <w:hideMark/>
          </w:tcPr>
          <w:p w:rsidR="004B5099" w:rsidRPr="00AD7002" w:rsidRDefault="004B5099" w:rsidP="005A04CB">
            <w:pPr>
              <w:spacing w:before="60" w:line="276" w:lineRule="auto"/>
              <w:jc w:val="center"/>
              <w:rPr>
                <w:rFonts w:asciiTheme="majorHAnsi" w:hAnsiTheme="majorHAnsi" w:cs="Arial"/>
                <w:b/>
                <w:color w:val="000000"/>
                <w:sz w:val="18"/>
                <w:szCs w:val="18"/>
                <w:lang w:eastAsia="en-AU"/>
              </w:rPr>
            </w:pPr>
            <w:r>
              <w:rPr>
                <w:rFonts w:asciiTheme="majorHAnsi" w:hAnsiTheme="majorHAnsi" w:cs="Arial"/>
                <w:b/>
                <w:color w:val="000000"/>
                <w:sz w:val="18"/>
                <w:szCs w:val="18"/>
                <w:lang w:eastAsia="en-AU"/>
              </w:rPr>
              <w:t>Field of Education Clusters</w:t>
            </w:r>
          </w:p>
        </w:tc>
        <w:tc>
          <w:tcPr>
            <w:tcW w:w="614" w:type="dxa"/>
            <w:tcBorders>
              <w:top w:val="single" w:sz="4" w:space="0" w:color="auto"/>
              <w:left w:val="nil"/>
              <w:bottom w:val="single" w:sz="4" w:space="0" w:color="auto"/>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p>
        </w:tc>
      </w:tr>
      <w:tr w:rsidR="00F82B97" w:rsidRPr="00052974" w:rsidTr="00F82B97">
        <w:trPr>
          <w:trHeight w:val="296"/>
        </w:trPr>
        <w:tc>
          <w:tcPr>
            <w:tcW w:w="2538" w:type="dxa"/>
            <w:tcBorders>
              <w:top w:val="nil"/>
              <w:left w:val="nil"/>
              <w:bottom w:val="single" w:sz="4" w:space="0" w:color="auto"/>
              <w:right w:val="nil"/>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b/>
                <w:bCs/>
                <w:color w:val="000000"/>
                <w:sz w:val="18"/>
                <w:szCs w:val="18"/>
                <w:lang w:eastAsia="en-AU"/>
              </w:rPr>
            </w:pPr>
          </w:p>
        </w:tc>
        <w:tc>
          <w:tcPr>
            <w:tcW w:w="2006" w:type="dxa"/>
            <w:gridSpan w:val="3"/>
            <w:tcBorders>
              <w:top w:val="nil"/>
              <w:left w:val="single" w:sz="4" w:space="0" w:color="auto"/>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center"/>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Cluster A</w:t>
            </w:r>
          </w:p>
        </w:tc>
        <w:tc>
          <w:tcPr>
            <w:tcW w:w="1337" w:type="dxa"/>
            <w:gridSpan w:val="2"/>
            <w:tcBorders>
              <w:top w:val="nil"/>
              <w:left w:val="single" w:sz="4" w:space="0" w:color="auto"/>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center"/>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Outliers</w:t>
            </w:r>
          </w:p>
        </w:tc>
        <w:tc>
          <w:tcPr>
            <w:tcW w:w="1337" w:type="dxa"/>
            <w:gridSpan w:val="2"/>
            <w:tcBorders>
              <w:top w:val="nil"/>
              <w:left w:val="single" w:sz="4" w:space="0" w:color="auto"/>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center"/>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Cluster B</w:t>
            </w:r>
          </w:p>
        </w:tc>
        <w:tc>
          <w:tcPr>
            <w:tcW w:w="2006" w:type="dxa"/>
            <w:gridSpan w:val="3"/>
            <w:tcBorders>
              <w:top w:val="nil"/>
              <w:left w:val="single" w:sz="4" w:space="0" w:color="auto"/>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center"/>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Cluster C</w:t>
            </w:r>
          </w:p>
        </w:tc>
        <w:tc>
          <w:tcPr>
            <w:tcW w:w="621" w:type="dxa"/>
            <w:tcBorders>
              <w:top w:val="nil"/>
              <w:left w:val="single" w:sz="4" w:space="0" w:color="auto"/>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All</w:t>
            </w:r>
          </w:p>
        </w:tc>
      </w:tr>
      <w:tr w:rsidR="00F82B97" w:rsidRPr="00052974" w:rsidTr="00F82B97">
        <w:trPr>
          <w:trHeight w:val="271"/>
        </w:trPr>
        <w:tc>
          <w:tcPr>
            <w:tcW w:w="2538" w:type="dxa"/>
            <w:tcBorders>
              <w:top w:val="single" w:sz="4" w:space="0" w:color="auto"/>
              <w:right w:val="single" w:sz="4" w:space="0" w:color="auto"/>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Broad Field of Education</w:t>
            </w:r>
          </w:p>
        </w:tc>
        <w:tc>
          <w:tcPr>
            <w:tcW w:w="669" w:type="dxa"/>
            <w:vMerge w:val="restart"/>
            <w:tcBorders>
              <w:top w:val="nil"/>
              <w:left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FOE08</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(13%)</w:t>
            </w:r>
          </w:p>
        </w:tc>
        <w:tc>
          <w:tcPr>
            <w:tcW w:w="669" w:type="dxa"/>
            <w:vMerge w:val="restart"/>
            <w:tcBorders>
              <w:top w:val="nil"/>
              <w:left w:val="nil"/>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FOE10</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(8%)</w:t>
            </w:r>
          </w:p>
        </w:tc>
        <w:tc>
          <w:tcPr>
            <w:tcW w:w="669" w:type="dxa"/>
            <w:vMerge w:val="restart"/>
            <w:tcBorders>
              <w:top w:val="nil"/>
              <w:left w:val="nil"/>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FOE06</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(12%)</w:t>
            </w:r>
          </w:p>
        </w:tc>
        <w:tc>
          <w:tcPr>
            <w:tcW w:w="669" w:type="dxa"/>
            <w:vMerge w:val="restart"/>
            <w:tcBorders>
              <w:top w:val="nil"/>
              <w:left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FOE07</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(15%)</w:t>
            </w:r>
          </w:p>
        </w:tc>
        <w:tc>
          <w:tcPr>
            <w:tcW w:w="669" w:type="dxa"/>
            <w:vMerge w:val="restart"/>
            <w:tcBorders>
              <w:top w:val="nil"/>
              <w:left w:val="nil"/>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FOE02</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(14%)</w:t>
            </w:r>
          </w:p>
        </w:tc>
        <w:tc>
          <w:tcPr>
            <w:tcW w:w="669" w:type="dxa"/>
            <w:vMerge w:val="restart"/>
            <w:tcBorders>
              <w:top w:val="nil"/>
              <w:left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FOE03</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(7%)</w:t>
            </w:r>
          </w:p>
        </w:tc>
        <w:tc>
          <w:tcPr>
            <w:tcW w:w="669" w:type="dxa"/>
            <w:vMerge w:val="restart"/>
            <w:tcBorders>
              <w:top w:val="nil"/>
              <w:left w:val="nil"/>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FOE04</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(10%)</w:t>
            </w:r>
          </w:p>
        </w:tc>
        <w:tc>
          <w:tcPr>
            <w:tcW w:w="669" w:type="dxa"/>
            <w:vMerge w:val="restart"/>
            <w:tcBorders>
              <w:top w:val="nil"/>
              <w:left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FOE05</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(6%)</w:t>
            </w:r>
          </w:p>
        </w:tc>
        <w:tc>
          <w:tcPr>
            <w:tcW w:w="669" w:type="dxa"/>
            <w:vMerge w:val="restart"/>
            <w:tcBorders>
              <w:top w:val="nil"/>
              <w:left w:val="nil"/>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FOE09</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(8%)</w:t>
            </w:r>
          </w:p>
        </w:tc>
        <w:tc>
          <w:tcPr>
            <w:tcW w:w="669" w:type="dxa"/>
            <w:vMerge w:val="restart"/>
            <w:tcBorders>
              <w:top w:val="nil"/>
              <w:left w:val="nil"/>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FOE01</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(4%)</w:t>
            </w:r>
          </w:p>
        </w:tc>
        <w:tc>
          <w:tcPr>
            <w:tcW w:w="621" w:type="dxa"/>
            <w:vMerge w:val="restart"/>
            <w:tcBorders>
              <w:top w:val="nil"/>
              <w:left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(10%)</w:t>
            </w:r>
            <w:r>
              <w:rPr>
                <w:rFonts w:asciiTheme="majorHAnsi" w:hAnsiTheme="majorHAnsi" w:cs="Arial"/>
                <w:b/>
                <w:bCs/>
                <w:vanish/>
                <w:color w:val="000000"/>
                <w:sz w:val="18"/>
                <w:szCs w:val="18"/>
                <w:lang w:eastAsia="en-AU"/>
              </w:rPr>
              <w:cr/>
              <w:t>4%))re of 0% could indicate that total enrolments are less than 10. ld of educationnsistently high are not consistently high ac</w:t>
            </w:r>
          </w:p>
        </w:tc>
      </w:tr>
      <w:tr w:rsidR="00F82B97" w:rsidRPr="00052974" w:rsidTr="00F82B97">
        <w:trPr>
          <w:trHeight w:val="271"/>
        </w:trPr>
        <w:tc>
          <w:tcPr>
            <w:tcW w:w="2538" w:type="dxa"/>
            <w:tcBorders>
              <w:top w:val="nil"/>
              <w:bottom w:val="single" w:sz="4" w:space="0" w:color="auto"/>
              <w:right w:val="single" w:sz="4" w:space="0" w:color="auto"/>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(VET award-holders admission rate)</w:t>
            </w:r>
          </w:p>
        </w:tc>
        <w:tc>
          <w:tcPr>
            <w:tcW w:w="669" w:type="dxa"/>
            <w:vMerge/>
            <w:tcBorders>
              <w:left w:val="single" w:sz="4" w:space="0" w:color="auto"/>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p>
        </w:tc>
        <w:tc>
          <w:tcPr>
            <w:tcW w:w="669" w:type="dxa"/>
            <w:vMerge/>
            <w:tcBorders>
              <w:left w:val="nil"/>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p>
        </w:tc>
        <w:tc>
          <w:tcPr>
            <w:tcW w:w="669" w:type="dxa"/>
            <w:vMerge/>
            <w:tcBorders>
              <w:left w:val="nil"/>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p>
        </w:tc>
        <w:tc>
          <w:tcPr>
            <w:tcW w:w="669" w:type="dxa"/>
            <w:vMerge/>
            <w:tcBorders>
              <w:left w:val="single" w:sz="4" w:space="0" w:color="auto"/>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p>
        </w:tc>
        <w:tc>
          <w:tcPr>
            <w:tcW w:w="669" w:type="dxa"/>
            <w:vMerge/>
            <w:tcBorders>
              <w:left w:val="nil"/>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p>
        </w:tc>
        <w:tc>
          <w:tcPr>
            <w:tcW w:w="669" w:type="dxa"/>
            <w:vMerge/>
            <w:tcBorders>
              <w:left w:val="single" w:sz="4" w:space="0" w:color="auto"/>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p>
        </w:tc>
        <w:tc>
          <w:tcPr>
            <w:tcW w:w="669" w:type="dxa"/>
            <w:vMerge/>
            <w:tcBorders>
              <w:left w:val="nil"/>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p>
        </w:tc>
        <w:tc>
          <w:tcPr>
            <w:tcW w:w="669" w:type="dxa"/>
            <w:vMerge/>
            <w:tcBorders>
              <w:left w:val="single" w:sz="4" w:space="0" w:color="auto"/>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p>
        </w:tc>
        <w:tc>
          <w:tcPr>
            <w:tcW w:w="669" w:type="dxa"/>
            <w:vMerge/>
            <w:tcBorders>
              <w:left w:val="nil"/>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p>
        </w:tc>
        <w:tc>
          <w:tcPr>
            <w:tcW w:w="669" w:type="dxa"/>
            <w:vMerge/>
            <w:tcBorders>
              <w:left w:val="nil"/>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p>
        </w:tc>
        <w:tc>
          <w:tcPr>
            <w:tcW w:w="621" w:type="dxa"/>
            <w:vMerge/>
            <w:tcBorders>
              <w:left w:val="single" w:sz="4" w:space="0" w:color="auto"/>
              <w:bottom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p>
        </w:tc>
      </w:tr>
      <w:tr w:rsidR="00F82B97" w:rsidRPr="00052974" w:rsidTr="00F82B97">
        <w:trPr>
          <w:trHeight w:val="296"/>
        </w:trPr>
        <w:tc>
          <w:tcPr>
            <w:tcW w:w="2538" w:type="dxa"/>
            <w:tcBorders>
              <w:top w:val="single" w:sz="4" w:space="0" w:color="auto"/>
              <w:left w:val="nil"/>
              <w:bottom w:val="nil"/>
              <w:right w:val="single" w:sz="4" w:space="0" w:color="auto"/>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Charles Sturt University</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32%</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11%</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16%</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21%</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62%</w:t>
            </w:r>
          </w:p>
        </w:tc>
        <w:tc>
          <w:tcPr>
            <w:tcW w:w="669" w:type="dxa"/>
            <w:tcBorders>
              <w:top w:val="nil"/>
              <w:left w:val="nil"/>
              <w:bottom w:val="nil"/>
              <w:right w:val="nil"/>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 </w:t>
            </w:r>
          </w:p>
        </w:tc>
        <w:tc>
          <w:tcPr>
            <w:tcW w:w="669" w:type="dxa"/>
            <w:tcBorders>
              <w:top w:val="nil"/>
              <w:left w:val="nil"/>
              <w:bottom w:val="nil"/>
              <w:right w:val="single" w:sz="4" w:space="0" w:color="auto"/>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 </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17%</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38%</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16%</w:t>
            </w:r>
          </w:p>
        </w:tc>
        <w:tc>
          <w:tcPr>
            <w:tcW w:w="621" w:type="dxa"/>
            <w:tcBorders>
              <w:top w:val="nil"/>
              <w:left w:val="nil"/>
              <w:bottom w:val="nil"/>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26%</w:t>
            </w:r>
          </w:p>
        </w:tc>
      </w:tr>
      <w:tr w:rsidR="00F82B97" w:rsidRPr="00052974" w:rsidTr="00F82B97">
        <w:trPr>
          <w:trHeight w:val="296"/>
        </w:trPr>
        <w:tc>
          <w:tcPr>
            <w:tcW w:w="2538" w:type="dxa"/>
            <w:tcBorders>
              <w:top w:val="nil"/>
              <w:left w:val="nil"/>
              <w:bottom w:val="nil"/>
              <w:right w:val="single" w:sz="4" w:space="0" w:color="auto"/>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RMIT University</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24%</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26%</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18%</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20%</w:t>
            </w:r>
          </w:p>
        </w:tc>
        <w:tc>
          <w:tcPr>
            <w:tcW w:w="669" w:type="dxa"/>
            <w:tcBorders>
              <w:top w:val="nil"/>
              <w:left w:val="nil"/>
              <w:bottom w:val="nil"/>
              <w:right w:val="single" w:sz="4" w:space="0" w:color="auto"/>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9%</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22%</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15%</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21%</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21%</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11%</w:t>
            </w:r>
          </w:p>
        </w:tc>
        <w:tc>
          <w:tcPr>
            <w:tcW w:w="621" w:type="dxa"/>
            <w:tcBorders>
              <w:top w:val="nil"/>
              <w:left w:val="nil"/>
              <w:bottom w:val="nil"/>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21%</w:t>
            </w:r>
          </w:p>
        </w:tc>
      </w:tr>
      <w:tr w:rsidR="00F82B97" w:rsidRPr="00052974" w:rsidTr="00F82B97">
        <w:trPr>
          <w:trHeight w:val="296"/>
        </w:trPr>
        <w:tc>
          <w:tcPr>
            <w:tcW w:w="2538" w:type="dxa"/>
            <w:tcBorders>
              <w:top w:val="nil"/>
              <w:left w:val="nil"/>
              <w:bottom w:val="nil"/>
              <w:right w:val="single" w:sz="4" w:space="0" w:color="auto"/>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Swinburne University of Technology</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28%</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24%</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54%</w:t>
            </w:r>
          </w:p>
        </w:tc>
        <w:tc>
          <w:tcPr>
            <w:tcW w:w="669" w:type="dxa"/>
            <w:tcBorders>
              <w:top w:val="nil"/>
              <w:left w:val="nil"/>
              <w:bottom w:val="nil"/>
              <w:right w:val="nil"/>
            </w:tcBorders>
            <w:shd w:val="clear" w:color="auto" w:fill="auto"/>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23%</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11%</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19%</w:t>
            </w:r>
          </w:p>
        </w:tc>
        <w:tc>
          <w:tcPr>
            <w:tcW w:w="669" w:type="dxa"/>
            <w:tcBorders>
              <w:top w:val="nil"/>
              <w:left w:val="nil"/>
              <w:bottom w:val="nil"/>
              <w:right w:val="nil"/>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 </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15%</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19%</w:t>
            </w:r>
          </w:p>
        </w:tc>
        <w:tc>
          <w:tcPr>
            <w:tcW w:w="621" w:type="dxa"/>
            <w:tcBorders>
              <w:top w:val="nil"/>
              <w:left w:val="nil"/>
              <w:bottom w:val="nil"/>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20%</w:t>
            </w:r>
          </w:p>
        </w:tc>
      </w:tr>
      <w:tr w:rsidR="00F82B97" w:rsidRPr="00052974" w:rsidTr="00F82B97">
        <w:trPr>
          <w:trHeight w:val="296"/>
        </w:trPr>
        <w:tc>
          <w:tcPr>
            <w:tcW w:w="2538" w:type="dxa"/>
            <w:tcBorders>
              <w:top w:val="nil"/>
              <w:left w:val="nil"/>
              <w:bottom w:val="nil"/>
              <w:right w:val="single" w:sz="4" w:space="0" w:color="auto"/>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University of Western Sydney</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23%</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10%</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16%</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30%</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26%</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15%</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23%</w:t>
            </w:r>
          </w:p>
        </w:tc>
        <w:tc>
          <w:tcPr>
            <w:tcW w:w="669" w:type="dxa"/>
            <w:tcBorders>
              <w:top w:val="nil"/>
              <w:left w:val="nil"/>
              <w:bottom w:val="nil"/>
              <w:right w:val="nil"/>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 </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17%</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10%</w:t>
            </w:r>
          </w:p>
        </w:tc>
        <w:tc>
          <w:tcPr>
            <w:tcW w:w="621" w:type="dxa"/>
            <w:tcBorders>
              <w:top w:val="nil"/>
              <w:left w:val="nil"/>
              <w:bottom w:val="nil"/>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17%</w:t>
            </w:r>
          </w:p>
        </w:tc>
      </w:tr>
      <w:tr w:rsidR="00F82B97" w:rsidRPr="00052974" w:rsidTr="00F82B97">
        <w:trPr>
          <w:trHeight w:val="296"/>
        </w:trPr>
        <w:tc>
          <w:tcPr>
            <w:tcW w:w="2538" w:type="dxa"/>
            <w:tcBorders>
              <w:top w:val="nil"/>
              <w:left w:val="nil"/>
              <w:bottom w:val="nil"/>
              <w:right w:val="single" w:sz="4" w:space="0" w:color="auto"/>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Victoria University of Technology</w:t>
            </w:r>
          </w:p>
        </w:tc>
        <w:tc>
          <w:tcPr>
            <w:tcW w:w="669" w:type="dxa"/>
            <w:tcBorders>
              <w:top w:val="nil"/>
              <w:left w:val="nil"/>
              <w:bottom w:val="nil"/>
              <w:right w:val="nil"/>
            </w:tcBorders>
            <w:shd w:val="clear" w:color="auto" w:fill="auto"/>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13%</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13%</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28%</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24%</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23%</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13%</w:t>
            </w:r>
          </w:p>
        </w:tc>
        <w:tc>
          <w:tcPr>
            <w:tcW w:w="669" w:type="dxa"/>
            <w:tcBorders>
              <w:top w:val="nil"/>
              <w:left w:val="nil"/>
              <w:bottom w:val="nil"/>
              <w:right w:val="single" w:sz="4" w:space="0" w:color="auto"/>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 </w:t>
            </w:r>
          </w:p>
        </w:tc>
        <w:tc>
          <w:tcPr>
            <w:tcW w:w="669" w:type="dxa"/>
            <w:tcBorders>
              <w:top w:val="nil"/>
              <w:left w:val="nil"/>
              <w:bottom w:val="nil"/>
              <w:right w:val="nil"/>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 </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12%</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12%</w:t>
            </w:r>
          </w:p>
        </w:tc>
        <w:tc>
          <w:tcPr>
            <w:tcW w:w="621" w:type="dxa"/>
            <w:tcBorders>
              <w:top w:val="nil"/>
              <w:left w:val="nil"/>
              <w:bottom w:val="nil"/>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16%</w:t>
            </w:r>
          </w:p>
        </w:tc>
      </w:tr>
      <w:tr w:rsidR="00F82B97" w:rsidRPr="00052974" w:rsidTr="00F82B97">
        <w:trPr>
          <w:trHeight w:val="296"/>
        </w:trPr>
        <w:tc>
          <w:tcPr>
            <w:tcW w:w="2538" w:type="dxa"/>
            <w:tcBorders>
              <w:top w:val="nil"/>
              <w:left w:val="nil"/>
              <w:bottom w:val="nil"/>
              <w:right w:val="single" w:sz="4" w:space="0" w:color="auto"/>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Edith Cowan University</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28%</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11%</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20%</w:t>
            </w:r>
          </w:p>
        </w:tc>
        <w:tc>
          <w:tcPr>
            <w:tcW w:w="669" w:type="dxa"/>
            <w:tcBorders>
              <w:top w:val="nil"/>
              <w:left w:val="nil"/>
              <w:bottom w:val="nil"/>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13%</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33%</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14%</w:t>
            </w:r>
          </w:p>
        </w:tc>
        <w:tc>
          <w:tcPr>
            <w:tcW w:w="669" w:type="dxa"/>
            <w:tcBorders>
              <w:top w:val="nil"/>
              <w:left w:val="nil"/>
              <w:bottom w:val="nil"/>
              <w:right w:val="single" w:sz="4" w:space="0" w:color="auto"/>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 </w:t>
            </w:r>
          </w:p>
        </w:tc>
        <w:tc>
          <w:tcPr>
            <w:tcW w:w="669" w:type="dxa"/>
            <w:tcBorders>
              <w:top w:val="nil"/>
              <w:left w:val="nil"/>
              <w:bottom w:val="nil"/>
              <w:right w:val="nil"/>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 </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15%</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7%</w:t>
            </w:r>
          </w:p>
        </w:tc>
        <w:tc>
          <w:tcPr>
            <w:tcW w:w="621" w:type="dxa"/>
            <w:tcBorders>
              <w:top w:val="nil"/>
              <w:left w:val="nil"/>
              <w:bottom w:val="nil"/>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16%</w:t>
            </w:r>
          </w:p>
        </w:tc>
      </w:tr>
      <w:tr w:rsidR="00F82B97" w:rsidRPr="00052974" w:rsidTr="00F82B97">
        <w:trPr>
          <w:trHeight w:val="296"/>
        </w:trPr>
        <w:tc>
          <w:tcPr>
            <w:tcW w:w="2538" w:type="dxa"/>
            <w:tcBorders>
              <w:top w:val="nil"/>
              <w:left w:val="nil"/>
              <w:bottom w:val="nil"/>
              <w:right w:val="single" w:sz="4" w:space="0" w:color="auto"/>
            </w:tcBorders>
            <w:shd w:val="clear" w:color="000000" w:fill="FFFFFF"/>
            <w:noWrap/>
            <w:vAlign w:val="bottom"/>
            <w:hideMark/>
          </w:tcPr>
          <w:p w:rsidR="004B5099" w:rsidRPr="00052974" w:rsidRDefault="004B5099" w:rsidP="005A04CB">
            <w:pPr>
              <w:spacing w:before="60" w:line="276" w:lineRule="auto"/>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Deakin University</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17%</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11%</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18%</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28%</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17%</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20%</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28%</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14%</w:t>
            </w:r>
          </w:p>
        </w:tc>
        <w:tc>
          <w:tcPr>
            <w:tcW w:w="669" w:type="dxa"/>
            <w:tcBorders>
              <w:top w:val="nil"/>
              <w:left w:val="nil"/>
              <w:bottom w:val="nil"/>
              <w:right w:val="nil"/>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11%</w:t>
            </w:r>
          </w:p>
        </w:tc>
        <w:tc>
          <w:tcPr>
            <w:tcW w:w="669" w:type="dxa"/>
            <w:tcBorders>
              <w:top w:val="nil"/>
              <w:left w:val="nil"/>
              <w:bottom w:val="nil"/>
              <w:right w:val="single" w:sz="4" w:space="0" w:color="auto"/>
            </w:tcBorders>
            <w:shd w:val="clear" w:color="auto" w:fill="BFBFBF" w:themeFill="background1" w:themeFillShade="B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6%</w:t>
            </w:r>
          </w:p>
        </w:tc>
        <w:tc>
          <w:tcPr>
            <w:tcW w:w="621" w:type="dxa"/>
            <w:tcBorders>
              <w:top w:val="nil"/>
              <w:left w:val="nil"/>
              <w:bottom w:val="nil"/>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color w:val="000000"/>
                <w:sz w:val="18"/>
                <w:szCs w:val="18"/>
                <w:lang w:eastAsia="en-AU"/>
              </w:rPr>
            </w:pPr>
            <w:r w:rsidRPr="00052974">
              <w:rPr>
                <w:rFonts w:asciiTheme="majorHAnsi" w:hAnsiTheme="majorHAnsi" w:cs="Arial"/>
                <w:color w:val="000000"/>
                <w:sz w:val="18"/>
                <w:szCs w:val="18"/>
                <w:lang w:eastAsia="en-AU"/>
              </w:rPr>
              <w:t>16%</w:t>
            </w:r>
          </w:p>
        </w:tc>
      </w:tr>
      <w:tr w:rsidR="00F82B97" w:rsidRPr="00052974" w:rsidTr="00F82B97">
        <w:trPr>
          <w:trHeight w:val="296"/>
        </w:trPr>
        <w:tc>
          <w:tcPr>
            <w:tcW w:w="2538" w:type="dxa"/>
            <w:tcBorders>
              <w:top w:val="nil"/>
              <w:left w:val="nil"/>
              <w:bottom w:val="single" w:sz="4" w:space="0" w:color="auto"/>
              <w:right w:val="single" w:sz="4" w:space="0" w:color="auto"/>
            </w:tcBorders>
            <w:shd w:val="clear" w:color="000000" w:fill="FFFFFF"/>
            <w:noWrap/>
            <w:vAlign w:val="bottom"/>
            <w:hideMark/>
          </w:tcPr>
          <w:p w:rsidR="004B5099" w:rsidRPr="00D265F7" w:rsidRDefault="004B5099" w:rsidP="005A04CB">
            <w:pPr>
              <w:spacing w:before="60" w:line="276" w:lineRule="auto"/>
              <w:rPr>
                <w:rFonts w:asciiTheme="majorHAnsi" w:hAnsiTheme="majorHAnsi" w:cs="Arial"/>
                <w:b/>
                <w:bCs/>
                <w:color w:val="000000"/>
                <w:sz w:val="18"/>
                <w:szCs w:val="18"/>
                <w:lang w:eastAsia="en-AU"/>
              </w:rPr>
            </w:pPr>
            <w:r w:rsidRPr="00D265F7">
              <w:rPr>
                <w:rFonts w:asciiTheme="majorHAnsi" w:hAnsiTheme="majorHAnsi" w:cs="Arial"/>
                <w:b/>
                <w:bCs/>
                <w:color w:val="000000"/>
                <w:sz w:val="18"/>
                <w:szCs w:val="18"/>
                <w:lang w:eastAsia="en-AU"/>
              </w:rPr>
              <w:t xml:space="preserve">Total Cluster 1 </w:t>
            </w:r>
          </w:p>
        </w:tc>
        <w:tc>
          <w:tcPr>
            <w:tcW w:w="669" w:type="dxa"/>
            <w:tcBorders>
              <w:top w:val="nil"/>
              <w:left w:val="nil"/>
              <w:bottom w:val="single" w:sz="4" w:space="0" w:color="auto"/>
              <w:right w:val="nil"/>
            </w:tcBorders>
            <w:shd w:val="clear" w:color="000000" w:fill="FFFFFF"/>
            <w:noWrap/>
            <w:vAlign w:val="bottom"/>
            <w:hideMark/>
          </w:tcPr>
          <w:p w:rsidR="004B5099" w:rsidRPr="00D265F7"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23%</w:t>
            </w:r>
          </w:p>
        </w:tc>
        <w:tc>
          <w:tcPr>
            <w:tcW w:w="669" w:type="dxa"/>
            <w:tcBorders>
              <w:top w:val="nil"/>
              <w:left w:val="nil"/>
              <w:bottom w:val="single" w:sz="4" w:space="0" w:color="auto"/>
              <w:right w:val="nil"/>
            </w:tcBorders>
            <w:shd w:val="clear" w:color="000000" w:fill="FFFFFF"/>
            <w:noWrap/>
            <w:vAlign w:val="bottom"/>
            <w:hideMark/>
          </w:tcPr>
          <w:p w:rsidR="004B5099" w:rsidRPr="00D265F7"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17%</w:t>
            </w:r>
          </w:p>
        </w:tc>
        <w:tc>
          <w:tcPr>
            <w:tcW w:w="669" w:type="dxa"/>
            <w:tcBorders>
              <w:top w:val="nil"/>
              <w:left w:val="nil"/>
              <w:bottom w:val="single" w:sz="4" w:space="0" w:color="auto"/>
              <w:right w:val="single" w:sz="4" w:space="0" w:color="auto"/>
            </w:tcBorders>
            <w:shd w:val="clear" w:color="000000" w:fill="FFFFFF"/>
            <w:noWrap/>
            <w:vAlign w:val="bottom"/>
            <w:hideMark/>
          </w:tcPr>
          <w:p w:rsidR="004B5099" w:rsidRPr="00D265F7"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19%</w:t>
            </w:r>
          </w:p>
        </w:tc>
        <w:tc>
          <w:tcPr>
            <w:tcW w:w="669" w:type="dxa"/>
            <w:tcBorders>
              <w:top w:val="nil"/>
              <w:left w:val="nil"/>
              <w:bottom w:val="single" w:sz="4" w:space="0" w:color="auto"/>
              <w:right w:val="nil"/>
            </w:tcBorders>
            <w:shd w:val="clear" w:color="000000" w:fill="FFFFFF"/>
            <w:noWrap/>
            <w:vAlign w:val="bottom"/>
            <w:hideMark/>
          </w:tcPr>
          <w:p w:rsidR="004B5099" w:rsidRPr="00D265F7"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21%</w:t>
            </w:r>
          </w:p>
        </w:tc>
        <w:tc>
          <w:tcPr>
            <w:tcW w:w="669" w:type="dxa"/>
            <w:tcBorders>
              <w:top w:val="nil"/>
              <w:left w:val="nil"/>
              <w:bottom w:val="single" w:sz="4" w:space="0" w:color="auto"/>
              <w:right w:val="single" w:sz="4" w:space="0" w:color="auto"/>
            </w:tcBorders>
            <w:shd w:val="clear" w:color="000000" w:fill="FFFFFF"/>
            <w:noWrap/>
            <w:vAlign w:val="bottom"/>
            <w:hideMark/>
          </w:tcPr>
          <w:p w:rsidR="004B5099" w:rsidRPr="00D265F7"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24%</w:t>
            </w:r>
          </w:p>
        </w:tc>
        <w:tc>
          <w:tcPr>
            <w:tcW w:w="669" w:type="dxa"/>
            <w:tcBorders>
              <w:top w:val="nil"/>
              <w:left w:val="nil"/>
              <w:bottom w:val="single" w:sz="4" w:space="0" w:color="auto"/>
              <w:right w:val="nil"/>
            </w:tcBorders>
            <w:shd w:val="clear" w:color="000000" w:fill="FFFFFF"/>
            <w:noWrap/>
            <w:vAlign w:val="bottom"/>
            <w:hideMark/>
          </w:tcPr>
          <w:p w:rsidR="004B5099" w:rsidRPr="00D265F7"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16%</w:t>
            </w:r>
          </w:p>
        </w:tc>
        <w:tc>
          <w:tcPr>
            <w:tcW w:w="669" w:type="dxa"/>
            <w:tcBorders>
              <w:top w:val="nil"/>
              <w:left w:val="nil"/>
              <w:bottom w:val="single" w:sz="4" w:space="0" w:color="auto"/>
              <w:right w:val="single" w:sz="4" w:space="0" w:color="auto"/>
            </w:tcBorders>
            <w:shd w:val="clear" w:color="000000" w:fill="FFFFFF"/>
            <w:noWrap/>
            <w:vAlign w:val="bottom"/>
            <w:hideMark/>
          </w:tcPr>
          <w:p w:rsidR="004B5099" w:rsidRPr="00D265F7"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19%</w:t>
            </w:r>
          </w:p>
        </w:tc>
        <w:tc>
          <w:tcPr>
            <w:tcW w:w="669" w:type="dxa"/>
            <w:tcBorders>
              <w:top w:val="nil"/>
              <w:left w:val="nil"/>
              <w:bottom w:val="single" w:sz="4" w:space="0" w:color="auto"/>
              <w:right w:val="nil"/>
            </w:tcBorders>
            <w:shd w:val="clear" w:color="000000" w:fill="FFFFFF"/>
            <w:noWrap/>
            <w:vAlign w:val="bottom"/>
            <w:hideMark/>
          </w:tcPr>
          <w:p w:rsidR="004B5099" w:rsidRPr="00D265F7"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17%</w:t>
            </w:r>
          </w:p>
        </w:tc>
        <w:tc>
          <w:tcPr>
            <w:tcW w:w="669" w:type="dxa"/>
            <w:tcBorders>
              <w:top w:val="nil"/>
              <w:left w:val="nil"/>
              <w:bottom w:val="single" w:sz="4" w:space="0" w:color="auto"/>
              <w:right w:val="nil"/>
            </w:tcBorders>
            <w:shd w:val="clear" w:color="000000" w:fill="FFFFFF"/>
            <w:noWrap/>
            <w:vAlign w:val="bottom"/>
            <w:hideMark/>
          </w:tcPr>
          <w:p w:rsidR="004B5099" w:rsidRPr="00D265F7"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20%</w:t>
            </w:r>
          </w:p>
        </w:tc>
        <w:tc>
          <w:tcPr>
            <w:tcW w:w="669" w:type="dxa"/>
            <w:tcBorders>
              <w:top w:val="nil"/>
              <w:left w:val="nil"/>
              <w:bottom w:val="single" w:sz="4" w:space="0" w:color="auto"/>
              <w:right w:val="single" w:sz="4" w:space="0" w:color="auto"/>
            </w:tcBorders>
            <w:shd w:val="clear" w:color="000000" w:fill="FFFFFF"/>
            <w:noWrap/>
            <w:vAlign w:val="bottom"/>
            <w:hideMark/>
          </w:tcPr>
          <w:p w:rsidR="004B5099" w:rsidRPr="00D265F7"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10%</w:t>
            </w:r>
          </w:p>
        </w:tc>
        <w:tc>
          <w:tcPr>
            <w:tcW w:w="621" w:type="dxa"/>
            <w:tcBorders>
              <w:top w:val="nil"/>
              <w:left w:val="nil"/>
              <w:bottom w:val="single" w:sz="4" w:space="0" w:color="auto"/>
              <w:right w:val="nil"/>
            </w:tcBorders>
            <w:shd w:val="clear" w:color="000000" w:fill="FFFFFF"/>
            <w:noWrap/>
            <w:vAlign w:val="bottom"/>
            <w:hideMark/>
          </w:tcPr>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19%</w:t>
            </w:r>
          </w:p>
        </w:tc>
      </w:tr>
    </w:tbl>
    <w:p w:rsidR="004B5099" w:rsidRPr="004644A5" w:rsidRDefault="004B5099" w:rsidP="004B5099">
      <w:pPr>
        <w:spacing w:before="0" w:line="240" w:lineRule="auto"/>
        <w:rPr>
          <w:sz w:val="16"/>
          <w:szCs w:val="16"/>
        </w:rPr>
      </w:pPr>
      <w:r>
        <w:rPr>
          <w:sz w:val="16"/>
          <w:szCs w:val="16"/>
        </w:rPr>
        <w:t xml:space="preserve">Notes: </w:t>
      </w:r>
      <w:r w:rsidRPr="00F9341E">
        <w:rPr>
          <w:sz w:val="16"/>
          <w:szCs w:val="16"/>
        </w:rPr>
        <w:t>Shaded areas denote instances where the percentage admission is above the sector average. Blank cells indicate the university offered no courses in this FOE</w:t>
      </w:r>
      <w:r>
        <w:rPr>
          <w:sz w:val="16"/>
          <w:szCs w:val="16"/>
        </w:rPr>
        <w:t xml:space="preserve">. A score of 0% may indicate that total enrolments are less than 10. Table excludes non-award and mixed field. </w:t>
      </w:r>
    </w:p>
    <w:p w:rsidR="004B5099" w:rsidRDefault="004B5099" w:rsidP="004B5099">
      <w:pPr>
        <w:spacing w:line="300" w:lineRule="exact"/>
        <w:rPr>
          <w:rFonts w:cstheme="minorHAnsi"/>
        </w:rPr>
      </w:pPr>
      <w:r>
        <w:rPr>
          <w:rFonts w:cstheme="minorHAnsi"/>
        </w:rPr>
        <w:t>As illustrated in Table 5</w:t>
      </w:r>
      <w:r w:rsidRPr="00DB237E">
        <w:rPr>
          <w:rFonts w:cstheme="minorHAnsi"/>
        </w:rPr>
        <w:t>, most of the universities in Cluster 1 admit VET award-holders in proportions well above the sector average in each broad field of education</w:t>
      </w:r>
      <w:r>
        <w:rPr>
          <w:rFonts w:cstheme="minorHAnsi"/>
        </w:rPr>
        <w:t xml:space="preserve"> where they have undergraduate programs</w:t>
      </w:r>
      <w:r w:rsidRPr="00DB237E">
        <w:rPr>
          <w:rFonts w:cstheme="minorHAnsi"/>
        </w:rPr>
        <w:t xml:space="preserve">. </w:t>
      </w:r>
      <w:r>
        <w:rPr>
          <w:rFonts w:cstheme="minorHAnsi"/>
        </w:rPr>
        <w:t xml:space="preserve"> </w:t>
      </w:r>
      <w:r w:rsidRPr="00274F8E">
        <w:rPr>
          <w:rFonts w:cstheme="minorHAnsi"/>
        </w:rPr>
        <w:t xml:space="preserve">In contrast to Cluster 1 universities, rates of admission on the basis of </w:t>
      </w:r>
      <w:r>
        <w:rPr>
          <w:rFonts w:cstheme="minorHAnsi"/>
        </w:rPr>
        <w:t xml:space="preserve">a </w:t>
      </w:r>
      <w:r w:rsidRPr="00274F8E">
        <w:rPr>
          <w:rFonts w:cstheme="minorHAnsi"/>
        </w:rPr>
        <w:t xml:space="preserve">VET </w:t>
      </w:r>
      <w:r>
        <w:rPr>
          <w:rFonts w:cstheme="minorHAnsi"/>
        </w:rPr>
        <w:t xml:space="preserve">award </w:t>
      </w:r>
      <w:r w:rsidRPr="00274F8E">
        <w:rPr>
          <w:rFonts w:cstheme="minorHAnsi"/>
        </w:rPr>
        <w:t>within the universities that compri</w:t>
      </w:r>
      <w:r>
        <w:rPr>
          <w:rFonts w:cstheme="minorHAnsi"/>
        </w:rPr>
        <w:t>se Cluster 2 are more variable. This is indicated by</w:t>
      </w:r>
      <w:r w:rsidRPr="00274F8E">
        <w:rPr>
          <w:rFonts w:cstheme="minorHAnsi"/>
        </w:rPr>
        <w:t xml:space="preserve"> the fewer number of shaded cells for </w:t>
      </w:r>
      <w:r>
        <w:rPr>
          <w:rFonts w:cstheme="minorHAnsi"/>
        </w:rPr>
        <w:t>Cluster 2 universities, as shown in Table 6</w:t>
      </w:r>
      <w:r w:rsidR="00F82B97">
        <w:rPr>
          <w:rFonts w:cstheme="minorHAnsi"/>
        </w:rPr>
        <w:t>.</w:t>
      </w:r>
    </w:p>
    <w:p w:rsidR="00F82B97" w:rsidRDefault="00F82B97">
      <w:pPr>
        <w:spacing w:before="0" w:line="240" w:lineRule="auto"/>
        <w:rPr>
          <w:rFonts w:ascii="Tahoma" w:hAnsi="Tahoma"/>
          <w:b/>
          <w:sz w:val="17"/>
        </w:rPr>
      </w:pPr>
      <w:bookmarkStart w:id="47" w:name="_Toc350434045"/>
      <w:bookmarkStart w:id="48" w:name="_Toc350786312"/>
      <w:r>
        <w:br w:type="page"/>
      </w:r>
    </w:p>
    <w:p w:rsidR="004B5099" w:rsidRDefault="004B5099" w:rsidP="004B5099">
      <w:pPr>
        <w:pStyle w:val="tabletitle"/>
      </w:pPr>
      <w:bookmarkStart w:id="49" w:name="_Toc370995915"/>
      <w:r>
        <w:lastRenderedPageBreak/>
        <w:t>Table 6</w:t>
      </w:r>
      <w:r>
        <w:tab/>
        <w:t>Cluster 2 universities’ rates of admission on the basis of a VET award by broad field of education (FOE), Australia 2010</w:t>
      </w:r>
      <w:bookmarkEnd w:id="47"/>
      <w:bookmarkEnd w:id="48"/>
      <w:bookmarkEnd w:id="49"/>
    </w:p>
    <w:tbl>
      <w:tblPr>
        <w:tblW w:w="9606" w:type="dxa"/>
        <w:tblLook w:val="04A0"/>
      </w:tblPr>
      <w:tblGrid>
        <w:gridCol w:w="93"/>
        <w:gridCol w:w="1961"/>
        <w:gridCol w:w="691"/>
        <w:gridCol w:w="691"/>
        <w:gridCol w:w="691"/>
        <w:gridCol w:w="691"/>
        <w:gridCol w:w="691"/>
        <w:gridCol w:w="691"/>
        <w:gridCol w:w="691"/>
        <w:gridCol w:w="691"/>
        <w:gridCol w:w="691"/>
        <w:gridCol w:w="691"/>
        <w:gridCol w:w="642"/>
      </w:tblGrid>
      <w:tr w:rsidR="004B5099" w:rsidRPr="00354384" w:rsidTr="00F82B97">
        <w:trPr>
          <w:gridBefore w:val="1"/>
          <w:wBefore w:w="93" w:type="dxa"/>
          <w:trHeight w:val="267"/>
        </w:trPr>
        <w:tc>
          <w:tcPr>
            <w:tcW w:w="1961" w:type="dxa"/>
            <w:tcBorders>
              <w:top w:val="single" w:sz="4" w:space="0" w:color="auto"/>
              <w:left w:val="nil"/>
              <w:bottom w:val="single" w:sz="4" w:space="0" w:color="auto"/>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0" w:type="dxa"/>
            <w:gridSpan w:val="10"/>
            <w:tcBorders>
              <w:top w:val="single" w:sz="4" w:space="0" w:color="auto"/>
              <w:left w:val="nil"/>
              <w:bottom w:val="single" w:sz="4" w:space="0" w:color="auto"/>
              <w:right w:val="nil"/>
            </w:tcBorders>
            <w:shd w:val="clear" w:color="000000" w:fill="FFFFFF"/>
            <w:noWrap/>
            <w:vAlign w:val="bottom"/>
            <w:hideMark/>
          </w:tcPr>
          <w:p w:rsidR="004B5099" w:rsidRPr="00120970" w:rsidRDefault="004B5099" w:rsidP="005A04CB">
            <w:pPr>
              <w:spacing w:before="60" w:line="276" w:lineRule="auto"/>
              <w:jc w:val="center"/>
              <w:rPr>
                <w:rFonts w:ascii="Arial" w:hAnsi="Arial" w:cs="Arial"/>
                <w:b/>
                <w:color w:val="000000"/>
                <w:sz w:val="16"/>
                <w:szCs w:val="16"/>
                <w:lang w:eastAsia="en-AU"/>
              </w:rPr>
            </w:pPr>
            <w:r w:rsidRPr="00120970">
              <w:rPr>
                <w:rFonts w:ascii="Arial" w:hAnsi="Arial" w:cs="Arial"/>
                <w:b/>
                <w:color w:val="000000"/>
                <w:sz w:val="16"/>
                <w:szCs w:val="16"/>
                <w:lang w:eastAsia="en-AU"/>
              </w:rPr>
              <w:t>Field of Education Clusters</w:t>
            </w:r>
          </w:p>
        </w:tc>
        <w:tc>
          <w:tcPr>
            <w:tcW w:w="642" w:type="dxa"/>
            <w:tcBorders>
              <w:top w:val="single" w:sz="4" w:space="0" w:color="auto"/>
              <w:left w:val="nil"/>
              <w:bottom w:val="single" w:sz="4" w:space="0" w:color="auto"/>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r>
      <w:tr w:rsidR="00F82B97" w:rsidRPr="00354384" w:rsidTr="00F82B97">
        <w:trPr>
          <w:gridBefore w:val="1"/>
          <w:wBefore w:w="93" w:type="dxa"/>
          <w:trHeight w:val="267"/>
        </w:trPr>
        <w:tc>
          <w:tcPr>
            <w:tcW w:w="1961" w:type="dxa"/>
            <w:tcBorders>
              <w:top w:val="nil"/>
              <w:left w:val="nil"/>
              <w:bottom w:val="single" w:sz="4" w:space="0" w:color="auto"/>
              <w:right w:val="nil"/>
            </w:tcBorders>
            <w:shd w:val="clear" w:color="000000" w:fill="FFFFFF"/>
            <w:noWrap/>
            <w:vAlign w:val="bottom"/>
            <w:hideMark/>
          </w:tcPr>
          <w:p w:rsidR="004B5099" w:rsidRPr="00354384" w:rsidRDefault="004B5099" w:rsidP="005A04CB">
            <w:pPr>
              <w:spacing w:before="60" w:line="276" w:lineRule="auto"/>
              <w:rPr>
                <w:rFonts w:ascii="Arial" w:hAnsi="Arial" w:cs="Arial"/>
                <w:b/>
                <w:bCs/>
                <w:color w:val="000000"/>
                <w:sz w:val="16"/>
                <w:szCs w:val="16"/>
                <w:lang w:eastAsia="en-AU"/>
              </w:rPr>
            </w:pPr>
          </w:p>
        </w:tc>
        <w:tc>
          <w:tcPr>
            <w:tcW w:w="2073" w:type="dxa"/>
            <w:gridSpan w:val="3"/>
            <w:tcBorders>
              <w:top w:val="nil"/>
              <w:left w:val="single" w:sz="4" w:space="0" w:color="auto"/>
              <w:bottom w:val="single" w:sz="4" w:space="0" w:color="auto"/>
              <w:right w:val="nil"/>
            </w:tcBorders>
            <w:shd w:val="clear" w:color="000000" w:fill="FFFFFF"/>
            <w:noWrap/>
            <w:vAlign w:val="bottom"/>
            <w:hideMark/>
          </w:tcPr>
          <w:p w:rsidR="004B5099" w:rsidRPr="00354384" w:rsidRDefault="004B5099" w:rsidP="005A04CB">
            <w:pPr>
              <w:spacing w:before="60" w:line="276" w:lineRule="auto"/>
              <w:jc w:val="center"/>
              <w:rPr>
                <w:rFonts w:ascii="Arial" w:hAnsi="Arial" w:cs="Arial"/>
                <w:b/>
                <w:bCs/>
                <w:color w:val="000000"/>
                <w:sz w:val="16"/>
                <w:szCs w:val="16"/>
                <w:lang w:eastAsia="en-AU"/>
              </w:rPr>
            </w:pPr>
            <w:r w:rsidRPr="00354384">
              <w:rPr>
                <w:rFonts w:ascii="Arial" w:hAnsi="Arial" w:cs="Arial"/>
                <w:b/>
                <w:bCs/>
                <w:color w:val="000000"/>
                <w:sz w:val="16"/>
                <w:szCs w:val="16"/>
                <w:lang w:eastAsia="en-AU"/>
              </w:rPr>
              <w:t>Cluster A</w:t>
            </w:r>
          </w:p>
        </w:tc>
        <w:tc>
          <w:tcPr>
            <w:tcW w:w="1382" w:type="dxa"/>
            <w:gridSpan w:val="2"/>
            <w:tcBorders>
              <w:top w:val="nil"/>
              <w:left w:val="single" w:sz="4" w:space="0" w:color="auto"/>
              <w:bottom w:val="single" w:sz="4" w:space="0" w:color="auto"/>
              <w:right w:val="nil"/>
            </w:tcBorders>
            <w:shd w:val="clear" w:color="000000" w:fill="FFFFFF"/>
            <w:noWrap/>
            <w:vAlign w:val="bottom"/>
            <w:hideMark/>
          </w:tcPr>
          <w:p w:rsidR="004B5099" w:rsidRPr="00354384" w:rsidRDefault="004B5099" w:rsidP="005A04CB">
            <w:pPr>
              <w:spacing w:before="60" w:line="276" w:lineRule="auto"/>
              <w:jc w:val="center"/>
              <w:rPr>
                <w:rFonts w:ascii="Arial" w:hAnsi="Arial" w:cs="Arial"/>
                <w:b/>
                <w:bCs/>
                <w:color w:val="000000"/>
                <w:sz w:val="16"/>
                <w:szCs w:val="16"/>
                <w:lang w:eastAsia="en-AU"/>
              </w:rPr>
            </w:pPr>
            <w:r w:rsidRPr="00354384">
              <w:rPr>
                <w:rFonts w:ascii="Arial" w:hAnsi="Arial" w:cs="Arial"/>
                <w:b/>
                <w:bCs/>
                <w:color w:val="000000"/>
                <w:sz w:val="16"/>
                <w:szCs w:val="16"/>
                <w:lang w:eastAsia="en-AU"/>
              </w:rPr>
              <w:t>Outliers</w:t>
            </w:r>
          </w:p>
        </w:tc>
        <w:tc>
          <w:tcPr>
            <w:tcW w:w="1382" w:type="dxa"/>
            <w:gridSpan w:val="2"/>
            <w:tcBorders>
              <w:top w:val="nil"/>
              <w:left w:val="single" w:sz="4" w:space="0" w:color="auto"/>
              <w:bottom w:val="single" w:sz="4" w:space="0" w:color="auto"/>
              <w:right w:val="nil"/>
            </w:tcBorders>
            <w:shd w:val="clear" w:color="000000" w:fill="FFFFFF"/>
            <w:noWrap/>
            <w:vAlign w:val="bottom"/>
            <w:hideMark/>
          </w:tcPr>
          <w:p w:rsidR="004B5099" w:rsidRPr="00354384" w:rsidRDefault="004B5099" w:rsidP="005A04CB">
            <w:pPr>
              <w:spacing w:before="60" w:line="276" w:lineRule="auto"/>
              <w:jc w:val="center"/>
              <w:rPr>
                <w:rFonts w:ascii="Arial" w:hAnsi="Arial" w:cs="Arial"/>
                <w:b/>
                <w:bCs/>
                <w:color w:val="000000"/>
                <w:sz w:val="16"/>
                <w:szCs w:val="16"/>
                <w:lang w:eastAsia="en-AU"/>
              </w:rPr>
            </w:pPr>
            <w:r w:rsidRPr="00354384">
              <w:rPr>
                <w:rFonts w:ascii="Arial" w:hAnsi="Arial" w:cs="Arial"/>
                <w:b/>
                <w:bCs/>
                <w:color w:val="000000"/>
                <w:sz w:val="16"/>
                <w:szCs w:val="16"/>
                <w:lang w:eastAsia="en-AU"/>
              </w:rPr>
              <w:t>Cluster B</w:t>
            </w:r>
          </w:p>
        </w:tc>
        <w:tc>
          <w:tcPr>
            <w:tcW w:w="2073" w:type="dxa"/>
            <w:gridSpan w:val="3"/>
            <w:tcBorders>
              <w:top w:val="nil"/>
              <w:left w:val="single" w:sz="4" w:space="0" w:color="auto"/>
              <w:bottom w:val="single" w:sz="4" w:space="0" w:color="auto"/>
              <w:right w:val="nil"/>
            </w:tcBorders>
            <w:shd w:val="clear" w:color="000000" w:fill="FFFFFF"/>
            <w:noWrap/>
            <w:vAlign w:val="bottom"/>
            <w:hideMark/>
          </w:tcPr>
          <w:p w:rsidR="004B5099" w:rsidRPr="00354384" w:rsidRDefault="004B5099" w:rsidP="005A04CB">
            <w:pPr>
              <w:spacing w:before="60" w:line="276" w:lineRule="auto"/>
              <w:jc w:val="center"/>
              <w:rPr>
                <w:rFonts w:ascii="Arial" w:hAnsi="Arial" w:cs="Arial"/>
                <w:b/>
                <w:bCs/>
                <w:color w:val="000000"/>
                <w:sz w:val="16"/>
                <w:szCs w:val="16"/>
                <w:lang w:eastAsia="en-AU"/>
              </w:rPr>
            </w:pPr>
            <w:r w:rsidRPr="00354384">
              <w:rPr>
                <w:rFonts w:ascii="Arial" w:hAnsi="Arial" w:cs="Arial"/>
                <w:b/>
                <w:bCs/>
                <w:color w:val="000000"/>
                <w:sz w:val="16"/>
                <w:szCs w:val="16"/>
                <w:lang w:eastAsia="en-AU"/>
              </w:rPr>
              <w:t>Cluster C</w:t>
            </w:r>
          </w:p>
        </w:tc>
        <w:tc>
          <w:tcPr>
            <w:tcW w:w="642" w:type="dxa"/>
            <w:tcBorders>
              <w:top w:val="nil"/>
              <w:left w:val="single" w:sz="4" w:space="0" w:color="auto"/>
              <w:bottom w:val="single" w:sz="4" w:space="0" w:color="auto"/>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b/>
                <w:bCs/>
                <w:color w:val="000000"/>
                <w:sz w:val="16"/>
                <w:szCs w:val="16"/>
                <w:lang w:eastAsia="en-AU"/>
              </w:rPr>
            </w:pPr>
            <w:r w:rsidRPr="00354384">
              <w:rPr>
                <w:rFonts w:ascii="Arial" w:hAnsi="Arial" w:cs="Arial"/>
                <w:b/>
                <w:bCs/>
                <w:color w:val="000000"/>
                <w:sz w:val="16"/>
                <w:szCs w:val="16"/>
                <w:lang w:eastAsia="en-AU"/>
              </w:rPr>
              <w:t>All</w:t>
            </w:r>
          </w:p>
        </w:tc>
      </w:tr>
      <w:tr w:rsidR="00F82B97" w:rsidRPr="00E45FFA" w:rsidTr="00F82B97">
        <w:trPr>
          <w:trHeight w:val="267"/>
        </w:trPr>
        <w:tc>
          <w:tcPr>
            <w:tcW w:w="2054" w:type="dxa"/>
            <w:gridSpan w:val="2"/>
            <w:tcBorders>
              <w:top w:val="nil"/>
              <w:left w:val="nil"/>
              <w:bottom w:val="single" w:sz="4" w:space="0" w:color="auto"/>
              <w:right w:val="nil"/>
            </w:tcBorders>
            <w:shd w:val="clear" w:color="000000" w:fill="FFFFFF"/>
            <w:noWrap/>
            <w:vAlign w:val="bottom"/>
            <w:hideMark/>
          </w:tcPr>
          <w:p w:rsidR="004B5099" w:rsidRDefault="004B5099" w:rsidP="005A04CB">
            <w:pPr>
              <w:spacing w:before="60" w:line="276" w:lineRule="auto"/>
              <w:rPr>
                <w:rFonts w:asciiTheme="majorHAnsi" w:hAnsiTheme="majorHAnsi" w:cs="Arial"/>
                <w:b/>
                <w:bCs/>
                <w:color w:val="000000"/>
                <w:sz w:val="16"/>
                <w:szCs w:val="16"/>
                <w:lang w:eastAsia="en-AU"/>
              </w:rPr>
            </w:pPr>
            <w:r>
              <w:rPr>
                <w:rFonts w:asciiTheme="majorHAnsi" w:hAnsiTheme="majorHAnsi" w:cs="Arial"/>
                <w:b/>
                <w:bCs/>
                <w:color w:val="000000"/>
                <w:sz w:val="16"/>
                <w:szCs w:val="16"/>
                <w:lang w:eastAsia="en-AU"/>
              </w:rPr>
              <w:t>Broad Field of Education</w:t>
            </w:r>
          </w:p>
          <w:p w:rsidR="004B5099" w:rsidRPr="00E45FFA" w:rsidRDefault="004B5099" w:rsidP="005A04CB">
            <w:pPr>
              <w:spacing w:before="60" w:line="276" w:lineRule="auto"/>
              <w:rPr>
                <w:rFonts w:asciiTheme="majorHAnsi" w:hAnsiTheme="majorHAnsi" w:cs="Arial"/>
                <w:b/>
                <w:bCs/>
                <w:color w:val="000000"/>
                <w:sz w:val="16"/>
                <w:szCs w:val="16"/>
                <w:lang w:eastAsia="en-AU"/>
              </w:rPr>
            </w:pPr>
            <w:r>
              <w:rPr>
                <w:rFonts w:asciiTheme="majorHAnsi" w:hAnsiTheme="majorHAnsi" w:cs="Arial"/>
                <w:b/>
                <w:bCs/>
                <w:color w:val="000000"/>
                <w:sz w:val="16"/>
                <w:szCs w:val="16"/>
                <w:lang w:eastAsia="en-AU"/>
              </w:rPr>
              <w:t>(VET award-holders admission rate)</w:t>
            </w:r>
          </w:p>
        </w:tc>
        <w:tc>
          <w:tcPr>
            <w:tcW w:w="691" w:type="dxa"/>
            <w:tcBorders>
              <w:top w:val="nil"/>
              <w:left w:val="single" w:sz="4" w:space="0" w:color="auto"/>
              <w:bottom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FOE08</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(13%)</w:t>
            </w:r>
          </w:p>
        </w:tc>
        <w:tc>
          <w:tcPr>
            <w:tcW w:w="691" w:type="dxa"/>
            <w:tcBorders>
              <w:top w:val="nil"/>
              <w:left w:val="nil"/>
              <w:bottom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FOE10</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(8%)</w:t>
            </w:r>
          </w:p>
        </w:tc>
        <w:tc>
          <w:tcPr>
            <w:tcW w:w="691" w:type="dxa"/>
            <w:tcBorders>
              <w:top w:val="nil"/>
              <w:left w:val="nil"/>
              <w:bottom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FOE06</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(12%)</w:t>
            </w:r>
          </w:p>
        </w:tc>
        <w:tc>
          <w:tcPr>
            <w:tcW w:w="691" w:type="dxa"/>
            <w:tcBorders>
              <w:top w:val="nil"/>
              <w:left w:val="single" w:sz="4" w:space="0" w:color="auto"/>
              <w:bottom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FOE07</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(15%)</w:t>
            </w:r>
          </w:p>
        </w:tc>
        <w:tc>
          <w:tcPr>
            <w:tcW w:w="691" w:type="dxa"/>
            <w:tcBorders>
              <w:top w:val="nil"/>
              <w:left w:val="nil"/>
              <w:bottom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FOE02</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(14%)</w:t>
            </w:r>
          </w:p>
        </w:tc>
        <w:tc>
          <w:tcPr>
            <w:tcW w:w="691" w:type="dxa"/>
            <w:tcBorders>
              <w:top w:val="nil"/>
              <w:left w:val="single" w:sz="4" w:space="0" w:color="auto"/>
              <w:bottom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FOE03</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(7%)</w:t>
            </w:r>
          </w:p>
        </w:tc>
        <w:tc>
          <w:tcPr>
            <w:tcW w:w="691" w:type="dxa"/>
            <w:tcBorders>
              <w:top w:val="nil"/>
              <w:left w:val="nil"/>
              <w:bottom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FOE04</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(10%)</w:t>
            </w:r>
          </w:p>
        </w:tc>
        <w:tc>
          <w:tcPr>
            <w:tcW w:w="691" w:type="dxa"/>
            <w:tcBorders>
              <w:top w:val="nil"/>
              <w:left w:val="single" w:sz="4" w:space="0" w:color="auto"/>
              <w:bottom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FOE05</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(6%)</w:t>
            </w:r>
          </w:p>
        </w:tc>
        <w:tc>
          <w:tcPr>
            <w:tcW w:w="691" w:type="dxa"/>
            <w:tcBorders>
              <w:top w:val="nil"/>
              <w:left w:val="nil"/>
              <w:bottom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FOE09</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(8%)</w:t>
            </w:r>
          </w:p>
        </w:tc>
        <w:tc>
          <w:tcPr>
            <w:tcW w:w="691" w:type="dxa"/>
            <w:tcBorders>
              <w:top w:val="nil"/>
              <w:left w:val="nil"/>
              <w:bottom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FOE01</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(4%)</w:t>
            </w:r>
          </w:p>
        </w:tc>
        <w:tc>
          <w:tcPr>
            <w:tcW w:w="642" w:type="dxa"/>
            <w:tcBorders>
              <w:top w:val="nil"/>
              <w:left w:val="single" w:sz="4" w:space="0" w:color="auto"/>
              <w:bottom w:val="single" w:sz="4" w:space="0" w:color="auto"/>
              <w:right w:val="nil"/>
            </w:tcBorders>
            <w:shd w:val="clear" w:color="000000" w:fill="FFFFFF"/>
            <w:noWrap/>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(10%)</w:t>
            </w:r>
            <w:r>
              <w:rPr>
                <w:rFonts w:asciiTheme="majorHAnsi" w:hAnsiTheme="majorHAnsi" w:cs="Arial"/>
                <w:b/>
                <w:bCs/>
                <w:vanish/>
                <w:color w:val="000000"/>
                <w:sz w:val="18"/>
                <w:szCs w:val="18"/>
                <w:lang w:eastAsia="en-AU"/>
              </w:rPr>
              <w:cr/>
              <w:t>4%))re of 0% could indicate that total enrolments are less than 10. ld of educationnsistently high are not consistently high ac</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La Trobe University</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23%</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11%</w:t>
            </w:r>
          </w:p>
        </w:tc>
        <w:tc>
          <w:tcPr>
            <w:tcW w:w="691" w:type="dxa"/>
            <w:tcBorders>
              <w:top w:val="nil"/>
              <w:left w:val="nil"/>
              <w:bottom w:val="nil"/>
              <w:right w:val="nil"/>
            </w:tcBorders>
            <w:shd w:val="clear" w:color="auto" w:fill="auto"/>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12%</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19%</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19%</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12%</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6%</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15%</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University of Canberra</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19%</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13%</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21%</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15%</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19%</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21%</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7%</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7%</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13%</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Charles Darwin University</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15%</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31%</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12%</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18%</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11%</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12%</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University of South Australia</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16%</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6%</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14%</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10%</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19%</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11%</w:t>
            </w:r>
          </w:p>
        </w:tc>
        <w:tc>
          <w:tcPr>
            <w:tcW w:w="691" w:type="dxa"/>
            <w:tcBorders>
              <w:top w:val="nil"/>
              <w:left w:val="nil"/>
              <w:bottom w:val="nil"/>
              <w:right w:val="nil"/>
            </w:tcBorders>
            <w:shd w:val="clear" w:color="auto" w:fill="auto"/>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14%</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12%</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University of Ballarat</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7%</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17%</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16%</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20%</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6%</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16%</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10%</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11%</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University of Tasmania</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17%</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28%</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4%</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13%</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13%</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22%</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9%</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11%</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Griffith University</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17%</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9%</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11%</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17%</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24%</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6%</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6%</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4%</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11%</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University of Wollongong</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17%</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15%</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17%</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11%</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9%</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9%</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11%</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Central Queensland University</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21%</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7%</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15%</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10%</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13%</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12%</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7%</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11%</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Murdoch University</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7%</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18%</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23%</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11%</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16%</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15%</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10%</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10%</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Australian Catholic University</w:t>
            </w:r>
          </w:p>
        </w:tc>
        <w:tc>
          <w:tcPr>
            <w:tcW w:w="691" w:type="dxa"/>
            <w:tcBorders>
              <w:top w:val="nil"/>
              <w:left w:val="single" w:sz="4" w:space="0" w:color="auto"/>
              <w:bottom w:val="nil"/>
              <w:right w:val="nil"/>
            </w:tcBorders>
            <w:shd w:val="clear" w:color="auto" w:fill="auto"/>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12%</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11%</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11%</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13%</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10%</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The University of Newcastle</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16%</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14%</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18%</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10%</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32%</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17%</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20%</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3%</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4%</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10%</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The University of New England</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9%</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19%</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17%</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22%</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5%</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7%</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9%</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Southern Cross University</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7%</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6%</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10%</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7%</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18%</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10%</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12%</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0%</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r>
      <w:tr w:rsidR="00F82B97" w:rsidRPr="00354384" w:rsidTr="00F82B97">
        <w:trPr>
          <w:trHeight w:val="267"/>
        </w:trPr>
        <w:tc>
          <w:tcPr>
            <w:tcW w:w="2054" w:type="dxa"/>
            <w:gridSpan w:val="2"/>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University of Technology, Sydney</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3%</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21%</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9%</w:t>
            </w:r>
          </w:p>
        </w:tc>
        <w:tc>
          <w:tcPr>
            <w:tcW w:w="691" w:type="dxa"/>
            <w:tcBorders>
              <w:top w:val="nil"/>
              <w:left w:val="single" w:sz="4" w:space="0" w:color="auto"/>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10%</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4%</w:t>
            </w:r>
          </w:p>
        </w:tc>
        <w:tc>
          <w:tcPr>
            <w:tcW w:w="691"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2%</w:t>
            </w:r>
          </w:p>
        </w:tc>
        <w:tc>
          <w:tcPr>
            <w:tcW w:w="691" w:type="dxa"/>
            <w:tcBorders>
              <w:top w:val="nil"/>
              <w:left w:val="nil"/>
              <w:bottom w:val="nil"/>
              <w:right w:val="nil"/>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6%</w:t>
            </w:r>
          </w:p>
        </w:tc>
        <w:tc>
          <w:tcPr>
            <w:tcW w:w="642" w:type="dxa"/>
            <w:tcBorders>
              <w:top w:val="nil"/>
              <w:left w:val="single" w:sz="4" w:space="0" w:color="auto"/>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r>
      <w:tr w:rsidR="00F82B97" w:rsidRPr="00354384" w:rsidTr="00F82B97">
        <w:trPr>
          <w:trHeight w:val="267"/>
        </w:trPr>
        <w:tc>
          <w:tcPr>
            <w:tcW w:w="2054" w:type="dxa"/>
            <w:gridSpan w:val="2"/>
            <w:tcBorders>
              <w:top w:val="nil"/>
              <w:left w:val="nil"/>
              <w:bottom w:val="nil"/>
              <w:right w:val="single" w:sz="4" w:space="0" w:color="auto"/>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Pr>
                <w:rFonts w:ascii="Arial" w:hAnsi="Arial" w:cs="Arial"/>
                <w:color w:val="000000"/>
                <w:sz w:val="16"/>
                <w:szCs w:val="16"/>
                <w:lang w:eastAsia="en-AU"/>
              </w:rPr>
              <w:t>QLD University of Technology</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4%</w:t>
            </w:r>
          </w:p>
        </w:tc>
        <w:tc>
          <w:tcPr>
            <w:tcW w:w="691" w:type="dxa"/>
            <w:tcBorders>
              <w:top w:val="nil"/>
              <w:left w:val="nil"/>
              <w:bottom w:val="nil"/>
              <w:right w:val="single" w:sz="4" w:space="0" w:color="auto"/>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8%</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7%</w:t>
            </w:r>
          </w:p>
        </w:tc>
        <w:tc>
          <w:tcPr>
            <w:tcW w:w="691" w:type="dxa"/>
            <w:tcBorders>
              <w:top w:val="nil"/>
              <w:left w:val="nil"/>
              <w:bottom w:val="nil"/>
              <w:right w:val="single" w:sz="4" w:space="0" w:color="auto"/>
            </w:tcBorders>
            <w:shd w:val="clear" w:color="auto" w:fill="BFBFBF" w:themeFill="background1" w:themeFillShade="B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16%</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7%</w:t>
            </w:r>
          </w:p>
        </w:tc>
        <w:tc>
          <w:tcPr>
            <w:tcW w:w="691" w:type="dxa"/>
            <w:tcBorders>
              <w:top w:val="nil"/>
              <w:left w:val="nil"/>
              <w:bottom w:val="nil"/>
              <w:right w:val="single" w:sz="4" w:space="0" w:color="auto"/>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7%</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rPr>
                <w:rFonts w:ascii="Arial" w:hAnsi="Arial" w:cs="Arial"/>
                <w:color w:val="000000"/>
                <w:sz w:val="16"/>
                <w:szCs w:val="16"/>
                <w:lang w:eastAsia="en-AU"/>
              </w:rPr>
            </w:pPr>
            <w:r w:rsidRPr="00354384">
              <w:rPr>
                <w:rFonts w:ascii="Arial" w:hAnsi="Arial" w:cs="Arial"/>
                <w:color w:val="000000"/>
                <w:sz w:val="16"/>
                <w:szCs w:val="16"/>
                <w:lang w:eastAsia="en-AU"/>
              </w:rPr>
              <w:t> </w:t>
            </w:r>
          </w:p>
        </w:tc>
        <w:tc>
          <w:tcPr>
            <w:tcW w:w="691"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5%</w:t>
            </w:r>
          </w:p>
        </w:tc>
        <w:tc>
          <w:tcPr>
            <w:tcW w:w="691" w:type="dxa"/>
            <w:tcBorders>
              <w:top w:val="nil"/>
              <w:left w:val="nil"/>
              <w:bottom w:val="nil"/>
              <w:right w:val="single" w:sz="4" w:space="0" w:color="auto"/>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4%</w:t>
            </w:r>
          </w:p>
        </w:tc>
        <w:tc>
          <w:tcPr>
            <w:tcW w:w="642" w:type="dxa"/>
            <w:tcBorders>
              <w:top w:val="nil"/>
              <w:left w:val="nil"/>
              <w:bottom w:val="nil"/>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color w:val="000000"/>
                <w:sz w:val="16"/>
                <w:szCs w:val="16"/>
                <w:lang w:eastAsia="en-AU"/>
              </w:rPr>
            </w:pPr>
            <w:r w:rsidRPr="00354384">
              <w:rPr>
                <w:rFonts w:ascii="Arial" w:hAnsi="Arial" w:cs="Arial"/>
                <w:color w:val="000000"/>
                <w:sz w:val="16"/>
                <w:szCs w:val="16"/>
                <w:lang w:eastAsia="en-AU"/>
              </w:rPr>
              <w:t>7%</w:t>
            </w:r>
          </w:p>
        </w:tc>
      </w:tr>
      <w:tr w:rsidR="00F82B97" w:rsidRPr="00354384" w:rsidTr="00F82B97">
        <w:trPr>
          <w:trHeight w:val="267"/>
        </w:trPr>
        <w:tc>
          <w:tcPr>
            <w:tcW w:w="2054" w:type="dxa"/>
            <w:gridSpan w:val="2"/>
            <w:tcBorders>
              <w:top w:val="nil"/>
              <w:left w:val="nil"/>
              <w:bottom w:val="single" w:sz="4" w:space="0" w:color="auto"/>
              <w:right w:val="nil"/>
            </w:tcBorders>
            <w:shd w:val="clear" w:color="000000" w:fill="FFFFFF"/>
            <w:noWrap/>
            <w:vAlign w:val="bottom"/>
            <w:hideMark/>
          </w:tcPr>
          <w:p w:rsidR="004B5099" w:rsidRPr="0007752D" w:rsidRDefault="004B5099" w:rsidP="005A04CB">
            <w:pPr>
              <w:spacing w:before="60" w:line="276" w:lineRule="auto"/>
              <w:rPr>
                <w:rFonts w:ascii="Arial" w:hAnsi="Arial" w:cs="Arial"/>
                <w:b/>
                <w:bCs/>
                <w:color w:val="000000"/>
                <w:sz w:val="16"/>
                <w:szCs w:val="16"/>
                <w:lang w:eastAsia="en-AU"/>
              </w:rPr>
            </w:pPr>
            <w:r w:rsidRPr="0007752D">
              <w:rPr>
                <w:rFonts w:ascii="Arial" w:hAnsi="Arial" w:cs="Arial"/>
                <w:b/>
                <w:bCs/>
                <w:color w:val="000000"/>
                <w:sz w:val="16"/>
                <w:szCs w:val="16"/>
                <w:lang w:eastAsia="en-AU"/>
              </w:rPr>
              <w:t xml:space="preserve">Total Cluster 2 </w:t>
            </w:r>
          </w:p>
        </w:tc>
        <w:tc>
          <w:tcPr>
            <w:tcW w:w="691" w:type="dxa"/>
            <w:tcBorders>
              <w:top w:val="nil"/>
              <w:left w:val="single" w:sz="4" w:space="0" w:color="auto"/>
              <w:bottom w:val="single" w:sz="4" w:space="0" w:color="auto"/>
              <w:right w:val="nil"/>
            </w:tcBorders>
            <w:shd w:val="clear" w:color="000000" w:fill="FFFFFF"/>
            <w:noWrap/>
            <w:vAlign w:val="bottom"/>
            <w:hideMark/>
          </w:tcPr>
          <w:p w:rsidR="004B5099" w:rsidRPr="0007752D" w:rsidRDefault="004B5099" w:rsidP="005A04CB">
            <w:pPr>
              <w:spacing w:before="60" w:line="276" w:lineRule="auto"/>
              <w:jc w:val="right"/>
              <w:rPr>
                <w:rFonts w:ascii="Arial" w:hAnsi="Arial" w:cs="Arial"/>
                <w:b/>
                <w:bCs/>
                <w:color w:val="000000"/>
                <w:sz w:val="16"/>
                <w:szCs w:val="16"/>
                <w:lang w:eastAsia="en-AU"/>
              </w:rPr>
            </w:pPr>
            <w:r>
              <w:rPr>
                <w:rFonts w:ascii="Arial" w:hAnsi="Arial" w:cs="Arial"/>
                <w:b/>
                <w:bCs/>
                <w:color w:val="000000"/>
                <w:sz w:val="16"/>
                <w:szCs w:val="16"/>
                <w:lang w:eastAsia="en-AU"/>
              </w:rPr>
              <w:t>14%</w:t>
            </w:r>
          </w:p>
        </w:tc>
        <w:tc>
          <w:tcPr>
            <w:tcW w:w="691" w:type="dxa"/>
            <w:tcBorders>
              <w:top w:val="nil"/>
              <w:left w:val="nil"/>
              <w:bottom w:val="single" w:sz="4" w:space="0" w:color="auto"/>
              <w:right w:val="nil"/>
            </w:tcBorders>
            <w:shd w:val="clear" w:color="000000" w:fill="FFFFFF"/>
            <w:noWrap/>
            <w:vAlign w:val="bottom"/>
            <w:hideMark/>
          </w:tcPr>
          <w:p w:rsidR="004B5099" w:rsidRPr="0007752D" w:rsidRDefault="004B5099" w:rsidP="005A04CB">
            <w:pPr>
              <w:spacing w:before="60" w:line="276" w:lineRule="auto"/>
              <w:jc w:val="right"/>
              <w:rPr>
                <w:rFonts w:ascii="Arial" w:hAnsi="Arial" w:cs="Arial"/>
                <w:b/>
                <w:bCs/>
                <w:color w:val="000000"/>
                <w:sz w:val="16"/>
                <w:szCs w:val="16"/>
                <w:lang w:eastAsia="en-AU"/>
              </w:rPr>
            </w:pPr>
            <w:r>
              <w:rPr>
                <w:rFonts w:ascii="Arial" w:hAnsi="Arial" w:cs="Arial"/>
                <w:b/>
                <w:bCs/>
                <w:color w:val="000000"/>
                <w:sz w:val="16"/>
                <w:szCs w:val="16"/>
                <w:lang w:eastAsia="en-AU"/>
              </w:rPr>
              <w:t>7%</w:t>
            </w:r>
          </w:p>
        </w:tc>
        <w:tc>
          <w:tcPr>
            <w:tcW w:w="691" w:type="dxa"/>
            <w:tcBorders>
              <w:top w:val="nil"/>
              <w:left w:val="nil"/>
              <w:bottom w:val="single" w:sz="4" w:space="0" w:color="auto"/>
              <w:right w:val="nil"/>
            </w:tcBorders>
            <w:shd w:val="clear" w:color="000000" w:fill="FFFFFF"/>
            <w:noWrap/>
            <w:vAlign w:val="bottom"/>
            <w:hideMark/>
          </w:tcPr>
          <w:p w:rsidR="004B5099" w:rsidRPr="0007752D" w:rsidRDefault="004B5099" w:rsidP="005A04CB">
            <w:pPr>
              <w:spacing w:before="60" w:line="276" w:lineRule="auto"/>
              <w:jc w:val="right"/>
              <w:rPr>
                <w:rFonts w:ascii="Arial" w:hAnsi="Arial" w:cs="Arial"/>
                <w:b/>
                <w:bCs/>
                <w:color w:val="000000"/>
                <w:sz w:val="16"/>
                <w:szCs w:val="16"/>
                <w:lang w:eastAsia="en-AU"/>
              </w:rPr>
            </w:pPr>
            <w:r>
              <w:rPr>
                <w:rFonts w:ascii="Arial" w:hAnsi="Arial" w:cs="Arial"/>
                <w:b/>
                <w:bCs/>
                <w:color w:val="000000"/>
                <w:sz w:val="16"/>
                <w:szCs w:val="16"/>
                <w:lang w:eastAsia="en-AU"/>
              </w:rPr>
              <w:t>14%</w:t>
            </w:r>
          </w:p>
        </w:tc>
        <w:tc>
          <w:tcPr>
            <w:tcW w:w="691" w:type="dxa"/>
            <w:tcBorders>
              <w:top w:val="nil"/>
              <w:left w:val="single" w:sz="4" w:space="0" w:color="auto"/>
              <w:bottom w:val="single" w:sz="4" w:space="0" w:color="auto"/>
              <w:right w:val="nil"/>
            </w:tcBorders>
            <w:shd w:val="clear" w:color="000000" w:fill="FFFFFF"/>
            <w:noWrap/>
            <w:vAlign w:val="bottom"/>
            <w:hideMark/>
          </w:tcPr>
          <w:p w:rsidR="004B5099" w:rsidRPr="0007752D" w:rsidRDefault="004B5099" w:rsidP="005A04CB">
            <w:pPr>
              <w:spacing w:before="60" w:line="276" w:lineRule="auto"/>
              <w:jc w:val="right"/>
              <w:rPr>
                <w:rFonts w:ascii="Arial" w:hAnsi="Arial" w:cs="Arial"/>
                <w:b/>
                <w:bCs/>
                <w:color w:val="000000"/>
                <w:sz w:val="16"/>
                <w:szCs w:val="16"/>
                <w:lang w:eastAsia="en-AU"/>
              </w:rPr>
            </w:pPr>
            <w:r>
              <w:rPr>
                <w:rFonts w:ascii="Arial" w:hAnsi="Arial" w:cs="Arial"/>
                <w:b/>
                <w:bCs/>
                <w:color w:val="000000"/>
                <w:sz w:val="16"/>
                <w:szCs w:val="16"/>
                <w:lang w:eastAsia="en-AU"/>
              </w:rPr>
              <w:t>14%</w:t>
            </w:r>
          </w:p>
        </w:tc>
        <w:tc>
          <w:tcPr>
            <w:tcW w:w="691" w:type="dxa"/>
            <w:tcBorders>
              <w:top w:val="nil"/>
              <w:left w:val="nil"/>
              <w:bottom w:val="single" w:sz="4" w:space="0" w:color="auto"/>
              <w:right w:val="nil"/>
            </w:tcBorders>
            <w:shd w:val="clear" w:color="000000" w:fill="FFFFFF"/>
            <w:noWrap/>
            <w:vAlign w:val="bottom"/>
            <w:hideMark/>
          </w:tcPr>
          <w:p w:rsidR="004B5099" w:rsidRPr="0007752D" w:rsidRDefault="004B5099" w:rsidP="005A04CB">
            <w:pPr>
              <w:spacing w:before="60" w:line="276" w:lineRule="auto"/>
              <w:jc w:val="right"/>
              <w:rPr>
                <w:rFonts w:ascii="Arial" w:hAnsi="Arial" w:cs="Arial"/>
                <w:b/>
                <w:bCs/>
                <w:color w:val="000000"/>
                <w:sz w:val="16"/>
                <w:szCs w:val="16"/>
                <w:lang w:eastAsia="en-AU"/>
              </w:rPr>
            </w:pPr>
            <w:r>
              <w:rPr>
                <w:rFonts w:ascii="Arial" w:hAnsi="Arial" w:cs="Arial"/>
                <w:b/>
                <w:bCs/>
                <w:color w:val="000000"/>
                <w:sz w:val="16"/>
                <w:szCs w:val="16"/>
                <w:lang w:eastAsia="en-AU"/>
              </w:rPr>
              <w:t>14%</w:t>
            </w:r>
          </w:p>
        </w:tc>
        <w:tc>
          <w:tcPr>
            <w:tcW w:w="691" w:type="dxa"/>
            <w:tcBorders>
              <w:top w:val="nil"/>
              <w:left w:val="single" w:sz="4" w:space="0" w:color="auto"/>
              <w:bottom w:val="single" w:sz="4" w:space="0" w:color="auto"/>
              <w:right w:val="nil"/>
            </w:tcBorders>
            <w:shd w:val="clear" w:color="000000" w:fill="FFFFFF"/>
            <w:noWrap/>
            <w:vAlign w:val="bottom"/>
            <w:hideMark/>
          </w:tcPr>
          <w:p w:rsidR="004B5099" w:rsidRPr="0007752D" w:rsidRDefault="004B5099" w:rsidP="005A04CB">
            <w:pPr>
              <w:spacing w:before="60" w:line="276" w:lineRule="auto"/>
              <w:jc w:val="right"/>
              <w:rPr>
                <w:rFonts w:ascii="Arial" w:hAnsi="Arial" w:cs="Arial"/>
                <w:b/>
                <w:bCs/>
                <w:color w:val="000000"/>
                <w:sz w:val="16"/>
                <w:szCs w:val="16"/>
                <w:lang w:eastAsia="en-AU"/>
              </w:rPr>
            </w:pPr>
            <w:r>
              <w:rPr>
                <w:rFonts w:ascii="Arial" w:hAnsi="Arial" w:cs="Arial"/>
                <w:b/>
                <w:bCs/>
                <w:color w:val="000000"/>
                <w:sz w:val="16"/>
                <w:szCs w:val="16"/>
                <w:lang w:eastAsia="en-AU"/>
              </w:rPr>
              <w:t>10%</w:t>
            </w:r>
          </w:p>
        </w:tc>
        <w:tc>
          <w:tcPr>
            <w:tcW w:w="691" w:type="dxa"/>
            <w:tcBorders>
              <w:top w:val="nil"/>
              <w:left w:val="nil"/>
              <w:bottom w:val="single" w:sz="4" w:space="0" w:color="auto"/>
              <w:right w:val="nil"/>
            </w:tcBorders>
            <w:shd w:val="clear" w:color="000000" w:fill="FFFFFF"/>
            <w:noWrap/>
            <w:vAlign w:val="bottom"/>
            <w:hideMark/>
          </w:tcPr>
          <w:p w:rsidR="004B5099" w:rsidRPr="0007752D" w:rsidRDefault="004B5099" w:rsidP="005A04CB">
            <w:pPr>
              <w:spacing w:before="60" w:line="276" w:lineRule="auto"/>
              <w:jc w:val="right"/>
              <w:rPr>
                <w:rFonts w:ascii="Arial" w:hAnsi="Arial" w:cs="Arial"/>
                <w:b/>
                <w:bCs/>
                <w:color w:val="000000"/>
                <w:sz w:val="16"/>
                <w:szCs w:val="16"/>
                <w:lang w:eastAsia="en-AU"/>
              </w:rPr>
            </w:pPr>
            <w:r>
              <w:rPr>
                <w:rFonts w:ascii="Arial" w:hAnsi="Arial" w:cs="Arial"/>
                <w:b/>
                <w:bCs/>
                <w:color w:val="000000"/>
                <w:sz w:val="16"/>
                <w:szCs w:val="16"/>
                <w:lang w:eastAsia="en-AU"/>
              </w:rPr>
              <w:t>10%</w:t>
            </w:r>
          </w:p>
        </w:tc>
        <w:tc>
          <w:tcPr>
            <w:tcW w:w="691" w:type="dxa"/>
            <w:tcBorders>
              <w:top w:val="nil"/>
              <w:left w:val="single" w:sz="4" w:space="0" w:color="auto"/>
              <w:bottom w:val="single" w:sz="4" w:space="0" w:color="auto"/>
              <w:right w:val="nil"/>
            </w:tcBorders>
            <w:shd w:val="clear" w:color="000000" w:fill="FFFFFF"/>
            <w:noWrap/>
            <w:vAlign w:val="bottom"/>
            <w:hideMark/>
          </w:tcPr>
          <w:p w:rsidR="004B5099" w:rsidRPr="0007752D" w:rsidRDefault="004B5099" w:rsidP="005A04CB">
            <w:pPr>
              <w:spacing w:before="60" w:line="276" w:lineRule="auto"/>
              <w:jc w:val="right"/>
              <w:rPr>
                <w:rFonts w:ascii="Arial" w:hAnsi="Arial" w:cs="Arial"/>
                <w:b/>
                <w:bCs/>
                <w:color w:val="000000"/>
                <w:sz w:val="16"/>
                <w:szCs w:val="16"/>
                <w:lang w:eastAsia="en-AU"/>
              </w:rPr>
            </w:pPr>
            <w:r>
              <w:rPr>
                <w:rFonts w:ascii="Arial" w:hAnsi="Arial" w:cs="Arial"/>
                <w:b/>
                <w:bCs/>
                <w:color w:val="000000"/>
                <w:sz w:val="16"/>
                <w:szCs w:val="16"/>
                <w:lang w:eastAsia="en-AU"/>
              </w:rPr>
              <w:t>4%</w:t>
            </w:r>
          </w:p>
        </w:tc>
        <w:tc>
          <w:tcPr>
            <w:tcW w:w="691" w:type="dxa"/>
            <w:tcBorders>
              <w:top w:val="nil"/>
              <w:left w:val="nil"/>
              <w:bottom w:val="single" w:sz="4" w:space="0" w:color="auto"/>
              <w:right w:val="nil"/>
            </w:tcBorders>
            <w:shd w:val="clear" w:color="000000" w:fill="FFFFFF"/>
            <w:noWrap/>
            <w:vAlign w:val="bottom"/>
            <w:hideMark/>
          </w:tcPr>
          <w:p w:rsidR="004B5099" w:rsidRPr="0007752D" w:rsidRDefault="004B5099" w:rsidP="005A04CB">
            <w:pPr>
              <w:spacing w:before="60" w:line="276" w:lineRule="auto"/>
              <w:jc w:val="right"/>
              <w:rPr>
                <w:rFonts w:ascii="Arial" w:hAnsi="Arial" w:cs="Arial"/>
                <w:b/>
                <w:bCs/>
                <w:color w:val="000000"/>
                <w:sz w:val="16"/>
                <w:szCs w:val="16"/>
                <w:lang w:eastAsia="en-AU"/>
              </w:rPr>
            </w:pPr>
            <w:r>
              <w:rPr>
                <w:rFonts w:ascii="Arial" w:hAnsi="Arial" w:cs="Arial"/>
                <w:b/>
                <w:bCs/>
                <w:color w:val="000000"/>
                <w:sz w:val="16"/>
                <w:szCs w:val="16"/>
                <w:lang w:eastAsia="en-AU"/>
              </w:rPr>
              <w:t>7%</w:t>
            </w:r>
          </w:p>
        </w:tc>
        <w:tc>
          <w:tcPr>
            <w:tcW w:w="691" w:type="dxa"/>
            <w:tcBorders>
              <w:top w:val="nil"/>
              <w:left w:val="nil"/>
              <w:bottom w:val="single" w:sz="4" w:space="0" w:color="auto"/>
              <w:right w:val="nil"/>
            </w:tcBorders>
            <w:shd w:val="clear" w:color="000000" w:fill="FFFFFF"/>
            <w:noWrap/>
            <w:vAlign w:val="bottom"/>
            <w:hideMark/>
          </w:tcPr>
          <w:p w:rsidR="004B5099" w:rsidRPr="0007752D" w:rsidRDefault="004B5099" w:rsidP="005A04CB">
            <w:pPr>
              <w:spacing w:before="60" w:line="276" w:lineRule="auto"/>
              <w:jc w:val="right"/>
              <w:rPr>
                <w:rFonts w:ascii="Arial" w:hAnsi="Arial" w:cs="Arial"/>
                <w:b/>
                <w:bCs/>
                <w:color w:val="000000"/>
                <w:sz w:val="16"/>
                <w:szCs w:val="16"/>
                <w:lang w:eastAsia="en-AU"/>
              </w:rPr>
            </w:pPr>
            <w:r>
              <w:rPr>
                <w:rFonts w:ascii="Arial" w:hAnsi="Arial" w:cs="Arial"/>
                <w:b/>
                <w:bCs/>
                <w:color w:val="000000"/>
                <w:sz w:val="16"/>
                <w:szCs w:val="16"/>
                <w:lang w:eastAsia="en-AU"/>
              </w:rPr>
              <w:t>5%</w:t>
            </w:r>
          </w:p>
        </w:tc>
        <w:tc>
          <w:tcPr>
            <w:tcW w:w="642" w:type="dxa"/>
            <w:tcBorders>
              <w:top w:val="nil"/>
              <w:left w:val="single" w:sz="4" w:space="0" w:color="auto"/>
              <w:bottom w:val="single" w:sz="4" w:space="0" w:color="auto"/>
              <w:right w:val="nil"/>
            </w:tcBorders>
            <w:shd w:val="clear" w:color="000000" w:fill="FFFFFF"/>
            <w:noWrap/>
            <w:vAlign w:val="bottom"/>
            <w:hideMark/>
          </w:tcPr>
          <w:p w:rsidR="004B5099" w:rsidRPr="00354384" w:rsidRDefault="004B5099" w:rsidP="005A04CB">
            <w:pPr>
              <w:spacing w:before="60" w:line="276" w:lineRule="auto"/>
              <w:jc w:val="right"/>
              <w:rPr>
                <w:rFonts w:ascii="Arial" w:hAnsi="Arial" w:cs="Arial"/>
                <w:b/>
                <w:bCs/>
                <w:color w:val="000000"/>
                <w:sz w:val="16"/>
                <w:szCs w:val="16"/>
                <w:lang w:eastAsia="en-AU"/>
              </w:rPr>
            </w:pPr>
            <w:r>
              <w:rPr>
                <w:rFonts w:ascii="Arial" w:hAnsi="Arial" w:cs="Arial"/>
                <w:b/>
                <w:bCs/>
                <w:color w:val="000000"/>
                <w:sz w:val="16"/>
                <w:szCs w:val="16"/>
                <w:lang w:eastAsia="en-AU"/>
              </w:rPr>
              <w:t>10%</w:t>
            </w:r>
          </w:p>
        </w:tc>
      </w:tr>
    </w:tbl>
    <w:p w:rsidR="004B5099" w:rsidRPr="004644A5" w:rsidRDefault="004B5099" w:rsidP="004B5099">
      <w:pPr>
        <w:spacing w:before="0" w:line="240" w:lineRule="auto"/>
        <w:rPr>
          <w:sz w:val="16"/>
          <w:szCs w:val="16"/>
        </w:rPr>
      </w:pPr>
      <w:r>
        <w:rPr>
          <w:sz w:val="16"/>
          <w:szCs w:val="16"/>
        </w:rPr>
        <w:t xml:space="preserve">Notes: </w:t>
      </w:r>
      <w:r w:rsidRPr="00F9341E">
        <w:rPr>
          <w:sz w:val="16"/>
          <w:szCs w:val="16"/>
        </w:rPr>
        <w:t>Shaded areas denote instances where the percentage admission is above the sector average. Blank cells indicate the university offered no courses in this FOE</w:t>
      </w:r>
      <w:r>
        <w:rPr>
          <w:sz w:val="16"/>
          <w:szCs w:val="16"/>
        </w:rPr>
        <w:t xml:space="preserve">. A score of 0% may indicate that total enrolments are less than 10. Table excludes non-award and mixed field. </w:t>
      </w:r>
    </w:p>
    <w:p w:rsidR="004B5099" w:rsidRDefault="004B5099" w:rsidP="004B5099">
      <w:pPr>
        <w:spacing w:line="300" w:lineRule="exact"/>
        <w:rPr>
          <w:rFonts w:cstheme="minorHAnsi"/>
        </w:rPr>
      </w:pPr>
      <w:r>
        <w:rPr>
          <w:rFonts w:cstheme="minorHAnsi"/>
        </w:rPr>
        <w:t xml:space="preserve">When we compare the rates of admission of VET award-holders in Cluster 1 and Cluster 2 institutions by field of education through Table 5 and Table 6, it is clear that the provision of VET-HE pathways in Cluster 2 universities is more haphazard than in Cluster 1. Whereas Cluster 1 institutions have consistently high rates of admission of VET award-holders in most fields, Cluster 2 universities do not. In some instances, this is because Cluster 2 universities do not offer courses in those fields (which is indicated by a blank cell). It is also possible that the number of total commencements in some fields of education are quite small and therefore the data are less reliable. </w:t>
      </w:r>
    </w:p>
    <w:p w:rsidR="004B5099" w:rsidRDefault="004B5099" w:rsidP="004B5099">
      <w:pPr>
        <w:spacing w:line="300" w:lineRule="exact"/>
        <w:rPr>
          <w:rFonts w:cstheme="minorHAnsi"/>
        </w:rPr>
      </w:pPr>
      <w:r>
        <w:rPr>
          <w:rFonts w:cstheme="minorHAnsi"/>
        </w:rPr>
        <w:t xml:space="preserve">The patterns of admission on the basis of a VET award for the two dual-sector institutions in Cluster 2 – Charles Darwin University and the University of Ballarat – are similarly haphazard as other universities in the cluster. </w:t>
      </w:r>
    </w:p>
    <w:p w:rsidR="00F82B97" w:rsidRDefault="00F82B97">
      <w:pPr>
        <w:spacing w:before="0" w:line="240" w:lineRule="auto"/>
        <w:rPr>
          <w:rFonts w:ascii="Tahoma" w:hAnsi="Tahoma"/>
          <w:b/>
          <w:sz w:val="17"/>
        </w:rPr>
      </w:pPr>
      <w:bookmarkStart w:id="50" w:name="_Toc350434046"/>
      <w:bookmarkStart w:id="51" w:name="_Toc350786313"/>
      <w:r>
        <w:br w:type="page"/>
      </w:r>
    </w:p>
    <w:p w:rsidR="004B5099" w:rsidRDefault="004B5099" w:rsidP="004B5099">
      <w:pPr>
        <w:pStyle w:val="tabletitle"/>
      </w:pPr>
      <w:bookmarkStart w:id="52" w:name="_Toc370995916"/>
      <w:r>
        <w:lastRenderedPageBreak/>
        <w:t>Table 7</w:t>
      </w:r>
      <w:r>
        <w:tab/>
        <w:t>Cluster 3 universities rates of admission on the basis of a VET award by broad field of education (FOE), Australia 2010</w:t>
      </w:r>
      <w:bookmarkEnd w:id="50"/>
      <w:bookmarkEnd w:id="51"/>
      <w:bookmarkEnd w:id="52"/>
    </w:p>
    <w:tbl>
      <w:tblPr>
        <w:tblW w:w="9866" w:type="dxa"/>
        <w:tblCellMar>
          <w:left w:w="0" w:type="dxa"/>
          <w:right w:w="0" w:type="dxa"/>
        </w:tblCellMar>
        <w:tblLook w:val="04A0"/>
      </w:tblPr>
      <w:tblGrid>
        <w:gridCol w:w="3105"/>
        <w:gridCol w:w="616"/>
        <w:gridCol w:w="616"/>
        <w:gridCol w:w="616"/>
        <w:gridCol w:w="616"/>
        <w:gridCol w:w="616"/>
        <w:gridCol w:w="616"/>
        <w:gridCol w:w="616"/>
        <w:gridCol w:w="616"/>
        <w:gridCol w:w="616"/>
        <w:gridCol w:w="616"/>
        <w:gridCol w:w="601"/>
      </w:tblGrid>
      <w:tr w:rsidR="004B5099" w:rsidRPr="00354384" w:rsidTr="00F82B97">
        <w:trPr>
          <w:trHeight w:val="315"/>
        </w:trPr>
        <w:tc>
          <w:tcPr>
            <w:tcW w:w="3105"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p>
        </w:tc>
        <w:tc>
          <w:tcPr>
            <w:tcW w:w="6158" w:type="dxa"/>
            <w:gridSpan w:val="10"/>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Pr="00F62A62" w:rsidRDefault="004B5099" w:rsidP="005A04CB">
            <w:pPr>
              <w:spacing w:before="120" w:line="276" w:lineRule="auto"/>
              <w:jc w:val="center"/>
              <w:rPr>
                <w:rFonts w:ascii="Arial" w:hAnsi="Arial" w:cs="Arial"/>
                <w:b/>
                <w:color w:val="000000"/>
                <w:sz w:val="16"/>
                <w:szCs w:val="16"/>
              </w:rPr>
            </w:pPr>
            <w:r w:rsidRPr="00F62A62">
              <w:rPr>
                <w:rFonts w:ascii="Arial" w:hAnsi="Arial" w:cs="Arial"/>
                <w:b/>
                <w:color w:val="000000"/>
                <w:sz w:val="16"/>
                <w:szCs w:val="16"/>
              </w:rPr>
              <w:t>Field of Education Clusters</w:t>
            </w:r>
          </w:p>
        </w:tc>
        <w:tc>
          <w:tcPr>
            <w:tcW w:w="60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 </w:t>
            </w:r>
          </w:p>
        </w:tc>
      </w:tr>
      <w:tr w:rsidR="004B5099" w:rsidRPr="00354384" w:rsidTr="00F82B97">
        <w:trPr>
          <w:trHeight w:val="315"/>
        </w:trPr>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b/>
                <w:bCs/>
                <w:color w:val="000000"/>
                <w:sz w:val="16"/>
                <w:szCs w:val="16"/>
              </w:rPr>
            </w:pPr>
            <w:r w:rsidRPr="00354384">
              <w:rPr>
                <w:rFonts w:ascii="Arial" w:hAnsi="Arial" w:cs="Arial"/>
                <w:b/>
                <w:bCs/>
                <w:color w:val="000000"/>
                <w:sz w:val="16"/>
                <w:szCs w:val="16"/>
              </w:rPr>
              <w:t> </w:t>
            </w:r>
          </w:p>
        </w:tc>
        <w:tc>
          <w:tcPr>
            <w:tcW w:w="0" w:type="auto"/>
            <w:gridSpan w:val="3"/>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center"/>
              <w:rPr>
                <w:rFonts w:ascii="Arial" w:hAnsi="Arial" w:cs="Arial"/>
                <w:b/>
                <w:bCs/>
                <w:color w:val="000000"/>
                <w:sz w:val="16"/>
                <w:szCs w:val="16"/>
                <w:lang w:eastAsia="en-AU"/>
              </w:rPr>
            </w:pPr>
            <w:r w:rsidRPr="00354384">
              <w:rPr>
                <w:rFonts w:ascii="Arial" w:hAnsi="Arial" w:cs="Arial"/>
                <w:b/>
                <w:bCs/>
                <w:color w:val="000000"/>
                <w:sz w:val="16"/>
                <w:szCs w:val="16"/>
                <w:lang w:eastAsia="en-AU"/>
              </w:rPr>
              <w:t>Cluster A</w:t>
            </w:r>
          </w:p>
        </w:tc>
        <w:tc>
          <w:tcPr>
            <w:tcW w:w="0" w:type="auto"/>
            <w:gridSpan w:val="2"/>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center"/>
              <w:rPr>
                <w:rFonts w:ascii="Arial" w:hAnsi="Arial" w:cs="Arial"/>
                <w:b/>
                <w:bCs/>
                <w:color w:val="000000"/>
                <w:sz w:val="16"/>
                <w:szCs w:val="16"/>
                <w:lang w:eastAsia="en-AU"/>
              </w:rPr>
            </w:pPr>
            <w:r w:rsidRPr="00354384">
              <w:rPr>
                <w:rFonts w:ascii="Arial" w:hAnsi="Arial" w:cs="Arial"/>
                <w:b/>
                <w:bCs/>
                <w:color w:val="000000"/>
                <w:sz w:val="16"/>
                <w:szCs w:val="16"/>
                <w:lang w:eastAsia="en-AU"/>
              </w:rPr>
              <w:t>Outliers</w:t>
            </w:r>
          </w:p>
        </w:tc>
        <w:tc>
          <w:tcPr>
            <w:tcW w:w="0" w:type="auto"/>
            <w:gridSpan w:val="2"/>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center"/>
              <w:rPr>
                <w:rFonts w:ascii="Arial" w:hAnsi="Arial" w:cs="Arial"/>
                <w:b/>
                <w:bCs/>
                <w:color w:val="000000"/>
                <w:sz w:val="16"/>
                <w:szCs w:val="16"/>
                <w:lang w:eastAsia="en-AU"/>
              </w:rPr>
            </w:pPr>
            <w:r w:rsidRPr="00354384">
              <w:rPr>
                <w:rFonts w:ascii="Arial" w:hAnsi="Arial" w:cs="Arial"/>
                <w:b/>
                <w:bCs/>
                <w:color w:val="000000"/>
                <w:sz w:val="16"/>
                <w:szCs w:val="16"/>
                <w:lang w:eastAsia="en-AU"/>
              </w:rPr>
              <w:t>Cluster B</w:t>
            </w:r>
          </w:p>
        </w:tc>
        <w:tc>
          <w:tcPr>
            <w:tcW w:w="0" w:type="auto"/>
            <w:gridSpan w:val="3"/>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center"/>
              <w:rPr>
                <w:rFonts w:ascii="Arial" w:hAnsi="Arial" w:cs="Arial"/>
                <w:b/>
                <w:bCs/>
                <w:color w:val="000000"/>
                <w:sz w:val="16"/>
                <w:szCs w:val="16"/>
                <w:lang w:eastAsia="en-AU"/>
              </w:rPr>
            </w:pPr>
            <w:r w:rsidRPr="00354384">
              <w:rPr>
                <w:rFonts w:ascii="Arial" w:hAnsi="Arial" w:cs="Arial"/>
                <w:b/>
                <w:bCs/>
                <w:color w:val="000000"/>
                <w:sz w:val="16"/>
                <w:szCs w:val="16"/>
                <w:lang w:eastAsia="en-AU"/>
              </w:rPr>
              <w:t>Cluster C</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b/>
                <w:bCs/>
                <w:color w:val="000000"/>
                <w:sz w:val="16"/>
                <w:szCs w:val="16"/>
              </w:rPr>
            </w:pPr>
            <w:r>
              <w:rPr>
                <w:rFonts w:ascii="Arial" w:hAnsi="Arial" w:cs="Arial"/>
                <w:b/>
                <w:bCs/>
                <w:color w:val="000000"/>
                <w:sz w:val="16"/>
                <w:szCs w:val="16"/>
              </w:rPr>
              <w:t>All</w:t>
            </w:r>
          </w:p>
        </w:tc>
      </w:tr>
      <w:tr w:rsidR="00F82B97" w:rsidRPr="00354384" w:rsidTr="00F82B97">
        <w:trPr>
          <w:trHeight w:val="315"/>
        </w:trPr>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Default="004B5099" w:rsidP="005A04CB">
            <w:pPr>
              <w:spacing w:before="120" w:line="276" w:lineRule="auto"/>
              <w:rPr>
                <w:rFonts w:ascii="Arial" w:hAnsi="Arial" w:cs="Arial"/>
                <w:b/>
                <w:bCs/>
                <w:color w:val="000000"/>
                <w:sz w:val="16"/>
                <w:szCs w:val="16"/>
              </w:rPr>
            </w:pPr>
            <w:r>
              <w:rPr>
                <w:rFonts w:ascii="Arial" w:hAnsi="Arial" w:cs="Arial"/>
                <w:b/>
                <w:bCs/>
                <w:color w:val="000000"/>
                <w:sz w:val="16"/>
                <w:szCs w:val="16"/>
              </w:rPr>
              <w:t>Broad Field of Education (FOE)</w:t>
            </w:r>
          </w:p>
          <w:p w:rsidR="004B5099" w:rsidRPr="00354384" w:rsidRDefault="004B5099" w:rsidP="005A04CB">
            <w:pPr>
              <w:spacing w:before="120" w:line="276" w:lineRule="auto"/>
              <w:rPr>
                <w:rFonts w:ascii="Arial" w:hAnsi="Arial" w:cs="Arial"/>
                <w:b/>
                <w:bCs/>
                <w:color w:val="000000"/>
                <w:sz w:val="16"/>
                <w:szCs w:val="16"/>
              </w:rPr>
            </w:pPr>
            <w:r>
              <w:rPr>
                <w:rFonts w:ascii="Arial" w:hAnsi="Arial" w:cs="Arial"/>
                <w:b/>
                <w:bCs/>
                <w:color w:val="000000"/>
                <w:sz w:val="16"/>
                <w:szCs w:val="16"/>
              </w:rPr>
              <w:t>(VET award-holders admission rate)</w:t>
            </w:r>
            <w:r w:rsidRPr="00354384">
              <w:rPr>
                <w:rFonts w:ascii="Arial" w:hAnsi="Arial" w:cs="Arial"/>
                <w:b/>
                <w:bCs/>
                <w:color w:val="000000"/>
                <w:sz w:val="16"/>
                <w:szCs w:val="16"/>
              </w:rPr>
              <w:t> </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FOE08</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(13%)</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FOE10</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(8%)</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FOE06</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(12%)</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FOE07</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(15%)</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FOE02</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(14%)</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FOE03</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(7%)</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FOE04</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(10%)</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FOE05</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(6%)</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FOE09</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(8%)</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r w:rsidRPr="00052974">
              <w:rPr>
                <w:rFonts w:asciiTheme="majorHAnsi" w:hAnsiTheme="majorHAnsi" w:cs="Arial"/>
                <w:b/>
                <w:bCs/>
                <w:color w:val="000000"/>
                <w:sz w:val="18"/>
                <w:szCs w:val="18"/>
                <w:lang w:eastAsia="en-AU"/>
              </w:rPr>
              <w:t>FOE01</w:t>
            </w: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(4%)</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Default="004B5099" w:rsidP="005A04CB">
            <w:pPr>
              <w:spacing w:before="60" w:line="276" w:lineRule="auto"/>
              <w:jc w:val="right"/>
              <w:rPr>
                <w:rFonts w:asciiTheme="majorHAnsi" w:hAnsiTheme="majorHAnsi" w:cs="Arial"/>
                <w:b/>
                <w:bCs/>
                <w:color w:val="000000"/>
                <w:sz w:val="18"/>
                <w:szCs w:val="18"/>
                <w:lang w:eastAsia="en-AU"/>
              </w:rPr>
            </w:pPr>
          </w:p>
          <w:p w:rsidR="004B5099" w:rsidRPr="00052974" w:rsidRDefault="004B5099" w:rsidP="005A04CB">
            <w:pPr>
              <w:spacing w:before="60" w:line="276" w:lineRule="auto"/>
              <w:jc w:val="right"/>
              <w:rPr>
                <w:rFonts w:asciiTheme="majorHAnsi" w:hAnsiTheme="majorHAnsi" w:cs="Arial"/>
                <w:b/>
                <w:bCs/>
                <w:color w:val="000000"/>
                <w:sz w:val="18"/>
                <w:szCs w:val="18"/>
                <w:lang w:eastAsia="en-AU"/>
              </w:rPr>
            </w:pPr>
            <w:r>
              <w:rPr>
                <w:rFonts w:asciiTheme="majorHAnsi" w:hAnsiTheme="majorHAnsi" w:cs="Arial"/>
                <w:b/>
                <w:bCs/>
                <w:color w:val="000000"/>
                <w:sz w:val="18"/>
                <w:szCs w:val="18"/>
                <w:lang w:eastAsia="en-AU"/>
              </w:rPr>
              <w:t>(10%)</w:t>
            </w:r>
            <w:r>
              <w:rPr>
                <w:rFonts w:asciiTheme="majorHAnsi" w:hAnsiTheme="majorHAnsi" w:cs="Arial"/>
                <w:b/>
                <w:bCs/>
                <w:vanish/>
                <w:color w:val="000000"/>
                <w:sz w:val="18"/>
                <w:szCs w:val="18"/>
                <w:lang w:eastAsia="en-AU"/>
              </w:rPr>
              <w:cr/>
              <w:t>4%))re of 0% could indicate that total enrolments are less than 10. ld of educationnsistently high are not consistently high ac</w:t>
            </w:r>
          </w:p>
        </w:tc>
      </w:tr>
      <w:tr w:rsidR="00F82B97" w:rsidRPr="00354384" w:rsidTr="00F82B97">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Flinders University of South Australia</w:t>
            </w:r>
          </w:p>
        </w:tc>
        <w:tc>
          <w:tcPr>
            <w:tcW w:w="0" w:type="auto"/>
            <w:tcBorders>
              <w:top w:val="nil"/>
              <w:left w:val="single" w:sz="4" w:space="0" w:color="auto"/>
              <w:bottom w:val="nil"/>
              <w:right w:val="nil"/>
            </w:tcBorders>
            <w:shd w:val="clear" w:color="auto" w:fill="BFBFBF" w:themeFill="background1" w:themeFillShade="B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15%</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7%</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5%</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 </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9%</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5%</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7%</w:t>
            </w:r>
          </w:p>
        </w:tc>
      </w:tr>
      <w:tr w:rsidR="00F82B97" w:rsidRPr="00354384" w:rsidTr="00F82B97">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University of Southern Queensland</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13%</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auto" w:fill="BFBFBF" w:themeFill="background1" w:themeFillShade="B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 </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4%</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6%</w:t>
            </w:r>
          </w:p>
        </w:tc>
      </w:tr>
      <w:tr w:rsidR="00F82B97" w:rsidRPr="00354384" w:rsidTr="00F82B97">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The Australian National University</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11%</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5%</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 </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5%</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5%</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5%</w:t>
            </w:r>
          </w:p>
        </w:tc>
      </w:tr>
      <w:tr w:rsidR="00F82B97" w:rsidRPr="00354384" w:rsidTr="00F82B97">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James Cook University</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5%</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15%</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7%</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4%</w:t>
            </w:r>
          </w:p>
        </w:tc>
      </w:tr>
      <w:tr w:rsidR="00F82B97" w:rsidRPr="00354384" w:rsidTr="00F82B97">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University of the Sunshine Coast</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7%</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8%</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9%</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4%</w:t>
            </w:r>
          </w:p>
        </w:tc>
      </w:tr>
      <w:tr w:rsidR="00F82B97" w:rsidRPr="00354384" w:rsidTr="00F82B97">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Monash University</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7%</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10%</w:t>
            </w:r>
          </w:p>
        </w:tc>
        <w:tc>
          <w:tcPr>
            <w:tcW w:w="0" w:type="auto"/>
            <w:tcBorders>
              <w:top w:val="nil"/>
              <w:left w:val="single" w:sz="4" w:space="0" w:color="auto"/>
              <w:bottom w:val="nil"/>
              <w:right w:val="nil"/>
            </w:tcBorders>
            <w:shd w:val="clear" w:color="auto" w:fill="BFBFBF" w:themeFill="background1" w:themeFillShade="B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24%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8%</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4%</w:t>
            </w:r>
          </w:p>
        </w:tc>
      </w:tr>
      <w:tr w:rsidR="00F82B97" w:rsidRPr="00354384" w:rsidTr="00F82B97">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Macquarie University</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5%</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3%</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4%</w:t>
            </w:r>
          </w:p>
        </w:tc>
      </w:tr>
      <w:tr w:rsidR="00F82B97" w:rsidRPr="00354384" w:rsidTr="00F82B97">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Curtin University of Technology</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6%</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5%</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4%</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3%</w:t>
            </w:r>
          </w:p>
        </w:tc>
      </w:tr>
      <w:tr w:rsidR="00F82B97" w:rsidRPr="00354384" w:rsidTr="00F82B97">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The University of New South Wales</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3%</w:t>
            </w:r>
          </w:p>
        </w:tc>
      </w:tr>
      <w:tr w:rsidR="00F82B97" w:rsidRPr="00354384" w:rsidTr="00F82B97">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The University of Sydney</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9%</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7%</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2%</w:t>
            </w:r>
          </w:p>
        </w:tc>
      </w:tr>
      <w:tr w:rsidR="00F82B97" w:rsidRPr="00354384" w:rsidTr="00F82B97">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The University of Adelaide</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auto" w:fill="BFBFBF" w:themeFill="background1" w:themeFillShade="B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7%</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r>
      <w:tr w:rsidR="00F82B97" w:rsidRPr="00354384" w:rsidTr="00F82B97">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The University of Melbourne</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9%</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 </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r>
      <w:tr w:rsidR="00F82B97" w:rsidRPr="00354384" w:rsidTr="00F82B97">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The University of Queensland</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1%</w:t>
            </w:r>
          </w:p>
        </w:tc>
      </w:tr>
      <w:tr w:rsidR="00F82B97" w:rsidRPr="00354384" w:rsidTr="00F82B97">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rPr>
                <w:rFonts w:ascii="Arial" w:hAnsi="Arial" w:cs="Arial"/>
                <w:color w:val="000000"/>
                <w:sz w:val="16"/>
                <w:szCs w:val="16"/>
              </w:rPr>
            </w:pPr>
            <w:r w:rsidRPr="00354384">
              <w:rPr>
                <w:rFonts w:ascii="Arial" w:hAnsi="Arial" w:cs="Arial"/>
                <w:color w:val="000000"/>
                <w:sz w:val="16"/>
                <w:szCs w:val="16"/>
              </w:rPr>
              <w:t>The University of Western Australia</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5%</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color w:val="000000"/>
                <w:sz w:val="16"/>
                <w:szCs w:val="16"/>
              </w:rPr>
            </w:pPr>
            <w:r w:rsidRPr="00354384">
              <w:rPr>
                <w:rFonts w:ascii="Arial" w:hAnsi="Arial" w:cs="Arial"/>
                <w:color w:val="000000"/>
                <w:sz w:val="16"/>
                <w:szCs w:val="16"/>
              </w:rPr>
              <w:t>0%</w:t>
            </w:r>
          </w:p>
        </w:tc>
      </w:tr>
      <w:tr w:rsidR="00F82B97" w:rsidRPr="00354384" w:rsidTr="00F82B97">
        <w:trPr>
          <w:trHeight w:val="315"/>
        </w:trPr>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Pr="00A10F77" w:rsidRDefault="004B5099" w:rsidP="005A04CB">
            <w:pPr>
              <w:spacing w:before="120" w:line="276" w:lineRule="auto"/>
              <w:rPr>
                <w:rFonts w:ascii="Arial" w:hAnsi="Arial" w:cs="Arial"/>
                <w:b/>
                <w:bCs/>
                <w:color w:val="000000"/>
                <w:sz w:val="16"/>
                <w:szCs w:val="16"/>
              </w:rPr>
            </w:pPr>
            <w:r w:rsidRPr="00A10F77">
              <w:rPr>
                <w:rFonts w:ascii="Arial" w:hAnsi="Arial" w:cs="Arial"/>
                <w:b/>
                <w:bCs/>
                <w:color w:val="000000"/>
                <w:sz w:val="16"/>
                <w:szCs w:val="16"/>
              </w:rPr>
              <w:t>Total Cluster 3</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Pr="00A10F77" w:rsidRDefault="004B5099" w:rsidP="005A04CB">
            <w:pPr>
              <w:spacing w:before="120" w:line="276" w:lineRule="auto"/>
              <w:jc w:val="right"/>
              <w:rPr>
                <w:rFonts w:ascii="Arial" w:hAnsi="Arial" w:cs="Arial"/>
                <w:b/>
                <w:bCs/>
                <w:color w:val="000000"/>
                <w:sz w:val="16"/>
                <w:szCs w:val="16"/>
              </w:rPr>
            </w:pPr>
            <w:r>
              <w:rPr>
                <w:rFonts w:ascii="Arial" w:hAnsi="Arial" w:cs="Arial"/>
                <w:b/>
                <w:bCs/>
                <w:color w:val="000000"/>
                <w:sz w:val="16"/>
                <w:szCs w:val="16"/>
              </w:rPr>
              <w:t>3%</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Pr="00A10F77" w:rsidRDefault="004B5099" w:rsidP="005A04CB">
            <w:pPr>
              <w:spacing w:before="120" w:line="276" w:lineRule="auto"/>
              <w:jc w:val="right"/>
              <w:rPr>
                <w:rFonts w:ascii="Arial" w:hAnsi="Arial" w:cs="Arial"/>
                <w:b/>
                <w:bCs/>
                <w:color w:val="000000"/>
                <w:sz w:val="16"/>
                <w:szCs w:val="16"/>
              </w:rPr>
            </w:pPr>
            <w:r>
              <w:rPr>
                <w:rFonts w:ascii="Arial" w:hAnsi="Arial" w:cs="Arial"/>
                <w:b/>
                <w:bCs/>
                <w:color w:val="000000"/>
                <w:sz w:val="16"/>
                <w:szCs w:val="16"/>
              </w:rPr>
              <w:t>4%</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Pr="00A10F77" w:rsidRDefault="004B5099" w:rsidP="005A04CB">
            <w:pPr>
              <w:spacing w:before="120" w:line="276" w:lineRule="auto"/>
              <w:jc w:val="right"/>
              <w:rPr>
                <w:rFonts w:ascii="Arial" w:hAnsi="Arial" w:cs="Arial"/>
                <w:b/>
                <w:bCs/>
                <w:color w:val="000000"/>
                <w:sz w:val="16"/>
                <w:szCs w:val="16"/>
              </w:rPr>
            </w:pPr>
            <w:r>
              <w:rPr>
                <w:rFonts w:ascii="Arial" w:hAnsi="Arial" w:cs="Arial"/>
                <w:b/>
                <w:bCs/>
                <w:color w:val="000000"/>
                <w:sz w:val="16"/>
                <w:szCs w:val="16"/>
              </w:rPr>
              <w:t>4%</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Pr="00A10F77" w:rsidRDefault="004B5099" w:rsidP="005A04CB">
            <w:pPr>
              <w:spacing w:before="120" w:line="276" w:lineRule="auto"/>
              <w:jc w:val="right"/>
              <w:rPr>
                <w:rFonts w:ascii="Arial" w:hAnsi="Arial" w:cs="Arial"/>
                <w:b/>
                <w:bCs/>
                <w:color w:val="000000"/>
                <w:sz w:val="16"/>
                <w:szCs w:val="16"/>
              </w:rPr>
            </w:pPr>
            <w:r>
              <w:rPr>
                <w:rFonts w:ascii="Arial" w:hAnsi="Arial" w:cs="Arial"/>
                <w:b/>
                <w:bCs/>
                <w:color w:val="000000"/>
                <w:sz w:val="16"/>
                <w:szCs w:val="16"/>
              </w:rPr>
              <w:t>9%</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Pr="00A10F77" w:rsidRDefault="004B5099" w:rsidP="005A04CB">
            <w:pPr>
              <w:spacing w:before="120" w:line="276" w:lineRule="auto"/>
              <w:jc w:val="right"/>
              <w:rPr>
                <w:rFonts w:ascii="Arial" w:hAnsi="Arial" w:cs="Arial"/>
                <w:b/>
                <w:bCs/>
                <w:color w:val="000000"/>
                <w:sz w:val="16"/>
                <w:szCs w:val="16"/>
              </w:rPr>
            </w:pPr>
            <w:r>
              <w:rPr>
                <w:rFonts w:ascii="Arial" w:hAnsi="Arial" w:cs="Arial"/>
                <w:b/>
                <w:bCs/>
                <w:color w:val="000000"/>
                <w:sz w:val="16"/>
                <w:szCs w:val="16"/>
              </w:rPr>
              <w:t>3%</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Pr="00A10F77" w:rsidRDefault="004B5099" w:rsidP="005A04CB">
            <w:pPr>
              <w:spacing w:before="120" w:line="276" w:lineRule="auto"/>
              <w:jc w:val="right"/>
              <w:rPr>
                <w:rFonts w:ascii="Arial" w:hAnsi="Arial" w:cs="Arial"/>
                <w:b/>
                <w:bCs/>
                <w:color w:val="000000"/>
                <w:sz w:val="16"/>
                <w:szCs w:val="16"/>
              </w:rPr>
            </w:pPr>
            <w:r>
              <w:rPr>
                <w:rFonts w:ascii="Arial" w:hAnsi="Arial" w:cs="Arial"/>
                <w:b/>
                <w:bCs/>
                <w:color w:val="000000"/>
                <w:sz w:val="16"/>
                <w:szCs w:val="16"/>
              </w:rPr>
              <w:t>2%</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Pr="00A10F77" w:rsidRDefault="004B5099" w:rsidP="005A04CB">
            <w:pPr>
              <w:spacing w:before="120" w:line="276" w:lineRule="auto"/>
              <w:jc w:val="right"/>
              <w:rPr>
                <w:rFonts w:ascii="Arial" w:hAnsi="Arial" w:cs="Arial"/>
                <w:b/>
                <w:bCs/>
                <w:color w:val="000000"/>
                <w:sz w:val="16"/>
                <w:szCs w:val="16"/>
              </w:rPr>
            </w:pPr>
            <w:r>
              <w:rPr>
                <w:rFonts w:ascii="Arial" w:hAnsi="Arial" w:cs="Arial"/>
                <w:b/>
                <w:bCs/>
                <w:color w:val="000000"/>
                <w:sz w:val="16"/>
                <w:szCs w:val="16"/>
              </w:rPr>
              <w:t>5%</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Pr="00A10F77" w:rsidRDefault="004B5099" w:rsidP="005A04CB">
            <w:pPr>
              <w:spacing w:before="120" w:line="276" w:lineRule="auto"/>
              <w:jc w:val="right"/>
              <w:rPr>
                <w:rFonts w:ascii="Arial" w:hAnsi="Arial" w:cs="Arial"/>
                <w:b/>
                <w:bCs/>
                <w:color w:val="000000"/>
                <w:sz w:val="16"/>
                <w:szCs w:val="16"/>
              </w:rPr>
            </w:pPr>
            <w:r>
              <w:rPr>
                <w:rFonts w:ascii="Arial" w:hAnsi="Arial" w:cs="Arial"/>
                <w:b/>
                <w:bCs/>
                <w:color w:val="000000"/>
                <w:sz w:val="16"/>
                <w:szCs w:val="16"/>
              </w:rPr>
              <w:t>3%</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Pr="00A10F77" w:rsidRDefault="004B5099" w:rsidP="005A04CB">
            <w:pPr>
              <w:spacing w:before="120" w:line="276" w:lineRule="auto"/>
              <w:jc w:val="right"/>
              <w:rPr>
                <w:rFonts w:ascii="Arial" w:hAnsi="Arial" w:cs="Arial"/>
                <w:b/>
                <w:bCs/>
                <w:color w:val="000000"/>
                <w:sz w:val="16"/>
                <w:szCs w:val="16"/>
              </w:rPr>
            </w:pPr>
            <w:r>
              <w:rPr>
                <w:rFonts w:ascii="Arial" w:hAnsi="Arial" w:cs="Arial"/>
                <w:b/>
                <w:bCs/>
                <w:color w:val="000000"/>
                <w:sz w:val="16"/>
                <w:szCs w:val="16"/>
              </w:rPr>
              <w:t>3%</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rsidR="004B5099" w:rsidRPr="00A10F77" w:rsidRDefault="004B5099" w:rsidP="005A04CB">
            <w:pPr>
              <w:spacing w:before="120" w:line="276" w:lineRule="auto"/>
              <w:jc w:val="right"/>
              <w:rPr>
                <w:rFonts w:ascii="Arial" w:hAnsi="Arial" w:cs="Arial"/>
                <w:b/>
                <w:bCs/>
                <w:color w:val="000000"/>
                <w:sz w:val="16"/>
                <w:szCs w:val="16"/>
              </w:rPr>
            </w:pPr>
            <w:r>
              <w:rPr>
                <w:rFonts w:ascii="Arial" w:hAnsi="Arial" w:cs="Arial"/>
                <w:b/>
                <w:bCs/>
                <w:color w:val="000000"/>
                <w:sz w:val="16"/>
                <w:szCs w:val="16"/>
              </w:rPr>
              <w:t>1%</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rsidR="004B5099" w:rsidRPr="00354384" w:rsidRDefault="004B5099" w:rsidP="005A04CB">
            <w:pPr>
              <w:spacing w:before="120" w:line="276" w:lineRule="auto"/>
              <w:jc w:val="right"/>
              <w:rPr>
                <w:rFonts w:ascii="Arial" w:hAnsi="Arial" w:cs="Arial"/>
                <w:b/>
                <w:bCs/>
                <w:color w:val="000000"/>
                <w:sz w:val="16"/>
                <w:szCs w:val="16"/>
              </w:rPr>
            </w:pPr>
            <w:r>
              <w:rPr>
                <w:rFonts w:ascii="Arial" w:hAnsi="Arial" w:cs="Arial"/>
                <w:b/>
                <w:bCs/>
                <w:color w:val="000000"/>
                <w:sz w:val="16"/>
                <w:szCs w:val="16"/>
              </w:rPr>
              <w:t>3%</w:t>
            </w:r>
          </w:p>
        </w:tc>
      </w:tr>
    </w:tbl>
    <w:p w:rsidR="004B5099" w:rsidRPr="004644A5" w:rsidRDefault="004B5099" w:rsidP="004B5099">
      <w:pPr>
        <w:spacing w:before="0" w:line="240" w:lineRule="auto"/>
        <w:rPr>
          <w:sz w:val="16"/>
          <w:szCs w:val="16"/>
        </w:rPr>
      </w:pPr>
      <w:r>
        <w:rPr>
          <w:sz w:val="16"/>
          <w:szCs w:val="16"/>
        </w:rPr>
        <w:t xml:space="preserve">Notes: </w:t>
      </w:r>
      <w:r w:rsidRPr="00F9341E">
        <w:rPr>
          <w:sz w:val="16"/>
          <w:szCs w:val="16"/>
        </w:rPr>
        <w:t>Shaded areas denote instances where the percentage admission is above the sector average. Blank cells indicate the university offered no courses in this FOE</w:t>
      </w:r>
      <w:r>
        <w:rPr>
          <w:sz w:val="16"/>
          <w:szCs w:val="16"/>
        </w:rPr>
        <w:t xml:space="preserve">. A score of 0% may indicate that total enrolments are less than 10. Table excludes non-award and mixed field. </w:t>
      </w:r>
    </w:p>
    <w:p w:rsidR="004B5099" w:rsidRDefault="004B5099" w:rsidP="004B5099">
      <w:pPr>
        <w:spacing w:line="300" w:lineRule="atLeast"/>
        <w:rPr>
          <w:rFonts w:cstheme="minorHAnsi"/>
        </w:rPr>
      </w:pPr>
      <w:r w:rsidRPr="00591139">
        <w:rPr>
          <w:rFonts w:cstheme="minorHAnsi"/>
        </w:rPr>
        <w:t>Universities in Cluster 3 report consistently low rates of admissi</w:t>
      </w:r>
      <w:r>
        <w:rPr>
          <w:rFonts w:cstheme="minorHAnsi"/>
        </w:rPr>
        <w:t>on on the basis of a VET award i</w:t>
      </w:r>
      <w:r w:rsidRPr="00591139">
        <w:rPr>
          <w:rFonts w:cstheme="minorHAnsi"/>
        </w:rPr>
        <w:t>n over half of all the FOEs in which they offer undergradua</w:t>
      </w:r>
      <w:r>
        <w:rPr>
          <w:rFonts w:cstheme="minorHAnsi"/>
        </w:rPr>
        <w:t>te programs (see Table 7)</w:t>
      </w:r>
      <w:r w:rsidRPr="00591139">
        <w:rPr>
          <w:rFonts w:cstheme="minorHAnsi"/>
        </w:rPr>
        <w:t xml:space="preserve">.  </w:t>
      </w:r>
      <w:r>
        <w:rPr>
          <w:rFonts w:cstheme="minorHAnsi"/>
        </w:rPr>
        <w:t>As</w:t>
      </w:r>
      <w:r w:rsidRPr="00591139">
        <w:rPr>
          <w:rFonts w:cstheme="minorHAnsi"/>
        </w:rPr>
        <w:t xml:space="preserve"> indicated </w:t>
      </w:r>
      <w:r>
        <w:rPr>
          <w:rFonts w:cstheme="minorHAnsi"/>
        </w:rPr>
        <w:t xml:space="preserve">by the shaded cells, </w:t>
      </w:r>
      <w:r w:rsidRPr="00591139">
        <w:rPr>
          <w:rFonts w:cstheme="minorHAnsi"/>
        </w:rPr>
        <w:t>seven universities in Cluster 3 outperform the sector average in one or more broad fields of education</w:t>
      </w:r>
      <w:r>
        <w:rPr>
          <w:rFonts w:cstheme="minorHAnsi"/>
        </w:rPr>
        <w:t>, however the other seven universities admit VET award-holders at rates below the sector average in all fields of education</w:t>
      </w:r>
      <w:r w:rsidRPr="00591139">
        <w:rPr>
          <w:rFonts w:cstheme="minorHAnsi"/>
        </w:rPr>
        <w:t>.</w:t>
      </w:r>
      <w:r>
        <w:rPr>
          <w:rFonts w:cstheme="minorHAnsi"/>
        </w:rPr>
        <w:t xml:space="preserve"> </w:t>
      </w:r>
    </w:p>
    <w:p w:rsidR="004B5099" w:rsidRDefault="004B5099" w:rsidP="004B5099">
      <w:pPr>
        <w:pStyle w:val="Heading2"/>
      </w:pPr>
      <w:bookmarkStart w:id="53" w:name="_Toc358384118"/>
      <w:bookmarkStart w:id="54" w:name="_Toc370995881"/>
      <w:r>
        <w:t>Secondary school admissions</w:t>
      </w:r>
      <w:bookmarkEnd w:id="53"/>
      <w:bookmarkEnd w:id="54"/>
    </w:p>
    <w:p w:rsidR="00AB58E5" w:rsidRDefault="004B5099" w:rsidP="000C297F">
      <w:pPr>
        <w:pStyle w:val="Text"/>
      </w:pPr>
      <w:r>
        <w:t>In response to a</w:t>
      </w:r>
      <w:r w:rsidR="000C297F">
        <w:t xml:space="preserve"> suggest</w:t>
      </w:r>
      <w:r>
        <w:t xml:space="preserve">ion </w:t>
      </w:r>
      <w:r w:rsidR="000C297F">
        <w:t xml:space="preserve">by an anonymous reviewer that the differences between universities in admitting students on the basis of a VET award could be due to considerations of a university’s ‘competitive position’ in terms of being able to attract </w:t>
      </w:r>
      <w:r w:rsidR="00477DF9">
        <w:t xml:space="preserve">first preferences from secondary school </w:t>
      </w:r>
      <w:r w:rsidR="00812014">
        <w:t>completers</w:t>
      </w:r>
      <w:r>
        <w:t>, we compiled data on universities’ admission rates on the basis of secondary school completion, provided in Appendix A.6</w:t>
      </w:r>
      <w:r w:rsidR="00812014">
        <w:t xml:space="preserve">. </w:t>
      </w:r>
    </w:p>
    <w:p w:rsidR="000C297F" w:rsidRDefault="004B5099" w:rsidP="000C297F">
      <w:pPr>
        <w:pStyle w:val="Text"/>
      </w:pPr>
      <w:r>
        <w:t>A</w:t>
      </w:r>
      <w:r w:rsidR="000C297F">
        <w:t xml:space="preserve">n inverse relationship between a university’s rate of admission on the basis of a VET award and its rate of admission on the basis of secondary school completion is not apparent in all universities. One third of Australian universities admit both VET award-holders and secondary school completers at similar rates – either above or below the national average for each group. </w:t>
      </w:r>
    </w:p>
    <w:p w:rsidR="000C297F" w:rsidRDefault="004B5099" w:rsidP="000C297F">
      <w:pPr>
        <w:pStyle w:val="Text"/>
      </w:pPr>
      <w:r>
        <w:t>In Australia,</w:t>
      </w:r>
      <w:r w:rsidR="000C297F">
        <w:t xml:space="preserve"> school leavers now comprise less than one half (45</w:t>
      </w:r>
      <w:r w:rsidR="00CA146B">
        <w:t>%</w:t>
      </w:r>
      <w:r w:rsidR="000C297F">
        <w:t xml:space="preserve">) of all students commencing undergraduate programs in publicly funded universities. The proportion of students admitted on the basis of secondary education differs between universities, as does the proportion of students admitted </w:t>
      </w:r>
      <w:r w:rsidR="000C297F">
        <w:lastRenderedPageBreak/>
        <w:t xml:space="preserve">on the basis of a VET award. Among the 13 universities which admit a higher proportion of secondary students than the national average (45 per cent or above), three universities (Australian Catholic University, University of South Australia and La Trobe University) also admit VET award holders in proportions above the national rate. </w:t>
      </w:r>
    </w:p>
    <w:p w:rsidR="00477DF9" w:rsidRDefault="000C297F" w:rsidP="000C297F">
      <w:pPr>
        <w:pStyle w:val="Text"/>
      </w:pPr>
      <w:r>
        <w:t>Among the 24 universities that admit relatively low proportions of school leavers (below 45</w:t>
      </w:r>
      <w:r w:rsidR="00CA146B">
        <w:t>%</w:t>
      </w:r>
      <w:r>
        <w:t xml:space="preserve">), seven of these institutions also admit relatively low proportions of VET award-holders to their undergraduate programs. James Cook University, the University of the Sunshine Coast, Macquarie University, Curtin University, University of Southern Queensland, Southern Cross University and the University of New England all admit both school leavers and VET award holders at rates below the national rate for each group. </w:t>
      </w:r>
    </w:p>
    <w:p w:rsidR="000C297F" w:rsidRDefault="000C297F" w:rsidP="000C297F">
      <w:pPr>
        <w:pStyle w:val="Text"/>
      </w:pPr>
      <w:r>
        <w:t xml:space="preserve">The data indicate that while there is some evidence of an inverse relationship between universities’ admission rates of school leavers and VET award-holders in two-thirds of Australian universities, it is not the case for all institutions. Ten universities defy this trend by having either below-average or above-average admission rates of both groups. </w:t>
      </w:r>
      <w:r w:rsidRPr="006948BC">
        <w:t xml:space="preserve">These </w:t>
      </w:r>
      <w:r>
        <w:t>data</w:t>
      </w:r>
      <w:r w:rsidRPr="006948BC">
        <w:t xml:space="preserve"> are illustrated in</w:t>
      </w:r>
      <w:r>
        <w:t xml:space="preserve"> the chart provided in</w:t>
      </w:r>
      <w:r w:rsidRPr="006948BC">
        <w:t xml:space="preserve"> Appendix A.</w:t>
      </w:r>
      <w:r>
        <w:t>6</w:t>
      </w:r>
      <w:r w:rsidRPr="006948BC">
        <w:t>.</w:t>
      </w:r>
    </w:p>
    <w:p w:rsidR="00E40147" w:rsidRDefault="00E40147" w:rsidP="00B844B3">
      <w:pPr>
        <w:pStyle w:val="Heading2"/>
      </w:pPr>
    </w:p>
    <w:bookmarkEnd w:id="28"/>
    <w:p w:rsidR="00D5000E" w:rsidRDefault="00D5000E">
      <w:pPr>
        <w:spacing w:before="0" w:line="240" w:lineRule="auto"/>
      </w:pPr>
      <w:r>
        <w:br w:type="page"/>
      </w:r>
    </w:p>
    <w:p w:rsidR="003F52DC" w:rsidRDefault="003F52DC" w:rsidP="003F52DC">
      <w:pPr>
        <w:pStyle w:val="Heading1"/>
      </w:pPr>
      <w:bookmarkStart w:id="55" w:name="_Toc350434031"/>
      <w:bookmarkStart w:id="56" w:name="_Toc358384119"/>
      <w:bookmarkStart w:id="57" w:name="_Toc370995882"/>
      <w:r>
        <w:lastRenderedPageBreak/>
        <w:t>VET-HE pathways by field of education</w:t>
      </w:r>
      <w:bookmarkEnd w:id="55"/>
      <w:bookmarkEnd w:id="56"/>
      <w:bookmarkEnd w:id="57"/>
    </w:p>
    <w:p w:rsidR="00287B0C" w:rsidRDefault="006E233E" w:rsidP="0072251E">
      <w:pPr>
        <w:pStyle w:val="Text"/>
      </w:pPr>
      <w:r>
        <w:t>There is considerable variation in rates of admission of VET award-holders by field of education.</w:t>
      </w:r>
      <w:r w:rsidR="001D7FF4">
        <w:t xml:space="preserve"> The following four sections provide an analysis of admission rates in four selected fields:</w:t>
      </w:r>
    </w:p>
    <w:p w:rsidR="001D7FF4" w:rsidRDefault="00FF7364" w:rsidP="00FF7364">
      <w:pPr>
        <w:pStyle w:val="Text"/>
        <w:numPr>
          <w:ilvl w:val="0"/>
          <w:numId w:val="47"/>
        </w:numPr>
      </w:pPr>
      <w:r>
        <w:t>Management and Commerce (FOE 08)</w:t>
      </w:r>
    </w:p>
    <w:p w:rsidR="00FF7364" w:rsidRDefault="00FF7364" w:rsidP="00FF7364">
      <w:pPr>
        <w:pStyle w:val="Text"/>
        <w:numPr>
          <w:ilvl w:val="0"/>
          <w:numId w:val="47"/>
        </w:numPr>
      </w:pPr>
      <w:r>
        <w:t>Education (FOE 09)</w:t>
      </w:r>
    </w:p>
    <w:p w:rsidR="00FF7364" w:rsidRDefault="00FF7364" w:rsidP="00FF7364">
      <w:pPr>
        <w:pStyle w:val="Text"/>
        <w:numPr>
          <w:ilvl w:val="0"/>
          <w:numId w:val="47"/>
        </w:numPr>
      </w:pPr>
      <w:r>
        <w:t>Engineering and Related Technologies (FOE 03)</w:t>
      </w:r>
    </w:p>
    <w:p w:rsidR="00FF7364" w:rsidRDefault="00FF7364" w:rsidP="00FF7364">
      <w:pPr>
        <w:pStyle w:val="Text"/>
        <w:numPr>
          <w:ilvl w:val="0"/>
          <w:numId w:val="47"/>
        </w:numPr>
      </w:pPr>
      <w:r>
        <w:t>Agriculture, Environmental and Related Studies (FOE 05)</w:t>
      </w:r>
    </w:p>
    <w:p w:rsidR="00FF7364" w:rsidRDefault="00FF7364" w:rsidP="0072251E">
      <w:pPr>
        <w:pStyle w:val="Text"/>
      </w:pPr>
      <w:r>
        <w:t xml:space="preserve">These four broad fields were chosen for detailed study because they represent each of the three Clusters of Fields of Education (FOEs) that emerged from the Cluster analysis detailed in the previous section. Management and Commerce is in Cluster A, Education is one of the two outliers, Engineering and Related Technologies is in Cluster B and Agriculture, Environmental and Related Studies is in Cluster C. </w:t>
      </w:r>
    </w:p>
    <w:p w:rsidR="00C57933" w:rsidRDefault="00C57933" w:rsidP="00B844B3">
      <w:pPr>
        <w:spacing w:before="0" w:line="240" w:lineRule="auto"/>
      </w:pPr>
      <w:r>
        <w:br w:type="page"/>
      </w:r>
    </w:p>
    <w:p w:rsidR="00771BB4" w:rsidRPr="00602388" w:rsidRDefault="006C367D" w:rsidP="00771BB4">
      <w:pPr>
        <w:pStyle w:val="Heading1"/>
        <w:rPr>
          <w:color w:val="auto"/>
        </w:rPr>
      </w:pPr>
      <w:bookmarkStart w:id="58" w:name="_Toc358384120"/>
      <w:bookmarkStart w:id="59" w:name="_Toc370995883"/>
      <w:bookmarkStart w:id="60" w:name="_Toc328329742"/>
      <w:bookmarkEnd w:id="29"/>
      <w:r>
        <w:rPr>
          <w:color w:val="auto"/>
        </w:rPr>
        <w:lastRenderedPageBreak/>
        <w:t>1</w:t>
      </w:r>
      <w:r w:rsidR="0047396B">
        <w:rPr>
          <w:color w:val="auto"/>
        </w:rPr>
        <w:t xml:space="preserve">. </w:t>
      </w:r>
      <w:r w:rsidR="00771BB4" w:rsidRPr="00602388">
        <w:rPr>
          <w:color w:val="auto"/>
        </w:rPr>
        <w:t>Management and Commerce (FOE 8)</w:t>
      </w:r>
      <w:bookmarkEnd w:id="58"/>
      <w:bookmarkEnd w:id="59"/>
    </w:p>
    <w:p w:rsidR="00771BB4" w:rsidRPr="00602388" w:rsidRDefault="00771BB4" w:rsidP="00771BB4">
      <w:pPr>
        <w:pStyle w:val="Text"/>
      </w:pPr>
      <w:r w:rsidRPr="00602388">
        <w:t xml:space="preserve">Management and Commerce has the largest number of undergraduate commencements of all fields of education, with 22.9 per cent of the total student intake in 2010. As a broad field under the ASCED categorisation, Management and Commerce (FOE 8) comprises seven narrow sub-fields. Data on total commencements and the number of students admitted on the basis of a VET award is provided for six of these sub-fields in </w:t>
      </w:r>
      <w:r w:rsidR="00B45EBA">
        <w:t xml:space="preserve">Table </w:t>
      </w:r>
      <w:r w:rsidR="003645D7">
        <w:t>8</w:t>
      </w:r>
      <w:r w:rsidR="003A2A66" w:rsidRPr="00602388">
        <w:t xml:space="preserve">. Data for Office Studies (FOE 0809) is included in “Other Management and Commerce”. </w:t>
      </w:r>
    </w:p>
    <w:p w:rsidR="00771BB4" w:rsidRPr="00602388" w:rsidRDefault="00B45EBA" w:rsidP="00771BB4">
      <w:pPr>
        <w:pStyle w:val="tabletitle"/>
      </w:pPr>
      <w:bookmarkStart w:id="61" w:name="_Toc350786314"/>
      <w:bookmarkStart w:id="62" w:name="_Toc370995917"/>
      <w:r>
        <w:t xml:space="preserve">Table </w:t>
      </w:r>
      <w:r w:rsidR="006A154F">
        <w:t>8</w:t>
      </w:r>
      <w:r w:rsidR="00771BB4" w:rsidRPr="00602388">
        <w:tab/>
        <w:t>VET award-holders and all undergraduate commencements in Management and Commerce,  (FOE 08), by narrow sub-field, Australia 2010</w:t>
      </w:r>
      <w:bookmarkEnd w:id="61"/>
      <w:bookmarkEnd w:id="62"/>
    </w:p>
    <w:tbl>
      <w:tblPr>
        <w:tblW w:w="8861" w:type="dxa"/>
        <w:tblInd w:w="108" w:type="dxa"/>
        <w:tblLook w:val="04A0"/>
      </w:tblPr>
      <w:tblGrid>
        <w:gridCol w:w="3261"/>
        <w:gridCol w:w="863"/>
        <w:gridCol w:w="980"/>
        <w:gridCol w:w="863"/>
        <w:gridCol w:w="1068"/>
        <w:gridCol w:w="1826"/>
      </w:tblGrid>
      <w:tr w:rsidR="00771BB4" w:rsidRPr="00602388" w:rsidTr="00AB725E">
        <w:trPr>
          <w:trHeight w:val="300"/>
        </w:trPr>
        <w:tc>
          <w:tcPr>
            <w:tcW w:w="3261" w:type="dxa"/>
            <w:tcBorders>
              <w:top w:val="single" w:sz="4" w:space="0" w:color="auto"/>
              <w:left w:val="nil"/>
              <w:bottom w:val="nil"/>
              <w:right w:val="nil"/>
            </w:tcBorders>
            <w:shd w:val="clear" w:color="auto" w:fill="auto"/>
            <w:noWrap/>
            <w:vAlign w:val="bottom"/>
            <w:hideMark/>
          </w:tcPr>
          <w:p w:rsidR="00771BB4" w:rsidRPr="00602388" w:rsidRDefault="00771BB4" w:rsidP="00AB725E">
            <w:pPr>
              <w:pStyle w:val="Tablehead1"/>
              <w:jc w:val="center"/>
              <w:rPr>
                <w:bCs/>
                <w:lang w:val="en-US"/>
              </w:rPr>
            </w:pPr>
          </w:p>
        </w:tc>
        <w:tc>
          <w:tcPr>
            <w:tcW w:w="1843" w:type="dxa"/>
            <w:gridSpan w:val="2"/>
            <w:tcBorders>
              <w:top w:val="single" w:sz="4" w:space="0" w:color="auto"/>
              <w:left w:val="nil"/>
              <w:bottom w:val="nil"/>
              <w:right w:val="nil"/>
            </w:tcBorders>
            <w:shd w:val="clear" w:color="auto" w:fill="auto"/>
            <w:noWrap/>
            <w:vAlign w:val="bottom"/>
            <w:hideMark/>
          </w:tcPr>
          <w:p w:rsidR="00771BB4" w:rsidRPr="00602388" w:rsidRDefault="00771BB4" w:rsidP="00AB725E">
            <w:pPr>
              <w:pStyle w:val="Tablehead1"/>
              <w:jc w:val="center"/>
              <w:rPr>
                <w:rFonts w:cs="Arial"/>
                <w:bCs/>
                <w:szCs w:val="17"/>
                <w:lang w:val="en-US"/>
              </w:rPr>
            </w:pPr>
            <w:r w:rsidRPr="00602388">
              <w:rPr>
                <w:rFonts w:cs="Arial"/>
                <w:bCs/>
                <w:szCs w:val="17"/>
                <w:lang w:val="en-US"/>
              </w:rPr>
              <w:t>VET award-holders</w:t>
            </w:r>
          </w:p>
        </w:tc>
        <w:tc>
          <w:tcPr>
            <w:tcW w:w="1931" w:type="dxa"/>
            <w:gridSpan w:val="2"/>
            <w:tcBorders>
              <w:top w:val="single" w:sz="4" w:space="0" w:color="auto"/>
              <w:left w:val="nil"/>
              <w:bottom w:val="nil"/>
              <w:right w:val="nil"/>
            </w:tcBorders>
            <w:vAlign w:val="bottom"/>
          </w:tcPr>
          <w:p w:rsidR="00771BB4" w:rsidRPr="00602388" w:rsidRDefault="00771BB4" w:rsidP="00AB725E">
            <w:pPr>
              <w:pStyle w:val="Tablehead1"/>
              <w:jc w:val="center"/>
              <w:rPr>
                <w:rFonts w:cs="Arial"/>
                <w:bCs/>
                <w:szCs w:val="17"/>
                <w:lang w:val="en-US"/>
              </w:rPr>
            </w:pPr>
            <w:r w:rsidRPr="00602388">
              <w:rPr>
                <w:rFonts w:cs="Arial"/>
                <w:bCs/>
                <w:szCs w:val="17"/>
                <w:lang w:val="en-US"/>
              </w:rPr>
              <w:t>All undergraduate commencements</w:t>
            </w:r>
          </w:p>
        </w:tc>
        <w:tc>
          <w:tcPr>
            <w:tcW w:w="1826" w:type="dxa"/>
            <w:tcBorders>
              <w:top w:val="single" w:sz="4" w:space="0" w:color="auto"/>
              <w:left w:val="nil"/>
              <w:bottom w:val="nil"/>
              <w:right w:val="nil"/>
            </w:tcBorders>
            <w:vAlign w:val="bottom"/>
          </w:tcPr>
          <w:p w:rsidR="00771BB4" w:rsidRPr="00602388" w:rsidRDefault="00771BB4" w:rsidP="00AB725E">
            <w:pPr>
              <w:pStyle w:val="Tablehead1"/>
              <w:jc w:val="center"/>
              <w:rPr>
                <w:rFonts w:cs="Arial"/>
                <w:bCs/>
                <w:szCs w:val="17"/>
                <w:lang w:val="en-US"/>
              </w:rPr>
            </w:pPr>
            <w:r w:rsidRPr="00602388">
              <w:rPr>
                <w:rFonts w:cs="Arial"/>
                <w:bCs/>
                <w:szCs w:val="17"/>
                <w:lang w:val="en-US"/>
              </w:rPr>
              <w:t>VET award-holders as a proportion of total U/G commencements</w:t>
            </w:r>
          </w:p>
        </w:tc>
      </w:tr>
      <w:tr w:rsidR="00771BB4" w:rsidRPr="00602388" w:rsidTr="00AB725E">
        <w:trPr>
          <w:trHeight w:val="300"/>
        </w:trPr>
        <w:tc>
          <w:tcPr>
            <w:tcW w:w="3261" w:type="dxa"/>
            <w:tcBorders>
              <w:top w:val="nil"/>
              <w:left w:val="nil"/>
              <w:bottom w:val="single" w:sz="4" w:space="0" w:color="auto"/>
              <w:right w:val="nil"/>
            </w:tcBorders>
            <w:shd w:val="clear" w:color="auto" w:fill="auto"/>
            <w:noWrap/>
            <w:vAlign w:val="bottom"/>
            <w:hideMark/>
          </w:tcPr>
          <w:p w:rsidR="00771BB4" w:rsidRPr="00602388" w:rsidRDefault="00771BB4" w:rsidP="00AB725E">
            <w:pPr>
              <w:pStyle w:val="Tablehead2"/>
              <w:rPr>
                <w:rFonts w:asciiTheme="majorHAnsi" w:hAnsiTheme="majorHAnsi"/>
                <w:sz w:val="18"/>
                <w:szCs w:val="18"/>
                <w:lang w:val="en-US"/>
              </w:rPr>
            </w:pPr>
            <w:r w:rsidRPr="00602388">
              <w:rPr>
                <w:rFonts w:asciiTheme="majorHAnsi" w:hAnsiTheme="majorHAnsi"/>
                <w:sz w:val="18"/>
                <w:szCs w:val="18"/>
                <w:lang w:val="en-US"/>
              </w:rPr>
              <w:t xml:space="preserve">Narrow sub-field </w:t>
            </w:r>
          </w:p>
        </w:tc>
        <w:tc>
          <w:tcPr>
            <w:tcW w:w="863" w:type="dxa"/>
            <w:tcBorders>
              <w:top w:val="nil"/>
              <w:left w:val="nil"/>
              <w:bottom w:val="single" w:sz="4" w:space="0" w:color="auto"/>
              <w:right w:val="nil"/>
            </w:tcBorders>
            <w:shd w:val="clear" w:color="auto" w:fill="auto"/>
            <w:noWrap/>
            <w:vAlign w:val="bottom"/>
            <w:hideMark/>
          </w:tcPr>
          <w:p w:rsidR="00771BB4" w:rsidRPr="00602388" w:rsidRDefault="00771BB4" w:rsidP="00AB725E">
            <w:pPr>
              <w:pStyle w:val="Tablehead2"/>
              <w:jc w:val="right"/>
              <w:rPr>
                <w:rFonts w:asciiTheme="majorHAnsi" w:hAnsiTheme="majorHAnsi"/>
                <w:sz w:val="18"/>
                <w:szCs w:val="18"/>
                <w:lang w:val="en-US"/>
              </w:rPr>
            </w:pPr>
            <w:r w:rsidRPr="00602388">
              <w:rPr>
                <w:rFonts w:asciiTheme="majorHAnsi" w:hAnsiTheme="majorHAnsi"/>
                <w:sz w:val="18"/>
                <w:szCs w:val="18"/>
                <w:lang w:val="en-US"/>
              </w:rPr>
              <w:t>Students</w:t>
            </w:r>
          </w:p>
        </w:tc>
        <w:tc>
          <w:tcPr>
            <w:tcW w:w="980" w:type="dxa"/>
            <w:tcBorders>
              <w:top w:val="nil"/>
              <w:left w:val="nil"/>
              <w:bottom w:val="single" w:sz="4" w:space="0" w:color="auto"/>
              <w:right w:val="nil"/>
            </w:tcBorders>
            <w:shd w:val="clear" w:color="auto" w:fill="auto"/>
            <w:noWrap/>
            <w:vAlign w:val="bottom"/>
            <w:hideMark/>
          </w:tcPr>
          <w:p w:rsidR="00771BB4" w:rsidRPr="00602388" w:rsidRDefault="00771BB4" w:rsidP="00AB725E">
            <w:pPr>
              <w:pStyle w:val="Tablehead2"/>
              <w:jc w:val="right"/>
              <w:rPr>
                <w:rFonts w:asciiTheme="majorHAnsi" w:hAnsiTheme="majorHAnsi"/>
                <w:sz w:val="18"/>
                <w:szCs w:val="18"/>
                <w:lang w:val="en-US"/>
              </w:rPr>
            </w:pPr>
            <w:r w:rsidRPr="00602388">
              <w:rPr>
                <w:rFonts w:asciiTheme="majorHAnsi" w:hAnsiTheme="majorHAnsi"/>
                <w:sz w:val="18"/>
                <w:szCs w:val="18"/>
                <w:lang w:val="en-US"/>
              </w:rPr>
              <w:t>% total</w:t>
            </w:r>
          </w:p>
        </w:tc>
        <w:tc>
          <w:tcPr>
            <w:tcW w:w="863" w:type="dxa"/>
            <w:tcBorders>
              <w:top w:val="nil"/>
              <w:left w:val="nil"/>
              <w:bottom w:val="single" w:sz="4" w:space="0" w:color="auto"/>
              <w:right w:val="nil"/>
            </w:tcBorders>
            <w:vAlign w:val="bottom"/>
          </w:tcPr>
          <w:p w:rsidR="00771BB4" w:rsidRPr="00602388" w:rsidRDefault="00771BB4" w:rsidP="00AB725E">
            <w:pPr>
              <w:pStyle w:val="Tablehead2"/>
              <w:jc w:val="right"/>
              <w:rPr>
                <w:rFonts w:asciiTheme="majorHAnsi" w:hAnsiTheme="majorHAnsi"/>
                <w:sz w:val="18"/>
                <w:szCs w:val="18"/>
                <w:lang w:val="en-US"/>
              </w:rPr>
            </w:pPr>
            <w:r w:rsidRPr="00602388">
              <w:rPr>
                <w:rFonts w:asciiTheme="majorHAnsi" w:hAnsiTheme="majorHAnsi"/>
                <w:sz w:val="18"/>
                <w:szCs w:val="18"/>
                <w:lang w:val="en-US"/>
              </w:rPr>
              <w:t>Students</w:t>
            </w:r>
          </w:p>
        </w:tc>
        <w:tc>
          <w:tcPr>
            <w:tcW w:w="1068" w:type="dxa"/>
            <w:tcBorders>
              <w:top w:val="nil"/>
              <w:left w:val="nil"/>
              <w:bottom w:val="single" w:sz="4" w:space="0" w:color="auto"/>
              <w:right w:val="nil"/>
            </w:tcBorders>
            <w:vAlign w:val="bottom"/>
          </w:tcPr>
          <w:p w:rsidR="00771BB4" w:rsidRPr="00602388" w:rsidRDefault="00771BB4" w:rsidP="00AB725E">
            <w:pPr>
              <w:pStyle w:val="Tablehead2"/>
              <w:jc w:val="right"/>
              <w:rPr>
                <w:rFonts w:asciiTheme="majorHAnsi" w:hAnsiTheme="majorHAnsi"/>
                <w:sz w:val="18"/>
                <w:szCs w:val="18"/>
                <w:lang w:val="en-US"/>
              </w:rPr>
            </w:pPr>
            <w:r w:rsidRPr="00602388">
              <w:rPr>
                <w:rFonts w:asciiTheme="majorHAnsi" w:hAnsiTheme="majorHAnsi"/>
                <w:sz w:val="18"/>
                <w:szCs w:val="18"/>
                <w:lang w:val="en-US"/>
              </w:rPr>
              <w:t>% total</w:t>
            </w:r>
          </w:p>
        </w:tc>
        <w:tc>
          <w:tcPr>
            <w:tcW w:w="1826" w:type="dxa"/>
            <w:tcBorders>
              <w:top w:val="nil"/>
              <w:left w:val="nil"/>
              <w:bottom w:val="single" w:sz="4" w:space="0" w:color="auto"/>
              <w:right w:val="nil"/>
            </w:tcBorders>
            <w:vAlign w:val="bottom"/>
          </w:tcPr>
          <w:p w:rsidR="00771BB4" w:rsidRPr="00602388" w:rsidRDefault="00771BB4" w:rsidP="00AB725E">
            <w:pPr>
              <w:pStyle w:val="Tablehead2"/>
              <w:jc w:val="right"/>
              <w:rPr>
                <w:rFonts w:asciiTheme="majorHAnsi" w:hAnsiTheme="majorHAnsi"/>
                <w:sz w:val="18"/>
                <w:szCs w:val="18"/>
                <w:lang w:val="en-US"/>
              </w:rPr>
            </w:pPr>
          </w:p>
        </w:tc>
      </w:tr>
      <w:tr w:rsidR="00771BB4" w:rsidRPr="00602388" w:rsidTr="00AB725E">
        <w:trPr>
          <w:trHeight w:val="300"/>
        </w:trPr>
        <w:tc>
          <w:tcPr>
            <w:tcW w:w="3261" w:type="dxa"/>
            <w:tcBorders>
              <w:top w:val="single" w:sz="4" w:space="0" w:color="auto"/>
              <w:left w:val="nil"/>
              <w:bottom w:val="nil"/>
              <w:right w:val="nil"/>
            </w:tcBorders>
            <w:shd w:val="clear" w:color="auto" w:fill="auto"/>
            <w:noWrap/>
            <w:vAlign w:val="bottom"/>
            <w:hideMark/>
          </w:tcPr>
          <w:p w:rsidR="00771BB4" w:rsidRPr="00602388" w:rsidRDefault="003A2A66" w:rsidP="00AB725E">
            <w:pPr>
              <w:spacing w:before="0" w:line="240" w:lineRule="auto"/>
              <w:rPr>
                <w:rFonts w:ascii="Arial" w:hAnsi="Arial" w:cs="Arial"/>
                <w:sz w:val="16"/>
                <w:szCs w:val="16"/>
              </w:rPr>
            </w:pPr>
            <w:r w:rsidRPr="00602388">
              <w:rPr>
                <w:rFonts w:ascii="Arial" w:hAnsi="Arial" w:cs="Arial"/>
                <w:sz w:val="16"/>
                <w:szCs w:val="16"/>
              </w:rPr>
              <w:t xml:space="preserve">0801 </w:t>
            </w:r>
            <w:r w:rsidR="00771BB4" w:rsidRPr="00602388">
              <w:rPr>
                <w:rFonts w:ascii="Arial" w:hAnsi="Arial" w:cs="Arial"/>
                <w:sz w:val="16"/>
                <w:szCs w:val="16"/>
              </w:rPr>
              <w:t>Accounting</w:t>
            </w:r>
          </w:p>
        </w:tc>
        <w:tc>
          <w:tcPr>
            <w:tcW w:w="863" w:type="dxa"/>
            <w:tcBorders>
              <w:top w:val="single" w:sz="4" w:space="0" w:color="auto"/>
              <w:left w:val="nil"/>
              <w:bottom w:val="nil"/>
              <w:right w:val="nil"/>
            </w:tcBorders>
            <w:shd w:val="clear" w:color="auto" w:fill="auto"/>
            <w:noWrap/>
            <w:vAlign w:val="bottom"/>
            <w:hideMark/>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1 326</w:t>
            </w:r>
          </w:p>
        </w:tc>
        <w:tc>
          <w:tcPr>
            <w:tcW w:w="980" w:type="dxa"/>
            <w:tcBorders>
              <w:top w:val="single" w:sz="4" w:space="0" w:color="auto"/>
              <w:left w:val="nil"/>
              <w:bottom w:val="nil"/>
              <w:right w:val="nil"/>
            </w:tcBorders>
            <w:shd w:val="clear" w:color="auto" w:fill="auto"/>
            <w:noWrap/>
            <w:vAlign w:val="bottom"/>
            <w:hideMark/>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14.3</w:t>
            </w:r>
          </w:p>
        </w:tc>
        <w:tc>
          <w:tcPr>
            <w:tcW w:w="863" w:type="dxa"/>
            <w:tcBorders>
              <w:top w:val="single" w:sz="4" w:space="0" w:color="auto"/>
              <w:left w:val="nil"/>
              <w:bottom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8 421</w:t>
            </w:r>
          </w:p>
        </w:tc>
        <w:tc>
          <w:tcPr>
            <w:tcW w:w="1068" w:type="dxa"/>
            <w:tcBorders>
              <w:top w:val="single" w:sz="4" w:space="0" w:color="auto"/>
              <w:left w:val="nil"/>
              <w:bottom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11.8</w:t>
            </w:r>
          </w:p>
        </w:tc>
        <w:tc>
          <w:tcPr>
            <w:tcW w:w="1826" w:type="dxa"/>
            <w:tcBorders>
              <w:top w:val="single" w:sz="4" w:space="0" w:color="auto"/>
              <w:left w:val="nil"/>
              <w:bottom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15.7</w:t>
            </w:r>
          </w:p>
        </w:tc>
      </w:tr>
      <w:tr w:rsidR="00771BB4" w:rsidRPr="00602388" w:rsidTr="00AB725E">
        <w:trPr>
          <w:trHeight w:val="300"/>
        </w:trPr>
        <w:tc>
          <w:tcPr>
            <w:tcW w:w="3261" w:type="dxa"/>
            <w:tcBorders>
              <w:top w:val="nil"/>
              <w:left w:val="nil"/>
              <w:bottom w:val="nil"/>
              <w:right w:val="nil"/>
            </w:tcBorders>
            <w:shd w:val="clear" w:color="auto" w:fill="auto"/>
            <w:noWrap/>
            <w:vAlign w:val="bottom"/>
            <w:hideMark/>
          </w:tcPr>
          <w:p w:rsidR="00771BB4" w:rsidRPr="00602388" w:rsidRDefault="003A2A66" w:rsidP="00AB725E">
            <w:pPr>
              <w:spacing w:before="0" w:line="240" w:lineRule="auto"/>
              <w:rPr>
                <w:rFonts w:ascii="Arial" w:hAnsi="Arial" w:cs="Arial"/>
                <w:sz w:val="16"/>
                <w:szCs w:val="16"/>
              </w:rPr>
            </w:pPr>
            <w:r w:rsidRPr="00602388">
              <w:rPr>
                <w:rFonts w:ascii="Arial" w:hAnsi="Arial" w:cs="Arial"/>
                <w:sz w:val="16"/>
                <w:szCs w:val="16"/>
              </w:rPr>
              <w:t xml:space="preserve">0803 </w:t>
            </w:r>
            <w:r w:rsidR="00771BB4" w:rsidRPr="00602388">
              <w:rPr>
                <w:rFonts w:ascii="Arial" w:hAnsi="Arial" w:cs="Arial"/>
                <w:sz w:val="16"/>
                <w:szCs w:val="16"/>
              </w:rPr>
              <w:t>Business and Management</w:t>
            </w:r>
          </w:p>
        </w:tc>
        <w:tc>
          <w:tcPr>
            <w:tcW w:w="863" w:type="dxa"/>
            <w:tcBorders>
              <w:top w:val="nil"/>
              <w:left w:val="nil"/>
              <w:bottom w:val="nil"/>
              <w:right w:val="nil"/>
            </w:tcBorders>
            <w:shd w:val="clear" w:color="auto" w:fill="auto"/>
            <w:noWrap/>
            <w:vAlign w:val="bottom"/>
            <w:hideMark/>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4 386</w:t>
            </w:r>
          </w:p>
        </w:tc>
        <w:tc>
          <w:tcPr>
            <w:tcW w:w="980" w:type="dxa"/>
            <w:tcBorders>
              <w:top w:val="nil"/>
              <w:left w:val="nil"/>
              <w:bottom w:val="nil"/>
              <w:right w:val="nil"/>
            </w:tcBorders>
            <w:shd w:val="clear" w:color="auto" w:fill="auto"/>
            <w:noWrap/>
            <w:vAlign w:val="bottom"/>
            <w:hideMark/>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47.2</w:t>
            </w:r>
          </w:p>
        </w:tc>
        <w:tc>
          <w:tcPr>
            <w:tcW w:w="863" w:type="dxa"/>
            <w:tcBorders>
              <w:top w:val="nil"/>
              <w:left w:val="nil"/>
              <w:bottom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35 952</w:t>
            </w:r>
          </w:p>
        </w:tc>
        <w:tc>
          <w:tcPr>
            <w:tcW w:w="1068" w:type="dxa"/>
            <w:tcBorders>
              <w:top w:val="nil"/>
              <w:left w:val="nil"/>
              <w:bottom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50.2</w:t>
            </w:r>
          </w:p>
        </w:tc>
        <w:tc>
          <w:tcPr>
            <w:tcW w:w="1826" w:type="dxa"/>
            <w:tcBorders>
              <w:top w:val="nil"/>
              <w:left w:val="nil"/>
              <w:bottom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12.2</w:t>
            </w:r>
          </w:p>
        </w:tc>
      </w:tr>
      <w:tr w:rsidR="00771BB4" w:rsidRPr="00602388" w:rsidTr="00AB725E">
        <w:trPr>
          <w:trHeight w:val="300"/>
        </w:trPr>
        <w:tc>
          <w:tcPr>
            <w:tcW w:w="3261" w:type="dxa"/>
            <w:tcBorders>
              <w:top w:val="nil"/>
              <w:left w:val="nil"/>
              <w:bottom w:val="nil"/>
              <w:right w:val="nil"/>
            </w:tcBorders>
            <w:shd w:val="clear" w:color="auto" w:fill="auto"/>
            <w:noWrap/>
            <w:vAlign w:val="bottom"/>
            <w:hideMark/>
          </w:tcPr>
          <w:p w:rsidR="00771BB4" w:rsidRPr="00602388" w:rsidRDefault="003A2A66" w:rsidP="00AB725E">
            <w:pPr>
              <w:spacing w:before="0" w:line="240" w:lineRule="auto"/>
              <w:rPr>
                <w:rFonts w:ascii="Arial" w:hAnsi="Arial" w:cs="Arial"/>
                <w:sz w:val="16"/>
                <w:szCs w:val="16"/>
              </w:rPr>
            </w:pPr>
            <w:r w:rsidRPr="00602388">
              <w:rPr>
                <w:rFonts w:ascii="Arial" w:hAnsi="Arial" w:cs="Arial"/>
                <w:sz w:val="16"/>
                <w:szCs w:val="16"/>
              </w:rPr>
              <w:t xml:space="preserve">0805 </w:t>
            </w:r>
            <w:r w:rsidR="00771BB4" w:rsidRPr="00602388">
              <w:rPr>
                <w:rFonts w:ascii="Arial" w:hAnsi="Arial" w:cs="Arial"/>
                <w:sz w:val="16"/>
                <w:szCs w:val="16"/>
              </w:rPr>
              <w:t>Sales and Marketing</w:t>
            </w:r>
          </w:p>
        </w:tc>
        <w:tc>
          <w:tcPr>
            <w:tcW w:w="863" w:type="dxa"/>
            <w:tcBorders>
              <w:top w:val="nil"/>
              <w:left w:val="nil"/>
              <w:bottom w:val="nil"/>
              <w:right w:val="nil"/>
            </w:tcBorders>
            <w:shd w:val="clear" w:color="auto" w:fill="auto"/>
            <w:noWrap/>
            <w:vAlign w:val="bottom"/>
            <w:hideMark/>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993</w:t>
            </w:r>
          </w:p>
        </w:tc>
        <w:tc>
          <w:tcPr>
            <w:tcW w:w="980" w:type="dxa"/>
            <w:tcBorders>
              <w:top w:val="nil"/>
              <w:left w:val="nil"/>
              <w:bottom w:val="nil"/>
              <w:right w:val="nil"/>
            </w:tcBorders>
            <w:shd w:val="clear" w:color="auto" w:fill="auto"/>
            <w:noWrap/>
            <w:vAlign w:val="bottom"/>
            <w:hideMark/>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10.7</w:t>
            </w:r>
          </w:p>
        </w:tc>
        <w:tc>
          <w:tcPr>
            <w:tcW w:w="863" w:type="dxa"/>
            <w:tcBorders>
              <w:top w:val="nil"/>
              <w:left w:val="nil"/>
              <w:bottom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4 385</w:t>
            </w:r>
          </w:p>
        </w:tc>
        <w:tc>
          <w:tcPr>
            <w:tcW w:w="1068" w:type="dxa"/>
            <w:tcBorders>
              <w:top w:val="nil"/>
              <w:left w:val="nil"/>
              <w:bottom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6.1</w:t>
            </w:r>
          </w:p>
        </w:tc>
        <w:tc>
          <w:tcPr>
            <w:tcW w:w="1826" w:type="dxa"/>
            <w:tcBorders>
              <w:top w:val="nil"/>
              <w:left w:val="nil"/>
              <w:bottom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22.6</w:t>
            </w:r>
          </w:p>
        </w:tc>
      </w:tr>
      <w:tr w:rsidR="00771BB4" w:rsidRPr="00602388" w:rsidTr="00AB725E">
        <w:trPr>
          <w:trHeight w:val="300"/>
        </w:trPr>
        <w:tc>
          <w:tcPr>
            <w:tcW w:w="3261" w:type="dxa"/>
            <w:tcBorders>
              <w:top w:val="nil"/>
              <w:left w:val="nil"/>
              <w:bottom w:val="nil"/>
              <w:right w:val="nil"/>
            </w:tcBorders>
            <w:shd w:val="clear" w:color="auto" w:fill="auto"/>
            <w:noWrap/>
            <w:vAlign w:val="bottom"/>
            <w:hideMark/>
          </w:tcPr>
          <w:p w:rsidR="00771BB4" w:rsidRPr="00602388" w:rsidRDefault="003A2A66" w:rsidP="00AB725E">
            <w:pPr>
              <w:spacing w:before="0" w:line="240" w:lineRule="auto"/>
              <w:rPr>
                <w:rFonts w:ascii="Arial" w:hAnsi="Arial" w:cs="Arial"/>
                <w:sz w:val="16"/>
                <w:szCs w:val="16"/>
              </w:rPr>
            </w:pPr>
            <w:r w:rsidRPr="00602388">
              <w:rPr>
                <w:rFonts w:ascii="Arial" w:hAnsi="Arial" w:cs="Arial"/>
                <w:sz w:val="16"/>
                <w:szCs w:val="16"/>
              </w:rPr>
              <w:t xml:space="preserve">0807 </w:t>
            </w:r>
            <w:r w:rsidR="00771BB4" w:rsidRPr="00602388">
              <w:rPr>
                <w:rFonts w:ascii="Arial" w:hAnsi="Arial" w:cs="Arial"/>
                <w:sz w:val="16"/>
                <w:szCs w:val="16"/>
              </w:rPr>
              <w:t>Tourism</w:t>
            </w:r>
          </w:p>
        </w:tc>
        <w:tc>
          <w:tcPr>
            <w:tcW w:w="863" w:type="dxa"/>
            <w:tcBorders>
              <w:top w:val="nil"/>
              <w:left w:val="nil"/>
              <w:bottom w:val="nil"/>
              <w:right w:val="nil"/>
            </w:tcBorders>
            <w:shd w:val="clear" w:color="auto" w:fill="auto"/>
            <w:noWrap/>
            <w:vAlign w:val="bottom"/>
            <w:hideMark/>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176</w:t>
            </w:r>
          </w:p>
        </w:tc>
        <w:tc>
          <w:tcPr>
            <w:tcW w:w="980" w:type="dxa"/>
            <w:tcBorders>
              <w:top w:val="nil"/>
              <w:left w:val="nil"/>
              <w:bottom w:val="nil"/>
              <w:right w:val="nil"/>
            </w:tcBorders>
            <w:shd w:val="clear" w:color="auto" w:fill="auto"/>
            <w:noWrap/>
            <w:vAlign w:val="bottom"/>
            <w:hideMark/>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1.9</w:t>
            </w:r>
          </w:p>
        </w:tc>
        <w:tc>
          <w:tcPr>
            <w:tcW w:w="863" w:type="dxa"/>
            <w:tcBorders>
              <w:top w:val="nil"/>
              <w:left w:val="nil"/>
              <w:bottom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609</w:t>
            </w:r>
          </w:p>
        </w:tc>
        <w:tc>
          <w:tcPr>
            <w:tcW w:w="1068" w:type="dxa"/>
            <w:tcBorders>
              <w:top w:val="nil"/>
              <w:left w:val="nil"/>
              <w:bottom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0.8</w:t>
            </w:r>
          </w:p>
        </w:tc>
        <w:tc>
          <w:tcPr>
            <w:tcW w:w="1826" w:type="dxa"/>
            <w:tcBorders>
              <w:top w:val="nil"/>
              <w:left w:val="nil"/>
              <w:bottom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28.9</w:t>
            </w:r>
          </w:p>
        </w:tc>
      </w:tr>
      <w:tr w:rsidR="00771BB4" w:rsidRPr="00602388" w:rsidTr="00AB725E">
        <w:trPr>
          <w:trHeight w:val="300"/>
        </w:trPr>
        <w:tc>
          <w:tcPr>
            <w:tcW w:w="3261" w:type="dxa"/>
            <w:tcBorders>
              <w:top w:val="nil"/>
              <w:left w:val="nil"/>
              <w:bottom w:val="nil"/>
              <w:right w:val="nil"/>
            </w:tcBorders>
            <w:shd w:val="clear" w:color="auto" w:fill="auto"/>
            <w:noWrap/>
            <w:vAlign w:val="bottom"/>
            <w:hideMark/>
          </w:tcPr>
          <w:p w:rsidR="00771BB4" w:rsidRPr="00602388" w:rsidRDefault="003A2A66" w:rsidP="00AB725E">
            <w:pPr>
              <w:spacing w:before="0" w:line="240" w:lineRule="auto"/>
              <w:rPr>
                <w:rFonts w:ascii="Arial" w:hAnsi="Arial" w:cs="Arial"/>
                <w:sz w:val="16"/>
                <w:szCs w:val="16"/>
              </w:rPr>
            </w:pPr>
            <w:r w:rsidRPr="00602388">
              <w:rPr>
                <w:rFonts w:ascii="Arial" w:hAnsi="Arial" w:cs="Arial"/>
                <w:sz w:val="16"/>
                <w:szCs w:val="16"/>
              </w:rPr>
              <w:t xml:space="preserve">0811 </w:t>
            </w:r>
            <w:r w:rsidR="00771BB4" w:rsidRPr="00602388">
              <w:rPr>
                <w:rFonts w:ascii="Arial" w:hAnsi="Arial" w:cs="Arial"/>
                <w:sz w:val="16"/>
                <w:szCs w:val="16"/>
              </w:rPr>
              <w:t>Banking, Finance &amp; Related Fields</w:t>
            </w:r>
          </w:p>
        </w:tc>
        <w:tc>
          <w:tcPr>
            <w:tcW w:w="863" w:type="dxa"/>
            <w:tcBorders>
              <w:top w:val="nil"/>
              <w:left w:val="nil"/>
              <w:bottom w:val="nil"/>
              <w:right w:val="nil"/>
            </w:tcBorders>
            <w:shd w:val="clear" w:color="auto" w:fill="auto"/>
            <w:noWrap/>
            <w:vAlign w:val="bottom"/>
            <w:hideMark/>
          </w:tcPr>
          <w:p w:rsidR="00771BB4" w:rsidRPr="00602388" w:rsidRDefault="00771BB4" w:rsidP="00AB725E">
            <w:pPr>
              <w:spacing w:before="0" w:line="240" w:lineRule="auto"/>
              <w:jc w:val="right"/>
              <w:rPr>
                <w:rFonts w:ascii="Arial" w:hAnsi="Arial" w:cs="Arial"/>
                <w:iCs/>
                <w:sz w:val="16"/>
                <w:szCs w:val="16"/>
              </w:rPr>
            </w:pPr>
            <w:r w:rsidRPr="00602388">
              <w:rPr>
                <w:rFonts w:ascii="Arial" w:hAnsi="Arial" w:cs="Arial"/>
                <w:iCs/>
                <w:sz w:val="16"/>
                <w:szCs w:val="16"/>
              </w:rPr>
              <w:t>665</w:t>
            </w:r>
          </w:p>
        </w:tc>
        <w:tc>
          <w:tcPr>
            <w:tcW w:w="980" w:type="dxa"/>
            <w:tcBorders>
              <w:top w:val="nil"/>
              <w:left w:val="nil"/>
              <w:bottom w:val="nil"/>
              <w:right w:val="nil"/>
            </w:tcBorders>
            <w:shd w:val="clear" w:color="auto" w:fill="auto"/>
            <w:noWrap/>
            <w:vAlign w:val="bottom"/>
            <w:hideMark/>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7.2</w:t>
            </w:r>
          </w:p>
        </w:tc>
        <w:tc>
          <w:tcPr>
            <w:tcW w:w="863" w:type="dxa"/>
            <w:tcBorders>
              <w:top w:val="nil"/>
              <w:left w:val="nil"/>
              <w:bottom w:val="nil"/>
              <w:right w:val="nil"/>
            </w:tcBorders>
            <w:vAlign w:val="bottom"/>
          </w:tcPr>
          <w:p w:rsidR="00771BB4" w:rsidRPr="00602388" w:rsidRDefault="00771BB4" w:rsidP="00AB725E">
            <w:pPr>
              <w:spacing w:before="0" w:line="240" w:lineRule="auto"/>
              <w:jc w:val="right"/>
              <w:rPr>
                <w:rFonts w:ascii="Arial" w:hAnsi="Arial" w:cs="Arial"/>
                <w:iCs/>
                <w:sz w:val="16"/>
                <w:szCs w:val="16"/>
              </w:rPr>
            </w:pPr>
            <w:r w:rsidRPr="00602388">
              <w:rPr>
                <w:rFonts w:ascii="Arial" w:hAnsi="Arial" w:cs="Arial"/>
                <w:iCs/>
                <w:sz w:val="16"/>
                <w:szCs w:val="16"/>
              </w:rPr>
              <w:t>4 441</w:t>
            </w:r>
          </w:p>
        </w:tc>
        <w:tc>
          <w:tcPr>
            <w:tcW w:w="1068" w:type="dxa"/>
            <w:tcBorders>
              <w:top w:val="nil"/>
              <w:left w:val="nil"/>
              <w:bottom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6.2</w:t>
            </w:r>
          </w:p>
        </w:tc>
        <w:tc>
          <w:tcPr>
            <w:tcW w:w="1826" w:type="dxa"/>
            <w:tcBorders>
              <w:top w:val="nil"/>
              <w:left w:val="nil"/>
              <w:bottom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15.0</w:t>
            </w:r>
          </w:p>
        </w:tc>
      </w:tr>
      <w:tr w:rsidR="00771BB4" w:rsidRPr="00602388" w:rsidTr="00AB725E">
        <w:trPr>
          <w:trHeight w:val="300"/>
        </w:trPr>
        <w:tc>
          <w:tcPr>
            <w:tcW w:w="3261" w:type="dxa"/>
            <w:tcBorders>
              <w:top w:val="nil"/>
              <w:left w:val="nil"/>
              <w:right w:val="nil"/>
            </w:tcBorders>
            <w:shd w:val="clear" w:color="auto" w:fill="auto"/>
            <w:noWrap/>
            <w:vAlign w:val="bottom"/>
            <w:hideMark/>
          </w:tcPr>
          <w:p w:rsidR="00771BB4" w:rsidRPr="00602388" w:rsidRDefault="003A2A66" w:rsidP="00AB725E">
            <w:pPr>
              <w:spacing w:before="0" w:line="240" w:lineRule="auto"/>
              <w:rPr>
                <w:rFonts w:ascii="Arial" w:hAnsi="Arial" w:cs="Arial"/>
                <w:sz w:val="16"/>
                <w:szCs w:val="16"/>
              </w:rPr>
            </w:pPr>
            <w:r w:rsidRPr="00602388">
              <w:rPr>
                <w:rFonts w:ascii="Arial" w:hAnsi="Arial" w:cs="Arial"/>
                <w:sz w:val="16"/>
                <w:szCs w:val="16"/>
              </w:rPr>
              <w:t xml:space="preserve">0899 </w:t>
            </w:r>
            <w:r w:rsidR="00771BB4" w:rsidRPr="00602388">
              <w:rPr>
                <w:rFonts w:ascii="Arial" w:hAnsi="Arial" w:cs="Arial"/>
                <w:sz w:val="16"/>
                <w:szCs w:val="16"/>
              </w:rPr>
              <w:t>Other Management and Commerce</w:t>
            </w:r>
          </w:p>
        </w:tc>
        <w:tc>
          <w:tcPr>
            <w:tcW w:w="863" w:type="dxa"/>
            <w:tcBorders>
              <w:top w:val="nil"/>
              <w:left w:val="nil"/>
              <w:right w:val="nil"/>
            </w:tcBorders>
            <w:shd w:val="clear" w:color="auto" w:fill="auto"/>
            <w:noWrap/>
            <w:vAlign w:val="bottom"/>
            <w:hideMark/>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1 784</w:t>
            </w:r>
          </w:p>
        </w:tc>
        <w:tc>
          <w:tcPr>
            <w:tcW w:w="980" w:type="dxa"/>
            <w:tcBorders>
              <w:top w:val="nil"/>
              <w:left w:val="nil"/>
              <w:right w:val="nil"/>
            </w:tcBorders>
            <w:shd w:val="clear" w:color="auto" w:fill="auto"/>
            <w:noWrap/>
            <w:vAlign w:val="bottom"/>
            <w:hideMark/>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19.2</w:t>
            </w:r>
          </w:p>
        </w:tc>
        <w:tc>
          <w:tcPr>
            <w:tcW w:w="863" w:type="dxa"/>
            <w:tcBorders>
              <w:top w:val="nil"/>
              <w:left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19 918</w:t>
            </w:r>
          </w:p>
        </w:tc>
        <w:tc>
          <w:tcPr>
            <w:tcW w:w="1068" w:type="dxa"/>
            <w:tcBorders>
              <w:top w:val="nil"/>
              <w:left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27.8</w:t>
            </w:r>
          </w:p>
        </w:tc>
        <w:tc>
          <w:tcPr>
            <w:tcW w:w="1826" w:type="dxa"/>
            <w:tcBorders>
              <w:top w:val="nil"/>
              <w:left w:val="nil"/>
              <w:right w:val="nil"/>
            </w:tcBorders>
            <w:vAlign w:val="bottom"/>
          </w:tcPr>
          <w:p w:rsidR="00771BB4" w:rsidRPr="00602388" w:rsidRDefault="00771BB4" w:rsidP="00AB725E">
            <w:pPr>
              <w:spacing w:before="0" w:line="240" w:lineRule="auto"/>
              <w:jc w:val="right"/>
              <w:rPr>
                <w:rFonts w:ascii="Arial" w:hAnsi="Arial" w:cs="Arial"/>
                <w:sz w:val="16"/>
                <w:szCs w:val="16"/>
              </w:rPr>
            </w:pPr>
            <w:r w:rsidRPr="00602388">
              <w:rPr>
                <w:rFonts w:ascii="Arial" w:hAnsi="Arial" w:cs="Arial"/>
                <w:sz w:val="16"/>
                <w:szCs w:val="16"/>
              </w:rPr>
              <w:t>9.0</w:t>
            </w:r>
          </w:p>
        </w:tc>
      </w:tr>
      <w:tr w:rsidR="00771BB4" w:rsidRPr="00602388" w:rsidTr="00AB725E">
        <w:trPr>
          <w:trHeight w:val="300"/>
        </w:trPr>
        <w:tc>
          <w:tcPr>
            <w:tcW w:w="3261" w:type="dxa"/>
            <w:tcBorders>
              <w:left w:val="nil"/>
              <w:bottom w:val="single" w:sz="4" w:space="0" w:color="auto"/>
              <w:right w:val="nil"/>
            </w:tcBorders>
            <w:shd w:val="clear" w:color="auto" w:fill="auto"/>
            <w:noWrap/>
            <w:hideMark/>
          </w:tcPr>
          <w:p w:rsidR="00771BB4" w:rsidRPr="00602388" w:rsidRDefault="00771BB4" w:rsidP="00AB725E">
            <w:pPr>
              <w:rPr>
                <w:rFonts w:ascii="Arial" w:hAnsi="Arial" w:cs="Arial"/>
                <w:b/>
                <w:sz w:val="16"/>
                <w:szCs w:val="16"/>
              </w:rPr>
            </w:pPr>
            <w:r w:rsidRPr="00602388">
              <w:rPr>
                <w:rFonts w:ascii="Arial" w:hAnsi="Arial" w:cs="Arial"/>
                <w:b/>
                <w:sz w:val="16"/>
                <w:szCs w:val="16"/>
              </w:rPr>
              <w:t>Total Management and Commerce</w:t>
            </w:r>
          </w:p>
        </w:tc>
        <w:tc>
          <w:tcPr>
            <w:tcW w:w="863" w:type="dxa"/>
            <w:tcBorders>
              <w:left w:val="nil"/>
              <w:bottom w:val="single" w:sz="4" w:space="0" w:color="auto"/>
              <w:right w:val="nil"/>
            </w:tcBorders>
            <w:shd w:val="clear" w:color="auto" w:fill="auto"/>
            <w:noWrap/>
            <w:hideMark/>
          </w:tcPr>
          <w:p w:rsidR="00771BB4" w:rsidRPr="00602388" w:rsidRDefault="00771BB4" w:rsidP="00AB725E">
            <w:pPr>
              <w:jc w:val="right"/>
              <w:rPr>
                <w:rFonts w:ascii="Arial" w:hAnsi="Arial" w:cs="Arial"/>
                <w:b/>
                <w:sz w:val="16"/>
                <w:szCs w:val="16"/>
              </w:rPr>
            </w:pPr>
            <w:r w:rsidRPr="00602388">
              <w:rPr>
                <w:rFonts w:ascii="Arial" w:hAnsi="Arial" w:cs="Arial"/>
                <w:b/>
                <w:sz w:val="16"/>
                <w:szCs w:val="16"/>
              </w:rPr>
              <w:t>9 288</w:t>
            </w:r>
          </w:p>
        </w:tc>
        <w:tc>
          <w:tcPr>
            <w:tcW w:w="980" w:type="dxa"/>
            <w:tcBorders>
              <w:left w:val="nil"/>
              <w:bottom w:val="single" w:sz="4" w:space="0" w:color="auto"/>
              <w:right w:val="nil"/>
            </w:tcBorders>
            <w:shd w:val="clear" w:color="auto" w:fill="auto"/>
            <w:noWrap/>
            <w:hideMark/>
          </w:tcPr>
          <w:p w:rsidR="00771BB4" w:rsidRPr="00602388" w:rsidRDefault="00771BB4" w:rsidP="00AB725E">
            <w:pPr>
              <w:jc w:val="right"/>
              <w:rPr>
                <w:rFonts w:ascii="Arial" w:hAnsi="Arial" w:cs="Arial"/>
                <w:b/>
                <w:sz w:val="16"/>
                <w:szCs w:val="16"/>
              </w:rPr>
            </w:pPr>
            <w:r w:rsidRPr="00602388">
              <w:rPr>
                <w:rFonts w:ascii="Arial" w:hAnsi="Arial" w:cs="Arial"/>
                <w:b/>
                <w:sz w:val="16"/>
                <w:szCs w:val="16"/>
              </w:rPr>
              <w:t>100.0</w:t>
            </w:r>
          </w:p>
        </w:tc>
        <w:tc>
          <w:tcPr>
            <w:tcW w:w="863" w:type="dxa"/>
            <w:tcBorders>
              <w:left w:val="nil"/>
              <w:bottom w:val="single" w:sz="4" w:space="0" w:color="auto"/>
              <w:right w:val="nil"/>
            </w:tcBorders>
          </w:tcPr>
          <w:p w:rsidR="00771BB4" w:rsidRPr="00602388" w:rsidRDefault="00771BB4" w:rsidP="00AB725E">
            <w:pPr>
              <w:jc w:val="right"/>
              <w:rPr>
                <w:rFonts w:ascii="Arial" w:hAnsi="Arial" w:cs="Arial"/>
                <w:b/>
                <w:sz w:val="16"/>
                <w:szCs w:val="16"/>
              </w:rPr>
            </w:pPr>
            <w:r w:rsidRPr="00602388">
              <w:rPr>
                <w:rFonts w:ascii="Arial" w:hAnsi="Arial" w:cs="Arial"/>
                <w:b/>
                <w:sz w:val="16"/>
                <w:szCs w:val="16"/>
              </w:rPr>
              <w:t>71 650</w:t>
            </w:r>
          </w:p>
        </w:tc>
        <w:tc>
          <w:tcPr>
            <w:tcW w:w="1068" w:type="dxa"/>
            <w:tcBorders>
              <w:left w:val="nil"/>
              <w:bottom w:val="single" w:sz="4" w:space="0" w:color="auto"/>
              <w:right w:val="nil"/>
            </w:tcBorders>
          </w:tcPr>
          <w:p w:rsidR="00771BB4" w:rsidRPr="00602388" w:rsidRDefault="00771BB4" w:rsidP="00AB725E">
            <w:pPr>
              <w:jc w:val="right"/>
              <w:rPr>
                <w:rFonts w:ascii="Arial" w:hAnsi="Arial" w:cs="Arial"/>
                <w:b/>
                <w:sz w:val="16"/>
                <w:szCs w:val="16"/>
              </w:rPr>
            </w:pPr>
            <w:r w:rsidRPr="00602388">
              <w:rPr>
                <w:rFonts w:ascii="Arial" w:hAnsi="Arial" w:cs="Arial"/>
                <w:b/>
                <w:sz w:val="16"/>
                <w:szCs w:val="16"/>
              </w:rPr>
              <w:t>100.0</w:t>
            </w:r>
          </w:p>
        </w:tc>
        <w:tc>
          <w:tcPr>
            <w:tcW w:w="1826" w:type="dxa"/>
            <w:tcBorders>
              <w:left w:val="nil"/>
              <w:bottom w:val="single" w:sz="4" w:space="0" w:color="auto"/>
              <w:right w:val="nil"/>
            </w:tcBorders>
          </w:tcPr>
          <w:p w:rsidR="00771BB4" w:rsidRPr="00602388" w:rsidRDefault="00771BB4" w:rsidP="00AB725E">
            <w:pPr>
              <w:jc w:val="right"/>
              <w:rPr>
                <w:rFonts w:ascii="Arial" w:hAnsi="Arial" w:cs="Arial"/>
                <w:b/>
                <w:sz w:val="16"/>
                <w:szCs w:val="16"/>
              </w:rPr>
            </w:pPr>
            <w:r w:rsidRPr="00602388">
              <w:rPr>
                <w:rFonts w:ascii="Arial" w:hAnsi="Arial" w:cs="Arial"/>
                <w:b/>
                <w:sz w:val="16"/>
                <w:szCs w:val="16"/>
              </w:rPr>
              <w:t>13.0</w:t>
            </w:r>
          </w:p>
        </w:tc>
      </w:tr>
    </w:tbl>
    <w:p w:rsidR="00771BB4" w:rsidRPr="00602388" w:rsidRDefault="00771BB4" w:rsidP="00771BB4">
      <w:pPr>
        <w:pStyle w:val="Source"/>
      </w:pPr>
      <w:r w:rsidRPr="00602388">
        <w:t>Source: DEEWR (2010) Higher Education Statistics Collection. Unpublished data</w:t>
      </w:r>
    </w:p>
    <w:p w:rsidR="00771BB4" w:rsidRPr="00602388" w:rsidRDefault="00771BB4" w:rsidP="00771BB4">
      <w:pPr>
        <w:pStyle w:val="Source"/>
      </w:pPr>
      <w:r w:rsidRPr="00602388">
        <w:t>Notes: Due to the coding of some students in combined programs to two fields of education, the totals can be higher than the total number of students and the size of the difference varies between fields of education.  The sub-field of “Office Studies” is excluded and reported as “Other Management and Commerce”</w:t>
      </w:r>
    </w:p>
    <w:p w:rsidR="00771BB4" w:rsidRPr="00602388" w:rsidRDefault="00771BB4" w:rsidP="00771BB4">
      <w:pPr>
        <w:pStyle w:val="Source"/>
      </w:pPr>
      <w:r w:rsidRPr="00602388">
        <w:t xml:space="preserve">.  </w:t>
      </w:r>
    </w:p>
    <w:p w:rsidR="00771BB4" w:rsidRPr="00602388" w:rsidRDefault="00771BB4" w:rsidP="00771BB4">
      <w:pPr>
        <w:pStyle w:val="Text"/>
      </w:pPr>
      <w:r w:rsidRPr="00602388">
        <w:t xml:space="preserve">As shown in </w:t>
      </w:r>
      <w:r w:rsidR="00B45EBA">
        <w:t xml:space="preserve">Table </w:t>
      </w:r>
      <w:r w:rsidR="003645D7">
        <w:t>8</w:t>
      </w:r>
      <w:r w:rsidRPr="00602388">
        <w:t xml:space="preserve">, half of all commencing students in Management and Commerce studies are in the sub-field of Business and Management. The next largest sub-field (apart from “Other”) is Accounting. In both of these sub-fields, VET award-holders are enrolled at above-average rates. </w:t>
      </w:r>
      <w:r w:rsidR="008A5F64" w:rsidRPr="00602388">
        <w:t xml:space="preserve">(As </w:t>
      </w:r>
      <w:r w:rsidR="00E4348C" w:rsidRPr="00602388">
        <w:t>reported</w:t>
      </w:r>
      <w:r w:rsidR="008A5F64" w:rsidRPr="00602388">
        <w:t xml:space="preserve"> in the main report, the average admission of VET award-holders across all broad fields of education in Australian universities is 10</w:t>
      </w:r>
      <w:r w:rsidR="00CA146B">
        <w:t>%</w:t>
      </w:r>
      <w:r w:rsidR="008A5F64" w:rsidRPr="00602388">
        <w:t xml:space="preserve">). </w:t>
      </w:r>
    </w:p>
    <w:p w:rsidR="00771BB4" w:rsidRPr="00602388" w:rsidRDefault="00771BB4" w:rsidP="00771BB4">
      <w:pPr>
        <w:pStyle w:val="Heading3"/>
        <w:rPr>
          <w:color w:val="auto"/>
        </w:rPr>
      </w:pPr>
      <w:r w:rsidRPr="00602388">
        <w:rPr>
          <w:color w:val="auto"/>
        </w:rPr>
        <w:t>Variation between institutions</w:t>
      </w:r>
    </w:p>
    <w:p w:rsidR="00771BB4" w:rsidRDefault="00771BB4" w:rsidP="00771BB4">
      <w:pPr>
        <w:pStyle w:val="Text"/>
      </w:pPr>
      <w:r>
        <w:t xml:space="preserve">All universities report undergraduate admissions in the field of Management and Commerce, as shown in </w:t>
      </w:r>
      <w:r w:rsidR="00B45EBA">
        <w:t xml:space="preserve">Figure </w:t>
      </w:r>
      <w:r w:rsidR="00016C35">
        <w:t>3</w:t>
      </w:r>
      <w:r>
        <w:t>. Many of the large providers in this field admit VET award-holders in high proportions, such as RMIT University (24</w:t>
      </w:r>
      <w:r w:rsidR="00CA146B">
        <w:t>%</w:t>
      </w:r>
      <w:r>
        <w:t>), Griffith University (17</w:t>
      </w:r>
      <w:r w:rsidR="00CA146B">
        <w:t>%</w:t>
      </w:r>
      <w:r>
        <w:t>), University of Western Sydney (23</w:t>
      </w:r>
      <w:r w:rsidR="00CA146B">
        <w:t>%</w:t>
      </w:r>
      <w:r>
        <w:t>), La Trobe University (23</w:t>
      </w:r>
      <w:r w:rsidR="00CA146B">
        <w:t>%</w:t>
      </w:r>
      <w:r>
        <w:t>). However, several large providers also admit negligible numbers of VET award-holders: Monash University (2</w:t>
      </w:r>
      <w:r w:rsidR="00CA146B">
        <w:t>%</w:t>
      </w:r>
      <w:r>
        <w:t>), Curtin University (2</w:t>
      </w:r>
      <w:r w:rsidR="00CA146B">
        <w:t>%</w:t>
      </w:r>
      <w:r>
        <w:t>) and Macquarie University (</w:t>
      </w:r>
      <w:r w:rsidR="00CA146B">
        <w:t>4%</w:t>
      </w:r>
      <w:r>
        <w:t xml:space="preserve">). </w:t>
      </w:r>
    </w:p>
    <w:p w:rsidR="00771BB4" w:rsidRDefault="00771BB4" w:rsidP="00771BB4">
      <w:pPr>
        <w:pStyle w:val="Figuretitle"/>
      </w:pPr>
    </w:p>
    <w:p w:rsidR="00F82B97" w:rsidRDefault="00F82B97">
      <w:pPr>
        <w:spacing w:before="0" w:line="240" w:lineRule="auto"/>
        <w:rPr>
          <w:rFonts w:ascii="Tahoma" w:hAnsi="Tahoma"/>
          <w:b/>
          <w:sz w:val="17"/>
        </w:rPr>
      </w:pPr>
      <w:r>
        <w:br w:type="page"/>
      </w:r>
    </w:p>
    <w:p w:rsidR="00771BB4" w:rsidRDefault="00B45EBA" w:rsidP="00771BB4">
      <w:pPr>
        <w:pStyle w:val="Figuretitle"/>
      </w:pPr>
      <w:bookmarkStart w:id="63" w:name="_Toc370995938"/>
      <w:r>
        <w:lastRenderedPageBreak/>
        <w:t xml:space="preserve">Figure </w:t>
      </w:r>
      <w:r w:rsidR="00971369">
        <w:t>3</w:t>
      </w:r>
      <w:r w:rsidR="00771BB4">
        <w:tab/>
        <w:t>Number of students commencing undergraduate studies in Management and Commerce by basis of admission by university, Australia 2010</w:t>
      </w:r>
      <w:bookmarkEnd w:id="63"/>
    </w:p>
    <w:p w:rsidR="00771BB4" w:rsidRPr="00676C10" w:rsidRDefault="00771BB4" w:rsidP="00771BB4">
      <w:pPr>
        <w:pStyle w:val="Figuretitle"/>
      </w:pPr>
      <w:r w:rsidRPr="00676C10">
        <w:rPr>
          <w:noProof/>
          <w:lang w:eastAsia="en-AU"/>
        </w:rPr>
        <w:drawing>
          <wp:inline distT="0" distB="0" distL="0" distR="0">
            <wp:extent cx="5580380" cy="6759973"/>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1BB4" w:rsidRDefault="00771BB4" w:rsidP="00771BB4">
      <w:pPr>
        <w:pStyle w:val="Source"/>
      </w:pPr>
      <w:r>
        <w:t>Source: DEEWR (2010) Higher Education Statistics Collection. Unpublished data</w:t>
      </w:r>
    </w:p>
    <w:p w:rsidR="00771BB4" w:rsidRDefault="00771BB4" w:rsidP="00771BB4">
      <w:pPr>
        <w:pStyle w:val="Source"/>
      </w:pPr>
      <w:r>
        <w:t>Notes</w:t>
      </w:r>
      <w:r w:rsidRPr="00EE0FA8">
        <w:t xml:space="preserve"> </w:t>
      </w:r>
      <w:r>
        <w:t xml:space="preserve">Due to the coding of some students in combined programs to two fields of education, the totals can be higher than the total number of students and the size of the difference varies between fields of education.  </w:t>
      </w:r>
    </w:p>
    <w:p w:rsidR="00771BB4" w:rsidRDefault="00771BB4" w:rsidP="00771BB4">
      <w:pPr>
        <w:pStyle w:val="Source"/>
      </w:pPr>
      <w:r>
        <w:t xml:space="preserve">.  </w:t>
      </w:r>
    </w:p>
    <w:p w:rsidR="00771BB4" w:rsidRDefault="00771BB4" w:rsidP="00771BB4">
      <w:pPr>
        <w:pStyle w:val="Text"/>
      </w:pPr>
      <w:r>
        <w:t xml:space="preserve">Nine </w:t>
      </w:r>
      <w:r w:rsidRPr="00602388">
        <w:t>universities admit</w:t>
      </w:r>
      <w:r>
        <w:t xml:space="preserve"> over 400 VET award-holders </w:t>
      </w:r>
      <w:r w:rsidR="00602388">
        <w:t xml:space="preserve">each </w:t>
      </w:r>
      <w:r>
        <w:t xml:space="preserve">in this </w:t>
      </w:r>
      <w:r w:rsidR="00602388">
        <w:t xml:space="preserve">broad </w:t>
      </w:r>
      <w:r>
        <w:t xml:space="preserve">field, and together, these institutions are responsible for admitting over two-thirds (6, 219 students) of the total number of VET award-holders in the field of Management and Commerce. In contrast, the nine poorest performing universities (in terms of the proportions of students they admit on the basis of a VET award) admit a mere 5 per cent (423 students) of all VET award-holders. Both sets of universities </w:t>
      </w:r>
      <w:r w:rsidR="00602388">
        <w:t xml:space="preserve">each </w:t>
      </w:r>
      <w:r>
        <w:t>cater for 30 per cent of all stu</w:t>
      </w:r>
      <w:r w:rsidR="008A5F64">
        <w:t>dents admitted on other bases</w:t>
      </w:r>
      <w:r w:rsidR="00602388">
        <w:t>.</w:t>
      </w:r>
      <w:r w:rsidR="008A5F64">
        <w:t xml:space="preserve"> </w:t>
      </w:r>
    </w:p>
    <w:p w:rsidR="00771BB4" w:rsidRDefault="00771BB4" w:rsidP="00771BB4">
      <w:pPr>
        <w:pStyle w:val="Heading2"/>
      </w:pPr>
      <w:bookmarkStart w:id="64" w:name="_Toc358384121"/>
      <w:bookmarkStart w:id="65" w:name="_Toc370995884"/>
      <w:r>
        <w:lastRenderedPageBreak/>
        <w:t>Differences between sub-fields</w:t>
      </w:r>
      <w:bookmarkEnd w:id="64"/>
      <w:bookmarkEnd w:id="65"/>
    </w:p>
    <w:p w:rsidR="00771BB4" w:rsidRDefault="00771BB4" w:rsidP="00771BB4">
      <w:pPr>
        <w:pStyle w:val="Text"/>
      </w:pPr>
      <w:r>
        <w:t xml:space="preserve">To assess the extent to which the observed differences between universities in rates of admission of VET award-holders might be the product of discipline-mix, rather than institutional policies and practices, we examine the differences in rates of admission of VET award-holders to universities within sub-fields. </w:t>
      </w:r>
    </w:p>
    <w:p w:rsidR="00771BB4" w:rsidRDefault="00771BB4" w:rsidP="00771BB4">
      <w:pPr>
        <w:pStyle w:val="Heading3"/>
      </w:pPr>
      <w:r>
        <w:t>Accounting</w:t>
      </w:r>
    </w:p>
    <w:p w:rsidR="00771BB4" w:rsidRDefault="00771BB4" w:rsidP="00771BB4">
      <w:pPr>
        <w:pStyle w:val="Text"/>
      </w:pPr>
      <w:r>
        <w:t xml:space="preserve">One in ten students in the broad field of management and commerce are in the sub-field of accounting. Of the 8 421 students commencing Accounting in 2010, 1 326 or 15.7 per cent were admitted on the basis of a VET award. Twenty-one universities enrol commencing students in units of study classified as accounting, as shown in </w:t>
      </w:r>
      <w:r w:rsidR="00B45EBA">
        <w:t xml:space="preserve">Table </w:t>
      </w:r>
      <w:r w:rsidR="003645D7">
        <w:t>9</w:t>
      </w:r>
      <w:r>
        <w:t>.</w:t>
      </w:r>
    </w:p>
    <w:p w:rsidR="00771BB4" w:rsidRDefault="00B45EBA" w:rsidP="00771BB4">
      <w:pPr>
        <w:pStyle w:val="tabletitle"/>
      </w:pPr>
      <w:bookmarkStart w:id="66" w:name="_Toc350786315"/>
      <w:bookmarkStart w:id="67" w:name="_Toc370995918"/>
      <w:r>
        <w:t xml:space="preserve">Table </w:t>
      </w:r>
      <w:r w:rsidR="006A154F">
        <w:t>9</w:t>
      </w:r>
      <w:r w:rsidR="00771BB4">
        <w:tab/>
        <w:t xml:space="preserve">VET award-holders and all undergraduate commencements in Accounting </w:t>
      </w:r>
      <w:r w:rsidR="00771BB4">
        <w:rPr>
          <w:szCs w:val="22"/>
        </w:rPr>
        <w:t>(FOE 0801)</w:t>
      </w:r>
      <w:r w:rsidR="00771BB4">
        <w:t>, by HE provider Australia 2010</w:t>
      </w:r>
      <w:bookmarkEnd w:id="66"/>
      <w:bookmarkEnd w:id="67"/>
    </w:p>
    <w:tbl>
      <w:tblPr>
        <w:tblW w:w="7938" w:type="dxa"/>
        <w:tblInd w:w="108" w:type="dxa"/>
        <w:tblLayout w:type="fixed"/>
        <w:tblLook w:val="04A0"/>
      </w:tblPr>
      <w:tblGrid>
        <w:gridCol w:w="3448"/>
        <w:gridCol w:w="521"/>
        <w:gridCol w:w="993"/>
        <w:gridCol w:w="850"/>
        <w:gridCol w:w="1134"/>
        <w:gridCol w:w="992"/>
      </w:tblGrid>
      <w:tr w:rsidR="00771BB4" w:rsidRPr="00CE24D5" w:rsidTr="00AB725E">
        <w:trPr>
          <w:trHeight w:val="300"/>
        </w:trPr>
        <w:tc>
          <w:tcPr>
            <w:tcW w:w="3448" w:type="dxa"/>
            <w:tcBorders>
              <w:top w:val="single" w:sz="4" w:space="0" w:color="auto"/>
              <w:left w:val="nil"/>
              <w:bottom w:val="nil"/>
              <w:right w:val="nil"/>
            </w:tcBorders>
            <w:shd w:val="clear" w:color="auto" w:fill="auto"/>
            <w:noWrap/>
            <w:vAlign w:val="bottom"/>
            <w:hideMark/>
          </w:tcPr>
          <w:p w:rsidR="00771BB4" w:rsidRPr="00CE24D5" w:rsidRDefault="00771BB4" w:rsidP="00AB725E">
            <w:pPr>
              <w:pStyle w:val="Tablehead1"/>
              <w:rPr>
                <w:bCs/>
                <w:color w:val="000000"/>
                <w:lang w:val="en-US"/>
              </w:rPr>
            </w:pPr>
          </w:p>
        </w:tc>
        <w:tc>
          <w:tcPr>
            <w:tcW w:w="2364" w:type="dxa"/>
            <w:gridSpan w:val="3"/>
            <w:tcBorders>
              <w:top w:val="single" w:sz="4" w:space="0" w:color="auto"/>
              <w:left w:val="nil"/>
              <w:bottom w:val="nil"/>
              <w:right w:val="nil"/>
            </w:tcBorders>
            <w:shd w:val="clear" w:color="auto" w:fill="auto"/>
            <w:noWrap/>
            <w:vAlign w:val="bottom"/>
            <w:hideMark/>
          </w:tcPr>
          <w:p w:rsidR="00771BB4" w:rsidRPr="00CE24D5" w:rsidRDefault="00771BB4" w:rsidP="00AB725E">
            <w:pPr>
              <w:pStyle w:val="Tablehead1"/>
              <w:jc w:val="right"/>
              <w:rPr>
                <w:rFonts w:cs="Arial"/>
                <w:bCs/>
                <w:color w:val="000000"/>
                <w:szCs w:val="17"/>
                <w:lang w:val="en-US"/>
              </w:rPr>
            </w:pPr>
            <w:r>
              <w:rPr>
                <w:rFonts w:cs="Arial"/>
                <w:bCs/>
                <w:color w:val="000000"/>
                <w:szCs w:val="17"/>
                <w:lang w:val="en-US"/>
              </w:rPr>
              <w:t>All undergraduate commencements</w:t>
            </w:r>
          </w:p>
        </w:tc>
        <w:tc>
          <w:tcPr>
            <w:tcW w:w="2126" w:type="dxa"/>
            <w:gridSpan w:val="2"/>
            <w:tcBorders>
              <w:top w:val="single" w:sz="4" w:space="0" w:color="auto"/>
              <w:left w:val="nil"/>
              <w:bottom w:val="nil"/>
              <w:right w:val="nil"/>
            </w:tcBorders>
            <w:vAlign w:val="bottom"/>
          </w:tcPr>
          <w:p w:rsidR="00771BB4" w:rsidRPr="00CE24D5" w:rsidRDefault="00771BB4" w:rsidP="00AB725E">
            <w:pPr>
              <w:pStyle w:val="Tablehead1"/>
              <w:jc w:val="right"/>
              <w:rPr>
                <w:rFonts w:cs="Arial"/>
                <w:bCs/>
                <w:color w:val="000000"/>
                <w:szCs w:val="17"/>
                <w:lang w:val="en-US"/>
              </w:rPr>
            </w:pPr>
            <w:r>
              <w:rPr>
                <w:rFonts w:cs="Arial"/>
                <w:bCs/>
                <w:color w:val="000000"/>
                <w:szCs w:val="17"/>
                <w:lang w:val="en-US"/>
              </w:rPr>
              <w:t xml:space="preserve">VET award-holders </w:t>
            </w:r>
          </w:p>
        </w:tc>
      </w:tr>
      <w:tr w:rsidR="00771BB4" w:rsidRPr="00322D4B"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771BB4" w:rsidRPr="00F71B20" w:rsidRDefault="00771BB4" w:rsidP="00AB725E">
            <w:pPr>
              <w:pStyle w:val="Tablehead2"/>
              <w:rPr>
                <w:rFonts w:asciiTheme="majorHAnsi" w:hAnsiTheme="majorHAnsi"/>
                <w:sz w:val="18"/>
                <w:szCs w:val="18"/>
                <w:lang w:val="en-US"/>
              </w:rPr>
            </w:pPr>
            <w:r>
              <w:rPr>
                <w:rFonts w:asciiTheme="majorHAnsi" w:hAnsiTheme="majorHAnsi"/>
                <w:sz w:val="18"/>
                <w:szCs w:val="18"/>
                <w:lang w:val="en-US"/>
              </w:rPr>
              <w:t xml:space="preserve">Institution </w:t>
            </w:r>
            <w:r w:rsidR="00CE1020">
              <w:rPr>
                <w:rFonts w:asciiTheme="majorHAnsi" w:hAnsiTheme="majorHAnsi"/>
                <w:sz w:val="18"/>
                <w:szCs w:val="18"/>
                <w:lang w:val="en-US"/>
              </w:rPr>
              <w:t>(Cluster)</w:t>
            </w:r>
          </w:p>
        </w:tc>
        <w:tc>
          <w:tcPr>
            <w:tcW w:w="993" w:type="dxa"/>
            <w:tcBorders>
              <w:top w:val="nil"/>
              <w:left w:val="nil"/>
              <w:bottom w:val="single" w:sz="4" w:space="0" w:color="auto"/>
              <w:right w:val="nil"/>
            </w:tcBorders>
            <w:shd w:val="clear" w:color="auto" w:fill="auto"/>
            <w:noWrap/>
            <w:vAlign w:val="bottom"/>
            <w:hideMark/>
          </w:tcPr>
          <w:p w:rsidR="00771BB4" w:rsidRPr="00F71B20" w:rsidRDefault="00771BB4"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Students</w:t>
            </w:r>
            <w:r>
              <w:rPr>
                <w:rFonts w:asciiTheme="majorHAnsi" w:hAnsiTheme="majorHAnsi"/>
                <w:sz w:val="18"/>
                <w:szCs w:val="18"/>
                <w:lang w:val="en-US"/>
              </w:rPr>
              <w:t xml:space="preserve"> </w:t>
            </w:r>
          </w:p>
        </w:tc>
        <w:tc>
          <w:tcPr>
            <w:tcW w:w="850" w:type="dxa"/>
            <w:tcBorders>
              <w:top w:val="nil"/>
              <w:left w:val="nil"/>
              <w:bottom w:val="single" w:sz="4" w:space="0" w:color="auto"/>
              <w:right w:val="nil"/>
            </w:tcBorders>
            <w:shd w:val="clear" w:color="auto" w:fill="auto"/>
            <w:noWrap/>
            <w:vAlign w:val="bottom"/>
            <w:hideMark/>
          </w:tcPr>
          <w:p w:rsidR="00771BB4" w:rsidRPr="00F71B20" w:rsidRDefault="00771BB4"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 total</w:t>
            </w:r>
            <w:r>
              <w:rPr>
                <w:rFonts w:asciiTheme="majorHAnsi" w:hAnsiTheme="majorHAnsi"/>
                <w:sz w:val="18"/>
                <w:szCs w:val="18"/>
                <w:lang w:val="en-US"/>
              </w:rPr>
              <w:t xml:space="preserve"> </w:t>
            </w:r>
          </w:p>
        </w:tc>
        <w:tc>
          <w:tcPr>
            <w:tcW w:w="1134" w:type="dxa"/>
            <w:tcBorders>
              <w:top w:val="nil"/>
              <w:left w:val="nil"/>
              <w:bottom w:val="single" w:sz="4" w:space="0" w:color="auto"/>
              <w:right w:val="nil"/>
            </w:tcBorders>
            <w:vAlign w:val="bottom"/>
          </w:tcPr>
          <w:p w:rsidR="00771BB4" w:rsidRPr="00F71B20" w:rsidRDefault="00771BB4"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Students</w:t>
            </w:r>
          </w:p>
        </w:tc>
        <w:tc>
          <w:tcPr>
            <w:tcW w:w="992" w:type="dxa"/>
            <w:tcBorders>
              <w:top w:val="nil"/>
              <w:left w:val="nil"/>
              <w:bottom w:val="single" w:sz="4" w:space="0" w:color="auto"/>
              <w:right w:val="nil"/>
            </w:tcBorders>
            <w:vAlign w:val="bottom"/>
          </w:tcPr>
          <w:p w:rsidR="00771BB4" w:rsidRPr="00F71B20" w:rsidRDefault="00771BB4" w:rsidP="00AB725E">
            <w:pPr>
              <w:pStyle w:val="Tablehead2"/>
              <w:jc w:val="right"/>
              <w:rPr>
                <w:rFonts w:asciiTheme="majorHAnsi" w:hAnsiTheme="majorHAnsi"/>
                <w:sz w:val="18"/>
                <w:szCs w:val="18"/>
                <w:lang w:val="en-US"/>
              </w:rPr>
            </w:pPr>
            <w:r>
              <w:rPr>
                <w:rFonts w:asciiTheme="majorHAnsi" w:hAnsiTheme="majorHAnsi"/>
                <w:sz w:val="18"/>
                <w:szCs w:val="18"/>
                <w:lang w:val="en-US"/>
              </w:rPr>
              <w:t>% U/G</w:t>
            </w:r>
          </w:p>
        </w:tc>
      </w:tr>
      <w:tr w:rsidR="00771BB4" w:rsidRPr="000737AA" w:rsidTr="00AB725E">
        <w:trPr>
          <w:trHeight w:val="300"/>
        </w:trPr>
        <w:tc>
          <w:tcPr>
            <w:tcW w:w="3969" w:type="dxa"/>
            <w:gridSpan w:val="2"/>
            <w:tcBorders>
              <w:top w:val="single" w:sz="4" w:space="0" w:color="auto"/>
              <w:left w:val="nil"/>
              <w:bottom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Macquarie University</w:t>
            </w:r>
            <w:r w:rsidR="00CE1020">
              <w:rPr>
                <w:rFonts w:ascii="Arial" w:hAnsi="Arial" w:cs="Arial"/>
                <w:color w:val="000000"/>
                <w:sz w:val="16"/>
                <w:szCs w:val="16"/>
              </w:rPr>
              <w:t xml:space="preserve"> (3)</w:t>
            </w:r>
          </w:p>
        </w:tc>
        <w:tc>
          <w:tcPr>
            <w:tcW w:w="993" w:type="dxa"/>
            <w:tcBorders>
              <w:top w:val="single" w:sz="4" w:space="0" w:color="auto"/>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1847</w:t>
            </w:r>
          </w:p>
        </w:tc>
        <w:tc>
          <w:tcPr>
            <w:tcW w:w="850" w:type="dxa"/>
            <w:tcBorders>
              <w:top w:val="single" w:sz="4" w:space="0" w:color="auto"/>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21.9</w:t>
            </w:r>
          </w:p>
        </w:tc>
        <w:tc>
          <w:tcPr>
            <w:tcW w:w="1134" w:type="dxa"/>
            <w:tcBorders>
              <w:top w:val="single" w:sz="4" w:space="0" w:color="auto"/>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93</w:t>
            </w:r>
          </w:p>
        </w:tc>
        <w:tc>
          <w:tcPr>
            <w:tcW w:w="992" w:type="dxa"/>
            <w:tcBorders>
              <w:top w:val="single" w:sz="4" w:space="0" w:color="auto"/>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5.0</w:t>
            </w:r>
          </w:p>
        </w:tc>
      </w:tr>
      <w:tr w:rsidR="00771BB4" w:rsidRPr="000737A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University of South Australia</w:t>
            </w:r>
            <w:r w:rsidR="00CE1020">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891</w:t>
            </w:r>
          </w:p>
        </w:tc>
        <w:tc>
          <w:tcPr>
            <w:tcW w:w="850"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10.6</w:t>
            </w:r>
          </w:p>
        </w:tc>
        <w:tc>
          <w:tcPr>
            <w:tcW w:w="1134"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158</w:t>
            </w:r>
          </w:p>
        </w:tc>
        <w:tc>
          <w:tcPr>
            <w:tcW w:w="992"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17.7</w:t>
            </w:r>
          </w:p>
        </w:tc>
      </w:tr>
      <w:tr w:rsidR="00771BB4" w:rsidRPr="000737A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RMIT University</w:t>
            </w:r>
            <w:r w:rsidR="00CE1020">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861</w:t>
            </w:r>
          </w:p>
        </w:tc>
        <w:tc>
          <w:tcPr>
            <w:tcW w:w="850"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10.2</w:t>
            </w:r>
          </w:p>
        </w:tc>
        <w:tc>
          <w:tcPr>
            <w:tcW w:w="1134"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247</w:t>
            </w:r>
          </w:p>
        </w:tc>
        <w:tc>
          <w:tcPr>
            <w:tcW w:w="992"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28.7</w:t>
            </w:r>
          </w:p>
        </w:tc>
      </w:tr>
      <w:tr w:rsidR="00771BB4" w:rsidRPr="000737A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Central Queensland University</w:t>
            </w:r>
            <w:r w:rsidR="00CE1020">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701</w:t>
            </w:r>
          </w:p>
        </w:tc>
        <w:tc>
          <w:tcPr>
            <w:tcW w:w="850"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8.3</w:t>
            </w:r>
          </w:p>
        </w:tc>
        <w:tc>
          <w:tcPr>
            <w:tcW w:w="1134"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128</w:t>
            </w:r>
          </w:p>
        </w:tc>
        <w:tc>
          <w:tcPr>
            <w:tcW w:w="992"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18.3</w:t>
            </w:r>
          </w:p>
        </w:tc>
      </w:tr>
      <w:tr w:rsidR="00771BB4" w:rsidRPr="000737A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Victoria University</w:t>
            </w:r>
            <w:r w:rsidR="00CE1020">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658</w:t>
            </w:r>
          </w:p>
        </w:tc>
        <w:tc>
          <w:tcPr>
            <w:tcW w:w="850"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7.8</w:t>
            </w:r>
          </w:p>
        </w:tc>
        <w:tc>
          <w:tcPr>
            <w:tcW w:w="1134"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79</w:t>
            </w:r>
          </w:p>
        </w:tc>
        <w:tc>
          <w:tcPr>
            <w:tcW w:w="992"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12.0</w:t>
            </w:r>
          </w:p>
        </w:tc>
      </w:tr>
      <w:tr w:rsidR="00771BB4" w:rsidRPr="000737A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La Trobe University</w:t>
            </w:r>
            <w:r w:rsidR="00CE1020">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621</w:t>
            </w:r>
          </w:p>
        </w:tc>
        <w:tc>
          <w:tcPr>
            <w:tcW w:w="850"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7.4</w:t>
            </w:r>
          </w:p>
        </w:tc>
        <w:tc>
          <w:tcPr>
            <w:tcW w:w="1134"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88</w:t>
            </w:r>
          </w:p>
        </w:tc>
        <w:tc>
          <w:tcPr>
            <w:tcW w:w="992"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14.2</w:t>
            </w:r>
          </w:p>
        </w:tc>
      </w:tr>
      <w:tr w:rsidR="00771BB4" w:rsidRPr="000737A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Queensland University of Technology</w:t>
            </w:r>
            <w:r w:rsidR="00CE1020">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490</w:t>
            </w:r>
          </w:p>
        </w:tc>
        <w:tc>
          <w:tcPr>
            <w:tcW w:w="850"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5.8</w:t>
            </w:r>
          </w:p>
        </w:tc>
        <w:tc>
          <w:tcPr>
            <w:tcW w:w="1134"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44</w:t>
            </w:r>
          </w:p>
        </w:tc>
        <w:tc>
          <w:tcPr>
            <w:tcW w:w="992"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9.0</w:t>
            </w:r>
          </w:p>
        </w:tc>
      </w:tr>
      <w:tr w:rsidR="00771BB4" w:rsidRPr="000737A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737AA" w:rsidRDefault="00771BB4" w:rsidP="00CE1020">
            <w:pPr>
              <w:spacing w:before="0" w:line="240" w:lineRule="auto"/>
              <w:rPr>
                <w:rFonts w:ascii="Arial" w:hAnsi="Arial" w:cs="Arial"/>
                <w:color w:val="000000"/>
                <w:sz w:val="16"/>
                <w:szCs w:val="16"/>
              </w:rPr>
            </w:pPr>
            <w:r w:rsidRPr="000737AA">
              <w:rPr>
                <w:rFonts w:ascii="Arial" w:hAnsi="Arial" w:cs="Arial"/>
                <w:color w:val="000000"/>
                <w:sz w:val="16"/>
                <w:szCs w:val="16"/>
              </w:rPr>
              <w:t>Swinburne University of Technology</w:t>
            </w:r>
            <w:r w:rsidR="00CE1020">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463</w:t>
            </w:r>
          </w:p>
        </w:tc>
        <w:tc>
          <w:tcPr>
            <w:tcW w:w="850"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5.5</w:t>
            </w:r>
          </w:p>
        </w:tc>
        <w:tc>
          <w:tcPr>
            <w:tcW w:w="1134"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184</w:t>
            </w:r>
          </w:p>
        </w:tc>
        <w:tc>
          <w:tcPr>
            <w:tcW w:w="992"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39.7</w:t>
            </w:r>
          </w:p>
        </w:tc>
      </w:tr>
      <w:tr w:rsidR="00771BB4" w:rsidRPr="000737A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Charles Sturt University</w:t>
            </w:r>
            <w:r w:rsidR="00CE1020">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445</w:t>
            </w:r>
          </w:p>
        </w:tc>
        <w:tc>
          <w:tcPr>
            <w:tcW w:w="850"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5.3</w:t>
            </w:r>
          </w:p>
        </w:tc>
        <w:tc>
          <w:tcPr>
            <w:tcW w:w="1134"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190</w:t>
            </w:r>
          </w:p>
        </w:tc>
        <w:tc>
          <w:tcPr>
            <w:tcW w:w="992"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42.7</w:t>
            </w:r>
          </w:p>
        </w:tc>
      </w:tr>
      <w:tr w:rsidR="00771BB4" w:rsidRPr="000737AA" w:rsidTr="00AB725E">
        <w:trPr>
          <w:trHeight w:val="300"/>
        </w:trPr>
        <w:tc>
          <w:tcPr>
            <w:tcW w:w="3969" w:type="dxa"/>
            <w:gridSpan w:val="2"/>
            <w:tcBorders>
              <w:top w:val="nil"/>
              <w:left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Monash University</w:t>
            </w:r>
            <w:r w:rsidR="00CE1020">
              <w:rPr>
                <w:rFonts w:ascii="Arial" w:hAnsi="Arial" w:cs="Arial"/>
                <w:color w:val="000000"/>
                <w:sz w:val="16"/>
                <w:szCs w:val="16"/>
              </w:rPr>
              <w:t xml:space="preserve"> (3)</w:t>
            </w:r>
          </w:p>
        </w:tc>
        <w:tc>
          <w:tcPr>
            <w:tcW w:w="993" w:type="dxa"/>
            <w:tcBorders>
              <w:top w:val="nil"/>
              <w:left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410</w:t>
            </w:r>
          </w:p>
        </w:tc>
        <w:tc>
          <w:tcPr>
            <w:tcW w:w="850" w:type="dxa"/>
            <w:tcBorders>
              <w:top w:val="nil"/>
              <w:left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4.9</w:t>
            </w:r>
          </w:p>
        </w:tc>
        <w:tc>
          <w:tcPr>
            <w:tcW w:w="1134" w:type="dxa"/>
            <w:tcBorders>
              <w:top w:val="nil"/>
              <w:left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w:t>
            </w:r>
          </w:p>
        </w:tc>
        <w:tc>
          <w:tcPr>
            <w:tcW w:w="992" w:type="dxa"/>
            <w:tcBorders>
              <w:top w:val="nil"/>
              <w:left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0.0</w:t>
            </w:r>
          </w:p>
        </w:tc>
      </w:tr>
      <w:tr w:rsidR="00771BB4" w:rsidRPr="000737AA" w:rsidTr="00AB725E">
        <w:trPr>
          <w:trHeight w:val="300"/>
        </w:trPr>
        <w:tc>
          <w:tcPr>
            <w:tcW w:w="3969" w:type="dxa"/>
            <w:gridSpan w:val="2"/>
            <w:tcBorders>
              <w:top w:val="nil"/>
              <w:left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University of Wollongong</w:t>
            </w:r>
            <w:r w:rsidR="00CE1020">
              <w:rPr>
                <w:rFonts w:ascii="Arial" w:hAnsi="Arial" w:cs="Arial"/>
                <w:color w:val="000000"/>
                <w:sz w:val="16"/>
                <w:szCs w:val="16"/>
              </w:rPr>
              <w:t xml:space="preserve"> (2)</w:t>
            </w:r>
          </w:p>
        </w:tc>
        <w:tc>
          <w:tcPr>
            <w:tcW w:w="993" w:type="dxa"/>
            <w:tcBorders>
              <w:top w:val="nil"/>
              <w:left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300</w:t>
            </w:r>
          </w:p>
        </w:tc>
        <w:tc>
          <w:tcPr>
            <w:tcW w:w="850" w:type="dxa"/>
            <w:tcBorders>
              <w:top w:val="nil"/>
              <w:left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3.6</w:t>
            </w:r>
          </w:p>
        </w:tc>
        <w:tc>
          <w:tcPr>
            <w:tcW w:w="1134" w:type="dxa"/>
            <w:tcBorders>
              <w:top w:val="nil"/>
              <w:left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85</w:t>
            </w:r>
          </w:p>
        </w:tc>
        <w:tc>
          <w:tcPr>
            <w:tcW w:w="992" w:type="dxa"/>
            <w:tcBorders>
              <w:top w:val="nil"/>
              <w:left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28.3</w:t>
            </w:r>
          </w:p>
        </w:tc>
      </w:tr>
      <w:tr w:rsidR="00771BB4" w:rsidRPr="000737AA" w:rsidTr="00AB725E">
        <w:trPr>
          <w:trHeight w:val="300"/>
        </w:trPr>
        <w:tc>
          <w:tcPr>
            <w:tcW w:w="3969" w:type="dxa"/>
            <w:gridSpan w:val="2"/>
            <w:tcBorders>
              <w:top w:val="nil"/>
              <w:left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The University of Adelaide</w:t>
            </w:r>
            <w:r w:rsidR="00CE1020">
              <w:rPr>
                <w:rFonts w:ascii="Arial" w:hAnsi="Arial" w:cs="Arial"/>
                <w:color w:val="000000"/>
                <w:sz w:val="16"/>
                <w:szCs w:val="16"/>
              </w:rPr>
              <w:t xml:space="preserve"> (3)</w:t>
            </w:r>
          </w:p>
        </w:tc>
        <w:tc>
          <w:tcPr>
            <w:tcW w:w="993" w:type="dxa"/>
            <w:tcBorders>
              <w:top w:val="nil"/>
              <w:left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202</w:t>
            </w:r>
          </w:p>
        </w:tc>
        <w:tc>
          <w:tcPr>
            <w:tcW w:w="850" w:type="dxa"/>
            <w:tcBorders>
              <w:top w:val="nil"/>
              <w:left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2.4</w:t>
            </w:r>
          </w:p>
        </w:tc>
        <w:tc>
          <w:tcPr>
            <w:tcW w:w="1134" w:type="dxa"/>
            <w:tcBorders>
              <w:top w:val="nil"/>
              <w:left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w:t>
            </w:r>
          </w:p>
        </w:tc>
        <w:tc>
          <w:tcPr>
            <w:tcW w:w="992" w:type="dxa"/>
            <w:tcBorders>
              <w:top w:val="nil"/>
              <w:left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0.0</w:t>
            </w:r>
          </w:p>
        </w:tc>
      </w:tr>
      <w:tr w:rsidR="00771BB4" w:rsidRPr="000737A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737AA" w:rsidRDefault="00771BB4" w:rsidP="00CE1020">
            <w:pPr>
              <w:spacing w:before="0" w:line="240" w:lineRule="auto"/>
              <w:rPr>
                <w:rFonts w:ascii="Arial" w:hAnsi="Arial" w:cs="Arial"/>
                <w:color w:val="000000"/>
                <w:sz w:val="16"/>
                <w:szCs w:val="16"/>
              </w:rPr>
            </w:pPr>
            <w:r w:rsidRPr="000737AA">
              <w:rPr>
                <w:rFonts w:ascii="Arial" w:hAnsi="Arial" w:cs="Arial"/>
                <w:color w:val="000000"/>
                <w:sz w:val="16"/>
                <w:szCs w:val="16"/>
              </w:rPr>
              <w:t>The University of New England</w:t>
            </w:r>
            <w:r w:rsidR="00CE1020">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123</w:t>
            </w:r>
          </w:p>
        </w:tc>
        <w:tc>
          <w:tcPr>
            <w:tcW w:w="850"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1.5</w:t>
            </w:r>
          </w:p>
        </w:tc>
        <w:tc>
          <w:tcPr>
            <w:tcW w:w="1134"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&lt;10</w:t>
            </w:r>
          </w:p>
        </w:tc>
        <w:tc>
          <w:tcPr>
            <w:tcW w:w="992"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n.a</w:t>
            </w:r>
          </w:p>
        </w:tc>
      </w:tr>
      <w:tr w:rsidR="00771BB4" w:rsidRPr="000737A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The University of Newcastle</w:t>
            </w:r>
            <w:r w:rsidR="00CE1020">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95</w:t>
            </w:r>
          </w:p>
        </w:tc>
        <w:tc>
          <w:tcPr>
            <w:tcW w:w="850"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1.1</w:t>
            </w:r>
          </w:p>
        </w:tc>
        <w:tc>
          <w:tcPr>
            <w:tcW w:w="1134"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&lt;10</w:t>
            </w:r>
          </w:p>
        </w:tc>
        <w:tc>
          <w:tcPr>
            <w:tcW w:w="992"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n.a</w:t>
            </w:r>
          </w:p>
        </w:tc>
      </w:tr>
      <w:tr w:rsidR="00771BB4" w:rsidRPr="000737A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Charles Darwin University</w:t>
            </w:r>
            <w:r w:rsidR="00CE1020">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79</w:t>
            </w:r>
          </w:p>
        </w:tc>
        <w:tc>
          <w:tcPr>
            <w:tcW w:w="850"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0.9</w:t>
            </w:r>
          </w:p>
        </w:tc>
        <w:tc>
          <w:tcPr>
            <w:tcW w:w="1134"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&lt;10</w:t>
            </w:r>
          </w:p>
        </w:tc>
        <w:tc>
          <w:tcPr>
            <w:tcW w:w="992"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n.a</w:t>
            </w:r>
          </w:p>
        </w:tc>
      </w:tr>
      <w:tr w:rsidR="00771BB4" w:rsidRPr="000737A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University of the Sunshine Coast</w:t>
            </w:r>
            <w:r w:rsidR="00CE1020">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78</w:t>
            </w:r>
          </w:p>
        </w:tc>
        <w:tc>
          <w:tcPr>
            <w:tcW w:w="850"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0.9</w:t>
            </w:r>
          </w:p>
        </w:tc>
        <w:tc>
          <w:tcPr>
            <w:tcW w:w="1134"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&lt;10</w:t>
            </w:r>
          </w:p>
        </w:tc>
        <w:tc>
          <w:tcPr>
            <w:tcW w:w="992"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n.a</w:t>
            </w:r>
          </w:p>
        </w:tc>
      </w:tr>
      <w:tr w:rsidR="00771BB4" w:rsidRPr="000737A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737AA" w:rsidRDefault="00771BB4" w:rsidP="00CE1020">
            <w:pPr>
              <w:spacing w:before="0" w:line="240" w:lineRule="auto"/>
              <w:rPr>
                <w:rFonts w:ascii="Arial" w:hAnsi="Arial" w:cs="Arial"/>
                <w:color w:val="000000"/>
                <w:sz w:val="16"/>
                <w:szCs w:val="16"/>
              </w:rPr>
            </w:pPr>
            <w:r w:rsidRPr="000737AA">
              <w:rPr>
                <w:rFonts w:ascii="Arial" w:hAnsi="Arial" w:cs="Arial"/>
                <w:color w:val="000000"/>
                <w:sz w:val="16"/>
                <w:szCs w:val="16"/>
              </w:rPr>
              <w:t>University of Southern Queensland</w:t>
            </w:r>
            <w:r w:rsidR="00CE1020">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49</w:t>
            </w:r>
          </w:p>
        </w:tc>
        <w:tc>
          <w:tcPr>
            <w:tcW w:w="850"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0.6</w:t>
            </w:r>
          </w:p>
        </w:tc>
        <w:tc>
          <w:tcPr>
            <w:tcW w:w="1134"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&lt;10</w:t>
            </w:r>
          </w:p>
        </w:tc>
        <w:tc>
          <w:tcPr>
            <w:tcW w:w="992"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n.a</w:t>
            </w:r>
          </w:p>
        </w:tc>
      </w:tr>
      <w:tr w:rsidR="00771BB4" w:rsidRPr="000737A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University of Technology, Sydney</w:t>
            </w:r>
            <w:r w:rsidR="00CE1020">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36</w:t>
            </w:r>
          </w:p>
        </w:tc>
        <w:tc>
          <w:tcPr>
            <w:tcW w:w="850" w:type="dxa"/>
            <w:tcBorders>
              <w:top w:val="nil"/>
              <w:left w:val="nil"/>
              <w:bottom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0.4</w:t>
            </w:r>
          </w:p>
        </w:tc>
        <w:tc>
          <w:tcPr>
            <w:tcW w:w="1134"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w:t>
            </w:r>
          </w:p>
        </w:tc>
        <w:tc>
          <w:tcPr>
            <w:tcW w:w="992" w:type="dxa"/>
            <w:tcBorders>
              <w:top w:val="nil"/>
              <w:left w:val="nil"/>
              <w:bottom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0.0</w:t>
            </w:r>
          </w:p>
        </w:tc>
      </w:tr>
      <w:tr w:rsidR="00771BB4" w:rsidRPr="000737AA" w:rsidTr="00AB725E">
        <w:trPr>
          <w:trHeight w:val="300"/>
        </w:trPr>
        <w:tc>
          <w:tcPr>
            <w:tcW w:w="3969" w:type="dxa"/>
            <w:gridSpan w:val="2"/>
            <w:tcBorders>
              <w:top w:val="nil"/>
              <w:left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Australian Catholic University</w:t>
            </w:r>
            <w:r w:rsidR="00CE1020">
              <w:rPr>
                <w:rFonts w:ascii="Arial" w:hAnsi="Arial" w:cs="Arial"/>
                <w:color w:val="000000"/>
                <w:sz w:val="16"/>
                <w:szCs w:val="16"/>
              </w:rPr>
              <w:t xml:space="preserve"> (2)</w:t>
            </w:r>
          </w:p>
        </w:tc>
        <w:tc>
          <w:tcPr>
            <w:tcW w:w="993" w:type="dxa"/>
            <w:tcBorders>
              <w:top w:val="nil"/>
              <w:left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33</w:t>
            </w:r>
          </w:p>
        </w:tc>
        <w:tc>
          <w:tcPr>
            <w:tcW w:w="850" w:type="dxa"/>
            <w:tcBorders>
              <w:top w:val="nil"/>
              <w:left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0.4</w:t>
            </w:r>
          </w:p>
        </w:tc>
        <w:tc>
          <w:tcPr>
            <w:tcW w:w="1134" w:type="dxa"/>
            <w:tcBorders>
              <w:top w:val="nil"/>
              <w:left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w:t>
            </w:r>
          </w:p>
        </w:tc>
        <w:tc>
          <w:tcPr>
            <w:tcW w:w="992" w:type="dxa"/>
            <w:tcBorders>
              <w:top w:val="nil"/>
              <w:left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0.0</w:t>
            </w:r>
          </w:p>
        </w:tc>
      </w:tr>
      <w:tr w:rsidR="00771BB4" w:rsidRPr="000737AA" w:rsidTr="00AB725E">
        <w:trPr>
          <w:trHeight w:val="300"/>
        </w:trPr>
        <w:tc>
          <w:tcPr>
            <w:tcW w:w="3969" w:type="dxa"/>
            <w:gridSpan w:val="2"/>
            <w:tcBorders>
              <w:top w:val="nil"/>
              <w:left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Curtin University of Technology</w:t>
            </w:r>
            <w:r w:rsidR="00CE1020">
              <w:rPr>
                <w:rFonts w:ascii="Arial" w:hAnsi="Arial" w:cs="Arial"/>
                <w:color w:val="000000"/>
                <w:sz w:val="16"/>
                <w:szCs w:val="16"/>
              </w:rPr>
              <w:t xml:space="preserve"> (3)</w:t>
            </w:r>
          </w:p>
        </w:tc>
        <w:tc>
          <w:tcPr>
            <w:tcW w:w="993" w:type="dxa"/>
            <w:tcBorders>
              <w:top w:val="nil"/>
              <w:left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24</w:t>
            </w:r>
          </w:p>
        </w:tc>
        <w:tc>
          <w:tcPr>
            <w:tcW w:w="850" w:type="dxa"/>
            <w:tcBorders>
              <w:top w:val="nil"/>
              <w:left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0.3</w:t>
            </w:r>
          </w:p>
        </w:tc>
        <w:tc>
          <w:tcPr>
            <w:tcW w:w="1134" w:type="dxa"/>
            <w:tcBorders>
              <w:top w:val="nil"/>
              <w:left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w:t>
            </w:r>
          </w:p>
        </w:tc>
        <w:tc>
          <w:tcPr>
            <w:tcW w:w="992" w:type="dxa"/>
            <w:tcBorders>
              <w:top w:val="nil"/>
              <w:left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0.0</w:t>
            </w:r>
          </w:p>
        </w:tc>
      </w:tr>
      <w:tr w:rsidR="00771BB4" w:rsidRPr="000737AA" w:rsidTr="00AB725E">
        <w:trPr>
          <w:trHeight w:val="300"/>
        </w:trPr>
        <w:tc>
          <w:tcPr>
            <w:tcW w:w="3969" w:type="dxa"/>
            <w:gridSpan w:val="2"/>
            <w:tcBorders>
              <w:top w:val="nil"/>
              <w:left w:val="nil"/>
              <w:right w:val="nil"/>
            </w:tcBorders>
            <w:shd w:val="clear" w:color="auto" w:fill="auto"/>
            <w:noWrap/>
            <w:vAlign w:val="bottom"/>
            <w:hideMark/>
          </w:tcPr>
          <w:p w:rsidR="00771BB4" w:rsidRPr="000737AA" w:rsidRDefault="00771BB4" w:rsidP="00AB725E">
            <w:pPr>
              <w:spacing w:before="0" w:line="240" w:lineRule="auto"/>
              <w:rPr>
                <w:rFonts w:ascii="Arial" w:hAnsi="Arial" w:cs="Arial"/>
                <w:color w:val="000000"/>
                <w:sz w:val="16"/>
                <w:szCs w:val="16"/>
              </w:rPr>
            </w:pPr>
            <w:r w:rsidRPr="000737AA">
              <w:rPr>
                <w:rFonts w:ascii="Arial" w:hAnsi="Arial" w:cs="Arial"/>
                <w:color w:val="000000"/>
                <w:sz w:val="16"/>
                <w:szCs w:val="16"/>
              </w:rPr>
              <w:t>Murdoch University</w:t>
            </w:r>
            <w:r w:rsidR="00CE1020">
              <w:rPr>
                <w:rFonts w:ascii="Arial" w:hAnsi="Arial" w:cs="Arial"/>
                <w:color w:val="000000"/>
                <w:sz w:val="16"/>
                <w:szCs w:val="16"/>
              </w:rPr>
              <w:t xml:space="preserve"> (2)</w:t>
            </w:r>
          </w:p>
        </w:tc>
        <w:tc>
          <w:tcPr>
            <w:tcW w:w="993" w:type="dxa"/>
            <w:tcBorders>
              <w:top w:val="nil"/>
              <w:left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10</w:t>
            </w:r>
          </w:p>
        </w:tc>
        <w:tc>
          <w:tcPr>
            <w:tcW w:w="850" w:type="dxa"/>
            <w:tcBorders>
              <w:top w:val="nil"/>
              <w:left w:val="nil"/>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color w:val="000000"/>
                <w:sz w:val="16"/>
                <w:szCs w:val="16"/>
              </w:rPr>
            </w:pPr>
            <w:r w:rsidRPr="000737AA">
              <w:rPr>
                <w:rFonts w:ascii="Arial" w:hAnsi="Arial" w:cs="Arial"/>
                <w:color w:val="000000"/>
                <w:sz w:val="16"/>
                <w:szCs w:val="16"/>
              </w:rPr>
              <w:t>0.1</w:t>
            </w:r>
          </w:p>
        </w:tc>
        <w:tc>
          <w:tcPr>
            <w:tcW w:w="1134" w:type="dxa"/>
            <w:tcBorders>
              <w:top w:val="nil"/>
              <w:left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&lt;10</w:t>
            </w:r>
          </w:p>
        </w:tc>
        <w:tc>
          <w:tcPr>
            <w:tcW w:w="992" w:type="dxa"/>
            <w:tcBorders>
              <w:top w:val="nil"/>
              <w:left w:val="nil"/>
              <w:right w:val="nil"/>
            </w:tcBorders>
            <w:vAlign w:val="bottom"/>
          </w:tcPr>
          <w:p w:rsidR="00771BB4" w:rsidRPr="000737AA"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n.a</w:t>
            </w:r>
          </w:p>
        </w:tc>
      </w:tr>
      <w:tr w:rsidR="00771BB4" w:rsidRPr="000737AA"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771BB4" w:rsidRPr="000737AA" w:rsidRDefault="00771BB4" w:rsidP="00AB725E">
            <w:pPr>
              <w:pStyle w:val="Tabletext"/>
              <w:spacing w:before="0" w:after="0"/>
              <w:rPr>
                <w:rFonts w:cs="Arial"/>
                <w:b/>
                <w:sz w:val="17"/>
                <w:szCs w:val="17"/>
              </w:rPr>
            </w:pPr>
            <w:r w:rsidRPr="000737AA">
              <w:rPr>
                <w:rFonts w:cs="Arial"/>
                <w:b/>
                <w:sz w:val="17"/>
                <w:szCs w:val="17"/>
              </w:rPr>
              <w:t>TOTAL</w:t>
            </w:r>
          </w:p>
        </w:tc>
        <w:tc>
          <w:tcPr>
            <w:tcW w:w="993" w:type="dxa"/>
            <w:tcBorders>
              <w:top w:val="nil"/>
              <w:left w:val="nil"/>
              <w:bottom w:val="single" w:sz="4" w:space="0" w:color="auto"/>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b/>
                <w:sz w:val="17"/>
                <w:szCs w:val="17"/>
              </w:rPr>
            </w:pPr>
            <w:r>
              <w:rPr>
                <w:rFonts w:ascii="Arial" w:hAnsi="Arial" w:cs="Arial"/>
                <w:b/>
                <w:sz w:val="17"/>
                <w:szCs w:val="17"/>
              </w:rPr>
              <w:t xml:space="preserve">       8 </w:t>
            </w:r>
            <w:r w:rsidRPr="000737AA">
              <w:rPr>
                <w:rFonts w:ascii="Arial" w:hAnsi="Arial" w:cs="Arial"/>
                <w:b/>
                <w:sz w:val="17"/>
                <w:szCs w:val="17"/>
              </w:rPr>
              <w:t xml:space="preserve">421 </w:t>
            </w:r>
          </w:p>
        </w:tc>
        <w:tc>
          <w:tcPr>
            <w:tcW w:w="850" w:type="dxa"/>
            <w:tcBorders>
              <w:top w:val="nil"/>
              <w:left w:val="nil"/>
              <w:bottom w:val="single" w:sz="4" w:space="0" w:color="auto"/>
              <w:right w:val="nil"/>
            </w:tcBorders>
            <w:shd w:val="clear" w:color="auto" w:fill="auto"/>
            <w:noWrap/>
            <w:vAlign w:val="bottom"/>
            <w:hideMark/>
          </w:tcPr>
          <w:p w:rsidR="00771BB4" w:rsidRPr="000737AA" w:rsidRDefault="00771BB4" w:rsidP="00AB725E">
            <w:pPr>
              <w:spacing w:before="0" w:line="240" w:lineRule="auto"/>
              <w:jc w:val="right"/>
              <w:rPr>
                <w:rFonts w:ascii="Arial" w:hAnsi="Arial" w:cs="Arial"/>
                <w:b/>
                <w:sz w:val="17"/>
                <w:szCs w:val="17"/>
              </w:rPr>
            </w:pPr>
            <w:r w:rsidRPr="000737AA">
              <w:rPr>
                <w:rFonts w:ascii="Arial" w:hAnsi="Arial" w:cs="Arial"/>
                <w:b/>
                <w:sz w:val="17"/>
                <w:szCs w:val="17"/>
              </w:rPr>
              <w:t xml:space="preserve">        100.0 </w:t>
            </w:r>
          </w:p>
        </w:tc>
        <w:tc>
          <w:tcPr>
            <w:tcW w:w="1134" w:type="dxa"/>
            <w:tcBorders>
              <w:top w:val="nil"/>
              <w:left w:val="nil"/>
              <w:bottom w:val="single" w:sz="4" w:space="0" w:color="auto"/>
              <w:right w:val="nil"/>
            </w:tcBorders>
            <w:vAlign w:val="bottom"/>
          </w:tcPr>
          <w:p w:rsidR="00771BB4" w:rsidRPr="000737AA" w:rsidRDefault="00771BB4" w:rsidP="00AB725E">
            <w:pPr>
              <w:spacing w:before="0" w:line="240" w:lineRule="auto"/>
              <w:jc w:val="right"/>
              <w:rPr>
                <w:rFonts w:ascii="Arial" w:hAnsi="Arial" w:cs="Arial"/>
                <w:b/>
                <w:sz w:val="17"/>
                <w:szCs w:val="17"/>
              </w:rPr>
            </w:pPr>
            <w:r>
              <w:rPr>
                <w:rFonts w:ascii="Arial" w:hAnsi="Arial" w:cs="Arial"/>
                <w:b/>
                <w:sz w:val="17"/>
                <w:szCs w:val="17"/>
              </w:rPr>
              <w:t xml:space="preserve">        1 </w:t>
            </w:r>
            <w:r w:rsidRPr="000737AA">
              <w:rPr>
                <w:rFonts w:ascii="Arial" w:hAnsi="Arial" w:cs="Arial"/>
                <w:b/>
                <w:sz w:val="17"/>
                <w:szCs w:val="17"/>
              </w:rPr>
              <w:t xml:space="preserve">326 </w:t>
            </w:r>
          </w:p>
        </w:tc>
        <w:tc>
          <w:tcPr>
            <w:tcW w:w="992" w:type="dxa"/>
            <w:tcBorders>
              <w:top w:val="nil"/>
              <w:left w:val="nil"/>
              <w:bottom w:val="single" w:sz="4" w:space="0" w:color="auto"/>
              <w:right w:val="nil"/>
            </w:tcBorders>
            <w:vAlign w:val="bottom"/>
          </w:tcPr>
          <w:p w:rsidR="00771BB4" w:rsidRPr="000737AA" w:rsidRDefault="00771BB4" w:rsidP="00AB725E">
            <w:pPr>
              <w:pStyle w:val="Tabletext"/>
              <w:spacing w:before="0" w:after="0"/>
              <w:jc w:val="right"/>
              <w:rPr>
                <w:rFonts w:cs="Arial"/>
                <w:b/>
                <w:sz w:val="17"/>
                <w:szCs w:val="17"/>
              </w:rPr>
            </w:pPr>
            <w:r w:rsidRPr="000737AA">
              <w:rPr>
                <w:rFonts w:cs="Arial"/>
                <w:b/>
                <w:sz w:val="17"/>
                <w:szCs w:val="17"/>
              </w:rPr>
              <w:t>15.7</w:t>
            </w:r>
          </w:p>
        </w:tc>
      </w:tr>
    </w:tbl>
    <w:p w:rsidR="00771BB4" w:rsidRDefault="00771BB4" w:rsidP="00771BB4">
      <w:pPr>
        <w:pStyle w:val="Source"/>
        <w:tabs>
          <w:tab w:val="left" w:pos="7416"/>
        </w:tabs>
      </w:pPr>
      <w:r>
        <w:t>Source: DEEWR (2010) Higher Education Statistics Collection. Unpublished data</w:t>
      </w:r>
      <w:r>
        <w:tab/>
      </w:r>
    </w:p>
    <w:p w:rsidR="00771BB4" w:rsidRDefault="00771BB4" w:rsidP="00771BB4">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771BB4" w:rsidRDefault="00771BB4" w:rsidP="00771BB4">
      <w:pPr>
        <w:pStyle w:val="Text"/>
      </w:pPr>
      <w:r>
        <w:t xml:space="preserve">As shown in </w:t>
      </w:r>
      <w:r w:rsidR="00B45EBA">
        <w:t xml:space="preserve">Table </w:t>
      </w:r>
      <w:r w:rsidR="003645D7">
        <w:t>9</w:t>
      </w:r>
      <w:r>
        <w:t xml:space="preserve">, most of the large providers in the accounting sub-field admit relatively high proportions of students on the basis of a VET award. The exceptions are Macquarie University and the Queensland University of Technology, which admit VET award-holders at relatively low rates for this sub-field. </w:t>
      </w:r>
    </w:p>
    <w:p w:rsidR="00771BB4" w:rsidRDefault="00771BB4" w:rsidP="00771BB4">
      <w:pPr>
        <w:pStyle w:val="Heading3"/>
      </w:pPr>
      <w:r>
        <w:lastRenderedPageBreak/>
        <w:t>Business and Management</w:t>
      </w:r>
    </w:p>
    <w:p w:rsidR="0072251E" w:rsidRDefault="0072251E" w:rsidP="0072251E">
      <w:pPr>
        <w:pStyle w:val="Text"/>
      </w:pPr>
      <w:r>
        <w:t xml:space="preserve">Business and Management (FOE 0803) courses account for 47.2 per cent of all undergraduate commencements in Management and Commerce (FOE 08) and the admission rate of VET award-holders in this sub-field (12.2%) influences the average admission rate of the field of Management and Commerce as a whole (13%), as shown in Table </w:t>
      </w:r>
      <w:r w:rsidR="003645D7">
        <w:t>10</w:t>
      </w:r>
      <w:r>
        <w:t>.</w:t>
      </w:r>
    </w:p>
    <w:p w:rsidR="00771BB4" w:rsidRDefault="00771BB4" w:rsidP="00771BB4">
      <w:pPr>
        <w:pStyle w:val="Text"/>
      </w:pPr>
      <w:r>
        <w:t xml:space="preserve">Thirty-six universities report undergraduate commencements in this sub-field, but 16 institutions account for 80 per cent of all enrolments and they are listed in </w:t>
      </w:r>
      <w:r w:rsidR="00B45EBA">
        <w:t xml:space="preserve">Table </w:t>
      </w:r>
      <w:r w:rsidR="003645D7">
        <w:t>10</w:t>
      </w:r>
      <w:r>
        <w:t>.</w:t>
      </w:r>
    </w:p>
    <w:p w:rsidR="00771BB4" w:rsidRDefault="00B45EBA" w:rsidP="00771BB4">
      <w:pPr>
        <w:pStyle w:val="tabletitle"/>
      </w:pPr>
      <w:bookmarkStart w:id="68" w:name="_Toc350786316"/>
      <w:bookmarkStart w:id="69" w:name="_Toc370995919"/>
      <w:r>
        <w:t xml:space="preserve">Table </w:t>
      </w:r>
      <w:r w:rsidR="006A154F">
        <w:t>10</w:t>
      </w:r>
      <w:r w:rsidR="00771BB4">
        <w:tab/>
        <w:t xml:space="preserve">VET award-holders and all undergraduate commencements in Business and Management </w:t>
      </w:r>
      <w:r w:rsidR="00771BB4">
        <w:rPr>
          <w:szCs w:val="22"/>
        </w:rPr>
        <w:t>(FOE 0803)</w:t>
      </w:r>
      <w:r w:rsidR="00771BB4">
        <w:t>, by the largest 16 HE providers, Australia 2010</w:t>
      </w:r>
      <w:bookmarkEnd w:id="68"/>
      <w:bookmarkEnd w:id="69"/>
    </w:p>
    <w:tbl>
      <w:tblPr>
        <w:tblW w:w="7938" w:type="dxa"/>
        <w:tblInd w:w="108" w:type="dxa"/>
        <w:tblLayout w:type="fixed"/>
        <w:tblLook w:val="04A0"/>
      </w:tblPr>
      <w:tblGrid>
        <w:gridCol w:w="3448"/>
        <w:gridCol w:w="521"/>
        <w:gridCol w:w="993"/>
        <w:gridCol w:w="850"/>
        <w:gridCol w:w="1134"/>
        <w:gridCol w:w="992"/>
      </w:tblGrid>
      <w:tr w:rsidR="00771BB4" w:rsidRPr="00E3477F" w:rsidTr="00AB725E">
        <w:trPr>
          <w:trHeight w:val="300"/>
        </w:trPr>
        <w:tc>
          <w:tcPr>
            <w:tcW w:w="3448" w:type="dxa"/>
            <w:tcBorders>
              <w:top w:val="single" w:sz="4" w:space="0" w:color="auto"/>
              <w:left w:val="nil"/>
              <w:bottom w:val="nil"/>
              <w:right w:val="nil"/>
            </w:tcBorders>
            <w:shd w:val="clear" w:color="auto" w:fill="auto"/>
            <w:noWrap/>
            <w:vAlign w:val="bottom"/>
            <w:hideMark/>
          </w:tcPr>
          <w:p w:rsidR="00771BB4" w:rsidRPr="00E3477F" w:rsidRDefault="00771BB4" w:rsidP="00AB725E">
            <w:pPr>
              <w:pStyle w:val="Tablehead1"/>
              <w:spacing w:before="0" w:after="0"/>
              <w:rPr>
                <w:rFonts w:cs="Arial"/>
                <w:bCs/>
                <w:color w:val="000000"/>
                <w:sz w:val="16"/>
                <w:szCs w:val="16"/>
                <w:lang w:val="en-US"/>
              </w:rPr>
            </w:pPr>
          </w:p>
        </w:tc>
        <w:tc>
          <w:tcPr>
            <w:tcW w:w="2364" w:type="dxa"/>
            <w:gridSpan w:val="3"/>
            <w:tcBorders>
              <w:top w:val="single" w:sz="4" w:space="0" w:color="auto"/>
              <w:left w:val="nil"/>
              <w:bottom w:val="nil"/>
              <w:right w:val="nil"/>
            </w:tcBorders>
            <w:shd w:val="clear" w:color="auto" w:fill="auto"/>
            <w:noWrap/>
            <w:vAlign w:val="bottom"/>
            <w:hideMark/>
          </w:tcPr>
          <w:p w:rsidR="00771BB4" w:rsidRPr="00E3477F" w:rsidRDefault="00771BB4" w:rsidP="00AB725E">
            <w:pPr>
              <w:pStyle w:val="Tablehead1"/>
              <w:spacing w:before="0" w:after="0"/>
              <w:jc w:val="right"/>
              <w:rPr>
                <w:rFonts w:cs="Arial"/>
                <w:bCs/>
                <w:color w:val="000000"/>
                <w:sz w:val="16"/>
                <w:szCs w:val="16"/>
                <w:lang w:val="en-US"/>
              </w:rPr>
            </w:pPr>
            <w:r w:rsidRPr="00E3477F">
              <w:rPr>
                <w:rFonts w:cs="Arial"/>
                <w:bCs/>
                <w:color w:val="000000"/>
                <w:sz w:val="16"/>
                <w:szCs w:val="16"/>
                <w:lang w:val="en-US"/>
              </w:rPr>
              <w:t>All undergraduate commencements</w:t>
            </w:r>
          </w:p>
        </w:tc>
        <w:tc>
          <w:tcPr>
            <w:tcW w:w="2126" w:type="dxa"/>
            <w:gridSpan w:val="2"/>
            <w:tcBorders>
              <w:top w:val="single" w:sz="4" w:space="0" w:color="auto"/>
              <w:left w:val="nil"/>
              <w:bottom w:val="nil"/>
              <w:right w:val="nil"/>
            </w:tcBorders>
            <w:vAlign w:val="bottom"/>
          </w:tcPr>
          <w:p w:rsidR="00771BB4" w:rsidRPr="00E3477F" w:rsidRDefault="00771BB4" w:rsidP="00AB725E">
            <w:pPr>
              <w:pStyle w:val="Tablehead1"/>
              <w:spacing w:before="0" w:after="0"/>
              <w:jc w:val="right"/>
              <w:rPr>
                <w:rFonts w:cs="Arial"/>
                <w:bCs/>
                <w:color w:val="000000"/>
                <w:sz w:val="16"/>
                <w:szCs w:val="16"/>
                <w:lang w:val="en-US"/>
              </w:rPr>
            </w:pPr>
            <w:r w:rsidRPr="00E3477F">
              <w:rPr>
                <w:rFonts w:cs="Arial"/>
                <w:bCs/>
                <w:color w:val="000000"/>
                <w:sz w:val="16"/>
                <w:szCs w:val="16"/>
                <w:lang w:val="en-US"/>
              </w:rPr>
              <w:t xml:space="preserve">VET award-holders </w:t>
            </w:r>
          </w:p>
        </w:tc>
      </w:tr>
      <w:tr w:rsidR="00771BB4" w:rsidRPr="00E3477F"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rPr>
                <w:rFonts w:cs="Arial"/>
                <w:sz w:val="16"/>
                <w:szCs w:val="16"/>
                <w:lang w:val="en-US"/>
              </w:rPr>
            </w:pPr>
            <w:r w:rsidRPr="00E3477F">
              <w:rPr>
                <w:rFonts w:cs="Arial"/>
                <w:sz w:val="16"/>
                <w:szCs w:val="16"/>
                <w:lang w:val="en-US"/>
              </w:rPr>
              <w:t xml:space="preserve">Institution </w:t>
            </w:r>
            <w:r w:rsidR="007A729A">
              <w:rPr>
                <w:rFonts w:cs="Arial"/>
                <w:sz w:val="16"/>
                <w:szCs w:val="16"/>
                <w:lang w:val="en-US"/>
              </w:rPr>
              <w:t>(Cluster)</w:t>
            </w:r>
          </w:p>
        </w:tc>
        <w:tc>
          <w:tcPr>
            <w:tcW w:w="993" w:type="dxa"/>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xml:space="preserve">Students </w:t>
            </w:r>
          </w:p>
        </w:tc>
        <w:tc>
          <w:tcPr>
            <w:tcW w:w="850" w:type="dxa"/>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xml:space="preserve">% total </w:t>
            </w:r>
          </w:p>
        </w:tc>
        <w:tc>
          <w:tcPr>
            <w:tcW w:w="1134" w:type="dxa"/>
            <w:tcBorders>
              <w:top w:val="nil"/>
              <w:left w:val="nil"/>
              <w:bottom w:val="single" w:sz="4" w:space="0" w:color="auto"/>
              <w:right w:val="nil"/>
            </w:tcBorders>
            <w:vAlign w:val="bottom"/>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Students</w:t>
            </w:r>
          </w:p>
        </w:tc>
        <w:tc>
          <w:tcPr>
            <w:tcW w:w="992" w:type="dxa"/>
            <w:tcBorders>
              <w:top w:val="nil"/>
              <w:left w:val="nil"/>
              <w:bottom w:val="single" w:sz="4" w:space="0" w:color="auto"/>
              <w:right w:val="nil"/>
            </w:tcBorders>
            <w:vAlign w:val="bottom"/>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U/G</w:t>
            </w:r>
          </w:p>
        </w:tc>
      </w:tr>
      <w:tr w:rsidR="00771BB4" w:rsidRPr="00E3477F" w:rsidTr="00AB725E">
        <w:trPr>
          <w:trHeight w:val="300"/>
        </w:trPr>
        <w:tc>
          <w:tcPr>
            <w:tcW w:w="3969" w:type="dxa"/>
            <w:gridSpan w:val="2"/>
            <w:tcBorders>
              <w:top w:val="single" w:sz="4" w:space="0" w:color="auto"/>
              <w:left w:val="nil"/>
              <w:bottom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Curtin University of Technology</w:t>
            </w:r>
            <w:r w:rsidR="007A729A">
              <w:rPr>
                <w:rFonts w:ascii="Arial" w:hAnsi="Arial" w:cs="Arial"/>
                <w:color w:val="000000"/>
                <w:sz w:val="16"/>
                <w:szCs w:val="16"/>
              </w:rPr>
              <w:t xml:space="preserve"> (3)</w:t>
            </w:r>
          </w:p>
        </w:tc>
        <w:tc>
          <w:tcPr>
            <w:tcW w:w="993" w:type="dxa"/>
            <w:tcBorders>
              <w:top w:val="single" w:sz="4" w:space="0" w:color="auto"/>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1847</w:t>
            </w:r>
          </w:p>
        </w:tc>
        <w:tc>
          <w:tcPr>
            <w:tcW w:w="850" w:type="dxa"/>
            <w:tcBorders>
              <w:top w:val="single" w:sz="4" w:space="0" w:color="auto"/>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11.8</w:t>
            </w:r>
          </w:p>
        </w:tc>
        <w:tc>
          <w:tcPr>
            <w:tcW w:w="1134" w:type="dxa"/>
            <w:tcBorders>
              <w:top w:val="single" w:sz="4" w:space="0" w:color="auto"/>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88</w:t>
            </w:r>
          </w:p>
        </w:tc>
        <w:tc>
          <w:tcPr>
            <w:tcW w:w="992" w:type="dxa"/>
            <w:tcBorders>
              <w:top w:val="single" w:sz="4" w:space="0" w:color="auto"/>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2.1</w:t>
            </w:r>
          </w:p>
        </w:tc>
      </w:tr>
      <w:tr w:rsidR="00771BB4" w:rsidRPr="00E3477F"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University of Western Sydney</w:t>
            </w:r>
            <w:r w:rsidR="007A729A">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891</w:t>
            </w:r>
          </w:p>
        </w:tc>
        <w:tc>
          <w:tcPr>
            <w:tcW w:w="850"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8.9</w:t>
            </w:r>
          </w:p>
        </w:tc>
        <w:tc>
          <w:tcPr>
            <w:tcW w:w="1134"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755</w:t>
            </w:r>
          </w:p>
        </w:tc>
        <w:tc>
          <w:tcPr>
            <w:tcW w:w="992"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23.4</w:t>
            </w:r>
          </w:p>
        </w:tc>
      </w:tr>
      <w:tr w:rsidR="00771BB4" w:rsidRPr="00E3477F"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Monash University</w:t>
            </w:r>
            <w:r w:rsidR="007A729A">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861</w:t>
            </w:r>
          </w:p>
        </w:tc>
        <w:tc>
          <w:tcPr>
            <w:tcW w:w="850"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8.8</w:t>
            </w:r>
          </w:p>
        </w:tc>
        <w:tc>
          <w:tcPr>
            <w:tcW w:w="1134"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75</w:t>
            </w:r>
          </w:p>
        </w:tc>
        <w:tc>
          <w:tcPr>
            <w:tcW w:w="992"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2.4</w:t>
            </w:r>
          </w:p>
        </w:tc>
      </w:tr>
      <w:tr w:rsidR="00771BB4" w:rsidRPr="00E3477F"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Griffith University</w:t>
            </w:r>
            <w:r w:rsidR="007A729A">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701</w:t>
            </w:r>
          </w:p>
        </w:tc>
        <w:tc>
          <w:tcPr>
            <w:tcW w:w="850"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7.8</w:t>
            </w:r>
          </w:p>
        </w:tc>
        <w:tc>
          <w:tcPr>
            <w:tcW w:w="1134"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498</w:t>
            </w:r>
          </w:p>
        </w:tc>
        <w:tc>
          <w:tcPr>
            <w:tcW w:w="992"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17.6</w:t>
            </w:r>
          </w:p>
        </w:tc>
      </w:tr>
      <w:tr w:rsidR="00771BB4" w:rsidRPr="00E3477F"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University of Technology, Sydney</w:t>
            </w:r>
            <w:r w:rsidR="007A729A">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658</w:t>
            </w:r>
          </w:p>
        </w:tc>
        <w:tc>
          <w:tcPr>
            <w:tcW w:w="850"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5.9</w:t>
            </w:r>
          </w:p>
        </w:tc>
        <w:tc>
          <w:tcPr>
            <w:tcW w:w="1134"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190</w:t>
            </w:r>
          </w:p>
        </w:tc>
        <w:tc>
          <w:tcPr>
            <w:tcW w:w="992"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9.0</w:t>
            </w:r>
          </w:p>
        </w:tc>
      </w:tr>
      <w:tr w:rsidR="00771BB4" w:rsidRPr="00E3477F"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RMIT University</w:t>
            </w:r>
            <w:r w:rsidR="007A729A">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621</w:t>
            </w:r>
          </w:p>
        </w:tc>
        <w:tc>
          <w:tcPr>
            <w:tcW w:w="850"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5.0</w:t>
            </w:r>
          </w:p>
        </w:tc>
        <w:tc>
          <w:tcPr>
            <w:tcW w:w="1134"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487</w:t>
            </w:r>
          </w:p>
        </w:tc>
        <w:tc>
          <w:tcPr>
            <w:tcW w:w="992"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27.0</w:t>
            </w:r>
          </w:p>
        </w:tc>
      </w:tr>
      <w:tr w:rsidR="00771BB4" w:rsidRPr="00E3477F"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The University of Melbourne</w:t>
            </w:r>
            <w:r w:rsidR="007A729A">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490</w:t>
            </w:r>
          </w:p>
        </w:tc>
        <w:tc>
          <w:tcPr>
            <w:tcW w:w="850"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4.1</w:t>
            </w:r>
          </w:p>
        </w:tc>
        <w:tc>
          <w:tcPr>
            <w:tcW w:w="1134"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17</w:t>
            </w:r>
          </w:p>
        </w:tc>
        <w:tc>
          <w:tcPr>
            <w:tcW w:w="992"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1.1</w:t>
            </w:r>
          </w:p>
        </w:tc>
      </w:tr>
      <w:tr w:rsidR="00771BB4" w:rsidRPr="00E3477F"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Southern Cross University</w:t>
            </w:r>
            <w:r w:rsidR="007A729A">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463</w:t>
            </w:r>
          </w:p>
        </w:tc>
        <w:tc>
          <w:tcPr>
            <w:tcW w:w="850"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4.1</w:t>
            </w:r>
          </w:p>
        </w:tc>
        <w:tc>
          <w:tcPr>
            <w:tcW w:w="1134"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93</w:t>
            </w:r>
          </w:p>
        </w:tc>
        <w:tc>
          <w:tcPr>
            <w:tcW w:w="992"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6.3</w:t>
            </w:r>
          </w:p>
        </w:tc>
      </w:tr>
      <w:tr w:rsidR="00771BB4" w:rsidRPr="00E3477F"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Charles Sturt University</w:t>
            </w:r>
            <w:r w:rsidR="007A729A">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445</w:t>
            </w:r>
          </w:p>
        </w:tc>
        <w:tc>
          <w:tcPr>
            <w:tcW w:w="850"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3.5</w:t>
            </w:r>
          </w:p>
        </w:tc>
        <w:tc>
          <w:tcPr>
            <w:tcW w:w="1134"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364</w:t>
            </w:r>
          </w:p>
        </w:tc>
        <w:tc>
          <w:tcPr>
            <w:tcW w:w="992"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29.2</w:t>
            </w:r>
          </w:p>
        </w:tc>
      </w:tr>
      <w:tr w:rsidR="00771BB4" w:rsidRPr="00E3477F" w:rsidTr="00AB725E">
        <w:trPr>
          <w:trHeight w:val="300"/>
        </w:trPr>
        <w:tc>
          <w:tcPr>
            <w:tcW w:w="3969" w:type="dxa"/>
            <w:gridSpan w:val="2"/>
            <w:tcBorders>
              <w:top w:val="nil"/>
              <w:left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Swinburne University of Technology</w:t>
            </w:r>
            <w:r w:rsidR="007A729A">
              <w:rPr>
                <w:rFonts w:ascii="Arial" w:hAnsi="Arial" w:cs="Arial"/>
                <w:color w:val="000000"/>
                <w:sz w:val="16"/>
                <w:szCs w:val="16"/>
              </w:rPr>
              <w:t xml:space="preserve"> (1)</w:t>
            </w:r>
          </w:p>
        </w:tc>
        <w:tc>
          <w:tcPr>
            <w:tcW w:w="993" w:type="dxa"/>
            <w:tcBorders>
              <w:top w:val="nil"/>
              <w:left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410</w:t>
            </w:r>
          </w:p>
        </w:tc>
        <w:tc>
          <w:tcPr>
            <w:tcW w:w="850" w:type="dxa"/>
            <w:tcBorders>
              <w:top w:val="nil"/>
              <w:left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3.3</w:t>
            </w:r>
          </w:p>
        </w:tc>
        <w:tc>
          <w:tcPr>
            <w:tcW w:w="1134" w:type="dxa"/>
            <w:tcBorders>
              <w:top w:val="nil"/>
              <w:left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298</w:t>
            </w:r>
          </w:p>
        </w:tc>
        <w:tc>
          <w:tcPr>
            <w:tcW w:w="992" w:type="dxa"/>
            <w:tcBorders>
              <w:top w:val="nil"/>
              <w:left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25.1</w:t>
            </w:r>
          </w:p>
        </w:tc>
      </w:tr>
      <w:tr w:rsidR="00771BB4" w:rsidRPr="00E3477F" w:rsidTr="00AB725E">
        <w:trPr>
          <w:trHeight w:val="300"/>
        </w:trPr>
        <w:tc>
          <w:tcPr>
            <w:tcW w:w="3969" w:type="dxa"/>
            <w:gridSpan w:val="2"/>
            <w:tcBorders>
              <w:top w:val="nil"/>
              <w:left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The University of Queensland</w:t>
            </w:r>
            <w:r w:rsidR="007A729A">
              <w:rPr>
                <w:rFonts w:ascii="Arial" w:hAnsi="Arial" w:cs="Arial"/>
                <w:color w:val="000000"/>
                <w:sz w:val="16"/>
                <w:szCs w:val="16"/>
              </w:rPr>
              <w:t xml:space="preserve"> (3)</w:t>
            </w:r>
          </w:p>
        </w:tc>
        <w:tc>
          <w:tcPr>
            <w:tcW w:w="993" w:type="dxa"/>
            <w:tcBorders>
              <w:top w:val="nil"/>
              <w:left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300</w:t>
            </w:r>
          </w:p>
        </w:tc>
        <w:tc>
          <w:tcPr>
            <w:tcW w:w="850" w:type="dxa"/>
            <w:tcBorders>
              <w:top w:val="nil"/>
              <w:left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3.1</w:t>
            </w:r>
          </w:p>
        </w:tc>
        <w:tc>
          <w:tcPr>
            <w:tcW w:w="1134" w:type="dxa"/>
            <w:tcBorders>
              <w:top w:val="nil"/>
              <w:left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20</w:t>
            </w:r>
          </w:p>
        </w:tc>
        <w:tc>
          <w:tcPr>
            <w:tcW w:w="992" w:type="dxa"/>
            <w:tcBorders>
              <w:top w:val="nil"/>
              <w:left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1.8</w:t>
            </w:r>
          </w:p>
        </w:tc>
      </w:tr>
      <w:tr w:rsidR="00771BB4" w:rsidRPr="00E3477F" w:rsidTr="00AB725E">
        <w:trPr>
          <w:trHeight w:val="300"/>
        </w:trPr>
        <w:tc>
          <w:tcPr>
            <w:tcW w:w="3969" w:type="dxa"/>
            <w:gridSpan w:val="2"/>
            <w:tcBorders>
              <w:top w:val="nil"/>
              <w:left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Queensland University of Technology</w:t>
            </w:r>
            <w:r w:rsidR="007A729A">
              <w:rPr>
                <w:rFonts w:ascii="Arial" w:hAnsi="Arial" w:cs="Arial"/>
                <w:color w:val="000000"/>
                <w:sz w:val="16"/>
                <w:szCs w:val="16"/>
              </w:rPr>
              <w:t xml:space="preserve"> (2)</w:t>
            </w:r>
          </w:p>
        </w:tc>
        <w:tc>
          <w:tcPr>
            <w:tcW w:w="993" w:type="dxa"/>
            <w:tcBorders>
              <w:top w:val="nil"/>
              <w:left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202</w:t>
            </w:r>
          </w:p>
        </w:tc>
        <w:tc>
          <w:tcPr>
            <w:tcW w:w="850" w:type="dxa"/>
            <w:tcBorders>
              <w:top w:val="nil"/>
              <w:left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3.1</w:t>
            </w:r>
          </w:p>
        </w:tc>
        <w:tc>
          <w:tcPr>
            <w:tcW w:w="1134" w:type="dxa"/>
            <w:tcBorders>
              <w:top w:val="nil"/>
              <w:left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101</w:t>
            </w:r>
          </w:p>
        </w:tc>
        <w:tc>
          <w:tcPr>
            <w:tcW w:w="992" w:type="dxa"/>
            <w:tcBorders>
              <w:top w:val="nil"/>
              <w:left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9.1</w:t>
            </w:r>
          </w:p>
        </w:tc>
      </w:tr>
      <w:tr w:rsidR="00771BB4" w:rsidRPr="00E3477F"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Central Queensland University</w:t>
            </w:r>
            <w:r w:rsidR="007A729A">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123</w:t>
            </w:r>
          </w:p>
        </w:tc>
        <w:tc>
          <w:tcPr>
            <w:tcW w:w="850"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2.9</w:t>
            </w:r>
          </w:p>
        </w:tc>
        <w:tc>
          <w:tcPr>
            <w:tcW w:w="1134"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250</w:t>
            </w:r>
          </w:p>
        </w:tc>
        <w:tc>
          <w:tcPr>
            <w:tcW w:w="992"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23.9</w:t>
            </w:r>
          </w:p>
        </w:tc>
      </w:tr>
      <w:tr w:rsidR="00771BB4" w:rsidRPr="00E3477F"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Macquarie University</w:t>
            </w:r>
            <w:r w:rsidR="007A729A">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95</w:t>
            </w:r>
          </w:p>
        </w:tc>
        <w:tc>
          <w:tcPr>
            <w:tcW w:w="850"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2.9</w:t>
            </w:r>
          </w:p>
        </w:tc>
        <w:tc>
          <w:tcPr>
            <w:tcW w:w="1134"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37</w:t>
            </w:r>
          </w:p>
        </w:tc>
        <w:tc>
          <w:tcPr>
            <w:tcW w:w="992"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3.5</w:t>
            </w:r>
          </w:p>
        </w:tc>
      </w:tr>
      <w:tr w:rsidR="00771BB4" w:rsidRPr="00E3477F"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James Cook University</w:t>
            </w:r>
            <w:r w:rsidR="007A729A">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79</w:t>
            </w:r>
          </w:p>
        </w:tc>
        <w:tc>
          <w:tcPr>
            <w:tcW w:w="850"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2.6</w:t>
            </w:r>
          </w:p>
        </w:tc>
        <w:tc>
          <w:tcPr>
            <w:tcW w:w="1134"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35</w:t>
            </w:r>
          </w:p>
        </w:tc>
        <w:tc>
          <w:tcPr>
            <w:tcW w:w="992"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3.7</w:t>
            </w:r>
          </w:p>
        </w:tc>
      </w:tr>
      <w:tr w:rsidR="00771BB4" w:rsidRPr="00E3477F"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3477F" w:rsidRDefault="00771BB4" w:rsidP="00AB725E">
            <w:pPr>
              <w:spacing w:before="0" w:line="240" w:lineRule="auto"/>
              <w:rPr>
                <w:rFonts w:ascii="Arial" w:hAnsi="Arial" w:cs="Arial"/>
                <w:color w:val="000000"/>
                <w:sz w:val="16"/>
                <w:szCs w:val="16"/>
              </w:rPr>
            </w:pPr>
            <w:r w:rsidRPr="00E3477F">
              <w:rPr>
                <w:rFonts w:ascii="Arial" w:hAnsi="Arial" w:cs="Arial"/>
                <w:color w:val="000000"/>
                <w:sz w:val="16"/>
                <w:szCs w:val="16"/>
              </w:rPr>
              <w:t>University of Ballarat</w:t>
            </w:r>
            <w:r w:rsidR="007A729A">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78</w:t>
            </w:r>
          </w:p>
        </w:tc>
        <w:tc>
          <w:tcPr>
            <w:tcW w:w="850"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2.4</w:t>
            </w:r>
          </w:p>
        </w:tc>
        <w:tc>
          <w:tcPr>
            <w:tcW w:w="1134"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63</w:t>
            </w:r>
          </w:p>
        </w:tc>
        <w:tc>
          <w:tcPr>
            <w:tcW w:w="992"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7.3</w:t>
            </w:r>
          </w:p>
        </w:tc>
      </w:tr>
      <w:tr w:rsidR="00771BB4" w:rsidRPr="00E3477F"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3477F" w:rsidRDefault="00771BB4" w:rsidP="00602388">
            <w:pPr>
              <w:spacing w:before="0" w:line="240" w:lineRule="auto"/>
              <w:rPr>
                <w:rFonts w:ascii="Arial" w:hAnsi="Arial" w:cs="Arial"/>
                <w:color w:val="000000"/>
                <w:sz w:val="16"/>
                <w:szCs w:val="16"/>
              </w:rPr>
            </w:pPr>
            <w:r w:rsidRPr="00E3477F">
              <w:rPr>
                <w:rFonts w:ascii="Arial" w:hAnsi="Arial" w:cs="Arial"/>
                <w:color w:val="000000"/>
                <w:sz w:val="16"/>
                <w:szCs w:val="16"/>
              </w:rPr>
              <w:t xml:space="preserve">Other </w:t>
            </w:r>
            <w:r w:rsidR="00602388">
              <w:rPr>
                <w:rFonts w:ascii="Arial" w:hAnsi="Arial" w:cs="Arial"/>
                <w:color w:val="000000"/>
                <w:sz w:val="16"/>
                <w:szCs w:val="16"/>
              </w:rPr>
              <w:t>20</w:t>
            </w:r>
            <w:r w:rsidRPr="00E3477F">
              <w:rPr>
                <w:rFonts w:ascii="Arial" w:hAnsi="Arial" w:cs="Arial"/>
                <w:color w:val="000000"/>
                <w:sz w:val="16"/>
                <w:szCs w:val="16"/>
              </w:rPr>
              <w:t xml:space="preserve"> universities</w:t>
            </w:r>
          </w:p>
        </w:tc>
        <w:tc>
          <w:tcPr>
            <w:tcW w:w="993"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7 068</w:t>
            </w:r>
          </w:p>
        </w:tc>
        <w:tc>
          <w:tcPr>
            <w:tcW w:w="850" w:type="dxa"/>
            <w:tcBorders>
              <w:top w:val="nil"/>
              <w:left w:val="nil"/>
              <w:bottom w:val="nil"/>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19.6</w:t>
            </w:r>
          </w:p>
        </w:tc>
        <w:tc>
          <w:tcPr>
            <w:tcW w:w="1134"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1 028</w:t>
            </w:r>
          </w:p>
        </w:tc>
        <w:tc>
          <w:tcPr>
            <w:tcW w:w="992" w:type="dxa"/>
            <w:tcBorders>
              <w:top w:val="nil"/>
              <w:left w:val="nil"/>
              <w:bottom w:val="nil"/>
              <w:right w:val="nil"/>
            </w:tcBorders>
            <w:vAlign w:val="bottom"/>
          </w:tcPr>
          <w:p w:rsidR="00771BB4" w:rsidRPr="00E3477F" w:rsidRDefault="00771BB4" w:rsidP="00AB725E">
            <w:pPr>
              <w:spacing w:before="0" w:line="240" w:lineRule="auto"/>
              <w:jc w:val="right"/>
              <w:rPr>
                <w:rFonts w:ascii="Arial" w:hAnsi="Arial" w:cs="Arial"/>
                <w:color w:val="000000"/>
                <w:sz w:val="16"/>
                <w:szCs w:val="16"/>
              </w:rPr>
            </w:pPr>
            <w:r w:rsidRPr="00E3477F">
              <w:rPr>
                <w:rFonts w:ascii="Arial" w:hAnsi="Arial" w:cs="Arial"/>
                <w:color w:val="000000"/>
                <w:sz w:val="16"/>
                <w:szCs w:val="16"/>
              </w:rPr>
              <w:t>14.5</w:t>
            </w:r>
          </w:p>
        </w:tc>
      </w:tr>
      <w:tr w:rsidR="00771BB4" w:rsidRPr="00E3477F"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text"/>
              <w:spacing w:before="0" w:after="0"/>
              <w:rPr>
                <w:rFonts w:cs="Arial"/>
                <w:b/>
                <w:szCs w:val="16"/>
              </w:rPr>
            </w:pPr>
            <w:r w:rsidRPr="00E3477F">
              <w:rPr>
                <w:rFonts w:cs="Arial"/>
                <w:b/>
                <w:szCs w:val="16"/>
              </w:rPr>
              <w:t>TOTAL</w:t>
            </w:r>
          </w:p>
        </w:tc>
        <w:tc>
          <w:tcPr>
            <w:tcW w:w="993" w:type="dxa"/>
            <w:tcBorders>
              <w:top w:val="nil"/>
              <w:left w:val="nil"/>
              <w:bottom w:val="single" w:sz="4" w:space="0" w:color="auto"/>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b/>
                <w:sz w:val="16"/>
                <w:szCs w:val="16"/>
              </w:rPr>
            </w:pPr>
            <w:r>
              <w:rPr>
                <w:rFonts w:ascii="Arial" w:hAnsi="Arial" w:cs="Arial"/>
                <w:b/>
                <w:sz w:val="16"/>
                <w:szCs w:val="16"/>
              </w:rPr>
              <w:t>35 952</w:t>
            </w:r>
          </w:p>
        </w:tc>
        <w:tc>
          <w:tcPr>
            <w:tcW w:w="850" w:type="dxa"/>
            <w:tcBorders>
              <w:top w:val="nil"/>
              <w:left w:val="nil"/>
              <w:bottom w:val="single" w:sz="4" w:space="0" w:color="auto"/>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b/>
                <w:sz w:val="16"/>
                <w:szCs w:val="16"/>
              </w:rPr>
            </w:pPr>
            <w:r w:rsidRPr="00E3477F">
              <w:rPr>
                <w:rFonts w:ascii="Arial" w:hAnsi="Arial" w:cs="Arial"/>
                <w:b/>
                <w:sz w:val="16"/>
                <w:szCs w:val="16"/>
              </w:rPr>
              <w:t xml:space="preserve">        100.0 </w:t>
            </w:r>
          </w:p>
        </w:tc>
        <w:tc>
          <w:tcPr>
            <w:tcW w:w="1134" w:type="dxa"/>
            <w:tcBorders>
              <w:top w:val="nil"/>
              <w:left w:val="nil"/>
              <w:bottom w:val="single" w:sz="4" w:space="0" w:color="auto"/>
              <w:right w:val="nil"/>
            </w:tcBorders>
            <w:vAlign w:val="bottom"/>
          </w:tcPr>
          <w:p w:rsidR="00771BB4" w:rsidRPr="00E3477F" w:rsidRDefault="00771BB4" w:rsidP="00AB725E">
            <w:pPr>
              <w:spacing w:before="0" w:line="240" w:lineRule="auto"/>
              <w:jc w:val="right"/>
              <w:rPr>
                <w:rFonts w:ascii="Arial" w:hAnsi="Arial" w:cs="Arial"/>
                <w:b/>
                <w:sz w:val="16"/>
                <w:szCs w:val="16"/>
              </w:rPr>
            </w:pPr>
            <w:r w:rsidRPr="00E3477F">
              <w:rPr>
                <w:rFonts w:ascii="Arial" w:hAnsi="Arial" w:cs="Arial"/>
                <w:b/>
                <w:sz w:val="16"/>
                <w:szCs w:val="16"/>
              </w:rPr>
              <w:t xml:space="preserve">        </w:t>
            </w:r>
            <w:r>
              <w:rPr>
                <w:rFonts w:ascii="Arial" w:hAnsi="Arial" w:cs="Arial"/>
                <w:b/>
                <w:sz w:val="16"/>
                <w:szCs w:val="16"/>
              </w:rPr>
              <w:t>4 386</w:t>
            </w:r>
            <w:r w:rsidRPr="00E3477F">
              <w:rPr>
                <w:rFonts w:ascii="Arial" w:hAnsi="Arial" w:cs="Arial"/>
                <w:b/>
                <w:sz w:val="16"/>
                <w:szCs w:val="16"/>
              </w:rPr>
              <w:t xml:space="preserve"> </w:t>
            </w:r>
          </w:p>
        </w:tc>
        <w:tc>
          <w:tcPr>
            <w:tcW w:w="992" w:type="dxa"/>
            <w:tcBorders>
              <w:top w:val="nil"/>
              <w:left w:val="nil"/>
              <w:bottom w:val="single" w:sz="4" w:space="0" w:color="auto"/>
              <w:right w:val="nil"/>
            </w:tcBorders>
            <w:vAlign w:val="bottom"/>
          </w:tcPr>
          <w:p w:rsidR="00771BB4" w:rsidRPr="00E3477F" w:rsidRDefault="00771BB4" w:rsidP="00AB725E">
            <w:pPr>
              <w:pStyle w:val="Tabletext"/>
              <w:spacing w:before="0" w:after="0"/>
              <w:jc w:val="right"/>
              <w:rPr>
                <w:rFonts w:cs="Arial"/>
                <w:b/>
                <w:szCs w:val="16"/>
              </w:rPr>
            </w:pPr>
            <w:r>
              <w:rPr>
                <w:rFonts w:cs="Arial"/>
                <w:b/>
                <w:szCs w:val="16"/>
              </w:rPr>
              <w:t>12.2</w:t>
            </w:r>
          </w:p>
        </w:tc>
      </w:tr>
    </w:tbl>
    <w:p w:rsidR="00771BB4" w:rsidRDefault="00771BB4" w:rsidP="00771BB4">
      <w:pPr>
        <w:pStyle w:val="Source"/>
        <w:tabs>
          <w:tab w:val="left" w:pos="7416"/>
        </w:tabs>
      </w:pPr>
      <w:r>
        <w:t>Source: DEEWR (2010) Higher Education Statistics Collection. Unpublished data</w:t>
      </w:r>
      <w:r>
        <w:tab/>
      </w:r>
    </w:p>
    <w:p w:rsidR="00771BB4" w:rsidRDefault="00771BB4" w:rsidP="00771BB4">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771BB4" w:rsidRDefault="00771BB4" w:rsidP="00771BB4">
      <w:pPr>
        <w:pStyle w:val="Text"/>
      </w:pPr>
      <w:r>
        <w:t xml:space="preserve">As shown in </w:t>
      </w:r>
      <w:r w:rsidR="00B45EBA">
        <w:t xml:space="preserve">Table </w:t>
      </w:r>
      <w:r w:rsidR="003645D7">
        <w:t>10</w:t>
      </w:r>
      <w:r>
        <w:t>, there is a polarisation between the larger providers in terms of admissions on the basis of a VET award. Curtin University, for example, enrols twice as many students as any other provider bu</w:t>
      </w:r>
      <w:r w:rsidR="00602388">
        <w:t>t</w:t>
      </w:r>
      <w:r>
        <w:t xml:space="preserve"> admits only 2.1 per cent on the basis of a VET award. Several other large providers admit relatively few VET award-holders. However the majority of providers admit relatively high proportions of VET award-holders in this sub-field. </w:t>
      </w:r>
    </w:p>
    <w:p w:rsidR="0072251E" w:rsidRDefault="0072251E" w:rsidP="0072251E">
      <w:pPr>
        <w:pStyle w:val="Text"/>
      </w:pPr>
      <w:r>
        <w:t>As shown in Table</w:t>
      </w:r>
      <w:r w:rsidR="003645D7">
        <w:t>10</w:t>
      </w:r>
      <w:r>
        <w:t xml:space="preserve">, the four Cluster 1 providers admit VET award-holders at rates over 20 per cent, while the six Cluster 3 institutions admit VET award-holders at rates below 4 per cent. </w:t>
      </w:r>
    </w:p>
    <w:p w:rsidR="00771BB4" w:rsidRDefault="00771BB4" w:rsidP="00771BB4">
      <w:pPr>
        <w:pStyle w:val="Heading3"/>
      </w:pPr>
      <w:r>
        <w:t>Sales and Marketing</w:t>
      </w:r>
    </w:p>
    <w:p w:rsidR="00771BB4" w:rsidRDefault="00771BB4" w:rsidP="00771BB4">
      <w:pPr>
        <w:pStyle w:val="Text"/>
      </w:pPr>
      <w:r>
        <w:t xml:space="preserve">Ten per cent of undergraduate commencements in Management and Commerce are enrolled in units classified as Sales and Marketing. The admission rates of VET award-holders to Sales and Marketing units are relatively high at 22.6 per cent. </w:t>
      </w:r>
    </w:p>
    <w:p w:rsidR="00771BB4" w:rsidRDefault="00771BB4" w:rsidP="00771BB4">
      <w:pPr>
        <w:pStyle w:val="Text"/>
      </w:pPr>
      <w:r>
        <w:lastRenderedPageBreak/>
        <w:t xml:space="preserve">Nineteen universities report undergraduate commencements in this sub-field, however nine of these institutions account for 83 per cent of total enrolments in the sub-field, as indicated in </w:t>
      </w:r>
      <w:r w:rsidR="00B45EBA">
        <w:t xml:space="preserve">Table </w:t>
      </w:r>
      <w:r w:rsidR="003645D7">
        <w:t>11</w:t>
      </w:r>
      <w:r>
        <w:t>.</w:t>
      </w:r>
    </w:p>
    <w:p w:rsidR="00771BB4" w:rsidRDefault="00B45EBA" w:rsidP="00771BB4">
      <w:pPr>
        <w:pStyle w:val="tabletitle"/>
      </w:pPr>
      <w:bookmarkStart w:id="70" w:name="_Toc350786317"/>
      <w:bookmarkStart w:id="71" w:name="_Toc370995920"/>
      <w:r>
        <w:t xml:space="preserve">Table </w:t>
      </w:r>
      <w:r w:rsidR="006A154F">
        <w:t>11</w:t>
      </w:r>
      <w:r w:rsidR="00771BB4">
        <w:tab/>
        <w:t xml:space="preserve">VET award-holders and all undergraduate commencements in Sales and Marketing </w:t>
      </w:r>
      <w:r w:rsidR="00771BB4">
        <w:rPr>
          <w:szCs w:val="22"/>
        </w:rPr>
        <w:t>(FOE 0805)</w:t>
      </w:r>
      <w:r w:rsidR="00771BB4">
        <w:t>, by the largest nine HE providers, Australia 2010</w:t>
      </w:r>
      <w:bookmarkEnd w:id="70"/>
      <w:bookmarkEnd w:id="71"/>
    </w:p>
    <w:tbl>
      <w:tblPr>
        <w:tblW w:w="7938" w:type="dxa"/>
        <w:tblInd w:w="108" w:type="dxa"/>
        <w:tblLayout w:type="fixed"/>
        <w:tblLook w:val="04A0"/>
      </w:tblPr>
      <w:tblGrid>
        <w:gridCol w:w="3448"/>
        <w:gridCol w:w="521"/>
        <w:gridCol w:w="993"/>
        <w:gridCol w:w="850"/>
        <w:gridCol w:w="1134"/>
        <w:gridCol w:w="992"/>
      </w:tblGrid>
      <w:tr w:rsidR="00771BB4" w:rsidRPr="00E3477F" w:rsidTr="00AB725E">
        <w:trPr>
          <w:trHeight w:val="300"/>
        </w:trPr>
        <w:tc>
          <w:tcPr>
            <w:tcW w:w="3448" w:type="dxa"/>
            <w:tcBorders>
              <w:top w:val="single" w:sz="4" w:space="0" w:color="auto"/>
              <w:left w:val="nil"/>
              <w:bottom w:val="nil"/>
              <w:right w:val="nil"/>
            </w:tcBorders>
            <w:shd w:val="clear" w:color="auto" w:fill="auto"/>
            <w:noWrap/>
            <w:vAlign w:val="bottom"/>
            <w:hideMark/>
          </w:tcPr>
          <w:p w:rsidR="00771BB4" w:rsidRPr="00E3477F" w:rsidRDefault="00771BB4" w:rsidP="00AB725E">
            <w:pPr>
              <w:pStyle w:val="Tablehead1"/>
              <w:spacing w:before="0" w:after="0"/>
              <w:rPr>
                <w:rFonts w:cs="Arial"/>
                <w:bCs/>
                <w:color w:val="000000"/>
                <w:sz w:val="16"/>
                <w:szCs w:val="16"/>
                <w:lang w:val="en-US"/>
              </w:rPr>
            </w:pPr>
          </w:p>
        </w:tc>
        <w:tc>
          <w:tcPr>
            <w:tcW w:w="2364" w:type="dxa"/>
            <w:gridSpan w:val="3"/>
            <w:tcBorders>
              <w:top w:val="single" w:sz="4" w:space="0" w:color="auto"/>
              <w:left w:val="nil"/>
              <w:bottom w:val="nil"/>
              <w:right w:val="nil"/>
            </w:tcBorders>
            <w:shd w:val="clear" w:color="auto" w:fill="auto"/>
            <w:noWrap/>
            <w:vAlign w:val="bottom"/>
            <w:hideMark/>
          </w:tcPr>
          <w:p w:rsidR="00771BB4" w:rsidRPr="00E3477F" w:rsidRDefault="00771BB4" w:rsidP="00AB725E">
            <w:pPr>
              <w:pStyle w:val="Tablehead1"/>
              <w:spacing w:before="0" w:after="0"/>
              <w:jc w:val="right"/>
              <w:rPr>
                <w:rFonts w:cs="Arial"/>
                <w:bCs/>
                <w:color w:val="000000"/>
                <w:sz w:val="16"/>
                <w:szCs w:val="16"/>
                <w:lang w:val="en-US"/>
              </w:rPr>
            </w:pPr>
            <w:r w:rsidRPr="00E3477F">
              <w:rPr>
                <w:rFonts w:cs="Arial"/>
                <w:bCs/>
                <w:color w:val="000000"/>
                <w:sz w:val="16"/>
                <w:szCs w:val="16"/>
                <w:lang w:val="en-US"/>
              </w:rPr>
              <w:t>All undergraduate commencements</w:t>
            </w:r>
          </w:p>
        </w:tc>
        <w:tc>
          <w:tcPr>
            <w:tcW w:w="2126" w:type="dxa"/>
            <w:gridSpan w:val="2"/>
            <w:tcBorders>
              <w:top w:val="single" w:sz="4" w:space="0" w:color="auto"/>
              <w:left w:val="nil"/>
              <w:bottom w:val="nil"/>
              <w:right w:val="nil"/>
            </w:tcBorders>
            <w:vAlign w:val="bottom"/>
          </w:tcPr>
          <w:p w:rsidR="00771BB4" w:rsidRPr="00E3477F" w:rsidRDefault="00771BB4" w:rsidP="00AB725E">
            <w:pPr>
              <w:pStyle w:val="Tablehead1"/>
              <w:spacing w:before="0" w:after="0"/>
              <w:jc w:val="right"/>
              <w:rPr>
                <w:rFonts w:cs="Arial"/>
                <w:bCs/>
                <w:color w:val="000000"/>
                <w:sz w:val="16"/>
                <w:szCs w:val="16"/>
                <w:lang w:val="en-US"/>
              </w:rPr>
            </w:pPr>
            <w:r w:rsidRPr="00E3477F">
              <w:rPr>
                <w:rFonts w:cs="Arial"/>
                <w:bCs/>
                <w:color w:val="000000"/>
                <w:sz w:val="16"/>
                <w:szCs w:val="16"/>
                <w:lang w:val="en-US"/>
              </w:rPr>
              <w:t xml:space="preserve">VET award-holders </w:t>
            </w:r>
          </w:p>
        </w:tc>
      </w:tr>
      <w:tr w:rsidR="00771BB4" w:rsidRPr="00E3477F"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rPr>
                <w:rFonts w:cs="Arial"/>
                <w:sz w:val="16"/>
                <w:szCs w:val="16"/>
                <w:lang w:val="en-US"/>
              </w:rPr>
            </w:pPr>
            <w:r w:rsidRPr="00E3477F">
              <w:rPr>
                <w:rFonts w:cs="Arial"/>
                <w:sz w:val="16"/>
                <w:szCs w:val="16"/>
                <w:lang w:val="en-US"/>
              </w:rPr>
              <w:t xml:space="preserve">Institution </w:t>
            </w:r>
            <w:r w:rsidR="00653493">
              <w:rPr>
                <w:rFonts w:cs="Arial"/>
                <w:sz w:val="16"/>
                <w:szCs w:val="16"/>
                <w:lang w:val="en-US"/>
              </w:rPr>
              <w:t>(Cluster)</w:t>
            </w:r>
          </w:p>
        </w:tc>
        <w:tc>
          <w:tcPr>
            <w:tcW w:w="993" w:type="dxa"/>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xml:space="preserve">Students </w:t>
            </w:r>
          </w:p>
        </w:tc>
        <w:tc>
          <w:tcPr>
            <w:tcW w:w="850" w:type="dxa"/>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xml:space="preserve">% total </w:t>
            </w:r>
          </w:p>
        </w:tc>
        <w:tc>
          <w:tcPr>
            <w:tcW w:w="1134" w:type="dxa"/>
            <w:tcBorders>
              <w:top w:val="nil"/>
              <w:left w:val="nil"/>
              <w:bottom w:val="single" w:sz="4" w:space="0" w:color="auto"/>
              <w:right w:val="nil"/>
            </w:tcBorders>
            <w:vAlign w:val="bottom"/>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Students</w:t>
            </w:r>
          </w:p>
        </w:tc>
        <w:tc>
          <w:tcPr>
            <w:tcW w:w="992" w:type="dxa"/>
            <w:tcBorders>
              <w:top w:val="nil"/>
              <w:left w:val="nil"/>
              <w:bottom w:val="single" w:sz="4" w:space="0" w:color="auto"/>
              <w:right w:val="nil"/>
            </w:tcBorders>
            <w:vAlign w:val="bottom"/>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U/G</w:t>
            </w:r>
          </w:p>
        </w:tc>
      </w:tr>
      <w:tr w:rsidR="00771BB4" w:rsidRPr="00061E00" w:rsidTr="00AB725E">
        <w:trPr>
          <w:trHeight w:val="300"/>
        </w:trPr>
        <w:tc>
          <w:tcPr>
            <w:tcW w:w="3969" w:type="dxa"/>
            <w:gridSpan w:val="2"/>
            <w:tcBorders>
              <w:top w:val="single" w:sz="4" w:space="0" w:color="auto"/>
              <w:left w:val="nil"/>
              <w:bottom w:val="nil"/>
              <w:right w:val="nil"/>
            </w:tcBorders>
            <w:shd w:val="clear" w:color="auto" w:fill="auto"/>
            <w:noWrap/>
            <w:vAlign w:val="bottom"/>
            <w:hideMark/>
          </w:tcPr>
          <w:p w:rsidR="00771BB4" w:rsidRPr="00061E00" w:rsidRDefault="00771BB4" w:rsidP="00AB725E">
            <w:pPr>
              <w:spacing w:before="0" w:line="240" w:lineRule="auto"/>
              <w:rPr>
                <w:rFonts w:ascii="Arial" w:hAnsi="Arial" w:cs="Arial"/>
                <w:color w:val="000000"/>
                <w:sz w:val="16"/>
                <w:szCs w:val="16"/>
              </w:rPr>
            </w:pPr>
            <w:r w:rsidRPr="00061E00">
              <w:rPr>
                <w:rFonts w:ascii="Arial" w:hAnsi="Arial" w:cs="Arial"/>
                <w:color w:val="000000"/>
                <w:sz w:val="16"/>
                <w:szCs w:val="16"/>
              </w:rPr>
              <w:t>RMIT University</w:t>
            </w:r>
            <w:r w:rsidR="00653493">
              <w:rPr>
                <w:rFonts w:ascii="Arial" w:hAnsi="Arial" w:cs="Arial"/>
                <w:color w:val="000000"/>
                <w:sz w:val="16"/>
                <w:szCs w:val="16"/>
              </w:rPr>
              <w:t xml:space="preserve"> (1)</w:t>
            </w:r>
          </w:p>
        </w:tc>
        <w:tc>
          <w:tcPr>
            <w:tcW w:w="993" w:type="dxa"/>
            <w:tcBorders>
              <w:top w:val="single" w:sz="4" w:space="0" w:color="auto"/>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1065</w:t>
            </w:r>
          </w:p>
        </w:tc>
        <w:tc>
          <w:tcPr>
            <w:tcW w:w="850" w:type="dxa"/>
            <w:tcBorders>
              <w:top w:val="single" w:sz="4" w:space="0" w:color="auto"/>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20.8</w:t>
            </w:r>
          </w:p>
        </w:tc>
        <w:tc>
          <w:tcPr>
            <w:tcW w:w="1134" w:type="dxa"/>
            <w:tcBorders>
              <w:top w:val="single" w:sz="4" w:space="0" w:color="auto"/>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518</w:t>
            </w:r>
          </w:p>
        </w:tc>
        <w:tc>
          <w:tcPr>
            <w:tcW w:w="992" w:type="dxa"/>
            <w:tcBorders>
              <w:top w:val="single" w:sz="4" w:space="0" w:color="auto"/>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48.6</w:t>
            </w:r>
          </w:p>
        </w:tc>
      </w:tr>
      <w:tr w:rsidR="00771BB4" w:rsidRPr="00061E00"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61E00" w:rsidRDefault="00771BB4" w:rsidP="00AB725E">
            <w:pPr>
              <w:spacing w:before="0" w:line="240" w:lineRule="auto"/>
              <w:rPr>
                <w:rFonts w:ascii="Arial" w:hAnsi="Arial" w:cs="Arial"/>
                <w:color w:val="000000"/>
                <w:sz w:val="16"/>
                <w:szCs w:val="16"/>
              </w:rPr>
            </w:pPr>
            <w:r w:rsidRPr="00061E00">
              <w:rPr>
                <w:rFonts w:ascii="Arial" w:hAnsi="Arial" w:cs="Arial"/>
                <w:color w:val="000000"/>
                <w:sz w:val="16"/>
                <w:szCs w:val="16"/>
              </w:rPr>
              <w:t>Victoria University</w:t>
            </w:r>
            <w:r w:rsidR="00653493">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573</w:t>
            </w:r>
          </w:p>
        </w:tc>
        <w:tc>
          <w:tcPr>
            <w:tcW w:w="850"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11.2</w:t>
            </w:r>
          </w:p>
        </w:tc>
        <w:tc>
          <w:tcPr>
            <w:tcW w:w="1134"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72</w:t>
            </w:r>
          </w:p>
        </w:tc>
        <w:tc>
          <w:tcPr>
            <w:tcW w:w="992"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12.6</w:t>
            </w:r>
          </w:p>
        </w:tc>
      </w:tr>
      <w:tr w:rsidR="00771BB4" w:rsidRPr="00061E00"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61E00" w:rsidRDefault="00771BB4" w:rsidP="00AB725E">
            <w:pPr>
              <w:spacing w:before="0" w:line="240" w:lineRule="auto"/>
              <w:rPr>
                <w:rFonts w:ascii="Arial" w:hAnsi="Arial" w:cs="Arial"/>
                <w:color w:val="000000"/>
                <w:sz w:val="16"/>
                <w:szCs w:val="16"/>
              </w:rPr>
            </w:pPr>
            <w:r w:rsidRPr="00061E00">
              <w:rPr>
                <w:rFonts w:ascii="Arial" w:hAnsi="Arial" w:cs="Arial"/>
                <w:color w:val="000000"/>
                <w:sz w:val="16"/>
                <w:szCs w:val="16"/>
              </w:rPr>
              <w:t>University of South Australia</w:t>
            </w:r>
            <w:r w:rsidR="00653493">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543</w:t>
            </w:r>
          </w:p>
        </w:tc>
        <w:tc>
          <w:tcPr>
            <w:tcW w:w="850"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10.6</w:t>
            </w:r>
          </w:p>
        </w:tc>
        <w:tc>
          <w:tcPr>
            <w:tcW w:w="1134"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66</w:t>
            </w:r>
          </w:p>
        </w:tc>
        <w:tc>
          <w:tcPr>
            <w:tcW w:w="992"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12.2</w:t>
            </w:r>
          </w:p>
        </w:tc>
      </w:tr>
      <w:tr w:rsidR="00771BB4" w:rsidRPr="00061E00"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61E00" w:rsidRDefault="00771BB4" w:rsidP="00AB725E">
            <w:pPr>
              <w:spacing w:before="0" w:line="240" w:lineRule="auto"/>
              <w:rPr>
                <w:rFonts w:ascii="Arial" w:hAnsi="Arial" w:cs="Arial"/>
                <w:color w:val="000000"/>
                <w:sz w:val="16"/>
                <w:szCs w:val="16"/>
              </w:rPr>
            </w:pPr>
            <w:r w:rsidRPr="00061E00">
              <w:rPr>
                <w:rFonts w:ascii="Arial" w:hAnsi="Arial" w:cs="Arial"/>
                <w:color w:val="000000"/>
                <w:sz w:val="16"/>
                <w:szCs w:val="16"/>
              </w:rPr>
              <w:t>Queensland University of Technology</w:t>
            </w:r>
            <w:r w:rsidR="00653493">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340</w:t>
            </w:r>
          </w:p>
        </w:tc>
        <w:tc>
          <w:tcPr>
            <w:tcW w:w="850"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6.6</w:t>
            </w:r>
          </w:p>
        </w:tc>
        <w:tc>
          <w:tcPr>
            <w:tcW w:w="1134"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28</w:t>
            </w:r>
          </w:p>
        </w:tc>
        <w:tc>
          <w:tcPr>
            <w:tcW w:w="992"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8.2</w:t>
            </w:r>
          </w:p>
        </w:tc>
      </w:tr>
      <w:tr w:rsidR="00771BB4" w:rsidRPr="00061E00"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61E00" w:rsidRDefault="00771BB4" w:rsidP="00AB725E">
            <w:pPr>
              <w:spacing w:before="0" w:line="240" w:lineRule="auto"/>
              <w:rPr>
                <w:rFonts w:ascii="Arial" w:hAnsi="Arial" w:cs="Arial"/>
                <w:color w:val="000000"/>
                <w:sz w:val="16"/>
                <w:szCs w:val="16"/>
              </w:rPr>
            </w:pPr>
            <w:r w:rsidRPr="00061E00">
              <w:rPr>
                <w:rFonts w:ascii="Arial" w:hAnsi="Arial" w:cs="Arial"/>
                <w:color w:val="000000"/>
                <w:sz w:val="16"/>
                <w:szCs w:val="16"/>
              </w:rPr>
              <w:t>University of Canberra</w:t>
            </w:r>
            <w:r w:rsidR="00653493">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304</w:t>
            </w:r>
          </w:p>
        </w:tc>
        <w:tc>
          <w:tcPr>
            <w:tcW w:w="850"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5.9</w:t>
            </w:r>
          </w:p>
        </w:tc>
        <w:tc>
          <w:tcPr>
            <w:tcW w:w="1134"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56</w:t>
            </w:r>
          </w:p>
        </w:tc>
        <w:tc>
          <w:tcPr>
            <w:tcW w:w="992"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18.4</w:t>
            </w:r>
          </w:p>
        </w:tc>
      </w:tr>
      <w:tr w:rsidR="00771BB4" w:rsidRPr="00061E00"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61E00" w:rsidRDefault="00771BB4" w:rsidP="00AB725E">
            <w:pPr>
              <w:spacing w:before="0" w:line="240" w:lineRule="auto"/>
              <w:rPr>
                <w:rFonts w:ascii="Arial" w:hAnsi="Arial" w:cs="Arial"/>
                <w:color w:val="000000"/>
                <w:sz w:val="16"/>
                <w:szCs w:val="16"/>
              </w:rPr>
            </w:pPr>
            <w:r w:rsidRPr="00061E00">
              <w:rPr>
                <w:rFonts w:ascii="Arial" w:hAnsi="Arial" w:cs="Arial"/>
                <w:color w:val="000000"/>
                <w:sz w:val="16"/>
                <w:szCs w:val="16"/>
              </w:rPr>
              <w:t>University of Wollongong</w:t>
            </w:r>
            <w:r w:rsidR="00653493">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238</w:t>
            </w:r>
          </w:p>
        </w:tc>
        <w:tc>
          <w:tcPr>
            <w:tcW w:w="850"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4.6</w:t>
            </w:r>
          </w:p>
        </w:tc>
        <w:tc>
          <w:tcPr>
            <w:tcW w:w="1134"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29</w:t>
            </w:r>
          </w:p>
        </w:tc>
        <w:tc>
          <w:tcPr>
            <w:tcW w:w="992"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12.2</w:t>
            </w:r>
          </w:p>
        </w:tc>
      </w:tr>
      <w:tr w:rsidR="00771BB4" w:rsidRPr="00061E00"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61E00" w:rsidRDefault="00771BB4" w:rsidP="00AB725E">
            <w:pPr>
              <w:spacing w:before="0" w:line="240" w:lineRule="auto"/>
              <w:rPr>
                <w:rFonts w:ascii="Arial" w:hAnsi="Arial" w:cs="Arial"/>
                <w:color w:val="000000"/>
                <w:sz w:val="16"/>
                <w:szCs w:val="16"/>
              </w:rPr>
            </w:pPr>
            <w:r w:rsidRPr="00061E00">
              <w:rPr>
                <w:rFonts w:ascii="Arial" w:hAnsi="Arial" w:cs="Arial"/>
                <w:color w:val="000000"/>
                <w:sz w:val="16"/>
                <w:szCs w:val="16"/>
              </w:rPr>
              <w:t>Swinburne University of Technology</w:t>
            </w:r>
            <w:r w:rsidR="00653493">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226</w:t>
            </w:r>
          </w:p>
        </w:tc>
        <w:tc>
          <w:tcPr>
            <w:tcW w:w="850"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4.4</w:t>
            </w:r>
          </w:p>
        </w:tc>
        <w:tc>
          <w:tcPr>
            <w:tcW w:w="1134"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82</w:t>
            </w:r>
          </w:p>
        </w:tc>
        <w:tc>
          <w:tcPr>
            <w:tcW w:w="992"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36.3</w:t>
            </w:r>
          </w:p>
        </w:tc>
      </w:tr>
      <w:tr w:rsidR="00771BB4" w:rsidRPr="00061E00"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61E00" w:rsidRDefault="00771BB4" w:rsidP="00AB725E">
            <w:pPr>
              <w:spacing w:before="0" w:line="240" w:lineRule="auto"/>
              <w:rPr>
                <w:rFonts w:ascii="Arial" w:hAnsi="Arial" w:cs="Arial"/>
                <w:color w:val="000000"/>
                <w:sz w:val="16"/>
                <w:szCs w:val="16"/>
              </w:rPr>
            </w:pPr>
            <w:r w:rsidRPr="00061E00">
              <w:rPr>
                <w:rFonts w:ascii="Arial" w:hAnsi="Arial" w:cs="Arial"/>
                <w:color w:val="000000"/>
                <w:sz w:val="16"/>
                <w:szCs w:val="16"/>
              </w:rPr>
              <w:t>Monash University</w:t>
            </w:r>
            <w:r w:rsidR="00653493">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199</w:t>
            </w:r>
          </w:p>
        </w:tc>
        <w:tc>
          <w:tcPr>
            <w:tcW w:w="850"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3.9</w:t>
            </w:r>
          </w:p>
        </w:tc>
        <w:tc>
          <w:tcPr>
            <w:tcW w:w="1134"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5</w:t>
            </w:r>
          </w:p>
        </w:tc>
        <w:tc>
          <w:tcPr>
            <w:tcW w:w="992"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2.5</w:t>
            </w:r>
          </w:p>
        </w:tc>
      </w:tr>
      <w:tr w:rsidR="00771BB4" w:rsidRPr="00061E00"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61E00" w:rsidRDefault="00771BB4" w:rsidP="00AB725E">
            <w:pPr>
              <w:spacing w:before="0" w:line="240" w:lineRule="auto"/>
              <w:rPr>
                <w:rFonts w:ascii="Arial" w:hAnsi="Arial" w:cs="Arial"/>
                <w:color w:val="000000"/>
                <w:sz w:val="16"/>
                <w:szCs w:val="16"/>
              </w:rPr>
            </w:pPr>
            <w:r w:rsidRPr="00061E00">
              <w:rPr>
                <w:rFonts w:ascii="Arial" w:hAnsi="Arial" w:cs="Arial"/>
                <w:color w:val="000000"/>
                <w:sz w:val="16"/>
                <w:szCs w:val="16"/>
              </w:rPr>
              <w:t>Charles Sturt University</w:t>
            </w:r>
            <w:r w:rsidR="00653493">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156</w:t>
            </w:r>
          </w:p>
        </w:tc>
        <w:tc>
          <w:tcPr>
            <w:tcW w:w="850"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3.0</w:t>
            </w:r>
          </w:p>
        </w:tc>
        <w:tc>
          <w:tcPr>
            <w:tcW w:w="1134"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35</w:t>
            </w:r>
          </w:p>
        </w:tc>
        <w:tc>
          <w:tcPr>
            <w:tcW w:w="992"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22.4</w:t>
            </w:r>
          </w:p>
        </w:tc>
      </w:tr>
      <w:tr w:rsidR="00771BB4" w:rsidRPr="00061E00"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061E00" w:rsidRDefault="00771BB4" w:rsidP="00AB725E">
            <w:pPr>
              <w:spacing w:before="0" w:line="240" w:lineRule="auto"/>
              <w:rPr>
                <w:rFonts w:ascii="Arial" w:hAnsi="Arial" w:cs="Arial"/>
                <w:color w:val="000000"/>
                <w:sz w:val="16"/>
                <w:szCs w:val="16"/>
              </w:rPr>
            </w:pPr>
            <w:r w:rsidRPr="00061E00">
              <w:rPr>
                <w:rFonts w:ascii="Arial" w:hAnsi="Arial" w:cs="Arial"/>
                <w:color w:val="000000"/>
                <w:sz w:val="16"/>
                <w:szCs w:val="16"/>
              </w:rPr>
              <w:t>Other 10 universities</w:t>
            </w:r>
          </w:p>
        </w:tc>
        <w:tc>
          <w:tcPr>
            <w:tcW w:w="993"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741</w:t>
            </w:r>
          </w:p>
        </w:tc>
        <w:tc>
          <w:tcPr>
            <w:tcW w:w="850" w:type="dxa"/>
            <w:tcBorders>
              <w:top w:val="nil"/>
              <w:left w:val="nil"/>
              <w:bottom w:val="nil"/>
              <w:right w:val="nil"/>
            </w:tcBorders>
            <w:shd w:val="clear" w:color="auto" w:fill="auto"/>
            <w:noWrap/>
            <w:vAlign w:val="bottom"/>
            <w:hideMark/>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16.9</w:t>
            </w:r>
          </w:p>
        </w:tc>
        <w:tc>
          <w:tcPr>
            <w:tcW w:w="1134"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102</w:t>
            </w:r>
          </w:p>
        </w:tc>
        <w:tc>
          <w:tcPr>
            <w:tcW w:w="992" w:type="dxa"/>
            <w:tcBorders>
              <w:top w:val="nil"/>
              <w:left w:val="nil"/>
              <w:bottom w:val="nil"/>
              <w:right w:val="nil"/>
            </w:tcBorders>
            <w:vAlign w:val="bottom"/>
          </w:tcPr>
          <w:p w:rsidR="00771BB4" w:rsidRPr="00061E00" w:rsidRDefault="00771BB4" w:rsidP="00AB725E">
            <w:pPr>
              <w:spacing w:before="0" w:line="240" w:lineRule="auto"/>
              <w:jc w:val="right"/>
              <w:rPr>
                <w:rFonts w:ascii="Arial" w:hAnsi="Arial" w:cs="Arial"/>
                <w:color w:val="000000"/>
                <w:sz w:val="16"/>
                <w:szCs w:val="16"/>
              </w:rPr>
            </w:pPr>
            <w:r w:rsidRPr="00061E00">
              <w:rPr>
                <w:rFonts w:ascii="Arial" w:hAnsi="Arial" w:cs="Arial"/>
                <w:color w:val="000000"/>
                <w:sz w:val="16"/>
                <w:szCs w:val="16"/>
              </w:rPr>
              <w:t>13.8</w:t>
            </w:r>
          </w:p>
        </w:tc>
      </w:tr>
      <w:tr w:rsidR="00771BB4" w:rsidRPr="00E3477F"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text"/>
              <w:spacing w:before="0" w:after="0"/>
              <w:rPr>
                <w:rFonts w:cs="Arial"/>
                <w:b/>
                <w:szCs w:val="16"/>
              </w:rPr>
            </w:pPr>
            <w:r w:rsidRPr="00E3477F">
              <w:rPr>
                <w:rFonts w:cs="Arial"/>
                <w:b/>
                <w:szCs w:val="16"/>
              </w:rPr>
              <w:t>TOTAL</w:t>
            </w:r>
          </w:p>
        </w:tc>
        <w:tc>
          <w:tcPr>
            <w:tcW w:w="993" w:type="dxa"/>
            <w:tcBorders>
              <w:top w:val="nil"/>
              <w:left w:val="nil"/>
              <w:bottom w:val="single" w:sz="4" w:space="0" w:color="auto"/>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b/>
                <w:sz w:val="16"/>
                <w:szCs w:val="16"/>
              </w:rPr>
            </w:pPr>
            <w:r>
              <w:rPr>
                <w:rFonts w:ascii="Arial" w:hAnsi="Arial" w:cs="Arial"/>
                <w:b/>
                <w:sz w:val="16"/>
                <w:szCs w:val="16"/>
              </w:rPr>
              <w:t>4 385</w:t>
            </w:r>
          </w:p>
        </w:tc>
        <w:tc>
          <w:tcPr>
            <w:tcW w:w="850" w:type="dxa"/>
            <w:tcBorders>
              <w:top w:val="nil"/>
              <w:left w:val="nil"/>
              <w:bottom w:val="single" w:sz="4" w:space="0" w:color="auto"/>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b/>
                <w:sz w:val="16"/>
                <w:szCs w:val="16"/>
              </w:rPr>
            </w:pPr>
            <w:r w:rsidRPr="00E3477F">
              <w:rPr>
                <w:rFonts w:ascii="Arial" w:hAnsi="Arial" w:cs="Arial"/>
                <w:b/>
                <w:sz w:val="16"/>
                <w:szCs w:val="16"/>
              </w:rPr>
              <w:t xml:space="preserve">        100.0 </w:t>
            </w:r>
          </w:p>
        </w:tc>
        <w:tc>
          <w:tcPr>
            <w:tcW w:w="1134" w:type="dxa"/>
            <w:tcBorders>
              <w:top w:val="nil"/>
              <w:left w:val="nil"/>
              <w:bottom w:val="single" w:sz="4" w:space="0" w:color="auto"/>
              <w:right w:val="nil"/>
            </w:tcBorders>
            <w:vAlign w:val="bottom"/>
          </w:tcPr>
          <w:p w:rsidR="00771BB4" w:rsidRPr="00E3477F" w:rsidRDefault="00771BB4" w:rsidP="00AB725E">
            <w:pPr>
              <w:spacing w:before="0" w:line="240" w:lineRule="auto"/>
              <w:jc w:val="right"/>
              <w:rPr>
                <w:rFonts w:ascii="Arial" w:hAnsi="Arial" w:cs="Arial"/>
                <w:b/>
                <w:sz w:val="16"/>
                <w:szCs w:val="16"/>
              </w:rPr>
            </w:pPr>
            <w:r>
              <w:rPr>
                <w:rFonts w:ascii="Arial" w:hAnsi="Arial" w:cs="Arial"/>
                <w:b/>
                <w:sz w:val="16"/>
                <w:szCs w:val="16"/>
              </w:rPr>
              <w:t>993</w:t>
            </w:r>
          </w:p>
        </w:tc>
        <w:tc>
          <w:tcPr>
            <w:tcW w:w="992" w:type="dxa"/>
            <w:tcBorders>
              <w:top w:val="nil"/>
              <w:left w:val="nil"/>
              <w:bottom w:val="single" w:sz="4" w:space="0" w:color="auto"/>
              <w:right w:val="nil"/>
            </w:tcBorders>
            <w:vAlign w:val="bottom"/>
          </w:tcPr>
          <w:p w:rsidR="00771BB4" w:rsidRPr="00E3477F" w:rsidRDefault="00771BB4" w:rsidP="00AB725E">
            <w:pPr>
              <w:pStyle w:val="Tabletext"/>
              <w:spacing w:before="0" w:after="0"/>
              <w:jc w:val="right"/>
              <w:rPr>
                <w:rFonts w:cs="Arial"/>
                <w:b/>
                <w:szCs w:val="16"/>
              </w:rPr>
            </w:pPr>
            <w:r>
              <w:rPr>
                <w:rFonts w:cs="Arial"/>
                <w:b/>
                <w:szCs w:val="16"/>
              </w:rPr>
              <w:t>22.6</w:t>
            </w:r>
          </w:p>
        </w:tc>
      </w:tr>
    </w:tbl>
    <w:p w:rsidR="00771BB4" w:rsidRDefault="00771BB4" w:rsidP="00771BB4">
      <w:pPr>
        <w:pStyle w:val="Source"/>
        <w:tabs>
          <w:tab w:val="left" w:pos="7416"/>
        </w:tabs>
      </w:pPr>
      <w:r>
        <w:t>Source: DEEWR (2010) Higher Education Statistics Collection. Unpublished data</w:t>
      </w:r>
      <w:r>
        <w:tab/>
      </w:r>
    </w:p>
    <w:p w:rsidR="00771BB4" w:rsidRDefault="00771BB4" w:rsidP="00771BB4">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5037D3" w:rsidRDefault="005037D3" w:rsidP="00771BB4">
      <w:pPr>
        <w:pStyle w:val="Text"/>
      </w:pPr>
      <w:r w:rsidRPr="005037D3">
        <w:t>The sub-field of Sales and Marketing illustrates the influence of institution</w:t>
      </w:r>
      <w:r w:rsidR="00480354">
        <w:t>al cluster</w:t>
      </w:r>
      <w:r w:rsidRPr="005037D3">
        <w:t xml:space="preserve"> on VET-HE pathways. In this sub-field, which represents about 10 per cent of all commencements in Management and Commerce, 22.6 per cent of students are admitted on the basis of a VET award. While 19 institutions report undergraduate intakes in this sub-field, nine universities account for 83 per cent of total enrolments. In contrast to Business and Management</w:t>
      </w:r>
      <w:r>
        <w:t>,</w:t>
      </w:r>
      <w:r w:rsidRPr="005037D3">
        <w:t xml:space="preserve"> where Cluster 1 universities accounted for only five per cent of total enrolments, in Sales and Marketing, 46 per cent of all commencing students are enrolled in Cluster 1 institutions (Table </w:t>
      </w:r>
      <w:r w:rsidR="002623F4">
        <w:t>11</w:t>
      </w:r>
      <w:r w:rsidRPr="005037D3">
        <w:t>). RMIT University is the largest provider with more than double the number of students of any other university and 48 per cent of its students are admitted on the basis of a VET award. The influence of Cluster 1</w:t>
      </w:r>
      <w:r w:rsidR="008A7216">
        <w:t xml:space="preserve"> and 2</w:t>
      </w:r>
      <w:r w:rsidRPr="005037D3">
        <w:t xml:space="preserve"> providers is largely responsible for the high admission rates of VET award-holders in the sub-field of Sales and Marketing.</w:t>
      </w:r>
    </w:p>
    <w:p w:rsidR="00771BB4" w:rsidRDefault="00771BB4" w:rsidP="00771BB4">
      <w:pPr>
        <w:pStyle w:val="Heading3"/>
      </w:pPr>
      <w:r>
        <w:t>Tourism</w:t>
      </w:r>
    </w:p>
    <w:p w:rsidR="00771BB4" w:rsidRDefault="00771BB4" w:rsidP="00771BB4">
      <w:pPr>
        <w:pStyle w:val="Text"/>
      </w:pPr>
      <w:r>
        <w:t xml:space="preserve">Tourism is the smallest sub-field and accounts for less than two per cent of undergraduate commencements. As shown in </w:t>
      </w:r>
      <w:r w:rsidR="00B45EBA">
        <w:t xml:space="preserve">Table </w:t>
      </w:r>
      <w:r w:rsidR="003645D7">
        <w:t>12</w:t>
      </w:r>
      <w:r>
        <w:t xml:space="preserve">, two </w:t>
      </w:r>
      <w:r w:rsidR="008A7216">
        <w:t xml:space="preserve">Cluster 2 </w:t>
      </w:r>
      <w:r>
        <w:t>institutions account for 80 per cent of enrolments in this field, and in one of these universities, over half of the commencing students are admitted on the basis of a VET award. This contributes significantly to the relatively high admission rate for VET award holders in this small sub-field.</w:t>
      </w:r>
    </w:p>
    <w:p w:rsidR="00F82B97" w:rsidRDefault="00F82B97">
      <w:pPr>
        <w:spacing w:before="0" w:line="240" w:lineRule="auto"/>
        <w:rPr>
          <w:rFonts w:ascii="Tahoma" w:hAnsi="Tahoma"/>
          <w:b/>
          <w:sz w:val="17"/>
        </w:rPr>
      </w:pPr>
      <w:bookmarkStart w:id="72" w:name="_Toc350786318"/>
      <w:r>
        <w:br w:type="page"/>
      </w:r>
    </w:p>
    <w:p w:rsidR="00771BB4" w:rsidRDefault="00B45EBA" w:rsidP="00771BB4">
      <w:pPr>
        <w:pStyle w:val="tabletitle"/>
      </w:pPr>
      <w:bookmarkStart w:id="73" w:name="_Toc370995921"/>
      <w:r>
        <w:lastRenderedPageBreak/>
        <w:t xml:space="preserve">Table </w:t>
      </w:r>
      <w:r w:rsidR="006A154F">
        <w:t>12</w:t>
      </w:r>
      <w:r w:rsidR="00771BB4">
        <w:tab/>
        <w:t xml:space="preserve">VET award-holders and all undergraduate commencements in Tourism </w:t>
      </w:r>
      <w:r w:rsidR="00771BB4">
        <w:rPr>
          <w:szCs w:val="22"/>
        </w:rPr>
        <w:t>(FOE 0807)</w:t>
      </w:r>
      <w:r w:rsidR="00771BB4">
        <w:t>, by HE provider, Australia 2010</w:t>
      </w:r>
      <w:bookmarkEnd w:id="72"/>
      <w:bookmarkEnd w:id="73"/>
    </w:p>
    <w:tbl>
      <w:tblPr>
        <w:tblW w:w="7938" w:type="dxa"/>
        <w:tblInd w:w="108" w:type="dxa"/>
        <w:tblLayout w:type="fixed"/>
        <w:tblLook w:val="04A0"/>
      </w:tblPr>
      <w:tblGrid>
        <w:gridCol w:w="3448"/>
        <w:gridCol w:w="521"/>
        <w:gridCol w:w="993"/>
        <w:gridCol w:w="850"/>
        <w:gridCol w:w="1134"/>
        <w:gridCol w:w="992"/>
      </w:tblGrid>
      <w:tr w:rsidR="00771BB4" w:rsidRPr="00E3477F" w:rsidTr="00AB725E">
        <w:trPr>
          <w:trHeight w:val="300"/>
        </w:trPr>
        <w:tc>
          <w:tcPr>
            <w:tcW w:w="3448" w:type="dxa"/>
            <w:tcBorders>
              <w:top w:val="single" w:sz="4" w:space="0" w:color="auto"/>
              <w:left w:val="nil"/>
              <w:bottom w:val="nil"/>
              <w:right w:val="nil"/>
            </w:tcBorders>
            <w:shd w:val="clear" w:color="auto" w:fill="auto"/>
            <w:noWrap/>
            <w:vAlign w:val="bottom"/>
            <w:hideMark/>
          </w:tcPr>
          <w:p w:rsidR="00771BB4" w:rsidRPr="00E3477F" w:rsidRDefault="00771BB4" w:rsidP="00AB725E">
            <w:pPr>
              <w:pStyle w:val="Tablehead1"/>
              <w:spacing w:before="0" w:after="0"/>
              <w:rPr>
                <w:rFonts w:cs="Arial"/>
                <w:bCs/>
                <w:color w:val="000000"/>
                <w:sz w:val="16"/>
                <w:szCs w:val="16"/>
                <w:lang w:val="en-US"/>
              </w:rPr>
            </w:pPr>
          </w:p>
        </w:tc>
        <w:tc>
          <w:tcPr>
            <w:tcW w:w="2364" w:type="dxa"/>
            <w:gridSpan w:val="3"/>
            <w:tcBorders>
              <w:top w:val="single" w:sz="4" w:space="0" w:color="auto"/>
              <w:left w:val="nil"/>
              <w:bottom w:val="nil"/>
              <w:right w:val="nil"/>
            </w:tcBorders>
            <w:shd w:val="clear" w:color="auto" w:fill="auto"/>
            <w:noWrap/>
            <w:vAlign w:val="bottom"/>
            <w:hideMark/>
          </w:tcPr>
          <w:p w:rsidR="00771BB4" w:rsidRPr="00E3477F" w:rsidRDefault="00771BB4" w:rsidP="00AB725E">
            <w:pPr>
              <w:pStyle w:val="Tablehead1"/>
              <w:spacing w:before="0" w:after="0"/>
              <w:jc w:val="right"/>
              <w:rPr>
                <w:rFonts w:cs="Arial"/>
                <w:bCs/>
                <w:color w:val="000000"/>
                <w:sz w:val="16"/>
                <w:szCs w:val="16"/>
                <w:lang w:val="en-US"/>
              </w:rPr>
            </w:pPr>
            <w:r w:rsidRPr="00E3477F">
              <w:rPr>
                <w:rFonts w:cs="Arial"/>
                <w:bCs/>
                <w:color w:val="000000"/>
                <w:sz w:val="16"/>
                <w:szCs w:val="16"/>
                <w:lang w:val="en-US"/>
              </w:rPr>
              <w:t>All undergraduate commencements</w:t>
            </w:r>
          </w:p>
        </w:tc>
        <w:tc>
          <w:tcPr>
            <w:tcW w:w="2126" w:type="dxa"/>
            <w:gridSpan w:val="2"/>
            <w:tcBorders>
              <w:top w:val="single" w:sz="4" w:space="0" w:color="auto"/>
              <w:left w:val="nil"/>
              <w:bottom w:val="nil"/>
              <w:right w:val="nil"/>
            </w:tcBorders>
            <w:vAlign w:val="bottom"/>
          </w:tcPr>
          <w:p w:rsidR="00771BB4" w:rsidRPr="00E3477F" w:rsidRDefault="00771BB4" w:rsidP="00AB725E">
            <w:pPr>
              <w:pStyle w:val="Tablehead1"/>
              <w:spacing w:before="0" w:after="0"/>
              <w:jc w:val="right"/>
              <w:rPr>
                <w:rFonts w:cs="Arial"/>
                <w:bCs/>
                <w:color w:val="000000"/>
                <w:sz w:val="16"/>
                <w:szCs w:val="16"/>
                <w:lang w:val="en-US"/>
              </w:rPr>
            </w:pPr>
            <w:r w:rsidRPr="00E3477F">
              <w:rPr>
                <w:rFonts w:cs="Arial"/>
                <w:bCs/>
                <w:color w:val="000000"/>
                <w:sz w:val="16"/>
                <w:szCs w:val="16"/>
                <w:lang w:val="en-US"/>
              </w:rPr>
              <w:t xml:space="preserve">VET award-holders </w:t>
            </w:r>
          </w:p>
        </w:tc>
      </w:tr>
      <w:tr w:rsidR="00771BB4" w:rsidRPr="00E3477F"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rPr>
                <w:rFonts w:cs="Arial"/>
                <w:sz w:val="16"/>
                <w:szCs w:val="16"/>
                <w:lang w:val="en-US"/>
              </w:rPr>
            </w:pPr>
            <w:r w:rsidRPr="00E3477F">
              <w:rPr>
                <w:rFonts w:cs="Arial"/>
                <w:sz w:val="16"/>
                <w:szCs w:val="16"/>
                <w:lang w:val="en-US"/>
              </w:rPr>
              <w:t xml:space="preserve">Institution </w:t>
            </w:r>
            <w:r w:rsidR="008A7216">
              <w:rPr>
                <w:rFonts w:cs="Arial"/>
                <w:sz w:val="16"/>
                <w:szCs w:val="16"/>
                <w:lang w:val="en-US"/>
              </w:rPr>
              <w:t>(Cluster)</w:t>
            </w:r>
          </w:p>
        </w:tc>
        <w:tc>
          <w:tcPr>
            <w:tcW w:w="993" w:type="dxa"/>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xml:space="preserve">Students </w:t>
            </w:r>
          </w:p>
        </w:tc>
        <w:tc>
          <w:tcPr>
            <w:tcW w:w="850" w:type="dxa"/>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xml:space="preserve">% total </w:t>
            </w:r>
          </w:p>
        </w:tc>
        <w:tc>
          <w:tcPr>
            <w:tcW w:w="1134" w:type="dxa"/>
            <w:tcBorders>
              <w:top w:val="nil"/>
              <w:left w:val="nil"/>
              <w:bottom w:val="single" w:sz="4" w:space="0" w:color="auto"/>
              <w:right w:val="nil"/>
            </w:tcBorders>
            <w:vAlign w:val="bottom"/>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Students</w:t>
            </w:r>
          </w:p>
        </w:tc>
        <w:tc>
          <w:tcPr>
            <w:tcW w:w="992" w:type="dxa"/>
            <w:tcBorders>
              <w:top w:val="nil"/>
              <w:left w:val="nil"/>
              <w:bottom w:val="single" w:sz="4" w:space="0" w:color="auto"/>
              <w:right w:val="nil"/>
            </w:tcBorders>
            <w:vAlign w:val="bottom"/>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U/G</w:t>
            </w:r>
          </w:p>
        </w:tc>
      </w:tr>
      <w:tr w:rsidR="00771BB4" w:rsidRPr="002D339A" w:rsidTr="00AB725E">
        <w:trPr>
          <w:trHeight w:val="300"/>
        </w:trPr>
        <w:tc>
          <w:tcPr>
            <w:tcW w:w="3969" w:type="dxa"/>
            <w:gridSpan w:val="2"/>
            <w:tcBorders>
              <w:top w:val="single" w:sz="4" w:space="0" w:color="auto"/>
              <w:left w:val="nil"/>
              <w:bottom w:val="nil"/>
              <w:right w:val="nil"/>
            </w:tcBorders>
            <w:shd w:val="clear" w:color="auto" w:fill="auto"/>
            <w:noWrap/>
            <w:vAlign w:val="bottom"/>
            <w:hideMark/>
          </w:tcPr>
          <w:p w:rsidR="00771BB4" w:rsidRPr="002D339A" w:rsidRDefault="00771BB4" w:rsidP="00AB725E">
            <w:pPr>
              <w:spacing w:before="0"/>
              <w:rPr>
                <w:rFonts w:ascii="Arial" w:hAnsi="Arial" w:cs="Arial"/>
                <w:color w:val="000000"/>
                <w:sz w:val="16"/>
                <w:szCs w:val="16"/>
              </w:rPr>
            </w:pPr>
            <w:r w:rsidRPr="002D339A">
              <w:rPr>
                <w:rFonts w:ascii="Arial" w:hAnsi="Arial" w:cs="Arial"/>
                <w:color w:val="000000"/>
                <w:sz w:val="16"/>
                <w:szCs w:val="16"/>
              </w:rPr>
              <w:t>La Trobe University</w:t>
            </w:r>
            <w:r w:rsidR="008A7216">
              <w:rPr>
                <w:rFonts w:ascii="Arial" w:hAnsi="Arial" w:cs="Arial"/>
                <w:color w:val="000000"/>
                <w:sz w:val="16"/>
                <w:szCs w:val="16"/>
              </w:rPr>
              <w:t xml:space="preserve"> (2)</w:t>
            </w:r>
          </w:p>
        </w:tc>
        <w:tc>
          <w:tcPr>
            <w:tcW w:w="993" w:type="dxa"/>
            <w:tcBorders>
              <w:top w:val="single" w:sz="4" w:space="0" w:color="auto"/>
              <w:left w:val="nil"/>
              <w:bottom w:val="nil"/>
              <w:right w:val="nil"/>
            </w:tcBorders>
            <w:shd w:val="clear" w:color="auto" w:fill="auto"/>
            <w:noWrap/>
            <w:vAlign w:val="bottom"/>
            <w:hideMark/>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259</w:t>
            </w:r>
          </w:p>
        </w:tc>
        <w:tc>
          <w:tcPr>
            <w:tcW w:w="850" w:type="dxa"/>
            <w:tcBorders>
              <w:top w:val="single" w:sz="4" w:space="0" w:color="auto"/>
              <w:left w:val="nil"/>
              <w:bottom w:val="nil"/>
              <w:right w:val="nil"/>
            </w:tcBorders>
            <w:shd w:val="clear" w:color="auto" w:fill="auto"/>
            <w:noWrap/>
            <w:vAlign w:val="bottom"/>
            <w:hideMark/>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39.7</w:t>
            </w:r>
          </w:p>
        </w:tc>
        <w:tc>
          <w:tcPr>
            <w:tcW w:w="1134" w:type="dxa"/>
            <w:tcBorders>
              <w:top w:val="single" w:sz="4" w:space="0" w:color="auto"/>
              <w:left w:val="nil"/>
              <w:bottom w:val="nil"/>
              <w:right w:val="nil"/>
            </w:tcBorders>
            <w:vAlign w:val="bottom"/>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146</w:t>
            </w:r>
          </w:p>
        </w:tc>
        <w:tc>
          <w:tcPr>
            <w:tcW w:w="992" w:type="dxa"/>
            <w:tcBorders>
              <w:top w:val="single" w:sz="4" w:space="0" w:color="auto"/>
              <w:left w:val="nil"/>
              <w:bottom w:val="nil"/>
              <w:right w:val="nil"/>
            </w:tcBorders>
            <w:vAlign w:val="bottom"/>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56.4</w:t>
            </w:r>
          </w:p>
        </w:tc>
      </w:tr>
      <w:tr w:rsidR="00771BB4" w:rsidRPr="002D339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2D339A" w:rsidRDefault="00771BB4" w:rsidP="00AB725E">
            <w:pPr>
              <w:spacing w:before="0"/>
              <w:rPr>
                <w:rFonts w:ascii="Arial" w:hAnsi="Arial" w:cs="Arial"/>
                <w:color w:val="000000"/>
                <w:sz w:val="16"/>
                <w:szCs w:val="16"/>
              </w:rPr>
            </w:pPr>
            <w:r w:rsidRPr="002D339A">
              <w:rPr>
                <w:rFonts w:ascii="Arial" w:hAnsi="Arial" w:cs="Arial"/>
                <w:color w:val="000000"/>
                <w:sz w:val="16"/>
                <w:szCs w:val="16"/>
              </w:rPr>
              <w:t>Southern Cross University</w:t>
            </w:r>
            <w:r w:rsidR="008A7216">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258</w:t>
            </w:r>
          </w:p>
        </w:tc>
        <w:tc>
          <w:tcPr>
            <w:tcW w:w="850" w:type="dxa"/>
            <w:tcBorders>
              <w:top w:val="nil"/>
              <w:left w:val="nil"/>
              <w:bottom w:val="nil"/>
              <w:right w:val="nil"/>
            </w:tcBorders>
            <w:shd w:val="clear" w:color="auto" w:fill="auto"/>
            <w:noWrap/>
            <w:vAlign w:val="bottom"/>
            <w:hideMark/>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39.6</w:t>
            </w:r>
          </w:p>
        </w:tc>
        <w:tc>
          <w:tcPr>
            <w:tcW w:w="1134" w:type="dxa"/>
            <w:tcBorders>
              <w:top w:val="nil"/>
              <w:left w:val="nil"/>
              <w:bottom w:val="nil"/>
              <w:right w:val="nil"/>
            </w:tcBorders>
            <w:vAlign w:val="bottom"/>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20</w:t>
            </w:r>
          </w:p>
        </w:tc>
        <w:tc>
          <w:tcPr>
            <w:tcW w:w="992" w:type="dxa"/>
            <w:tcBorders>
              <w:top w:val="nil"/>
              <w:left w:val="nil"/>
              <w:bottom w:val="nil"/>
              <w:right w:val="nil"/>
            </w:tcBorders>
            <w:vAlign w:val="bottom"/>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7.8</w:t>
            </w:r>
          </w:p>
        </w:tc>
      </w:tr>
      <w:tr w:rsidR="00771BB4" w:rsidRPr="002D339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2D339A" w:rsidRDefault="00771BB4" w:rsidP="00AB725E">
            <w:pPr>
              <w:spacing w:before="0"/>
              <w:rPr>
                <w:rFonts w:ascii="Arial" w:hAnsi="Arial" w:cs="Arial"/>
                <w:color w:val="000000"/>
                <w:sz w:val="16"/>
                <w:szCs w:val="16"/>
              </w:rPr>
            </w:pPr>
            <w:r w:rsidRPr="002D339A">
              <w:rPr>
                <w:rFonts w:ascii="Arial" w:hAnsi="Arial" w:cs="Arial"/>
                <w:color w:val="000000"/>
                <w:sz w:val="16"/>
                <w:szCs w:val="16"/>
              </w:rPr>
              <w:t>Victoria University</w:t>
            </w:r>
            <w:r w:rsidR="008A7216">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53</w:t>
            </w:r>
          </w:p>
        </w:tc>
        <w:tc>
          <w:tcPr>
            <w:tcW w:w="850" w:type="dxa"/>
            <w:tcBorders>
              <w:top w:val="nil"/>
              <w:left w:val="nil"/>
              <w:bottom w:val="nil"/>
              <w:right w:val="nil"/>
            </w:tcBorders>
            <w:shd w:val="clear" w:color="auto" w:fill="auto"/>
            <w:noWrap/>
            <w:vAlign w:val="bottom"/>
            <w:hideMark/>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8.1</w:t>
            </w:r>
          </w:p>
        </w:tc>
        <w:tc>
          <w:tcPr>
            <w:tcW w:w="1134" w:type="dxa"/>
            <w:tcBorders>
              <w:top w:val="nil"/>
              <w:left w:val="nil"/>
              <w:bottom w:val="nil"/>
              <w:right w:val="nil"/>
            </w:tcBorders>
            <w:vAlign w:val="bottom"/>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15</w:t>
            </w:r>
          </w:p>
        </w:tc>
        <w:tc>
          <w:tcPr>
            <w:tcW w:w="992" w:type="dxa"/>
            <w:tcBorders>
              <w:top w:val="nil"/>
              <w:left w:val="nil"/>
              <w:bottom w:val="nil"/>
              <w:right w:val="nil"/>
            </w:tcBorders>
            <w:vAlign w:val="bottom"/>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28.3</w:t>
            </w:r>
          </w:p>
        </w:tc>
      </w:tr>
      <w:tr w:rsidR="00771BB4" w:rsidRPr="002D339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2D339A" w:rsidRDefault="00771BB4" w:rsidP="00AB725E">
            <w:pPr>
              <w:spacing w:before="0"/>
              <w:rPr>
                <w:rFonts w:ascii="Arial" w:hAnsi="Arial" w:cs="Arial"/>
                <w:color w:val="000000"/>
                <w:sz w:val="16"/>
                <w:szCs w:val="16"/>
              </w:rPr>
            </w:pPr>
            <w:r w:rsidRPr="002D339A">
              <w:rPr>
                <w:rFonts w:ascii="Arial" w:hAnsi="Arial" w:cs="Arial"/>
                <w:color w:val="000000"/>
                <w:sz w:val="16"/>
                <w:szCs w:val="16"/>
              </w:rPr>
              <w:t>The Flinders University of South Australia</w:t>
            </w:r>
            <w:r w:rsidR="008A7216">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42</w:t>
            </w:r>
          </w:p>
        </w:tc>
        <w:tc>
          <w:tcPr>
            <w:tcW w:w="850" w:type="dxa"/>
            <w:tcBorders>
              <w:top w:val="nil"/>
              <w:left w:val="nil"/>
              <w:bottom w:val="nil"/>
              <w:right w:val="nil"/>
            </w:tcBorders>
            <w:shd w:val="clear" w:color="auto" w:fill="auto"/>
            <w:noWrap/>
            <w:vAlign w:val="bottom"/>
            <w:hideMark/>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6.4</w:t>
            </w:r>
          </w:p>
        </w:tc>
        <w:tc>
          <w:tcPr>
            <w:tcW w:w="1134" w:type="dxa"/>
            <w:tcBorders>
              <w:top w:val="nil"/>
              <w:left w:val="nil"/>
              <w:bottom w:val="nil"/>
              <w:right w:val="nil"/>
            </w:tcBorders>
            <w:vAlign w:val="bottom"/>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&lt;10</w:t>
            </w:r>
          </w:p>
        </w:tc>
        <w:tc>
          <w:tcPr>
            <w:tcW w:w="992" w:type="dxa"/>
            <w:tcBorders>
              <w:top w:val="nil"/>
              <w:left w:val="nil"/>
              <w:bottom w:val="nil"/>
              <w:right w:val="nil"/>
            </w:tcBorders>
            <w:vAlign w:val="bottom"/>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n.a</w:t>
            </w:r>
          </w:p>
        </w:tc>
      </w:tr>
      <w:tr w:rsidR="00771BB4" w:rsidRPr="002D339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2D339A" w:rsidRDefault="00771BB4" w:rsidP="00AB725E">
            <w:pPr>
              <w:spacing w:before="0"/>
              <w:rPr>
                <w:rFonts w:ascii="Arial" w:hAnsi="Arial" w:cs="Arial"/>
                <w:color w:val="000000"/>
                <w:sz w:val="16"/>
                <w:szCs w:val="16"/>
              </w:rPr>
            </w:pPr>
            <w:r w:rsidRPr="002D339A">
              <w:rPr>
                <w:rFonts w:ascii="Arial" w:hAnsi="Arial" w:cs="Arial"/>
                <w:color w:val="000000"/>
                <w:sz w:val="16"/>
                <w:szCs w:val="16"/>
              </w:rPr>
              <w:t>Charles Sturt University</w:t>
            </w:r>
            <w:r w:rsidR="008A7216">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25</w:t>
            </w:r>
          </w:p>
        </w:tc>
        <w:tc>
          <w:tcPr>
            <w:tcW w:w="850" w:type="dxa"/>
            <w:tcBorders>
              <w:top w:val="nil"/>
              <w:left w:val="nil"/>
              <w:bottom w:val="nil"/>
              <w:right w:val="nil"/>
            </w:tcBorders>
            <w:shd w:val="clear" w:color="auto" w:fill="auto"/>
            <w:noWrap/>
            <w:vAlign w:val="bottom"/>
            <w:hideMark/>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3.8</w:t>
            </w:r>
          </w:p>
        </w:tc>
        <w:tc>
          <w:tcPr>
            <w:tcW w:w="1134" w:type="dxa"/>
            <w:tcBorders>
              <w:top w:val="nil"/>
              <w:left w:val="nil"/>
              <w:bottom w:val="nil"/>
              <w:right w:val="nil"/>
            </w:tcBorders>
            <w:vAlign w:val="bottom"/>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&lt;10</w:t>
            </w:r>
          </w:p>
        </w:tc>
        <w:tc>
          <w:tcPr>
            <w:tcW w:w="992" w:type="dxa"/>
            <w:tcBorders>
              <w:top w:val="nil"/>
              <w:left w:val="nil"/>
              <w:bottom w:val="nil"/>
              <w:right w:val="nil"/>
            </w:tcBorders>
            <w:vAlign w:val="bottom"/>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n.a</w:t>
            </w:r>
          </w:p>
        </w:tc>
      </w:tr>
      <w:tr w:rsidR="00771BB4" w:rsidRPr="002D339A"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2D339A" w:rsidRDefault="00771BB4" w:rsidP="00AB725E">
            <w:pPr>
              <w:spacing w:before="0"/>
              <w:rPr>
                <w:rFonts w:ascii="Arial" w:hAnsi="Arial" w:cs="Arial"/>
                <w:color w:val="000000"/>
                <w:sz w:val="16"/>
                <w:szCs w:val="16"/>
              </w:rPr>
            </w:pPr>
            <w:r w:rsidRPr="002D339A">
              <w:rPr>
                <w:rFonts w:ascii="Arial" w:hAnsi="Arial" w:cs="Arial"/>
                <w:color w:val="000000"/>
                <w:sz w:val="16"/>
                <w:szCs w:val="16"/>
              </w:rPr>
              <w:t>Murdoch University</w:t>
            </w:r>
            <w:r w:rsidR="008A7216">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15</w:t>
            </w:r>
          </w:p>
        </w:tc>
        <w:tc>
          <w:tcPr>
            <w:tcW w:w="850" w:type="dxa"/>
            <w:tcBorders>
              <w:top w:val="nil"/>
              <w:left w:val="nil"/>
              <w:bottom w:val="nil"/>
              <w:right w:val="nil"/>
            </w:tcBorders>
            <w:shd w:val="clear" w:color="auto" w:fill="auto"/>
            <w:noWrap/>
            <w:vAlign w:val="bottom"/>
            <w:hideMark/>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2.3</w:t>
            </w:r>
          </w:p>
        </w:tc>
        <w:tc>
          <w:tcPr>
            <w:tcW w:w="1134" w:type="dxa"/>
            <w:tcBorders>
              <w:top w:val="nil"/>
              <w:left w:val="nil"/>
              <w:bottom w:val="nil"/>
              <w:right w:val="nil"/>
            </w:tcBorders>
            <w:vAlign w:val="bottom"/>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&lt;10</w:t>
            </w:r>
          </w:p>
        </w:tc>
        <w:tc>
          <w:tcPr>
            <w:tcW w:w="992" w:type="dxa"/>
            <w:tcBorders>
              <w:top w:val="nil"/>
              <w:left w:val="nil"/>
              <w:bottom w:val="nil"/>
              <w:right w:val="nil"/>
            </w:tcBorders>
            <w:vAlign w:val="bottom"/>
          </w:tcPr>
          <w:p w:rsidR="00771BB4" w:rsidRPr="002D339A" w:rsidRDefault="00771BB4" w:rsidP="00AB725E">
            <w:pPr>
              <w:spacing w:before="0"/>
              <w:jc w:val="right"/>
              <w:rPr>
                <w:rFonts w:ascii="Arial" w:hAnsi="Arial" w:cs="Arial"/>
                <w:color w:val="000000"/>
                <w:sz w:val="16"/>
                <w:szCs w:val="16"/>
              </w:rPr>
            </w:pPr>
            <w:r w:rsidRPr="002D339A">
              <w:rPr>
                <w:rFonts w:ascii="Arial" w:hAnsi="Arial" w:cs="Arial"/>
                <w:color w:val="000000"/>
                <w:sz w:val="16"/>
                <w:szCs w:val="16"/>
              </w:rPr>
              <w:t>n.a</w:t>
            </w:r>
          </w:p>
        </w:tc>
      </w:tr>
      <w:tr w:rsidR="00771BB4" w:rsidRPr="00E3477F"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text"/>
              <w:spacing w:before="0" w:after="0"/>
              <w:rPr>
                <w:rFonts w:cs="Arial"/>
                <w:b/>
                <w:szCs w:val="16"/>
              </w:rPr>
            </w:pPr>
            <w:r w:rsidRPr="00E3477F">
              <w:rPr>
                <w:rFonts w:cs="Arial"/>
                <w:b/>
                <w:szCs w:val="16"/>
              </w:rPr>
              <w:t>TOTAL</w:t>
            </w:r>
          </w:p>
        </w:tc>
        <w:tc>
          <w:tcPr>
            <w:tcW w:w="993" w:type="dxa"/>
            <w:tcBorders>
              <w:top w:val="nil"/>
              <w:left w:val="nil"/>
              <w:bottom w:val="single" w:sz="4" w:space="0" w:color="auto"/>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b/>
                <w:sz w:val="16"/>
                <w:szCs w:val="16"/>
              </w:rPr>
            </w:pPr>
            <w:r>
              <w:rPr>
                <w:rFonts w:ascii="Arial" w:hAnsi="Arial" w:cs="Arial"/>
                <w:b/>
                <w:sz w:val="16"/>
                <w:szCs w:val="16"/>
              </w:rPr>
              <w:t>609</w:t>
            </w:r>
          </w:p>
        </w:tc>
        <w:tc>
          <w:tcPr>
            <w:tcW w:w="850" w:type="dxa"/>
            <w:tcBorders>
              <w:top w:val="nil"/>
              <w:left w:val="nil"/>
              <w:bottom w:val="single" w:sz="4" w:space="0" w:color="auto"/>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b/>
                <w:sz w:val="16"/>
                <w:szCs w:val="16"/>
              </w:rPr>
            </w:pPr>
            <w:r w:rsidRPr="00E3477F">
              <w:rPr>
                <w:rFonts w:ascii="Arial" w:hAnsi="Arial" w:cs="Arial"/>
                <w:b/>
                <w:sz w:val="16"/>
                <w:szCs w:val="16"/>
              </w:rPr>
              <w:t xml:space="preserve">        100.0 </w:t>
            </w:r>
          </w:p>
        </w:tc>
        <w:tc>
          <w:tcPr>
            <w:tcW w:w="1134" w:type="dxa"/>
            <w:tcBorders>
              <w:top w:val="nil"/>
              <w:left w:val="nil"/>
              <w:bottom w:val="single" w:sz="4" w:space="0" w:color="auto"/>
              <w:right w:val="nil"/>
            </w:tcBorders>
            <w:vAlign w:val="bottom"/>
          </w:tcPr>
          <w:p w:rsidR="00771BB4" w:rsidRPr="00E3477F" w:rsidRDefault="00771BB4" w:rsidP="00AB725E">
            <w:pPr>
              <w:spacing w:before="0" w:line="240" w:lineRule="auto"/>
              <w:jc w:val="right"/>
              <w:rPr>
                <w:rFonts w:ascii="Arial" w:hAnsi="Arial" w:cs="Arial"/>
                <w:b/>
                <w:sz w:val="16"/>
                <w:szCs w:val="16"/>
              </w:rPr>
            </w:pPr>
            <w:r>
              <w:rPr>
                <w:rFonts w:ascii="Arial" w:hAnsi="Arial" w:cs="Arial"/>
                <w:b/>
                <w:sz w:val="16"/>
                <w:szCs w:val="16"/>
              </w:rPr>
              <w:t>176</w:t>
            </w:r>
          </w:p>
        </w:tc>
        <w:tc>
          <w:tcPr>
            <w:tcW w:w="992" w:type="dxa"/>
            <w:tcBorders>
              <w:top w:val="nil"/>
              <w:left w:val="nil"/>
              <w:bottom w:val="single" w:sz="4" w:space="0" w:color="auto"/>
              <w:right w:val="nil"/>
            </w:tcBorders>
            <w:vAlign w:val="bottom"/>
          </w:tcPr>
          <w:p w:rsidR="00771BB4" w:rsidRPr="00E3477F" w:rsidRDefault="00771BB4" w:rsidP="00AB725E">
            <w:pPr>
              <w:pStyle w:val="Tabletext"/>
              <w:spacing w:before="0" w:after="0"/>
              <w:jc w:val="right"/>
              <w:rPr>
                <w:rFonts w:cs="Arial"/>
                <w:b/>
                <w:szCs w:val="16"/>
              </w:rPr>
            </w:pPr>
            <w:r>
              <w:rPr>
                <w:rFonts w:cs="Arial"/>
                <w:b/>
                <w:szCs w:val="16"/>
              </w:rPr>
              <w:t>28.9</w:t>
            </w:r>
          </w:p>
        </w:tc>
      </w:tr>
    </w:tbl>
    <w:p w:rsidR="00771BB4" w:rsidRDefault="00771BB4" w:rsidP="00771BB4">
      <w:pPr>
        <w:pStyle w:val="Source"/>
        <w:tabs>
          <w:tab w:val="left" w:pos="7416"/>
        </w:tabs>
      </w:pPr>
      <w:r>
        <w:t>Source: DEEWR (2010) Higher Education Statistics Collection. Unpublished data</w:t>
      </w:r>
      <w:r>
        <w:tab/>
      </w:r>
    </w:p>
    <w:p w:rsidR="00771BB4" w:rsidRDefault="00771BB4" w:rsidP="00771BB4">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771BB4" w:rsidRDefault="00771BB4" w:rsidP="00771BB4">
      <w:pPr>
        <w:pStyle w:val="Heading3"/>
      </w:pPr>
      <w:r>
        <w:t>Banking, Finance and Related Fields</w:t>
      </w:r>
    </w:p>
    <w:p w:rsidR="00771BB4" w:rsidRDefault="00771BB4" w:rsidP="00771BB4">
      <w:pPr>
        <w:pStyle w:val="Text"/>
      </w:pPr>
      <w:r>
        <w:t xml:space="preserve">Banking, Finance and Related Fields is the second largest sub-field in the </w:t>
      </w:r>
      <w:r w:rsidR="00602388">
        <w:t xml:space="preserve">broad field of </w:t>
      </w:r>
      <w:r>
        <w:t>Management and Commerce and has a relatively high rate of admission of VET award-holders of 15 per cent</w:t>
      </w:r>
      <w:r w:rsidR="00602388">
        <w:t xml:space="preserve">, as illustrated in </w:t>
      </w:r>
      <w:r w:rsidR="00B45EBA">
        <w:t xml:space="preserve">Table </w:t>
      </w:r>
      <w:r w:rsidR="003645D7">
        <w:t>13</w:t>
      </w:r>
      <w:r>
        <w:t xml:space="preserve">. </w:t>
      </w:r>
    </w:p>
    <w:p w:rsidR="00771BB4" w:rsidRDefault="00B45EBA" w:rsidP="00771BB4">
      <w:pPr>
        <w:pStyle w:val="tabletitle"/>
      </w:pPr>
      <w:bookmarkStart w:id="74" w:name="_Toc350786319"/>
      <w:bookmarkStart w:id="75" w:name="_Toc370995922"/>
      <w:r>
        <w:t xml:space="preserve">Table </w:t>
      </w:r>
      <w:r w:rsidR="006A154F">
        <w:t>13</w:t>
      </w:r>
      <w:r w:rsidR="00771BB4">
        <w:tab/>
        <w:t xml:space="preserve">VET award-holders and all undergraduate commencements in Banking, Finance and Related Fields </w:t>
      </w:r>
      <w:r w:rsidR="00771BB4">
        <w:rPr>
          <w:szCs w:val="22"/>
        </w:rPr>
        <w:t>(FOE 0811)</w:t>
      </w:r>
      <w:r w:rsidR="00771BB4">
        <w:t>, by the largest 16 HE providers, Australia 2010</w:t>
      </w:r>
      <w:bookmarkEnd w:id="74"/>
      <w:bookmarkEnd w:id="75"/>
    </w:p>
    <w:tbl>
      <w:tblPr>
        <w:tblW w:w="7938" w:type="dxa"/>
        <w:tblInd w:w="108" w:type="dxa"/>
        <w:tblLayout w:type="fixed"/>
        <w:tblLook w:val="04A0"/>
      </w:tblPr>
      <w:tblGrid>
        <w:gridCol w:w="3448"/>
        <w:gridCol w:w="521"/>
        <w:gridCol w:w="993"/>
        <w:gridCol w:w="850"/>
        <w:gridCol w:w="1134"/>
        <w:gridCol w:w="992"/>
      </w:tblGrid>
      <w:tr w:rsidR="00771BB4" w:rsidRPr="00E3477F" w:rsidTr="00AB725E">
        <w:trPr>
          <w:trHeight w:val="300"/>
        </w:trPr>
        <w:tc>
          <w:tcPr>
            <w:tcW w:w="3448" w:type="dxa"/>
            <w:tcBorders>
              <w:top w:val="single" w:sz="4" w:space="0" w:color="auto"/>
              <w:left w:val="nil"/>
              <w:bottom w:val="nil"/>
              <w:right w:val="nil"/>
            </w:tcBorders>
            <w:shd w:val="clear" w:color="auto" w:fill="auto"/>
            <w:noWrap/>
            <w:vAlign w:val="bottom"/>
            <w:hideMark/>
          </w:tcPr>
          <w:p w:rsidR="00771BB4" w:rsidRPr="00E3477F" w:rsidRDefault="00771BB4" w:rsidP="00AB725E">
            <w:pPr>
              <w:pStyle w:val="Tablehead1"/>
              <w:spacing w:before="0" w:after="0"/>
              <w:rPr>
                <w:rFonts w:cs="Arial"/>
                <w:bCs/>
                <w:color w:val="000000"/>
                <w:sz w:val="16"/>
                <w:szCs w:val="16"/>
                <w:lang w:val="en-US"/>
              </w:rPr>
            </w:pPr>
          </w:p>
        </w:tc>
        <w:tc>
          <w:tcPr>
            <w:tcW w:w="2364" w:type="dxa"/>
            <w:gridSpan w:val="3"/>
            <w:tcBorders>
              <w:top w:val="single" w:sz="4" w:space="0" w:color="auto"/>
              <w:left w:val="nil"/>
              <w:bottom w:val="nil"/>
              <w:right w:val="nil"/>
            </w:tcBorders>
            <w:shd w:val="clear" w:color="auto" w:fill="auto"/>
            <w:noWrap/>
            <w:vAlign w:val="bottom"/>
            <w:hideMark/>
          </w:tcPr>
          <w:p w:rsidR="00771BB4" w:rsidRPr="00E3477F" w:rsidRDefault="00771BB4" w:rsidP="00AB725E">
            <w:pPr>
              <w:pStyle w:val="Tablehead1"/>
              <w:spacing w:before="0" w:after="0"/>
              <w:jc w:val="right"/>
              <w:rPr>
                <w:rFonts w:cs="Arial"/>
                <w:bCs/>
                <w:color w:val="000000"/>
                <w:sz w:val="16"/>
                <w:szCs w:val="16"/>
                <w:lang w:val="en-US"/>
              </w:rPr>
            </w:pPr>
            <w:r w:rsidRPr="00E3477F">
              <w:rPr>
                <w:rFonts w:cs="Arial"/>
                <w:bCs/>
                <w:color w:val="000000"/>
                <w:sz w:val="16"/>
                <w:szCs w:val="16"/>
                <w:lang w:val="en-US"/>
              </w:rPr>
              <w:t>All undergraduate commencements</w:t>
            </w:r>
          </w:p>
        </w:tc>
        <w:tc>
          <w:tcPr>
            <w:tcW w:w="2126" w:type="dxa"/>
            <w:gridSpan w:val="2"/>
            <w:tcBorders>
              <w:top w:val="single" w:sz="4" w:space="0" w:color="auto"/>
              <w:left w:val="nil"/>
              <w:bottom w:val="nil"/>
              <w:right w:val="nil"/>
            </w:tcBorders>
            <w:vAlign w:val="bottom"/>
          </w:tcPr>
          <w:p w:rsidR="00771BB4" w:rsidRPr="00E3477F" w:rsidRDefault="00771BB4" w:rsidP="00AB725E">
            <w:pPr>
              <w:pStyle w:val="Tablehead1"/>
              <w:spacing w:before="0" w:after="0"/>
              <w:jc w:val="right"/>
              <w:rPr>
                <w:rFonts w:cs="Arial"/>
                <w:bCs/>
                <w:color w:val="000000"/>
                <w:sz w:val="16"/>
                <w:szCs w:val="16"/>
                <w:lang w:val="en-US"/>
              </w:rPr>
            </w:pPr>
            <w:r w:rsidRPr="00E3477F">
              <w:rPr>
                <w:rFonts w:cs="Arial"/>
                <w:bCs/>
                <w:color w:val="000000"/>
                <w:sz w:val="16"/>
                <w:szCs w:val="16"/>
                <w:lang w:val="en-US"/>
              </w:rPr>
              <w:t xml:space="preserve">VET award-holders </w:t>
            </w:r>
          </w:p>
        </w:tc>
      </w:tr>
      <w:tr w:rsidR="00771BB4" w:rsidRPr="00E3477F"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rPr>
                <w:rFonts w:cs="Arial"/>
                <w:sz w:val="16"/>
                <w:szCs w:val="16"/>
                <w:lang w:val="en-US"/>
              </w:rPr>
            </w:pPr>
            <w:r w:rsidRPr="00E3477F">
              <w:rPr>
                <w:rFonts w:cs="Arial"/>
                <w:sz w:val="16"/>
                <w:szCs w:val="16"/>
                <w:lang w:val="en-US"/>
              </w:rPr>
              <w:t xml:space="preserve">Institution </w:t>
            </w:r>
            <w:r w:rsidR="00447B49">
              <w:rPr>
                <w:rFonts w:cs="Arial"/>
                <w:sz w:val="16"/>
                <w:szCs w:val="16"/>
                <w:lang w:val="en-US"/>
              </w:rPr>
              <w:t>(Cluster)</w:t>
            </w:r>
          </w:p>
        </w:tc>
        <w:tc>
          <w:tcPr>
            <w:tcW w:w="993" w:type="dxa"/>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xml:space="preserve">Students </w:t>
            </w:r>
          </w:p>
        </w:tc>
        <w:tc>
          <w:tcPr>
            <w:tcW w:w="850" w:type="dxa"/>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xml:space="preserve">% total </w:t>
            </w:r>
          </w:p>
        </w:tc>
        <w:tc>
          <w:tcPr>
            <w:tcW w:w="1134" w:type="dxa"/>
            <w:tcBorders>
              <w:top w:val="nil"/>
              <w:left w:val="nil"/>
              <w:bottom w:val="single" w:sz="4" w:space="0" w:color="auto"/>
              <w:right w:val="nil"/>
            </w:tcBorders>
            <w:vAlign w:val="bottom"/>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Students</w:t>
            </w:r>
          </w:p>
        </w:tc>
        <w:tc>
          <w:tcPr>
            <w:tcW w:w="992" w:type="dxa"/>
            <w:tcBorders>
              <w:top w:val="nil"/>
              <w:left w:val="nil"/>
              <w:bottom w:val="single" w:sz="4" w:space="0" w:color="auto"/>
              <w:right w:val="nil"/>
            </w:tcBorders>
            <w:vAlign w:val="bottom"/>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U/G</w:t>
            </w:r>
          </w:p>
        </w:tc>
      </w:tr>
      <w:tr w:rsidR="00771BB4" w:rsidRPr="00EC364B" w:rsidTr="00AB725E">
        <w:trPr>
          <w:trHeight w:val="300"/>
        </w:trPr>
        <w:tc>
          <w:tcPr>
            <w:tcW w:w="3969" w:type="dxa"/>
            <w:gridSpan w:val="2"/>
            <w:tcBorders>
              <w:top w:val="single" w:sz="4" w:space="0" w:color="auto"/>
              <w:left w:val="nil"/>
              <w:bottom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RMIT University</w:t>
            </w:r>
            <w:r w:rsidR="00447B49">
              <w:rPr>
                <w:rFonts w:ascii="Arial" w:hAnsi="Arial" w:cs="Arial"/>
                <w:color w:val="000000"/>
                <w:sz w:val="16"/>
                <w:szCs w:val="16"/>
              </w:rPr>
              <w:t xml:space="preserve"> (1)</w:t>
            </w:r>
          </w:p>
        </w:tc>
        <w:tc>
          <w:tcPr>
            <w:tcW w:w="993" w:type="dxa"/>
            <w:tcBorders>
              <w:top w:val="single" w:sz="4" w:space="0" w:color="auto"/>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754</w:t>
            </w:r>
          </w:p>
        </w:tc>
        <w:tc>
          <w:tcPr>
            <w:tcW w:w="850" w:type="dxa"/>
            <w:tcBorders>
              <w:top w:val="single" w:sz="4" w:space="0" w:color="auto"/>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17.0</w:t>
            </w:r>
          </w:p>
        </w:tc>
        <w:tc>
          <w:tcPr>
            <w:tcW w:w="1134" w:type="dxa"/>
            <w:tcBorders>
              <w:top w:val="single" w:sz="4" w:space="0" w:color="auto"/>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297</w:t>
            </w:r>
          </w:p>
        </w:tc>
        <w:tc>
          <w:tcPr>
            <w:tcW w:w="992" w:type="dxa"/>
            <w:tcBorders>
              <w:top w:val="single" w:sz="4" w:space="0" w:color="auto"/>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39.4</w:t>
            </w:r>
          </w:p>
        </w:tc>
      </w:tr>
      <w:tr w:rsidR="00771BB4" w:rsidRPr="00EC364B"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Macquarie University</w:t>
            </w:r>
            <w:r w:rsidR="00447B49">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653</w:t>
            </w:r>
          </w:p>
        </w:tc>
        <w:tc>
          <w:tcPr>
            <w:tcW w:w="850"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14.7</w:t>
            </w:r>
          </w:p>
        </w:tc>
        <w:tc>
          <w:tcPr>
            <w:tcW w:w="1134"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&lt;10</w:t>
            </w:r>
          </w:p>
        </w:tc>
        <w:tc>
          <w:tcPr>
            <w:tcW w:w="992"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n.a</w:t>
            </w:r>
          </w:p>
        </w:tc>
      </w:tr>
      <w:tr w:rsidR="00771BB4" w:rsidRPr="00EC364B"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Victoria University</w:t>
            </w:r>
            <w:r w:rsidR="00447B49">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541</w:t>
            </w:r>
          </w:p>
        </w:tc>
        <w:tc>
          <w:tcPr>
            <w:tcW w:w="850"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12.2</w:t>
            </w:r>
          </w:p>
        </w:tc>
        <w:tc>
          <w:tcPr>
            <w:tcW w:w="1134"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56</w:t>
            </w:r>
          </w:p>
        </w:tc>
        <w:tc>
          <w:tcPr>
            <w:tcW w:w="992"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10.4</w:t>
            </w:r>
          </w:p>
        </w:tc>
      </w:tr>
      <w:tr w:rsidR="00771BB4" w:rsidRPr="00EC364B"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Monash University</w:t>
            </w:r>
            <w:r w:rsidR="00447B49">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415</w:t>
            </w:r>
          </w:p>
        </w:tc>
        <w:tc>
          <w:tcPr>
            <w:tcW w:w="850"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9.3</w:t>
            </w:r>
          </w:p>
        </w:tc>
        <w:tc>
          <w:tcPr>
            <w:tcW w:w="1134"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&lt;10</w:t>
            </w:r>
          </w:p>
        </w:tc>
        <w:tc>
          <w:tcPr>
            <w:tcW w:w="992"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n.a</w:t>
            </w:r>
          </w:p>
        </w:tc>
      </w:tr>
      <w:tr w:rsidR="00771BB4" w:rsidRPr="00EC364B"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University of South Australia</w:t>
            </w:r>
            <w:r w:rsidR="00447B49">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394</w:t>
            </w:r>
          </w:p>
        </w:tc>
        <w:tc>
          <w:tcPr>
            <w:tcW w:w="850"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8.9</w:t>
            </w:r>
          </w:p>
        </w:tc>
        <w:tc>
          <w:tcPr>
            <w:tcW w:w="1134"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49</w:t>
            </w:r>
          </w:p>
        </w:tc>
        <w:tc>
          <w:tcPr>
            <w:tcW w:w="992"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12.4</w:t>
            </w:r>
          </w:p>
        </w:tc>
      </w:tr>
      <w:tr w:rsidR="00771BB4" w:rsidRPr="00EC364B"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Swinburne University of Technology</w:t>
            </w:r>
            <w:r w:rsidR="00447B49">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377</w:t>
            </w:r>
          </w:p>
        </w:tc>
        <w:tc>
          <w:tcPr>
            <w:tcW w:w="850"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8.5</w:t>
            </w:r>
          </w:p>
        </w:tc>
        <w:tc>
          <w:tcPr>
            <w:tcW w:w="1134"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57</w:t>
            </w:r>
          </w:p>
        </w:tc>
        <w:tc>
          <w:tcPr>
            <w:tcW w:w="992"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15.1</w:t>
            </w:r>
          </w:p>
        </w:tc>
      </w:tr>
      <w:tr w:rsidR="00771BB4" w:rsidRPr="00EC364B"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La Trobe University</w:t>
            </w:r>
            <w:r w:rsidR="00447B49">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305</w:t>
            </w:r>
          </w:p>
        </w:tc>
        <w:tc>
          <w:tcPr>
            <w:tcW w:w="850"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6.9</w:t>
            </w:r>
          </w:p>
        </w:tc>
        <w:tc>
          <w:tcPr>
            <w:tcW w:w="1134"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76</w:t>
            </w:r>
          </w:p>
        </w:tc>
        <w:tc>
          <w:tcPr>
            <w:tcW w:w="992"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24.9</w:t>
            </w:r>
          </w:p>
        </w:tc>
      </w:tr>
      <w:tr w:rsidR="00771BB4" w:rsidRPr="00EC364B"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The University of Adelaide</w:t>
            </w:r>
            <w:r w:rsidR="00447B49">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229</w:t>
            </w:r>
          </w:p>
        </w:tc>
        <w:tc>
          <w:tcPr>
            <w:tcW w:w="850"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5.2</w:t>
            </w:r>
          </w:p>
        </w:tc>
        <w:tc>
          <w:tcPr>
            <w:tcW w:w="1134"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&lt;10</w:t>
            </w:r>
          </w:p>
        </w:tc>
        <w:tc>
          <w:tcPr>
            <w:tcW w:w="992"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n.a</w:t>
            </w:r>
          </w:p>
        </w:tc>
      </w:tr>
      <w:tr w:rsidR="00771BB4" w:rsidRPr="00EC364B"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The Australian National University</w:t>
            </w:r>
            <w:r w:rsidR="00447B49">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204</w:t>
            </w:r>
          </w:p>
        </w:tc>
        <w:tc>
          <w:tcPr>
            <w:tcW w:w="850"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4.6</w:t>
            </w:r>
          </w:p>
        </w:tc>
        <w:tc>
          <w:tcPr>
            <w:tcW w:w="1134"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29</w:t>
            </w:r>
          </w:p>
        </w:tc>
        <w:tc>
          <w:tcPr>
            <w:tcW w:w="992"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14.2</w:t>
            </w:r>
          </w:p>
        </w:tc>
      </w:tr>
      <w:tr w:rsidR="00771BB4" w:rsidRPr="00EC364B" w:rsidTr="00AB725E">
        <w:trPr>
          <w:trHeight w:val="300"/>
        </w:trPr>
        <w:tc>
          <w:tcPr>
            <w:tcW w:w="3969" w:type="dxa"/>
            <w:gridSpan w:val="2"/>
            <w:tcBorders>
              <w:top w:val="nil"/>
              <w:left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University of Wollongong</w:t>
            </w:r>
            <w:r w:rsidR="00447B49">
              <w:rPr>
                <w:rFonts w:ascii="Arial" w:hAnsi="Arial" w:cs="Arial"/>
                <w:color w:val="000000"/>
                <w:sz w:val="16"/>
                <w:szCs w:val="16"/>
              </w:rPr>
              <w:t xml:space="preserve"> (2)</w:t>
            </w:r>
          </w:p>
        </w:tc>
        <w:tc>
          <w:tcPr>
            <w:tcW w:w="993" w:type="dxa"/>
            <w:tcBorders>
              <w:top w:val="nil"/>
              <w:left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167</w:t>
            </w:r>
          </w:p>
        </w:tc>
        <w:tc>
          <w:tcPr>
            <w:tcW w:w="850" w:type="dxa"/>
            <w:tcBorders>
              <w:top w:val="nil"/>
              <w:left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3.8</w:t>
            </w:r>
          </w:p>
        </w:tc>
        <w:tc>
          <w:tcPr>
            <w:tcW w:w="1134" w:type="dxa"/>
            <w:tcBorders>
              <w:top w:val="nil"/>
              <w:left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24</w:t>
            </w:r>
          </w:p>
        </w:tc>
        <w:tc>
          <w:tcPr>
            <w:tcW w:w="992" w:type="dxa"/>
            <w:tcBorders>
              <w:top w:val="nil"/>
              <w:left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14.4</w:t>
            </w:r>
          </w:p>
        </w:tc>
      </w:tr>
      <w:tr w:rsidR="00771BB4" w:rsidRPr="00EC364B" w:rsidTr="00AB725E">
        <w:trPr>
          <w:trHeight w:val="300"/>
        </w:trPr>
        <w:tc>
          <w:tcPr>
            <w:tcW w:w="3969" w:type="dxa"/>
            <w:gridSpan w:val="2"/>
            <w:tcBorders>
              <w:top w:val="nil"/>
              <w:left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Queensland University of Technology</w:t>
            </w:r>
            <w:r w:rsidR="00447B49">
              <w:rPr>
                <w:rFonts w:ascii="Arial" w:hAnsi="Arial" w:cs="Arial"/>
                <w:color w:val="000000"/>
                <w:sz w:val="16"/>
                <w:szCs w:val="16"/>
              </w:rPr>
              <w:t xml:space="preserve"> (2)</w:t>
            </w:r>
          </w:p>
        </w:tc>
        <w:tc>
          <w:tcPr>
            <w:tcW w:w="993" w:type="dxa"/>
            <w:tcBorders>
              <w:top w:val="nil"/>
              <w:left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130</w:t>
            </w:r>
          </w:p>
        </w:tc>
        <w:tc>
          <w:tcPr>
            <w:tcW w:w="850" w:type="dxa"/>
            <w:tcBorders>
              <w:top w:val="nil"/>
              <w:left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2.9</w:t>
            </w:r>
          </w:p>
        </w:tc>
        <w:tc>
          <w:tcPr>
            <w:tcW w:w="1134" w:type="dxa"/>
            <w:tcBorders>
              <w:top w:val="nil"/>
              <w:left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18</w:t>
            </w:r>
          </w:p>
        </w:tc>
        <w:tc>
          <w:tcPr>
            <w:tcW w:w="992" w:type="dxa"/>
            <w:tcBorders>
              <w:top w:val="nil"/>
              <w:left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13.8</w:t>
            </w:r>
          </w:p>
        </w:tc>
      </w:tr>
      <w:tr w:rsidR="00771BB4" w:rsidRPr="00EC364B" w:rsidTr="00AB725E">
        <w:trPr>
          <w:trHeight w:val="300"/>
        </w:trPr>
        <w:tc>
          <w:tcPr>
            <w:tcW w:w="3969" w:type="dxa"/>
            <w:gridSpan w:val="2"/>
            <w:tcBorders>
              <w:top w:val="nil"/>
              <w:left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University of Western Sydney</w:t>
            </w:r>
            <w:r w:rsidR="00447B49">
              <w:rPr>
                <w:rFonts w:ascii="Arial" w:hAnsi="Arial" w:cs="Arial"/>
                <w:color w:val="000000"/>
                <w:sz w:val="16"/>
                <w:szCs w:val="16"/>
              </w:rPr>
              <w:t xml:space="preserve"> (1)</w:t>
            </w:r>
          </w:p>
        </w:tc>
        <w:tc>
          <w:tcPr>
            <w:tcW w:w="993" w:type="dxa"/>
            <w:tcBorders>
              <w:top w:val="nil"/>
              <w:left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77</w:t>
            </w:r>
          </w:p>
        </w:tc>
        <w:tc>
          <w:tcPr>
            <w:tcW w:w="850" w:type="dxa"/>
            <w:tcBorders>
              <w:top w:val="nil"/>
              <w:left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1.7</w:t>
            </w:r>
          </w:p>
        </w:tc>
        <w:tc>
          <w:tcPr>
            <w:tcW w:w="1134" w:type="dxa"/>
            <w:tcBorders>
              <w:top w:val="nil"/>
              <w:left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17</w:t>
            </w:r>
          </w:p>
        </w:tc>
        <w:tc>
          <w:tcPr>
            <w:tcW w:w="992" w:type="dxa"/>
            <w:tcBorders>
              <w:top w:val="nil"/>
              <w:left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22.1</w:t>
            </w:r>
          </w:p>
        </w:tc>
      </w:tr>
      <w:tr w:rsidR="00771BB4" w:rsidRPr="00EC364B"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Charles Sturt University</w:t>
            </w:r>
            <w:r w:rsidR="00447B49">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75</w:t>
            </w:r>
          </w:p>
        </w:tc>
        <w:tc>
          <w:tcPr>
            <w:tcW w:w="850"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1.7</w:t>
            </w:r>
          </w:p>
        </w:tc>
        <w:tc>
          <w:tcPr>
            <w:tcW w:w="1134"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22</w:t>
            </w:r>
          </w:p>
        </w:tc>
        <w:tc>
          <w:tcPr>
            <w:tcW w:w="992"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29.3</w:t>
            </w:r>
          </w:p>
        </w:tc>
      </w:tr>
      <w:tr w:rsidR="00771BB4" w:rsidRPr="00EC364B"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Central Queensland University</w:t>
            </w:r>
            <w:r w:rsidR="00447B49">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65</w:t>
            </w:r>
          </w:p>
        </w:tc>
        <w:tc>
          <w:tcPr>
            <w:tcW w:w="850"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1.5</w:t>
            </w:r>
          </w:p>
        </w:tc>
        <w:tc>
          <w:tcPr>
            <w:tcW w:w="1134"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&lt;10</w:t>
            </w:r>
          </w:p>
        </w:tc>
        <w:tc>
          <w:tcPr>
            <w:tcW w:w="992"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Pr>
                <w:rFonts w:ascii="Arial" w:hAnsi="Arial" w:cs="Arial"/>
                <w:color w:val="000000"/>
                <w:sz w:val="16"/>
                <w:szCs w:val="16"/>
              </w:rPr>
              <w:t>n.a</w:t>
            </w:r>
          </w:p>
        </w:tc>
      </w:tr>
      <w:tr w:rsidR="00771BB4" w:rsidRPr="00EC364B"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University of the Sunshine Coast</w:t>
            </w:r>
            <w:r w:rsidR="00447B49">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25</w:t>
            </w:r>
          </w:p>
        </w:tc>
        <w:tc>
          <w:tcPr>
            <w:tcW w:w="850"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0.6</w:t>
            </w:r>
          </w:p>
        </w:tc>
        <w:tc>
          <w:tcPr>
            <w:tcW w:w="1134"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0</w:t>
            </w:r>
          </w:p>
        </w:tc>
        <w:tc>
          <w:tcPr>
            <w:tcW w:w="992"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0.0</w:t>
            </w:r>
          </w:p>
        </w:tc>
      </w:tr>
      <w:tr w:rsidR="00771BB4" w:rsidRPr="00EC364B"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EC364B" w:rsidRDefault="00771BB4" w:rsidP="00AB725E">
            <w:pPr>
              <w:spacing w:before="0" w:line="240" w:lineRule="auto"/>
              <w:rPr>
                <w:rFonts w:ascii="Arial" w:hAnsi="Arial" w:cs="Arial"/>
                <w:color w:val="000000"/>
                <w:sz w:val="16"/>
                <w:szCs w:val="16"/>
              </w:rPr>
            </w:pPr>
            <w:r w:rsidRPr="00EC364B">
              <w:rPr>
                <w:rFonts w:ascii="Arial" w:hAnsi="Arial" w:cs="Arial"/>
                <w:color w:val="000000"/>
                <w:sz w:val="16"/>
                <w:szCs w:val="16"/>
              </w:rPr>
              <w:t>Curtin University of Technology</w:t>
            </w:r>
            <w:r w:rsidR="00447B49">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sz w:val="16"/>
                <w:szCs w:val="16"/>
              </w:rPr>
            </w:pPr>
            <w:r w:rsidRPr="00EC364B">
              <w:rPr>
                <w:rFonts w:ascii="Arial" w:hAnsi="Arial" w:cs="Arial"/>
                <w:sz w:val="16"/>
                <w:szCs w:val="16"/>
              </w:rPr>
              <w:t>20</w:t>
            </w:r>
          </w:p>
        </w:tc>
        <w:tc>
          <w:tcPr>
            <w:tcW w:w="850" w:type="dxa"/>
            <w:tcBorders>
              <w:top w:val="nil"/>
              <w:left w:val="nil"/>
              <w:bottom w:val="nil"/>
              <w:right w:val="nil"/>
            </w:tcBorders>
            <w:shd w:val="clear" w:color="auto" w:fill="auto"/>
            <w:noWrap/>
            <w:vAlign w:val="bottom"/>
            <w:hideMark/>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0.5</w:t>
            </w:r>
          </w:p>
        </w:tc>
        <w:tc>
          <w:tcPr>
            <w:tcW w:w="1134"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0</w:t>
            </w:r>
          </w:p>
        </w:tc>
        <w:tc>
          <w:tcPr>
            <w:tcW w:w="992" w:type="dxa"/>
            <w:tcBorders>
              <w:top w:val="nil"/>
              <w:left w:val="nil"/>
              <w:bottom w:val="nil"/>
              <w:right w:val="nil"/>
            </w:tcBorders>
            <w:vAlign w:val="bottom"/>
          </w:tcPr>
          <w:p w:rsidR="00771BB4" w:rsidRPr="00EC364B" w:rsidRDefault="00771BB4" w:rsidP="00AB725E">
            <w:pPr>
              <w:spacing w:before="0" w:line="240" w:lineRule="auto"/>
              <w:jc w:val="right"/>
              <w:rPr>
                <w:rFonts w:ascii="Arial" w:hAnsi="Arial" w:cs="Arial"/>
                <w:color w:val="000000"/>
                <w:sz w:val="16"/>
                <w:szCs w:val="16"/>
              </w:rPr>
            </w:pPr>
            <w:r w:rsidRPr="00EC364B">
              <w:rPr>
                <w:rFonts w:ascii="Arial" w:hAnsi="Arial" w:cs="Arial"/>
                <w:color w:val="000000"/>
                <w:sz w:val="16"/>
                <w:szCs w:val="16"/>
              </w:rPr>
              <w:t>0.0</w:t>
            </w:r>
          </w:p>
        </w:tc>
      </w:tr>
      <w:tr w:rsidR="00771BB4" w:rsidRPr="00E3477F"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text"/>
              <w:spacing w:before="0" w:after="0"/>
              <w:rPr>
                <w:rFonts w:cs="Arial"/>
                <w:b/>
                <w:szCs w:val="16"/>
              </w:rPr>
            </w:pPr>
            <w:r w:rsidRPr="00E3477F">
              <w:rPr>
                <w:rFonts w:cs="Arial"/>
                <w:b/>
                <w:szCs w:val="16"/>
              </w:rPr>
              <w:t>TOTAL</w:t>
            </w:r>
          </w:p>
        </w:tc>
        <w:tc>
          <w:tcPr>
            <w:tcW w:w="993" w:type="dxa"/>
            <w:tcBorders>
              <w:top w:val="nil"/>
              <w:left w:val="nil"/>
              <w:bottom w:val="single" w:sz="4" w:space="0" w:color="auto"/>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b/>
                <w:sz w:val="16"/>
                <w:szCs w:val="16"/>
              </w:rPr>
            </w:pPr>
            <w:r>
              <w:rPr>
                <w:rFonts w:ascii="Arial" w:hAnsi="Arial" w:cs="Arial"/>
                <w:b/>
                <w:sz w:val="16"/>
                <w:szCs w:val="16"/>
              </w:rPr>
              <w:t>4 441</w:t>
            </w:r>
          </w:p>
        </w:tc>
        <w:tc>
          <w:tcPr>
            <w:tcW w:w="850" w:type="dxa"/>
            <w:tcBorders>
              <w:top w:val="nil"/>
              <w:left w:val="nil"/>
              <w:bottom w:val="single" w:sz="4" w:space="0" w:color="auto"/>
              <w:right w:val="nil"/>
            </w:tcBorders>
            <w:shd w:val="clear" w:color="auto" w:fill="auto"/>
            <w:noWrap/>
            <w:vAlign w:val="bottom"/>
            <w:hideMark/>
          </w:tcPr>
          <w:p w:rsidR="00771BB4" w:rsidRPr="00E3477F" w:rsidRDefault="00771BB4" w:rsidP="00AB725E">
            <w:pPr>
              <w:spacing w:before="0" w:line="240" w:lineRule="auto"/>
              <w:jc w:val="right"/>
              <w:rPr>
                <w:rFonts w:ascii="Arial" w:hAnsi="Arial" w:cs="Arial"/>
                <w:b/>
                <w:sz w:val="16"/>
                <w:szCs w:val="16"/>
              </w:rPr>
            </w:pPr>
            <w:r w:rsidRPr="00E3477F">
              <w:rPr>
                <w:rFonts w:ascii="Arial" w:hAnsi="Arial" w:cs="Arial"/>
                <w:b/>
                <w:sz w:val="16"/>
                <w:szCs w:val="16"/>
              </w:rPr>
              <w:t xml:space="preserve">        100.0 </w:t>
            </w:r>
          </w:p>
        </w:tc>
        <w:tc>
          <w:tcPr>
            <w:tcW w:w="1134" w:type="dxa"/>
            <w:tcBorders>
              <w:top w:val="nil"/>
              <w:left w:val="nil"/>
              <w:bottom w:val="single" w:sz="4" w:space="0" w:color="auto"/>
              <w:right w:val="nil"/>
            </w:tcBorders>
            <w:vAlign w:val="bottom"/>
          </w:tcPr>
          <w:p w:rsidR="00771BB4" w:rsidRPr="00E3477F" w:rsidRDefault="00771BB4" w:rsidP="00AB725E">
            <w:pPr>
              <w:spacing w:before="0" w:line="240" w:lineRule="auto"/>
              <w:jc w:val="right"/>
              <w:rPr>
                <w:rFonts w:ascii="Arial" w:hAnsi="Arial" w:cs="Arial"/>
                <w:b/>
                <w:sz w:val="16"/>
                <w:szCs w:val="16"/>
              </w:rPr>
            </w:pPr>
            <w:r w:rsidRPr="00E3477F">
              <w:rPr>
                <w:rFonts w:ascii="Arial" w:hAnsi="Arial" w:cs="Arial"/>
                <w:b/>
                <w:sz w:val="16"/>
                <w:szCs w:val="16"/>
              </w:rPr>
              <w:t xml:space="preserve">        </w:t>
            </w:r>
            <w:r>
              <w:rPr>
                <w:rFonts w:ascii="Arial" w:hAnsi="Arial" w:cs="Arial"/>
                <w:b/>
                <w:sz w:val="16"/>
                <w:szCs w:val="16"/>
              </w:rPr>
              <w:t>655</w:t>
            </w:r>
            <w:r w:rsidRPr="00E3477F">
              <w:rPr>
                <w:rFonts w:ascii="Arial" w:hAnsi="Arial" w:cs="Arial"/>
                <w:b/>
                <w:sz w:val="16"/>
                <w:szCs w:val="16"/>
              </w:rPr>
              <w:t xml:space="preserve"> </w:t>
            </w:r>
          </w:p>
        </w:tc>
        <w:tc>
          <w:tcPr>
            <w:tcW w:w="992" w:type="dxa"/>
            <w:tcBorders>
              <w:top w:val="nil"/>
              <w:left w:val="nil"/>
              <w:bottom w:val="single" w:sz="4" w:space="0" w:color="auto"/>
              <w:right w:val="nil"/>
            </w:tcBorders>
            <w:vAlign w:val="bottom"/>
          </w:tcPr>
          <w:p w:rsidR="00771BB4" w:rsidRPr="00E3477F" w:rsidRDefault="00771BB4" w:rsidP="00AB725E">
            <w:pPr>
              <w:pStyle w:val="Tabletext"/>
              <w:spacing w:before="0" w:after="0"/>
              <w:jc w:val="right"/>
              <w:rPr>
                <w:rFonts w:cs="Arial"/>
                <w:b/>
                <w:szCs w:val="16"/>
              </w:rPr>
            </w:pPr>
            <w:r>
              <w:rPr>
                <w:rFonts w:cs="Arial"/>
                <w:b/>
                <w:szCs w:val="16"/>
              </w:rPr>
              <w:t>15.0</w:t>
            </w:r>
          </w:p>
        </w:tc>
      </w:tr>
    </w:tbl>
    <w:p w:rsidR="00771BB4" w:rsidRDefault="00771BB4" w:rsidP="00771BB4">
      <w:pPr>
        <w:pStyle w:val="Source"/>
        <w:tabs>
          <w:tab w:val="left" w:pos="7416"/>
        </w:tabs>
      </w:pPr>
      <w:r>
        <w:t>Source: DEEWR (2010) Higher Education Statistics Collection. Unpublished data</w:t>
      </w:r>
      <w:r>
        <w:tab/>
      </w:r>
    </w:p>
    <w:p w:rsidR="00771BB4" w:rsidRDefault="00771BB4" w:rsidP="00771BB4">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771BB4" w:rsidRDefault="00771BB4" w:rsidP="00771BB4">
      <w:pPr>
        <w:pStyle w:val="Text"/>
      </w:pPr>
      <w:r>
        <w:t xml:space="preserve">As indicated in </w:t>
      </w:r>
      <w:r w:rsidR="00B45EBA">
        <w:t xml:space="preserve">Table </w:t>
      </w:r>
      <w:r w:rsidR="003645D7">
        <w:t>13</w:t>
      </w:r>
      <w:r>
        <w:t xml:space="preserve">, the largest provider in this field </w:t>
      </w:r>
      <w:r w:rsidR="00602388">
        <w:t xml:space="preserve">– RMIT University - </w:t>
      </w:r>
      <w:r>
        <w:t xml:space="preserve">admits VET award-holders at a relatively high rate of 39.4 per cent </w:t>
      </w:r>
      <w:r w:rsidR="00602388">
        <w:t>as do</w:t>
      </w:r>
      <w:r>
        <w:t xml:space="preserve"> the majority of the other providers. </w:t>
      </w:r>
      <w:r w:rsidR="00602388">
        <w:t xml:space="preserve">Macquarie University, Monash University and Adelaide University are </w:t>
      </w:r>
      <w:r w:rsidR="00FB066B">
        <w:t xml:space="preserve">exceptional </w:t>
      </w:r>
      <w:r w:rsidR="00602388">
        <w:t>in that they are large providers yet admit no students on the basis of a VET award</w:t>
      </w:r>
    </w:p>
    <w:p w:rsidR="00771BB4" w:rsidRDefault="00771BB4" w:rsidP="00771BB4">
      <w:pPr>
        <w:pStyle w:val="Heading3"/>
      </w:pPr>
      <w:r>
        <w:lastRenderedPageBreak/>
        <w:t>Other Management and Commerce</w:t>
      </w:r>
    </w:p>
    <w:p w:rsidR="00771BB4" w:rsidRDefault="00771BB4" w:rsidP="00771BB4">
      <w:pPr>
        <w:pStyle w:val="Text"/>
      </w:pPr>
      <w:r>
        <w:t>Almost 20 per cent of undergraduate commencements are classified as “Other Management and Commerce”</w:t>
      </w:r>
      <w:r w:rsidR="002F1D4E">
        <w:t>, including the sub-field of Office Studies (0809)</w:t>
      </w:r>
      <w:r>
        <w:t xml:space="preserve">. Twenty-nine universities enrol students in this category but 13 universities account for over 80 per cent of all enrolments, as indicated in </w:t>
      </w:r>
      <w:r w:rsidR="00B45EBA">
        <w:t xml:space="preserve">Table </w:t>
      </w:r>
      <w:r w:rsidR="003645D7">
        <w:t>14</w:t>
      </w:r>
      <w:r>
        <w:t>.</w:t>
      </w:r>
    </w:p>
    <w:p w:rsidR="004B21E8" w:rsidRDefault="004B21E8" w:rsidP="00771BB4">
      <w:pPr>
        <w:pStyle w:val="Text"/>
      </w:pPr>
    </w:p>
    <w:p w:rsidR="00771BB4" w:rsidRDefault="00B45EBA" w:rsidP="00771BB4">
      <w:pPr>
        <w:pStyle w:val="tabletitle"/>
      </w:pPr>
      <w:bookmarkStart w:id="76" w:name="_Toc350786320"/>
      <w:bookmarkStart w:id="77" w:name="_Toc370995923"/>
      <w:r>
        <w:t xml:space="preserve">Table </w:t>
      </w:r>
      <w:r w:rsidR="006A154F">
        <w:t>14</w:t>
      </w:r>
      <w:r w:rsidR="00771BB4">
        <w:tab/>
        <w:t xml:space="preserve">VET award-holders and all undergraduate commencements in Other Management and Commerce </w:t>
      </w:r>
      <w:r w:rsidR="00771BB4">
        <w:rPr>
          <w:szCs w:val="22"/>
        </w:rPr>
        <w:t>(FOE 0899)</w:t>
      </w:r>
      <w:r w:rsidR="00771BB4">
        <w:t>, by the largest 13 HE providers, Australia 2010</w:t>
      </w:r>
      <w:bookmarkEnd w:id="76"/>
      <w:bookmarkEnd w:id="77"/>
    </w:p>
    <w:tbl>
      <w:tblPr>
        <w:tblW w:w="7938" w:type="dxa"/>
        <w:tblInd w:w="108" w:type="dxa"/>
        <w:tblLayout w:type="fixed"/>
        <w:tblLook w:val="04A0"/>
      </w:tblPr>
      <w:tblGrid>
        <w:gridCol w:w="3448"/>
        <w:gridCol w:w="521"/>
        <w:gridCol w:w="993"/>
        <w:gridCol w:w="850"/>
        <w:gridCol w:w="1134"/>
        <w:gridCol w:w="992"/>
      </w:tblGrid>
      <w:tr w:rsidR="00771BB4" w:rsidRPr="00E3477F" w:rsidTr="00AB725E">
        <w:trPr>
          <w:trHeight w:val="300"/>
        </w:trPr>
        <w:tc>
          <w:tcPr>
            <w:tcW w:w="3448" w:type="dxa"/>
            <w:tcBorders>
              <w:top w:val="single" w:sz="4" w:space="0" w:color="auto"/>
              <w:left w:val="nil"/>
              <w:bottom w:val="nil"/>
              <w:right w:val="nil"/>
            </w:tcBorders>
            <w:shd w:val="clear" w:color="auto" w:fill="auto"/>
            <w:noWrap/>
            <w:vAlign w:val="bottom"/>
            <w:hideMark/>
          </w:tcPr>
          <w:p w:rsidR="00771BB4" w:rsidRPr="00E3477F" w:rsidRDefault="00771BB4" w:rsidP="00AB725E">
            <w:pPr>
              <w:pStyle w:val="Tablehead1"/>
              <w:spacing w:before="0" w:after="0"/>
              <w:rPr>
                <w:rFonts w:cs="Arial"/>
                <w:bCs/>
                <w:color w:val="000000"/>
                <w:sz w:val="16"/>
                <w:szCs w:val="16"/>
                <w:lang w:val="en-US"/>
              </w:rPr>
            </w:pPr>
          </w:p>
        </w:tc>
        <w:tc>
          <w:tcPr>
            <w:tcW w:w="2364" w:type="dxa"/>
            <w:gridSpan w:val="3"/>
            <w:tcBorders>
              <w:top w:val="single" w:sz="4" w:space="0" w:color="auto"/>
              <w:left w:val="nil"/>
              <w:bottom w:val="nil"/>
              <w:right w:val="nil"/>
            </w:tcBorders>
            <w:shd w:val="clear" w:color="auto" w:fill="auto"/>
            <w:noWrap/>
            <w:vAlign w:val="bottom"/>
            <w:hideMark/>
          </w:tcPr>
          <w:p w:rsidR="00771BB4" w:rsidRPr="00E3477F" w:rsidRDefault="00771BB4" w:rsidP="00AB725E">
            <w:pPr>
              <w:pStyle w:val="Tablehead1"/>
              <w:spacing w:before="0" w:after="0"/>
              <w:jc w:val="right"/>
              <w:rPr>
                <w:rFonts w:cs="Arial"/>
                <w:bCs/>
                <w:color w:val="000000"/>
                <w:sz w:val="16"/>
                <w:szCs w:val="16"/>
                <w:lang w:val="en-US"/>
              </w:rPr>
            </w:pPr>
            <w:r w:rsidRPr="00E3477F">
              <w:rPr>
                <w:rFonts w:cs="Arial"/>
                <w:bCs/>
                <w:color w:val="000000"/>
                <w:sz w:val="16"/>
                <w:szCs w:val="16"/>
                <w:lang w:val="en-US"/>
              </w:rPr>
              <w:t>All undergraduate commencements</w:t>
            </w:r>
          </w:p>
        </w:tc>
        <w:tc>
          <w:tcPr>
            <w:tcW w:w="2126" w:type="dxa"/>
            <w:gridSpan w:val="2"/>
            <w:tcBorders>
              <w:top w:val="single" w:sz="4" w:space="0" w:color="auto"/>
              <w:left w:val="nil"/>
              <w:bottom w:val="nil"/>
              <w:right w:val="nil"/>
            </w:tcBorders>
            <w:vAlign w:val="bottom"/>
          </w:tcPr>
          <w:p w:rsidR="00771BB4" w:rsidRPr="00E3477F" w:rsidRDefault="00771BB4" w:rsidP="00AB725E">
            <w:pPr>
              <w:pStyle w:val="Tablehead1"/>
              <w:spacing w:before="0" w:after="0"/>
              <w:jc w:val="right"/>
              <w:rPr>
                <w:rFonts w:cs="Arial"/>
                <w:bCs/>
                <w:color w:val="000000"/>
                <w:sz w:val="16"/>
                <w:szCs w:val="16"/>
                <w:lang w:val="en-US"/>
              </w:rPr>
            </w:pPr>
            <w:r w:rsidRPr="00E3477F">
              <w:rPr>
                <w:rFonts w:cs="Arial"/>
                <w:bCs/>
                <w:color w:val="000000"/>
                <w:sz w:val="16"/>
                <w:szCs w:val="16"/>
                <w:lang w:val="en-US"/>
              </w:rPr>
              <w:t xml:space="preserve">VET award-holders </w:t>
            </w:r>
          </w:p>
        </w:tc>
      </w:tr>
      <w:tr w:rsidR="00771BB4" w:rsidRPr="00E3477F"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rPr>
                <w:rFonts w:cs="Arial"/>
                <w:sz w:val="16"/>
                <w:szCs w:val="16"/>
                <w:lang w:val="en-US"/>
              </w:rPr>
            </w:pPr>
            <w:r w:rsidRPr="00E3477F">
              <w:rPr>
                <w:rFonts w:cs="Arial"/>
                <w:sz w:val="16"/>
                <w:szCs w:val="16"/>
                <w:lang w:val="en-US"/>
              </w:rPr>
              <w:t xml:space="preserve">Institution </w:t>
            </w:r>
            <w:r w:rsidR="004425DC">
              <w:rPr>
                <w:rFonts w:cs="Arial"/>
                <w:sz w:val="16"/>
                <w:szCs w:val="16"/>
                <w:lang w:val="en-US"/>
              </w:rPr>
              <w:t>(Cluster)</w:t>
            </w:r>
          </w:p>
        </w:tc>
        <w:tc>
          <w:tcPr>
            <w:tcW w:w="993" w:type="dxa"/>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xml:space="preserve">Students </w:t>
            </w:r>
          </w:p>
        </w:tc>
        <w:tc>
          <w:tcPr>
            <w:tcW w:w="850" w:type="dxa"/>
            <w:tcBorders>
              <w:top w:val="nil"/>
              <w:left w:val="nil"/>
              <w:bottom w:val="single" w:sz="4" w:space="0" w:color="auto"/>
              <w:right w:val="nil"/>
            </w:tcBorders>
            <w:shd w:val="clear" w:color="auto" w:fill="auto"/>
            <w:noWrap/>
            <w:vAlign w:val="bottom"/>
            <w:hideMark/>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xml:space="preserve">% total </w:t>
            </w:r>
          </w:p>
        </w:tc>
        <w:tc>
          <w:tcPr>
            <w:tcW w:w="1134" w:type="dxa"/>
            <w:tcBorders>
              <w:top w:val="nil"/>
              <w:left w:val="nil"/>
              <w:bottom w:val="single" w:sz="4" w:space="0" w:color="auto"/>
              <w:right w:val="nil"/>
            </w:tcBorders>
            <w:vAlign w:val="bottom"/>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Students</w:t>
            </w:r>
          </w:p>
        </w:tc>
        <w:tc>
          <w:tcPr>
            <w:tcW w:w="992" w:type="dxa"/>
            <w:tcBorders>
              <w:top w:val="nil"/>
              <w:left w:val="nil"/>
              <w:bottom w:val="single" w:sz="4" w:space="0" w:color="auto"/>
              <w:right w:val="nil"/>
            </w:tcBorders>
            <w:vAlign w:val="bottom"/>
          </w:tcPr>
          <w:p w:rsidR="00771BB4" w:rsidRPr="00E3477F" w:rsidRDefault="00771BB4" w:rsidP="00AB725E">
            <w:pPr>
              <w:pStyle w:val="Tablehead2"/>
              <w:spacing w:before="0" w:after="0"/>
              <w:jc w:val="right"/>
              <w:rPr>
                <w:rFonts w:cs="Arial"/>
                <w:sz w:val="16"/>
                <w:szCs w:val="16"/>
                <w:lang w:val="en-US"/>
              </w:rPr>
            </w:pPr>
            <w:r w:rsidRPr="00E3477F">
              <w:rPr>
                <w:rFonts w:cs="Arial"/>
                <w:sz w:val="16"/>
                <w:szCs w:val="16"/>
                <w:lang w:val="en-US"/>
              </w:rPr>
              <w:t>% U/G</w:t>
            </w:r>
          </w:p>
        </w:tc>
      </w:tr>
      <w:tr w:rsidR="00771BB4" w:rsidRPr="00187FB5" w:rsidTr="00AB725E">
        <w:trPr>
          <w:trHeight w:val="300"/>
        </w:trPr>
        <w:tc>
          <w:tcPr>
            <w:tcW w:w="3969" w:type="dxa"/>
            <w:gridSpan w:val="2"/>
            <w:tcBorders>
              <w:top w:val="single" w:sz="4" w:space="0" w:color="auto"/>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rPr>
                <w:rFonts w:ascii="Arial" w:hAnsi="Arial" w:cs="Arial"/>
                <w:sz w:val="16"/>
                <w:szCs w:val="16"/>
              </w:rPr>
            </w:pPr>
            <w:r w:rsidRPr="00187FB5">
              <w:rPr>
                <w:rFonts w:ascii="Arial" w:hAnsi="Arial" w:cs="Arial"/>
                <w:sz w:val="16"/>
                <w:szCs w:val="16"/>
              </w:rPr>
              <w:t>Deakin University</w:t>
            </w:r>
            <w:r w:rsidR="004425DC">
              <w:rPr>
                <w:rFonts w:ascii="Arial" w:hAnsi="Arial" w:cs="Arial"/>
                <w:sz w:val="16"/>
                <w:szCs w:val="16"/>
              </w:rPr>
              <w:t xml:space="preserve"> (1)</w:t>
            </w:r>
          </w:p>
        </w:tc>
        <w:tc>
          <w:tcPr>
            <w:tcW w:w="993" w:type="dxa"/>
            <w:tcBorders>
              <w:top w:val="single" w:sz="4" w:space="0" w:color="auto"/>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2236</w:t>
            </w:r>
          </w:p>
        </w:tc>
        <w:tc>
          <w:tcPr>
            <w:tcW w:w="850" w:type="dxa"/>
            <w:tcBorders>
              <w:top w:val="single" w:sz="4" w:space="0" w:color="auto"/>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11.2</w:t>
            </w:r>
          </w:p>
        </w:tc>
        <w:tc>
          <w:tcPr>
            <w:tcW w:w="1134" w:type="dxa"/>
            <w:tcBorders>
              <w:top w:val="single" w:sz="4" w:space="0" w:color="auto"/>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379</w:t>
            </w:r>
          </w:p>
        </w:tc>
        <w:tc>
          <w:tcPr>
            <w:tcW w:w="992" w:type="dxa"/>
            <w:tcBorders>
              <w:top w:val="single" w:sz="4" w:space="0" w:color="auto"/>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16.9</w:t>
            </w:r>
          </w:p>
        </w:tc>
      </w:tr>
      <w:tr w:rsidR="00771BB4" w:rsidRPr="00187FB5"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rPr>
                <w:rFonts w:ascii="Arial" w:hAnsi="Arial" w:cs="Arial"/>
                <w:sz w:val="16"/>
                <w:szCs w:val="16"/>
              </w:rPr>
            </w:pPr>
            <w:r w:rsidRPr="00187FB5">
              <w:rPr>
                <w:rFonts w:ascii="Arial" w:hAnsi="Arial" w:cs="Arial"/>
                <w:sz w:val="16"/>
                <w:szCs w:val="16"/>
              </w:rPr>
              <w:t>RMIT University</w:t>
            </w:r>
            <w:r w:rsidR="004425DC">
              <w:rPr>
                <w:rFonts w:ascii="Arial" w:hAnsi="Arial" w:cs="Arial"/>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2189</w:t>
            </w:r>
          </w:p>
        </w:tc>
        <w:tc>
          <w:tcPr>
            <w:tcW w:w="850"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11.0</w:t>
            </w:r>
          </w:p>
        </w:tc>
        <w:tc>
          <w:tcPr>
            <w:tcW w:w="1134"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46</w:t>
            </w:r>
          </w:p>
        </w:tc>
        <w:tc>
          <w:tcPr>
            <w:tcW w:w="992"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2.1</w:t>
            </w:r>
          </w:p>
        </w:tc>
      </w:tr>
      <w:tr w:rsidR="00771BB4" w:rsidRPr="00187FB5"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rPr>
                <w:rFonts w:ascii="Arial" w:hAnsi="Arial" w:cs="Arial"/>
                <w:sz w:val="16"/>
                <w:szCs w:val="16"/>
              </w:rPr>
            </w:pPr>
            <w:r w:rsidRPr="00187FB5">
              <w:rPr>
                <w:rFonts w:ascii="Arial" w:hAnsi="Arial" w:cs="Arial"/>
                <w:sz w:val="16"/>
                <w:szCs w:val="16"/>
              </w:rPr>
              <w:t>The University of New South Wales</w:t>
            </w:r>
            <w:r w:rsidR="004425DC">
              <w:rPr>
                <w:rFonts w:ascii="Arial" w:hAnsi="Arial" w:cs="Arial"/>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1857</w:t>
            </w:r>
          </w:p>
        </w:tc>
        <w:tc>
          <w:tcPr>
            <w:tcW w:w="850"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9.3</w:t>
            </w:r>
          </w:p>
        </w:tc>
        <w:tc>
          <w:tcPr>
            <w:tcW w:w="1134"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14</w:t>
            </w:r>
          </w:p>
        </w:tc>
        <w:tc>
          <w:tcPr>
            <w:tcW w:w="992"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0.8</w:t>
            </w:r>
          </w:p>
        </w:tc>
      </w:tr>
      <w:tr w:rsidR="00771BB4" w:rsidRPr="00187FB5"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rPr>
                <w:rFonts w:ascii="Arial" w:hAnsi="Arial" w:cs="Arial"/>
                <w:sz w:val="16"/>
                <w:szCs w:val="16"/>
              </w:rPr>
            </w:pPr>
            <w:r w:rsidRPr="00187FB5">
              <w:rPr>
                <w:rFonts w:ascii="Arial" w:hAnsi="Arial" w:cs="Arial"/>
                <w:sz w:val="16"/>
                <w:szCs w:val="16"/>
              </w:rPr>
              <w:t>The University of Western Australia</w:t>
            </w:r>
            <w:r w:rsidR="004425DC">
              <w:rPr>
                <w:rFonts w:ascii="Arial" w:hAnsi="Arial" w:cs="Arial"/>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1262</w:t>
            </w:r>
          </w:p>
        </w:tc>
        <w:tc>
          <w:tcPr>
            <w:tcW w:w="850"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6.3</w:t>
            </w:r>
          </w:p>
        </w:tc>
        <w:tc>
          <w:tcPr>
            <w:tcW w:w="1134"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5</w:t>
            </w:r>
          </w:p>
        </w:tc>
        <w:tc>
          <w:tcPr>
            <w:tcW w:w="992"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0.4</w:t>
            </w:r>
          </w:p>
        </w:tc>
      </w:tr>
      <w:tr w:rsidR="00771BB4" w:rsidRPr="00187FB5"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rPr>
                <w:rFonts w:ascii="Arial" w:hAnsi="Arial" w:cs="Arial"/>
                <w:sz w:val="16"/>
                <w:szCs w:val="16"/>
              </w:rPr>
            </w:pPr>
            <w:r w:rsidRPr="00187FB5">
              <w:rPr>
                <w:rFonts w:ascii="Arial" w:hAnsi="Arial" w:cs="Arial"/>
                <w:sz w:val="16"/>
                <w:szCs w:val="16"/>
              </w:rPr>
              <w:t>Edith Cowan University</w:t>
            </w:r>
            <w:r w:rsidR="004425DC">
              <w:rPr>
                <w:rFonts w:ascii="Arial" w:hAnsi="Arial" w:cs="Arial"/>
                <w:sz w:val="16"/>
                <w:szCs w:val="16"/>
              </w:rPr>
              <w:t xml:space="preserve"> (1)</w:t>
            </w:r>
          </w:p>
        </w:tc>
        <w:tc>
          <w:tcPr>
            <w:tcW w:w="993"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1206</w:t>
            </w:r>
          </w:p>
        </w:tc>
        <w:tc>
          <w:tcPr>
            <w:tcW w:w="850"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6.1</w:t>
            </w:r>
          </w:p>
        </w:tc>
        <w:tc>
          <w:tcPr>
            <w:tcW w:w="1134"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391</w:t>
            </w:r>
          </w:p>
        </w:tc>
        <w:tc>
          <w:tcPr>
            <w:tcW w:w="992"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32.4</w:t>
            </w:r>
          </w:p>
        </w:tc>
      </w:tr>
      <w:tr w:rsidR="00771BB4" w:rsidRPr="00187FB5"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rPr>
                <w:rFonts w:ascii="Arial" w:hAnsi="Arial" w:cs="Arial"/>
                <w:sz w:val="16"/>
                <w:szCs w:val="16"/>
              </w:rPr>
            </w:pPr>
            <w:r w:rsidRPr="00187FB5">
              <w:rPr>
                <w:rFonts w:ascii="Arial" w:hAnsi="Arial" w:cs="Arial"/>
                <w:sz w:val="16"/>
                <w:szCs w:val="16"/>
              </w:rPr>
              <w:t>Griffith University</w:t>
            </w:r>
            <w:r w:rsidR="004425DC">
              <w:rPr>
                <w:rFonts w:ascii="Arial" w:hAnsi="Arial" w:cs="Arial"/>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1175</w:t>
            </w:r>
          </w:p>
        </w:tc>
        <w:tc>
          <w:tcPr>
            <w:tcW w:w="850"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5.9</w:t>
            </w:r>
          </w:p>
        </w:tc>
        <w:tc>
          <w:tcPr>
            <w:tcW w:w="1134"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183</w:t>
            </w:r>
          </w:p>
        </w:tc>
        <w:tc>
          <w:tcPr>
            <w:tcW w:w="992"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15.6</w:t>
            </w:r>
          </w:p>
        </w:tc>
      </w:tr>
      <w:tr w:rsidR="00771BB4" w:rsidRPr="00187FB5"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rPr>
                <w:rFonts w:ascii="Arial" w:hAnsi="Arial" w:cs="Arial"/>
                <w:sz w:val="16"/>
                <w:szCs w:val="16"/>
              </w:rPr>
            </w:pPr>
            <w:r w:rsidRPr="00187FB5">
              <w:rPr>
                <w:rFonts w:ascii="Arial" w:hAnsi="Arial" w:cs="Arial"/>
                <w:sz w:val="16"/>
                <w:szCs w:val="16"/>
              </w:rPr>
              <w:t>University of Tasmania</w:t>
            </w:r>
            <w:r w:rsidR="004425DC">
              <w:rPr>
                <w:rFonts w:ascii="Arial" w:hAnsi="Arial" w:cs="Arial"/>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1128</w:t>
            </w:r>
          </w:p>
        </w:tc>
        <w:tc>
          <w:tcPr>
            <w:tcW w:w="850"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5.7</w:t>
            </w:r>
          </w:p>
        </w:tc>
        <w:tc>
          <w:tcPr>
            <w:tcW w:w="1134"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67</w:t>
            </w:r>
          </w:p>
        </w:tc>
        <w:tc>
          <w:tcPr>
            <w:tcW w:w="992"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5.9</w:t>
            </w:r>
          </w:p>
        </w:tc>
      </w:tr>
      <w:tr w:rsidR="00771BB4" w:rsidRPr="00187FB5"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rPr>
                <w:rFonts w:ascii="Arial" w:hAnsi="Arial" w:cs="Arial"/>
                <w:sz w:val="16"/>
                <w:szCs w:val="16"/>
              </w:rPr>
            </w:pPr>
            <w:r w:rsidRPr="00187FB5">
              <w:rPr>
                <w:rFonts w:ascii="Arial" w:hAnsi="Arial" w:cs="Arial"/>
                <w:sz w:val="16"/>
                <w:szCs w:val="16"/>
              </w:rPr>
              <w:t>The University of Sydney</w:t>
            </w:r>
            <w:r w:rsidR="004425DC">
              <w:rPr>
                <w:rFonts w:ascii="Arial" w:hAnsi="Arial" w:cs="Arial"/>
                <w:sz w:val="16"/>
                <w:szCs w:val="16"/>
              </w:rPr>
              <w:t xml:space="preserve"> (3)</w:t>
            </w:r>
          </w:p>
        </w:tc>
        <w:tc>
          <w:tcPr>
            <w:tcW w:w="993"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1128</w:t>
            </w:r>
          </w:p>
        </w:tc>
        <w:tc>
          <w:tcPr>
            <w:tcW w:w="850"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5.7</w:t>
            </w:r>
          </w:p>
        </w:tc>
        <w:tc>
          <w:tcPr>
            <w:tcW w:w="1134"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20</w:t>
            </w:r>
          </w:p>
        </w:tc>
        <w:tc>
          <w:tcPr>
            <w:tcW w:w="992"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1.8</w:t>
            </w:r>
          </w:p>
        </w:tc>
      </w:tr>
      <w:tr w:rsidR="00771BB4" w:rsidRPr="00187FB5"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rPr>
                <w:rFonts w:ascii="Arial" w:hAnsi="Arial" w:cs="Arial"/>
                <w:sz w:val="16"/>
                <w:szCs w:val="16"/>
              </w:rPr>
            </w:pPr>
            <w:r w:rsidRPr="00187FB5">
              <w:rPr>
                <w:rFonts w:ascii="Arial" w:hAnsi="Arial" w:cs="Arial"/>
                <w:sz w:val="16"/>
                <w:szCs w:val="16"/>
              </w:rPr>
              <w:t>Murdoch University</w:t>
            </w:r>
            <w:r w:rsidR="004425DC">
              <w:rPr>
                <w:rFonts w:ascii="Arial" w:hAnsi="Arial" w:cs="Arial"/>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1113</w:t>
            </w:r>
          </w:p>
        </w:tc>
        <w:tc>
          <w:tcPr>
            <w:tcW w:w="850"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5.6</w:t>
            </w:r>
          </w:p>
        </w:tc>
        <w:tc>
          <w:tcPr>
            <w:tcW w:w="1134"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90</w:t>
            </w:r>
          </w:p>
        </w:tc>
        <w:tc>
          <w:tcPr>
            <w:tcW w:w="992"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8.1</w:t>
            </w:r>
          </w:p>
        </w:tc>
      </w:tr>
      <w:tr w:rsidR="00771BB4" w:rsidRPr="00187FB5" w:rsidTr="00AB725E">
        <w:trPr>
          <w:trHeight w:val="300"/>
        </w:trPr>
        <w:tc>
          <w:tcPr>
            <w:tcW w:w="3969" w:type="dxa"/>
            <w:gridSpan w:val="2"/>
            <w:tcBorders>
              <w:top w:val="nil"/>
              <w:left w:val="nil"/>
              <w:right w:val="nil"/>
            </w:tcBorders>
            <w:shd w:val="clear" w:color="auto" w:fill="auto"/>
            <w:noWrap/>
            <w:vAlign w:val="bottom"/>
            <w:hideMark/>
          </w:tcPr>
          <w:p w:rsidR="00771BB4" w:rsidRPr="00187FB5" w:rsidRDefault="00771BB4" w:rsidP="00AB725E">
            <w:pPr>
              <w:spacing w:before="100" w:beforeAutospacing="1" w:after="100" w:afterAutospacing="1"/>
              <w:rPr>
                <w:rFonts w:ascii="Arial" w:hAnsi="Arial" w:cs="Arial"/>
                <w:sz w:val="16"/>
                <w:szCs w:val="16"/>
              </w:rPr>
            </w:pPr>
            <w:r w:rsidRPr="00187FB5">
              <w:rPr>
                <w:rFonts w:ascii="Arial" w:hAnsi="Arial" w:cs="Arial"/>
                <w:sz w:val="16"/>
                <w:szCs w:val="16"/>
              </w:rPr>
              <w:t>La Trobe University</w:t>
            </w:r>
            <w:r w:rsidR="004425DC">
              <w:rPr>
                <w:rFonts w:ascii="Arial" w:hAnsi="Arial" w:cs="Arial"/>
                <w:sz w:val="16"/>
                <w:szCs w:val="16"/>
              </w:rPr>
              <w:t xml:space="preserve"> (2)</w:t>
            </w:r>
          </w:p>
        </w:tc>
        <w:tc>
          <w:tcPr>
            <w:tcW w:w="993" w:type="dxa"/>
            <w:tcBorders>
              <w:top w:val="nil"/>
              <w:left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847</w:t>
            </w:r>
          </w:p>
        </w:tc>
        <w:tc>
          <w:tcPr>
            <w:tcW w:w="850" w:type="dxa"/>
            <w:tcBorders>
              <w:top w:val="nil"/>
              <w:left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4.3</w:t>
            </w:r>
          </w:p>
        </w:tc>
        <w:tc>
          <w:tcPr>
            <w:tcW w:w="1134" w:type="dxa"/>
            <w:tcBorders>
              <w:top w:val="nil"/>
              <w:left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146</w:t>
            </w:r>
          </w:p>
        </w:tc>
        <w:tc>
          <w:tcPr>
            <w:tcW w:w="992" w:type="dxa"/>
            <w:tcBorders>
              <w:top w:val="nil"/>
              <w:left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17.2</w:t>
            </w:r>
          </w:p>
        </w:tc>
      </w:tr>
      <w:tr w:rsidR="00771BB4" w:rsidRPr="00187FB5" w:rsidTr="00AB725E">
        <w:trPr>
          <w:trHeight w:val="300"/>
        </w:trPr>
        <w:tc>
          <w:tcPr>
            <w:tcW w:w="3969" w:type="dxa"/>
            <w:gridSpan w:val="2"/>
            <w:tcBorders>
              <w:top w:val="nil"/>
              <w:left w:val="nil"/>
              <w:right w:val="nil"/>
            </w:tcBorders>
            <w:shd w:val="clear" w:color="auto" w:fill="auto"/>
            <w:noWrap/>
            <w:vAlign w:val="bottom"/>
            <w:hideMark/>
          </w:tcPr>
          <w:p w:rsidR="00771BB4" w:rsidRPr="00187FB5" w:rsidRDefault="00771BB4" w:rsidP="00AB725E">
            <w:pPr>
              <w:spacing w:before="100" w:beforeAutospacing="1" w:after="100" w:afterAutospacing="1"/>
              <w:rPr>
                <w:rFonts w:ascii="Arial" w:hAnsi="Arial" w:cs="Arial"/>
                <w:sz w:val="16"/>
                <w:szCs w:val="16"/>
              </w:rPr>
            </w:pPr>
            <w:r w:rsidRPr="00187FB5">
              <w:rPr>
                <w:rFonts w:ascii="Arial" w:hAnsi="Arial" w:cs="Arial"/>
                <w:sz w:val="16"/>
                <w:szCs w:val="16"/>
              </w:rPr>
              <w:t>The University of Queensland</w:t>
            </w:r>
            <w:r w:rsidR="004425DC">
              <w:rPr>
                <w:rFonts w:ascii="Arial" w:hAnsi="Arial" w:cs="Arial"/>
                <w:sz w:val="16"/>
                <w:szCs w:val="16"/>
              </w:rPr>
              <w:t xml:space="preserve"> (3)</w:t>
            </w:r>
          </w:p>
        </w:tc>
        <w:tc>
          <w:tcPr>
            <w:tcW w:w="993" w:type="dxa"/>
            <w:tcBorders>
              <w:top w:val="nil"/>
              <w:left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811</w:t>
            </w:r>
          </w:p>
        </w:tc>
        <w:tc>
          <w:tcPr>
            <w:tcW w:w="850" w:type="dxa"/>
            <w:tcBorders>
              <w:top w:val="nil"/>
              <w:left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4.1</w:t>
            </w:r>
          </w:p>
        </w:tc>
        <w:tc>
          <w:tcPr>
            <w:tcW w:w="1134" w:type="dxa"/>
            <w:tcBorders>
              <w:top w:val="nil"/>
              <w:left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0</w:t>
            </w:r>
          </w:p>
        </w:tc>
        <w:tc>
          <w:tcPr>
            <w:tcW w:w="992" w:type="dxa"/>
            <w:tcBorders>
              <w:top w:val="nil"/>
              <w:left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0.0</w:t>
            </w:r>
          </w:p>
        </w:tc>
      </w:tr>
      <w:tr w:rsidR="00771BB4" w:rsidRPr="00187FB5" w:rsidTr="00AB725E">
        <w:trPr>
          <w:trHeight w:val="300"/>
        </w:trPr>
        <w:tc>
          <w:tcPr>
            <w:tcW w:w="3969" w:type="dxa"/>
            <w:gridSpan w:val="2"/>
            <w:tcBorders>
              <w:top w:val="nil"/>
              <w:left w:val="nil"/>
              <w:right w:val="nil"/>
            </w:tcBorders>
            <w:shd w:val="clear" w:color="auto" w:fill="auto"/>
            <w:noWrap/>
            <w:vAlign w:val="bottom"/>
            <w:hideMark/>
          </w:tcPr>
          <w:p w:rsidR="00771BB4" w:rsidRPr="00187FB5" w:rsidRDefault="00771BB4" w:rsidP="00AB725E">
            <w:pPr>
              <w:spacing w:before="100" w:beforeAutospacing="1" w:after="100" w:afterAutospacing="1"/>
              <w:rPr>
                <w:rFonts w:ascii="Arial" w:hAnsi="Arial" w:cs="Arial"/>
                <w:sz w:val="16"/>
                <w:szCs w:val="16"/>
              </w:rPr>
            </w:pPr>
            <w:r w:rsidRPr="00187FB5">
              <w:rPr>
                <w:rFonts w:ascii="Arial" w:hAnsi="Arial" w:cs="Arial"/>
                <w:sz w:val="16"/>
                <w:szCs w:val="16"/>
              </w:rPr>
              <w:t>University of Southern Queensland</w:t>
            </w:r>
            <w:r w:rsidR="004425DC">
              <w:rPr>
                <w:rFonts w:ascii="Arial" w:hAnsi="Arial" w:cs="Arial"/>
                <w:sz w:val="16"/>
                <w:szCs w:val="16"/>
              </w:rPr>
              <w:t xml:space="preserve"> (3)</w:t>
            </w:r>
          </w:p>
        </w:tc>
        <w:tc>
          <w:tcPr>
            <w:tcW w:w="993" w:type="dxa"/>
            <w:tcBorders>
              <w:top w:val="nil"/>
              <w:left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732</w:t>
            </w:r>
          </w:p>
        </w:tc>
        <w:tc>
          <w:tcPr>
            <w:tcW w:w="850" w:type="dxa"/>
            <w:tcBorders>
              <w:top w:val="nil"/>
              <w:left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3.7</w:t>
            </w:r>
          </w:p>
        </w:tc>
        <w:tc>
          <w:tcPr>
            <w:tcW w:w="1134" w:type="dxa"/>
            <w:tcBorders>
              <w:top w:val="nil"/>
              <w:left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21</w:t>
            </w:r>
          </w:p>
        </w:tc>
        <w:tc>
          <w:tcPr>
            <w:tcW w:w="992" w:type="dxa"/>
            <w:tcBorders>
              <w:top w:val="nil"/>
              <w:left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2.9</w:t>
            </w:r>
          </w:p>
        </w:tc>
      </w:tr>
      <w:tr w:rsidR="00771BB4" w:rsidRPr="00187FB5"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rPr>
                <w:rFonts w:ascii="Arial" w:hAnsi="Arial" w:cs="Arial"/>
                <w:sz w:val="16"/>
                <w:szCs w:val="16"/>
              </w:rPr>
            </w:pPr>
            <w:r w:rsidRPr="00187FB5">
              <w:rPr>
                <w:rFonts w:ascii="Arial" w:hAnsi="Arial" w:cs="Arial"/>
                <w:sz w:val="16"/>
                <w:szCs w:val="16"/>
              </w:rPr>
              <w:t>University of Wollongong</w:t>
            </w:r>
            <w:r w:rsidR="004425DC">
              <w:rPr>
                <w:rFonts w:ascii="Arial" w:hAnsi="Arial" w:cs="Arial"/>
                <w:sz w:val="16"/>
                <w:szCs w:val="16"/>
              </w:rPr>
              <w:t xml:space="preserve"> (2)</w:t>
            </w:r>
          </w:p>
        </w:tc>
        <w:tc>
          <w:tcPr>
            <w:tcW w:w="993"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602</w:t>
            </w:r>
          </w:p>
        </w:tc>
        <w:tc>
          <w:tcPr>
            <w:tcW w:w="850"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3.0</w:t>
            </w:r>
          </w:p>
        </w:tc>
        <w:tc>
          <w:tcPr>
            <w:tcW w:w="1134"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66</w:t>
            </w:r>
          </w:p>
        </w:tc>
        <w:tc>
          <w:tcPr>
            <w:tcW w:w="992" w:type="dxa"/>
            <w:tcBorders>
              <w:top w:val="nil"/>
              <w:left w:val="nil"/>
              <w:bottom w:val="nil"/>
              <w:right w:val="nil"/>
            </w:tcBorders>
            <w:vAlign w:val="bottom"/>
          </w:tcPr>
          <w:p w:rsidR="00771BB4" w:rsidRPr="00187FB5" w:rsidRDefault="00771BB4" w:rsidP="00AB725E">
            <w:pPr>
              <w:spacing w:before="100" w:beforeAutospacing="1" w:after="100" w:afterAutospacing="1"/>
              <w:jc w:val="right"/>
              <w:rPr>
                <w:rFonts w:ascii="Arial" w:hAnsi="Arial" w:cs="Arial"/>
                <w:sz w:val="16"/>
                <w:szCs w:val="16"/>
              </w:rPr>
            </w:pPr>
            <w:r w:rsidRPr="00187FB5">
              <w:rPr>
                <w:rFonts w:ascii="Arial" w:hAnsi="Arial" w:cs="Arial"/>
                <w:sz w:val="16"/>
                <w:szCs w:val="16"/>
              </w:rPr>
              <w:t>11.0</w:t>
            </w:r>
          </w:p>
        </w:tc>
      </w:tr>
      <w:tr w:rsidR="00771BB4" w:rsidRPr="00187FB5" w:rsidTr="00AB725E">
        <w:trPr>
          <w:trHeight w:val="300"/>
        </w:trPr>
        <w:tc>
          <w:tcPr>
            <w:tcW w:w="3969" w:type="dxa"/>
            <w:gridSpan w:val="2"/>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line="240" w:lineRule="auto"/>
              <w:rPr>
                <w:rFonts w:ascii="Arial" w:hAnsi="Arial" w:cs="Arial"/>
                <w:sz w:val="16"/>
                <w:szCs w:val="16"/>
              </w:rPr>
            </w:pPr>
            <w:r w:rsidRPr="00187FB5">
              <w:rPr>
                <w:rFonts w:ascii="Arial" w:hAnsi="Arial" w:cs="Arial"/>
                <w:sz w:val="16"/>
                <w:szCs w:val="16"/>
              </w:rPr>
              <w:t>Other 16 universities</w:t>
            </w:r>
          </w:p>
        </w:tc>
        <w:tc>
          <w:tcPr>
            <w:tcW w:w="993"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line="240" w:lineRule="auto"/>
              <w:jc w:val="right"/>
              <w:rPr>
                <w:rFonts w:ascii="Arial" w:hAnsi="Arial" w:cs="Arial"/>
                <w:sz w:val="16"/>
                <w:szCs w:val="16"/>
              </w:rPr>
            </w:pPr>
            <w:r w:rsidRPr="00187FB5">
              <w:rPr>
                <w:rFonts w:ascii="Arial" w:hAnsi="Arial" w:cs="Arial"/>
                <w:sz w:val="16"/>
                <w:szCs w:val="16"/>
              </w:rPr>
              <w:t>3 632</w:t>
            </w:r>
          </w:p>
        </w:tc>
        <w:tc>
          <w:tcPr>
            <w:tcW w:w="850" w:type="dxa"/>
            <w:tcBorders>
              <w:top w:val="nil"/>
              <w:left w:val="nil"/>
              <w:bottom w:val="nil"/>
              <w:right w:val="nil"/>
            </w:tcBorders>
            <w:shd w:val="clear" w:color="auto" w:fill="auto"/>
            <w:noWrap/>
            <w:vAlign w:val="bottom"/>
            <w:hideMark/>
          </w:tcPr>
          <w:p w:rsidR="00771BB4" w:rsidRPr="00187FB5" w:rsidRDefault="00771BB4" w:rsidP="00AB725E">
            <w:pPr>
              <w:spacing w:before="100" w:beforeAutospacing="1" w:after="100" w:afterAutospacing="1" w:line="240" w:lineRule="auto"/>
              <w:jc w:val="right"/>
              <w:rPr>
                <w:rFonts w:ascii="Arial" w:hAnsi="Arial" w:cs="Arial"/>
                <w:sz w:val="16"/>
                <w:szCs w:val="16"/>
              </w:rPr>
            </w:pPr>
            <w:r w:rsidRPr="00187FB5">
              <w:rPr>
                <w:rFonts w:ascii="Arial" w:hAnsi="Arial" w:cs="Arial"/>
                <w:sz w:val="16"/>
                <w:szCs w:val="16"/>
              </w:rPr>
              <w:t>18.2</w:t>
            </w:r>
          </w:p>
        </w:tc>
        <w:tc>
          <w:tcPr>
            <w:tcW w:w="1134" w:type="dxa"/>
            <w:tcBorders>
              <w:top w:val="nil"/>
              <w:left w:val="nil"/>
              <w:bottom w:val="nil"/>
              <w:right w:val="nil"/>
            </w:tcBorders>
            <w:vAlign w:val="bottom"/>
          </w:tcPr>
          <w:p w:rsidR="00771BB4" w:rsidRPr="00187FB5" w:rsidRDefault="00771BB4" w:rsidP="00AB725E">
            <w:pPr>
              <w:spacing w:before="100" w:beforeAutospacing="1" w:after="100" w:afterAutospacing="1" w:line="240" w:lineRule="auto"/>
              <w:jc w:val="right"/>
              <w:rPr>
                <w:rFonts w:ascii="Arial" w:hAnsi="Arial" w:cs="Arial"/>
                <w:sz w:val="16"/>
                <w:szCs w:val="16"/>
              </w:rPr>
            </w:pPr>
            <w:r w:rsidRPr="00187FB5">
              <w:rPr>
                <w:rFonts w:ascii="Arial" w:hAnsi="Arial" w:cs="Arial"/>
                <w:sz w:val="16"/>
                <w:szCs w:val="16"/>
              </w:rPr>
              <w:t>356</w:t>
            </w:r>
          </w:p>
        </w:tc>
        <w:tc>
          <w:tcPr>
            <w:tcW w:w="992" w:type="dxa"/>
            <w:tcBorders>
              <w:top w:val="nil"/>
              <w:left w:val="nil"/>
              <w:bottom w:val="nil"/>
              <w:right w:val="nil"/>
            </w:tcBorders>
            <w:vAlign w:val="bottom"/>
          </w:tcPr>
          <w:p w:rsidR="00771BB4" w:rsidRPr="00187FB5" w:rsidRDefault="00771BB4" w:rsidP="00AB725E">
            <w:pPr>
              <w:spacing w:before="100" w:beforeAutospacing="1" w:after="100" w:afterAutospacing="1" w:line="240" w:lineRule="auto"/>
              <w:jc w:val="right"/>
              <w:rPr>
                <w:rFonts w:ascii="Arial" w:hAnsi="Arial" w:cs="Arial"/>
                <w:sz w:val="16"/>
                <w:szCs w:val="16"/>
              </w:rPr>
            </w:pPr>
            <w:r w:rsidRPr="00187FB5">
              <w:rPr>
                <w:rFonts w:ascii="Arial" w:hAnsi="Arial" w:cs="Arial"/>
                <w:sz w:val="16"/>
                <w:szCs w:val="16"/>
              </w:rPr>
              <w:t>9.8</w:t>
            </w:r>
          </w:p>
        </w:tc>
      </w:tr>
      <w:tr w:rsidR="00771BB4" w:rsidRPr="00187FB5"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771BB4" w:rsidRPr="00187FB5" w:rsidRDefault="00771BB4" w:rsidP="00AB725E">
            <w:pPr>
              <w:pStyle w:val="Tabletext"/>
              <w:spacing w:before="100" w:beforeAutospacing="1" w:after="100" w:afterAutospacing="1"/>
              <w:rPr>
                <w:rFonts w:cs="Arial"/>
                <w:b/>
                <w:szCs w:val="16"/>
              </w:rPr>
            </w:pPr>
            <w:r w:rsidRPr="00187FB5">
              <w:rPr>
                <w:rFonts w:cs="Arial"/>
                <w:b/>
                <w:szCs w:val="16"/>
              </w:rPr>
              <w:t>TOTAL</w:t>
            </w:r>
          </w:p>
        </w:tc>
        <w:tc>
          <w:tcPr>
            <w:tcW w:w="993" w:type="dxa"/>
            <w:tcBorders>
              <w:top w:val="nil"/>
              <w:left w:val="nil"/>
              <w:bottom w:val="single" w:sz="4" w:space="0" w:color="auto"/>
              <w:right w:val="nil"/>
            </w:tcBorders>
            <w:shd w:val="clear" w:color="auto" w:fill="auto"/>
            <w:noWrap/>
            <w:vAlign w:val="bottom"/>
            <w:hideMark/>
          </w:tcPr>
          <w:p w:rsidR="00771BB4" w:rsidRPr="00187FB5" w:rsidRDefault="00771BB4" w:rsidP="00AB725E">
            <w:pPr>
              <w:spacing w:before="100" w:beforeAutospacing="1" w:after="100" w:afterAutospacing="1" w:line="240" w:lineRule="auto"/>
              <w:jc w:val="right"/>
              <w:rPr>
                <w:rFonts w:ascii="Arial" w:hAnsi="Arial" w:cs="Arial"/>
                <w:b/>
                <w:sz w:val="16"/>
                <w:szCs w:val="16"/>
              </w:rPr>
            </w:pPr>
            <w:r w:rsidRPr="00187FB5">
              <w:rPr>
                <w:rFonts w:ascii="Arial" w:hAnsi="Arial" w:cs="Arial"/>
                <w:b/>
                <w:sz w:val="16"/>
                <w:szCs w:val="16"/>
              </w:rPr>
              <w:t>19 918</w:t>
            </w:r>
          </w:p>
        </w:tc>
        <w:tc>
          <w:tcPr>
            <w:tcW w:w="850" w:type="dxa"/>
            <w:tcBorders>
              <w:top w:val="nil"/>
              <w:left w:val="nil"/>
              <w:bottom w:val="single" w:sz="4" w:space="0" w:color="auto"/>
              <w:right w:val="nil"/>
            </w:tcBorders>
            <w:shd w:val="clear" w:color="auto" w:fill="auto"/>
            <w:noWrap/>
            <w:vAlign w:val="bottom"/>
            <w:hideMark/>
          </w:tcPr>
          <w:p w:rsidR="00771BB4" w:rsidRPr="00187FB5" w:rsidRDefault="00771BB4" w:rsidP="00AB725E">
            <w:pPr>
              <w:spacing w:before="100" w:beforeAutospacing="1" w:after="100" w:afterAutospacing="1" w:line="240" w:lineRule="auto"/>
              <w:jc w:val="right"/>
              <w:rPr>
                <w:rFonts w:ascii="Arial" w:hAnsi="Arial" w:cs="Arial"/>
                <w:b/>
                <w:sz w:val="16"/>
                <w:szCs w:val="16"/>
              </w:rPr>
            </w:pPr>
            <w:r w:rsidRPr="00187FB5">
              <w:rPr>
                <w:rFonts w:ascii="Arial" w:hAnsi="Arial" w:cs="Arial"/>
                <w:b/>
                <w:sz w:val="16"/>
                <w:szCs w:val="16"/>
              </w:rPr>
              <w:t xml:space="preserve">        100.0 </w:t>
            </w:r>
          </w:p>
        </w:tc>
        <w:tc>
          <w:tcPr>
            <w:tcW w:w="1134" w:type="dxa"/>
            <w:tcBorders>
              <w:top w:val="nil"/>
              <w:left w:val="nil"/>
              <w:bottom w:val="single" w:sz="4" w:space="0" w:color="auto"/>
              <w:right w:val="nil"/>
            </w:tcBorders>
            <w:vAlign w:val="bottom"/>
          </w:tcPr>
          <w:p w:rsidR="00771BB4" w:rsidRPr="00187FB5" w:rsidRDefault="00771BB4" w:rsidP="00AB725E">
            <w:pPr>
              <w:spacing w:before="100" w:beforeAutospacing="1" w:after="100" w:afterAutospacing="1" w:line="240" w:lineRule="auto"/>
              <w:jc w:val="right"/>
              <w:rPr>
                <w:rFonts w:ascii="Arial" w:hAnsi="Arial" w:cs="Arial"/>
                <w:b/>
                <w:sz w:val="16"/>
                <w:szCs w:val="16"/>
              </w:rPr>
            </w:pPr>
            <w:r w:rsidRPr="00187FB5">
              <w:rPr>
                <w:rFonts w:ascii="Arial" w:hAnsi="Arial" w:cs="Arial"/>
                <w:b/>
                <w:sz w:val="16"/>
                <w:szCs w:val="16"/>
              </w:rPr>
              <w:t xml:space="preserve">        1 784 </w:t>
            </w:r>
          </w:p>
        </w:tc>
        <w:tc>
          <w:tcPr>
            <w:tcW w:w="992" w:type="dxa"/>
            <w:tcBorders>
              <w:top w:val="nil"/>
              <w:left w:val="nil"/>
              <w:bottom w:val="single" w:sz="4" w:space="0" w:color="auto"/>
              <w:right w:val="nil"/>
            </w:tcBorders>
            <w:vAlign w:val="bottom"/>
          </w:tcPr>
          <w:p w:rsidR="00771BB4" w:rsidRPr="00187FB5" w:rsidRDefault="00771BB4" w:rsidP="00AB725E">
            <w:pPr>
              <w:pStyle w:val="Tabletext"/>
              <w:spacing w:before="100" w:beforeAutospacing="1" w:after="100" w:afterAutospacing="1"/>
              <w:jc w:val="right"/>
              <w:rPr>
                <w:rFonts w:cs="Arial"/>
                <w:b/>
                <w:szCs w:val="16"/>
              </w:rPr>
            </w:pPr>
            <w:r w:rsidRPr="00187FB5">
              <w:rPr>
                <w:rFonts w:cs="Arial"/>
                <w:b/>
                <w:szCs w:val="16"/>
              </w:rPr>
              <w:t>9.0</w:t>
            </w:r>
          </w:p>
        </w:tc>
      </w:tr>
    </w:tbl>
    <w:p w:rsidR="00771BB4" w:rsidRDefault="00771BB4" w:rsidP="00771BB4">
      <w:pPr>
        <w:pStyle w:val="Source"/>
        <w:tabs>
          <w:tab w:val="left" w:pos="7416"/>
        </w:tabs>
      </w:pPr>
      <w:r>
        <w:t>Source: DEEWR (2010) Higher Education Statistics Collection. Unpublished data</w:t>
      </w:r>
      <w:r>
        <w:tab/>
      </w:r>
    </w:p>
    <w:p w:rsidR="00771BB4" w:rsidRDefault="00771BB4" w:rsidP="00771BB4">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771BB4" w:rsidRDefault="00771BB4" w:rsidP="00771BB4">
      <w:pPr>
        <w:pStyle w:val="Text"/>
      </w:pPr>
      <w:r>
        <w:t xml:space="preserve">As shown in </w:t>
      </w:r>
      <w:r w:rsidR="00B45EBA">
        <w:t xml:space="preserve">Table </w:t>
      </w:r>
      <w:r w:rsidR="003645D7">
        <w:t>14</w:t>
      </w:r>
      <w:r>
        <w:t>, there is polarisation between the larger providers in terms of admissions on the basis of a VET award, with RMIT reporting unusually low rates of admission for VET award-holders in this sub-field. Deakin University, Edith Cowan University, Gr</w:t>
      </w:r>
      <w:r w:rsidR="006921BA">
        <w:t>iffith University and La Trobe U</w:t>
      </w:r>
      <w:r>
        <w:t xml:space="preserve">niversity admit relatively high proportions of VET award-holders in this sub-field. </w:t>
      </w:r>
    </w:p>
    <w:p w:rsidR="00771BB4" w:rsidRDefault="00771BB4" w:rsidP="00771BB4">
      <w:pPr>
        <w:pStyle w:val="Heading2"/>
      </w:pPr>
      <w:bookmarkStart w:id="78" w:name="_Toc358384122"/>
      <w:bookmarkStart w:id="79" w:name="_Toc370995885"/>
      <w:r>
        <w:t>Summary</w:t>
      </w:r>
      <w:bookmarkEnd w:id="78"/>
      <w:bookmarkEnd w:id="79"/>
    </w:p>
    <w:p w:rsidR="00771BB4" w:rsidRDefault="00771BB4" w:rsidP="00771BB4">
      <w:pPr>
        <w:pStyle w:val="Text"/>
      </w:pPr>
      <w:r>
        <w:t xml:space="preserve">All universities are involved in providing courses within the Management and Commerce field. </w:t>
      </w:r>
    </w:p>
    <w:p w:rsidR="00771BB4" w:rsidRDefault="00771BB4" w:rsidP="00771BB4">
      <w:pPr>
        <w:pStyle w:val="Text"/>
      </w:pPr>
      <w:r>
        <w:t>There is a polarised pattern of admissions on the basis of a VET award between the larger providers in this field, which is generally consistent between sub-fields. One fifth of all commencements are classified as “Other Management and Commerce” and this sub-field reports the lowest level of admission of students on the basis of a VET award in the field.</w:t>
      </w:r>
      <w:r w:rsidR="008A5F64">
        <w:t xml:space="preserve"> </w:t>
      </w:r>
    </w:p>
    <w:p w:rsidR="00771BB4" w:rsidRDefault="00771BB4">
      <w:pPr>
        <w:spacing w:before="0" w:line="240" w:lineRule="auto"/>
        <w:rPr>
          <w:rFonts w:ascii="Tahoma" w:hAnsi="Tahoma" w:cs="Tahoma"/>
          <w:color w:val="000000"/>
          <w:kern w:val="28"/>
          <w:sz w:val="56"/>
          <w:szCs w:val="56"/>
        </w:rPr>
      </w:pPr>
      <w:r>
        <w:br w:type="page"/>
      </w:r>
    </w:p>
    <w:p w:rsidR="000D424E" w:rsidRDefault="0047396B" w:rsidP="000D424E">
      <w:pPr>
        <w:pStyle w:val="Heading1"/>
      </w:pPr>
      <w:bookmarkStart w:id="80" w:name="_Toc358384123"/>
      <w:bookmarkStart w:id="81" w:name="_Toc370995886"/>
      <w:r>
        <w:lastRenderedPageBreak/>
        <w:t xml:space="preserve">2. </w:t>
      </w:r>
      <w:r w:rsidR="000D424E">
        <w:t>Education (FOE 7)</w:t>
      </w:r>
      <w:bookmarkEnd w:id="80"/>
      <w:bookmarkEnd w:id="81"/>
    </w:p>
    <w:p w:rsidR="000D424E" w:rsidRPr="005630EC" w:rsidRDefault="000D424E" w:rsidP="000D424E">
      <w:pPr>
        <w:pStyle w:val="Text"/>
        <w:rPr>
          <w:color w:val="FF0000"/>
        </w:rPr>
      </w:pPr>
      <w:r>
        <w:t xml:space="preserve">As a broad field under the ASCED categorisation, Education (FOE 7) comprises three narrow sub-fields (4-digit) and 13 detailed sub-fields (6-digit), as shown in </w:t>
      </w:r>
      <w:r w:rsidR="00B45EBA">
        <w:t xml:space="preserve">Table </w:t>
      </w:r>
      <w:r w:rsidR="000A41F4">
        <w:t>15</w:t>
      </w:r>
      <w:r>
        <w:t>.</w:t>
      </w:r>
      <w:r w:rsidR="00AB2F07">
        <w:t xml:space="preserve"> Some of the detailed sub-fields within the narrow field of Teacher Education (0701) will be used for analysis in this study. The detailed sub-fields of Teacher Education: Early Childhood (070101) and Teacher Education: Primary (070103) </w:t>
      </w:r>
      <w:r w:rsidR="000400CF">
        <w:t xml:space="preserve">are chosen for </w:t>
      </w:r>
      <w:r w:rsidR="00AB2F07">
        <w:t>analys</w:t>
      </w:r>
      <w:r w:rsidR="000400CF">
        <w:t>is</w:t>
      </w:r>
      <w:r w:rsidR="00AB2F07">
        <w:t xml:space="preserve"> because they </w:t>
      </w:r>
      <w:r w:rsidR="00873564">
        <w:t>account for</w:t>
      </w:r>
      <w:r w:rsidR="00AB2F07">
        <w:t xml:space="preserve"> high proportions of commencing students in the broad field of education and </w:t>
      </w:r>
      <w:r w:rsidR="00B73DD0">
        <w:t xml:space="preserve">represent </w:t>
      </w:r>
      <w:r w:rsidR="00AB2F07">
        <w:t xml:space="preserve">specialised </w:t>
      </w:r>
      <w:r w:rsidR="00B73DD0">
        <w:t xml:space="preserve">and differentiated professional occupations. Thus the data </w:t>
      </w:r>
      <w:r w:rsidR="000400CF">
        <w:t>are presented at t</w:t>
      </w:r>
      <w:r w:rsidR="00B73DD0">
        <w:t xml:space="preserve">he six-digit </w:t>
      </w:r>
      <w:r w:rsidR="000400CF">
        <w:t xml:space="preserve">ASCED </w:t>
      </w:r>
      <w:r w:rsidR="00B73DD0">
        <w:t>level</w:t>
      </w:r>
      <w:r w:rsidR="000400CF">
        <w:t>.</w:t>
      </w:r>
    </w:p>
    <w:p w:rsidR="000D424E" w:rsidRDefault="00B45EBA" w:rsidP="000D424E">
      <w:pPr>
        <w:pStyle w:val="tabletitle"/>
      </w:pPr>
      <w:bookmarkStart w:id="82" w:name="_Toc350786321"/>
      <w:bookmarkStart w:id="83" w:name="_Toc370995924"/>
      <w:r>
        <w:t xml:space="preserve">Table </w:t>
      </w:r>
      <w:r w:rsidR="006A154F">
        <w:t>15</w:t>
      </w:r>
      <w:r w:rsidR="000D424E">
        <w:tab/>
        <w:t>Narrow and Detailed sub-fields within the Broad Field of Education 07: Education</w:t>
      </w:r>
      <w:bookmarkEnd w:id="82"/>
      <w:bookmarkEnd w:id="83"/>
      <w:r w:rsidR="000D424E">
        <w:t xml:space="preserve"> </w:t>
      </w:r>
    </w:p>
    <w:tbl>
      <w:tblPr>
        <w:tblW w:w="5748" w:type="dxa"/>
        <w:tblInd w:w="108" w:type="dxa"/>
        <w:tblLook w:val="04A0"/>
      </w:tblPr>
      <w:tblGrid>
        <w:gridCol w:w="928"/>
        <w:gridCol w:w="928"/>
        <w:gridCol w:w="3892"/>
      </w:tblGrid>
      <w:tr w:rsidR="000D424E" w:rsidRPr="00CE24D5" w:rsidTr="00AB725E">
        <w:trPr>
          <w:trHeight w:val="300"/>
        </w:trPr>
        <w:tc>
          <w:tcPr>
            <w:tcW w:w="928" w:type="dxa"/>
            <w:tcBorders>
              <w:top w:val="single" w:sz="4" w:space="0" w:color="auto"/>
              <w:left w:val="nil"/>
              <w:bottom w:val="nil"/>
              <w:right w:val="nil"/>
            </w:tcBorders>
            <w:vAlign w:val="bottom"/>
          </w:tcPr>
          <w:p w:rsidR="000D424E" w:rsidRPr="00CE24D5" w:rsidRDefault="000D424E" w:rsidP="00AB725E">
            <w:pPr>
              <w:pStyle w:val="Tablehead1"/>
              <w:jc w:val="center"/>
              <w:rPr>
                <w:bCs/>
                <w:color w:val="000000"/>
                <w:lang w:val="en-US"/>
              </w:rPr>
            </w:pPr>
            <w:r>
              <w:rPr>
                <w:bCs/>
                <w:color w:val="000000"/>
                <w:lang w:val="en-US"/>
              </w:rPr>
              <w:t>Narrow</w:t>
            </w:r>
          </w:p>
        </w:tc>
        <w:tc>
          <w:tcPr>
            <w:tcW w:w="928" w:type="dxa"/>
            <w:tcBorders>
              <w:top w:val="single" w:sz="4" w:space="0" w:color="auto"/>
              <w:left w:val="nil"/>
              <w:bottom w:val="nil"/>
              <w:right w:val="nil"/>
            </w:tcBorders>
            <w:shd w:val="clear" w:color="auto" w:fill="auto"/>
            <w:noWrap/>
            <w:vAlign w:val="bottom"/>
            <w:hideMark/>
          </w:tcPr>
          <w:p w:rsidR="000D424E" w:rsidRPr="00CE24D5" w:rsidRDefault="000D424E" w:rsidP="00AB725E">
            <w:pPr>
              <w:pStyle w:val="Tablehead1"/>
              <w:jc w:val="center"/>
              <w:rPr>
                <w:bCs/>
                <w:color w:val="000000"/>
                <w:lang w:val="en-US"/>
              </w:rPr>
            </w:pPr>
            <w:r>
              <w:rPr>
                <w:bCs/>
                <w:color w:val="000000"/>
                <w:lang w:val="en-US"/>
              </w:rPr>
              <w:t>Detailed</w:t>
            </w:r>
          </w:p>
        </w:tc>
        <w:tc>
          <w:tcPr>
            <w:tcW w:w="3892" w:type="dxa"/>
            <w:tcBorders>
              <w:top w:val="single" w:sz="4" w:space="0" w:color="auto"/>
              <w:left w:val="nil"/>
              <w:bottom w:val="nil"/>
              <w:right w:val="nil"/>
            </w:tcBorders>
            <w:vAlign w:val="bottom"/>
          </w:tcPr>
          <w:p w:rsidR="000D424E" w:rsidRPr="00CE24D5" w:rsidRDefault="000D424E" w:rsidP="00AB725E">
            <w:pPr>
              <w:pStyle w:val="Tablehead1"/>
              <w:rPr>
                <w:rFonts w:cs="Arial"/>
                <w:bCs/>
                <w:color w:val="000000"/>
                <w:szCs w:val="17"/>
                <w:lang w:val="en-US"/>
              </w:rPr>
            </w:pPr>
            <w:r>
              <w:rPr>
                <w:rFonts w:cs="Arial"/>
                <w:bCs/>
                <w:color w:val="000000"/>
                <w:szCs w:val="17"/>
                <w:lang w:val="en-US"/>
              </w:rPr>
              <w:t>Name of sub-field</w:t>
            </w:r>
          </w:p>
        </w:tc>
      </w:tr>
      <w:tr w:rsidR="000D424E" w:rsidRPr="00C6045A" w:rsidTr="00AB725E">
        <w:trPr>
          <w:trHeight w:val="300"/>
        </w:trPr>
        <w:tc>
          <w:tcPr>
            <w:tcW w:w="928" w:type="dxa"/>
            <w:tcBorders>
              <w:top w:val="single" w:sz="4" w:space="0" w:color="auto"/>
              <w:left w:val="nil"/>
              <w:bottom w:val="nil"/>
              <w:right w:val="nil"/>
            </w:tcBorders>
            <w:vAlign w:val="bottom"/>
          </w:tcPr>
          <w:p w:rsidR="000D424E" w:rsidRPr="00F71B20" w:rsidRDefault="000D424E" w:rsidP="00AB725E">
            <w:pPr>
              <w:pStyle w:val="Tabletext"/>
            </w:pPr>
            <w:r>
              <w:t>0701</w:t>
            </w:r>
          </w:p>
        </w:tc>
        <w:tc>
          <w:tcPr>
            <w:tcW w:w="928" w:type="dxa"/>
            <w:tcBorders>
              <w:top w:val="single" w:sz="4" w:space="0" w:color="auto"/>
              <w:left w:val="nil"/>
              <w:bottom w:val="nil"/>
              <w:right w:val="nil"/>
            </w:tcBorders>
            <w:shd w:val="clear" w:color="auto" w:fill="auto"/>
            <w:noWrap/>
            <w:vAlign w:val="bottom"/>
            <w:hideMark/>
          </w:tcPr>
          <w:p w:rsidR="000D424E" w:rsidRPr="00F71B20" w:rsidRDefault="000D424E" w:rsidP="00AB725E">
            <w:pPr>
              <w:pStyle w:val="Tabletext"/>
            </w:pPr>
          </w:p>
        </w:tc>
        <w:tc>
          <w:tcPr>
            <w:tcW w:w="3892" w:type="dxa"/>
            <w:tcBorders>
              <w:top w:val="single" w:sz="4" w:space="0" w:color="auto"/>
              <w:left w:val="nil"/>
              <w:bottom w:val="nil"/>
              <w:right w:val="nil"/>
            </w:tcBorders>
            <w:vAlign w:val="bottom"/>
          </w:tcPr>
          <w:p w:rsidR="000D424E" w:rsidRDefault="000D424E" w:rsidP="00AB725E">
            <w:pPr>
              <w:pStyle w:val="Tabletext"/>
            </w:pPr>
            <w:r>
              <w:t>TEACHER EDUCATION</w:t>
            </w:r>
          </w:p>
        </w:tc>
      </w:tr>
      <w:tr w:rsidR="000D424E" w:rsidRPr="00C6045A" w:rsidTr="00AB725E">
        <w:trPr>
          <w:trHeight w:val="300"/>
        </w:trPr>
        <w:tc>
          <w:tcPr>
            <w:tcW w:w="928" w:type="dxa"/>
            <w:tcBorders>
              <w:top w:val="nil"/>
              <w:left w:val="nil"/>
              <w:bottom w:val="nil"/>
              <w:right w:val="nil"/>
            </w:tcBorders>
            <w:vAlign w:val="bottom"/>
          </w:tcPr>
          <w:p w:rsidR="000D424E" w:rsidRPr="00F71B20" w:rsidRDefault="000D424E" w:rsidP="00AB725E">
            <w:pPr>
              <w:pStyle w:val="Tabletext"/>
            </w:pPr>
          </w:p>
        </w:tc>
        <w:tc>
          <w:tcPr>
            <w:tcW w:w="928" w:type="dxa"/>
            <w:tcBorders>
              <w:top w:val="nil"/>
              <w:left w:val="nil"/>
              <w:bottom w:val="nil"/>
              <w:right w:val="nil"/>
            </w:tcBorders>
            <w:shd w:val="clear" w:color="auto" w:fill="auto"/>
            <w:noWrap/>
            <w:vAlign w:val="bottom"/>
            <w:hideMark/>
          </w:tcPr>
          <w:p w:rsidR="000D424E" w:rsidRPr="00F71B20" w:rsidRDefault="000D424E" w:rsidP="00AB725E">
            <w:pPr>
              <w:pStyle w:val="Tabletext"/>
            </w:pPr>
            <w:r>
              <w:rPr>
                <w:szCs w:val="22"/>
              </w:rPr>
              <w:t>070101</w:t>
            </w:r>
          </w:p>
        </w:tc>
        <w:tc>
          <w:tcPr>
            <w:tcW w:w="3892" w:type="dxa"/>
            <w:tcBorders>
              <w:top w:val="nil"/>
              <w:left w:val="nil"/>
              <w:bottom w:val="nil"/>
              <w:right w:val="nil"/>
            </w:tcBorders>
            <w:vAlign w:val="bottom"/>
          </w:tcPr>
          <w:p w:rsidR="000D424E" w:rsidRDefault="000D424E" w:rsidP="00AB725E">
            <w:pPr>
              <w:pStyle w:val="Tabletext"/>
            </w:pPr>
            <w:r w:rsidRPr="0089301B">
              <w:t>Teacher Education: Early Childhood</w:t>
            </w:r>
          </w:p>
        </w:tc>
      </w:tr>
      <w:tr w:rsidR="000D424E" w:rsidRPr="00C6045A" w:rsidTr="00AB725E">
        <w:trPr>
          <w:trHeight w:val="300"/>
        </w:trPr>
        <w:tc>
          <w:tcPr>
            <w:tcW w:w="928" w:type="dxa"/>
            <w:tcBorders>
              <w:top w:val="nil"/>
              <w:left w:val="nil"/>
              <w:bottom w:val="nil"/>
              <w:right w:val="nil"/>
            </w:tcBorders>
            <w:vAlign w:val="bottom"/>
          </w:tcPr>
          <w:p w:rsidR="000D424E" w:rsidRPr="00F71B20" w:rsidRDefault="000D424E" w:rsidP="00AB725E">
            <w:pPr>
              <w:pStyle w:val="Tabletext"/>
            </w:pPr>
          </w:p>
        </w:tc>
        <w:tc>
          <w:tcPr>
            <w:tcW w:w="928" w:type="dxa"/>
            <w:tcBorders>
              <w:top w:val="nil"/>
              <w:left w:val="nil"/>
              <w:bottom w:val="nil"/>
              <w:right w:val="nil"/>
            </w:tcBorders>
            <w:shd w:val="clear" w:color="auto" w:fill="auto"/>
            <w:noWrap/>
            <w:vAlign w:val="bottom"/>
            <w:hideMark/>
          </w:tcPr>
          <w:p w:rsidR="000D424E" w:rsidRPr="00F71B20" w:rsidRDefault="000D424E" w:rsidP="00AB725E">
            <w:pPr>
              <w:pStyle w:val="Tabletext"/>
            </w:pPr>
            <w:r>
              <w:rPr>
                <w:szCs w:val="22"/>
              </w:rPr>
              <w:t>070103</w:t>
            </w:r>
          </w:p>
        </w:tc>
        <w:tc>
          <w:tcPr>
            <w:tcW w:w="3892" w:type="dxa"/>
            <w:tcBorders>
              <w:top w:val="nil"/>
              <w:left w:val="nil"/>
              <w:bottom w:val="nil"/>
              <w:right w:val="nil"/>
            </w:tcBorders>
            <w:vAlign w:val="bottom"/>
          </w:tcPr>
          <w:p w:rsidR="000D424E" w:rsidRDefault="000D424E" w:rsidP="00AB725E">
            <w:pPr>
              <w:pStyle w:val="Tabletext"/>
            </w:pPr>
            <w:r w:rsidRPr="0089301B">
              <w:t xml:space="preserve">Teacher Education: </w:t>
            </w:r>
            <w:r>
              <w:t>Primary</w:t>
            </w:r>
          </w:p>
        </w:tc>
      </w:tr>
      <w:tr w:rsidR="000D424E" w:rsidRPr="00C6045A" w:rsidTr="00AB725E">
        <w:trPr>
          <w:trHeight w:val="300"/>
        </w:trPr>
        <w:tc>
          <w:tcPr>
            <w:tcW w:w="928" w:type="dxa"/>
            <w:tcBorders>
              <w:top w:val="nil"/>
              <w:left w:val="nil"/>
              <w:bottom w:val="nil"/>
              <w:right w:val="nil"/>
            </w:tcBorders>
            <w:vAlign w:val="bottom"/>
          </w:tcPr>
          <w:p w:rsidR="000D424E" w:rsidRPr="00F71B20" w:rsidRDefault="000D424E" w:rsidP="00AB725E">
            <w:pPr>
              <w:pStyle w:val="Tabletext"/>
            </w:pPr>
          </w:p>
        </w:tc>
        <w:tc>
          <w:tcPr>
            <w:tcW w:w="928" w:type="dxa"/>
            <w:tcBorders>
              <w:top w:val="nil"/>
              <w:left w:val="nil"/>
              <w:bottom w:val="nil"/>
              <w:right w:val="nil"/>
            </w:tcBorders>
            <w:shd w:val="clear" w:color="auto" w:fill="auto"/>
            <w:noWrap/>
            <w:vAlign w:val="bottom"/>
            <w:hideMark/>
          </w:tcPr>
          <w:p w:rsidR="000D424E" w:rsidRPr="00F71B20" w:rsidRDefault="000D424E" w:rsidP="00AB725E">
            <w:pPr>
              <w:pStyle w:val="Tabletext"/>
            </w:pPr>
            <w:r>
              <w:rPr>
                <w:szCs w:val="22"/>
              </w:rPr>
              <w:t>070105</w:t>
            </w:r>
          </w:p>
        </w:tc>
        <w:tc>
          <w:tcPr>
            <w:tcW w:w="3892" w:type="dxa"/>
            <w:tcBorders>
              <w:top w:val="nil"/>
              <w:left w:val="nil"/>
              <w:bottom w:val="nil"/>
              <w:right w:val="nil"/>
            </w:tcBorders>
            <w:vAlign w:val="bottom"/>
          </w:tcPr>
          <w:p w:rsidR="000D424E" w:rsidRDefault="000D424E" w:rsidP="00AB725E">
            <w:pPr>
              <w:pStyle w:val="Tabletext"/>
            </w:pPr>
            <w:r w:rsidRPr="0089301B">
              <w:t xml:space="preserve">Teacher Education: </w:t>
            </w:r>
            <w:r>
              <w:t>Secondary</w:t>
            </w:r>
          </w:p>
        </w:tc>
      </w:tr>
      <w:tr w:rsidR="000D424E" w:rsidRPr="00C6045A" w:rsidTr="00AB725E">
        <w:trPr>
          <w:trHeight w:val="300"/>
        </w:trPr>
        <w:tc>
          <w:tcPr>
            <w:tcW w:w="928" w:type="dxa"/>
            <w:tcBorders>
              <w:top w:val="nil"/>
              <w:left w:val="nil"/>
              <w:bottom w:val="nil"/>
              <w:right w:val="nil"/>
            </w:tcBorders>
            <w:vAlign w:val="bottom"/>
          </w:tcPr>
          <w:p w:rsidR="000D424E" w:rsidRPr="00F71B20" w:rsidRDefault="000D424E" w:rsidP="00AB725E">
            <w:pPr>
              <w:pStyle w:val="Tabletext"/>
            </w:pPr>
          </w:p>
        </w:tc>
        <w:tc>
          <w:tcPr>
            <w:tcW w:w="928" w:type="dxa"/>
            <w:tcBorders>
              <w:top w:val="nil"/>
              <w:left w:val="nil"/>
              <w:bottom w:val="nil"/>
              <w:right w:val="nil"/>
            </w:tcBorders>
            <w:shd w:val="clear" w:color="auto" w:fill="auto"/>
            <w:noWrap/>
            <w:vAlign w:val="bottom"/>
            <w:hideMark/>
          </w:tcPr>
          <w:p w:rsidR="000D424E" w:rsidRPr="00F71B20" w:rsidRDefault="000D424E" w:rsidP="00AB725E">
            <w:pPr>
              <w:pStyle w:val="Tabletext"/>
            </w:pPr>
            <w:r>
              <w:rPr>
                <w:szCs w:val="22"/>
              </w:rPr>
              <w:t>070107</w:t>
            </w:r>
          </w:p>
        </w:tc>
        <w:tc>
          <w:tcPr>
            <w:tcW w:w="3892" w:type="dxa"/>
            <w:tcBorders>
              <w:top w:val="nil"/>
              <w:left w:val="nil"/>
              <w:bottom w:val="nil"/>
              <w:right w:val="nil"/>
            </w:tcBorders>
            <w:vAlign w:val="bottom"/>
          </w:tcPr>
          <w:p w:rsidR="000D424E" w:rsidRDefault="000D424E" w:rsidP="00AB725E">
            <w:pPr>
              <w:pStyle w:val="Tabletext"/>
            </w:pPr>
            <w:r w:rsidRPr="0089301B">
              <w:t xml:space="preserve">Teacher </w:t>
            </w:r>
            <w:r>
              <w:t>-Librarianship</w:t>
            </w:r>
          </w:p>
        </w:tc>
      </w:tr>
      <w:tr w:rsidR="000D424E" w:rsidRPr="00C6045A" w:rsidTr="00AB725E">
        <w:trPr>
          <w:trHeight w:val="300"/>
        </w:trPr>
        <w:tc>
          <w:tcPr>
            <w:tcW w:w="928" w:type="dxa"/>
            <w:tcBorders>
              <w:top w:val="nil"/>
              <w:left w:val="nil"/>
              <w:bottom w:val="nil"/>
              <w:right w:val="nil"/>
            </w:tcBorders>
            <w:vAlign w:val="bottom"/>
          </w:tcPr>
          <w:p w:rsidR="000D424E" w:rsidRPr="00F71B20" w:rsidRDefault="000D424E" w:rsidP="00AB725E">
            <w:pPr>
              <w:pStyle w:val="Tabletext"/>
            </w:pPr>
          </w:p>
        </w:tc>
        <w:tc>
          <w:tcPr>
            <w:tcW w:w="928" w:type="dxa"/>
            <w:tcBorders>
              <w:top w:val="nil"/>
              <w:left w:val="nil"/>
              <w:bottom w:val="nil"/>
              <w:right w:val="nil"/>
            </w:tcBorders>
            <w:shd w:val="clear" w:color="auto" w:fill="auto"/>
            <w:noWrap/>
            <w:vAlign w:val="bottom"/>
            <w:hideMark/>
          </w:tcPr>
          <w:p w:rsidR="000D424E" w:rsidRPr="00F71B20" w:rsidRDefault="000D424E" w:rsidP="00AB725E">
            <w:pPr>
              <w:pStyle w:val="Tabletext"/>
            </w:pPr>
            <w:r>
              <w:rPr>
                <w:szCs w:val="22"/>
              </w:rPr>
              <w:t>070109</w:t>
            </w:r>
          </w:p>
        </w:tc>
        <w:tc>
          <w:tcPr>
            <w:tcW w:w="3892" w:type="dxa"/>
            <w:tcBorders>
              <w:top w:val="nil"/>
              <w:left w:val="nil"/>
              <w:bottom w:val="nil"/>
              <w:right w:val="nil"/>
            </w:tcBorders>
            <w:vAlign w:val="bottom"/>
          </w:tcPr>
          <w:p w:rsidR="000D424E" w:rsidRDefault="000D424E" w:rsidP="00AB725E">
            <w:pPr>
              <w:pStyle w:val="Tabletext"/>
            </w:pPr>
            <w:r w:rsidRPr="0089301B">
              <w:t xml:space="preserve">Teacher Education: </w:t>
            </w:r>
            <w:r>
              <w:t>Vocational Education and Training</w:t>
            </w:r>
          </w:p>
        </w:tc>
      </w:tr>
      <w:tr w:rsidR="000D424E" w:rsidRPr="00C6045A" w:rsidTr="00AB725E">
        <w:trPr>
          <w:trHeight w:val="300"/>
        </w:trPr>
        <w:tc>
          <w:tcPr>
            <w:tcW w:w="928" w:type="dxa"/>
            <w:tcBorders>
              <w:top w:val="nil"/>
              <w:left w:val="nil"/>
              <w:bottom w:val="nil"/>
              <w:right w:val="nil"/>
            </w:tcBorders>
            <w:vAlign w:val="bottom"/>
          </w:tcPr>
          <w:p w:rsidR="000D424E" w:rsidRPr="00F71B20" w:rsidRDefault="000D424E" w:rsidP="00AB725E">
            <w:pPr>
              <w:pStyle w:val="Tabletext"/>
            </w:pPr>
          </w:p>
        </w:tc>
        <w:tc>
          <w:tcPr>
            <w:tcW w:w="928" w:type="dxa"/>
            <w:tcBorders>
              <w:top w:val="nil"/>
              <w:left w:val="nil"/>
              <w:bottom w:val="nil"/>
              <w:right w:val="nil"/>
            </w:tcBorders>
            <w:shd w:val="clear" w:color="auto" w:fill="auto"/>
            <w:noWrap/>
            <w:vAlign w:val="bottom"/>
            <w:hideMark/>
          </w:tcPr>
          <w:p w:rsidR="000D424E" w:rsidRPr="00F71B20" w:rsidRDefault="000D424E" w:rsidP="00AB725E">
            <w:pPr>
              <w:pStyle w:val="Tabletext"/>
            </w:pPr>
            <w:r>
              <w:rPr>
                <w:szCs w:val="22"/>
              </w:rPr>
              <w:t>070111</w:t>
            </w:r>
          </w:p>
        </w:tc>
        <w:tc>
          <w:tcPr>
            <w:tcW w:w="3892" w:type="dxa"/>
            <w:tcBorders>
              <w:top w:val="nil"/>
              <w:left w:val="nil"/>
              <w:bottom w:val="nil"/>
              <w:right w:val="nil"/>
            </w:tcBorders>
            <w:vAlign w:val="bottom"/>
          </w:tcPr>
          <w:p w:rsidR="000D424E" w:rsidRDefault="000D424E" w:rsidP="00AB725E">
            <w:pPr>
              <w:pStyle w:val="Tabletext"/>
            </w:pPr>
            <w:r w:rsidRPr="0089301B">
              <w:t xml:space="preserve">Teacher Education: </w:t>
            </w:r>
            <w:r>
              <w:t>Higher Education</w:t>
            </w:r>
          </w:p>
        </w:tc>
      </w:tr>
      <w:tr w:rsidR="000D424E" w:rsidRPr="00C6045A" w:rsidTr="00AB725E">
        <w:trPr>
          <w:trHeight w:val="300"/>
        </w:trPr>
        <w:tc>
          <w:tcPr>
            <w:tcW w:w="928" w:type="dxa"/>
            <w:tcBorders>
              <w:top w:val="nil"/>
              <w:left w:val="nil"/>
              <w:bottom w:val="nil"/>
              <w:right w:val="nil"/>
            </w:tcBorders>
            <w:vAlign w:val="bottom"/>
          </w:tcPr>
          <w:p w:rsidR="000D424E" w:rsidRPr="00F71B20" w:rsidRDefault="000D424E" w:rsidP="00AB725E">
            <w:pPr>
              <w:pStyle w:val="Tabletext"/>
            </w:pPr>
          </w:p>
        </w:tc>
        <w:tc>
          <w:tcPr>
            <w:tcW w:w="928" w:type="dxa"/>
            <w:tcBorders>
              <w:top w:val="nil"/>
              <w:left w:val="nil"/>
              <w:bottom w:val="nil"/>
              <w:right w:val="nil"/>
            </w:tcBorders>
            <w:shd w:val="clear" w:color="auto" w:fill="auto"/>
            <w:noWrap/>
            <w:vAlign w:val="bottom"/>
            <w:hideMark/>
          </w:tcPr>
          <w:p w:rsidR="000D424E" w:rsidRPr="00F71B20" w:rsidRDefault="000D424E" w:rsidP="00AB725E">
            <w:pPr>
              <w:pStyle w:val="Tabletext"/>
            </w:pPr>
            <w:r>
              <w:rPr>
                <w:szCs w:val="22"/>
              </w:rPr>
              <w:t>070103</w:t>
            </w:r>
          </w:p>
        </w:tc>
        <w:tc>
          <w:tcPr>
            <w:tcW w:w="3892" w:type="dxa"/>
            <w:tcBorders>
              <w:top w:val="nil"/>
              <w:left w:val="nil"/>
              <w:bottom w:val="nil"/>
              <w:right w:val="nil"/>
            </w:tcBorders>
            <w:vAlign w:val="bottom"/>
          </w:tcPr>
          <w:p w:rsidR="000D424E" w:rsidRDefault="000D424E" w:rsidP="00AB725E">
            <w:pPr>
              <w:pStyle w:val="Tabletext"/>
            </w:pPr>
            <w:r w:rsidRPr="0089301B">
              <w:t xml:space="preserve">Teacher Education: </w:t>
            </w:r>
            <w:r>
              <w:t>Special Education</w:t>
            </w:r>
          </w:p>
        </w:tc>
      </w:tr>
      <w:tr w:rsidR="000D424E" w:rsidRPr="00C6045A" w:rsidTr="00AB725E">
        <w:trPr>
          <w:trHeight w:val="300"/>
        </w:trPr>
        <w:tc>
          <w:tcPr>
            <w:tcW w:w="928" w:type="dxa"/>
            <w:tcBorders>
              <w:top w:val="nil"/>
              <w:left w:val="nil"/>
              <w:bottom w:val="nil"/>
              <w:right w:val="nil"/>
            </w:tcBorders>
            <w:vAlign w:val="bottom"/>
          </w:tcPr>
          <w:p w:rsidR="000D424E" w:rsidRPr="00F71B20" w:rsidRDefault="000D424E" w:rsidP="00AB725E">
            <w:pPr>
              <w:pStyle w:val="Tabletext"/>
            </w:pPr>
          </w:p>
        </w:tc>
        <w:tc>
          <w:tcPr>
            <w:tcW w:w="928" w:type="dxa"/>
            <w:tcBorders>
              <w:top w:val="nil"/>
              <w:left w:val="nil"/>
              <w:bottom w:val="nil"/>
              <w:right w:val="nil"/>
            </w:tcBorders>
            <w:shd w:val="clear" w:color="auto" w:fill="auto"/>
            <w:noWrap/>
            <w:vAlign w:val="bottom"/>
            <w:hideMark/>
          </w:tcPr>
          <w:p w:rsidR="000D424E" w:rsidRPr="00F71B20" w:rsidRDefault="000D424E" w:rsidP="00AB725E">
            <w:pPr>
              <w:pStyle w:val="Tabletext"/>
            </w:pPr>
            <w:r>
              <w:rPr>
                <w:szCs w:val="22"/>
              </w:rPr>
              <w:t>070105</w:t>
            </w:r>
          </w:p>
        </w:tc>
        <w:tc>
          <w:tcPr>
            <w:tcW w:w="3892" w:type="dxa"/>
            <w:tcBorders>
              <w:top w:val="nil"/>
              <w:left w:val="nil"/>
              <w:bottom w:val="nil"/>
              <w:right w:val="nil"/>
            </w:tcBorders>
            <w:vAlign w:val="bottom"/>
          </w:tcPr>
          <w:p w:rsidR="000D424E" w:rsidRDefault="000D424E" w:rsidP="00AB725E">
            <w:pPr>
              <w:pStyle w:val="Tabletext"/>
            </w:pPr>
            <w:r>
              <w:t>English as a Second Language Teaching</w:t>
            </w:r>
          </w:p>
        </w:tc>
      </w:tr>
      <w:tr w:rsidR="000D424E" w:rsidRPr="00C6045A" w:rsidTr="00AB725E">
        <w:trPr>
          <w:trHeight w:val="300"/>
        </w:trPr>
        <w:tc>
          <w:tcPr>
            <w:tcW w:w="928" w:type="dxa"/>
            <w:tcBorders>
              <w:top w:val="nil"/>
              <w:left w:val="nil"/>
              <w:bottom w:val="nil"/>
              <w:right w:val="nil"/>
            </w:tcBorders>
            <w:vAlign w:val="bottom"/>
          </w:tcPr>
          <w:p w:rsidR="000D424E" w:rsidRPr="00F71B20" w:rsidRDefault="000D424E" w:rsidP="00AB725E">
            <w:pPr>
              <w:pStyle w:val="Tabletext"/>
            </w:pPr>
          </w:p>
        </w:tc>
        <w:tc>
          <w:tcPr>
            <w:tcW w:w="928" w:type="dxa"/>
            <w:tcBorders>
              <w:top w:val="nil"/>
              <w:left w:val="nil"/>
              <w:bottom w:val="nil"/>
              <w:right w:val="nil"/>
            </w:tcBorders>
            <w:shd w:val="clear" w:color="auto" w:fill="auto"/>
            <w:noWrap/>
            <w:vAlign w:val="bottom"/>
            <w:hideMark/>
          </w:tcPr>
          <w:p w:rsidR="000D424E" w:rsidRPr="00F71B20" w:rsidRDefault="000D424E" w:rsidP="00AB725E">
            <w:pPr>
              <w:pStyle w:val="Tabletext"/>
            </w:pPr>
            <w:r>
              <w:rPr>
                <w:szCs w:val="22"/>
              </w:rPr>
              <w:t>070107</w:t>
            </w:r>
          </w:p>
        </w:tc>
        <w:tc>
          <w:tcPr>
            <w:tcW w:w="3892" w:type="dxa"/>
            <w:tcBorders>
              <w:top w:val="nil"/>
              <w:left w:val="nil"/>
              <w:bottom w:val="nil"/>
              <w:right w:val="nil"/>
            </w:tcBorders>
            <w:vAlign w:val="bottom"/>
          </w:tcPr>
          <w:p w:rsidR="000D424E" w:rsidRDefault="000D424E" w:rsidP="00AB725E">
            <w:pPr>
              <w:pStyle w:val="Tabletext"/>
            </w:pPr>
            <w:r>
              <w:t>Nursing Education Teacher Training</w:t>
            </w:r>
          </w:p>
        </w:tc>
      </w:tr>
      <w:tr w:rsidR="000D424E" w:rsidRPr="00C6045A" w:rsidTr="00AB725E">
        <w:trPr>
          <w:trHeight w:val="300"/>
        </w:trPr>
        <w:tc>
          <w:tcPr>
            <w:tcW w:w="928" w:type="dxa"/>
            <w:tcBorders>
              <w:top w:val="nil"/>
              <w:left w:val="nil"/>
              <w:bottom w:val="nil"/>
              <w:right w:val="nil"/>
            </w:tcBorders>
            <w:vAlign w:val="bottom"/>
          </w:tcPr>
          <w:p w:rsidR="000D424E" w:rsidRPr="00F71B20" w:rsidRDefault="000D424E" w:rsidP="00AB725E">
            <w:pPr>
              <w:pStyle w:val="Tabletext"/>
            </w:pPr>
            <w:r>
              <w:t>0703</w:t>
            </w:r>
          </w:p>
        </w:tc>
        <w:tc>
          <w:tcPr>
            <w:tcW w:w="928" w:type="dxa"/>
            <w:tcBorders>
              <w:top w:val="nil"/>
              <w:left w:val="nil"/>
              <w:bottom w:val="nil"/>
              <w:right w:val="nil"/>
            </w:tcBorders>
            <w:shd w:val="clear" w:color="auto" w:fill="auto"/>
            <w:noWrap/>
            <w:vAlign w:val="bottom"/>
            <w:hideMark/>
          </w:tcPr>
          <w:p w:rsidR="000D424E" w:rsidRPr="00F71B20" w:rsidRDefault="000D424E" w:rsidP="00AB725E">
            <w:pPr>
              <w:pStyle w:val="Tabletext"/>
            </w:pPr>
          </w:p>
        </w:tc>
        <w:tc>
          <w:tcPr>
            <w:tcW w:w="3892" w:type="dxa"/>
            <w:tcBorders>
              <w:top w:val="nil"/>
              <w:left w:val="nil"/>
              <w:bottom w:val="nil"/>
              <w:right w:val="nil"/>
            </w:tcBorders>
            <w:vAlign w:val="bottom"/>
          </w:tcPr>
          <w:p w:rsidR="000D424E" w:rsidRDefault="000D424E" w:rsidP="00AB725E">
            <w:pPr>
              <w:pStyle w:val="Tabletext"/>
            </w:pPr>
            <w:r>
              <w:t>CURRICULUM AND EDUCATION STUDIES</w:t>
            </w:r>
          </w:p>
        </w:tc>
      </w:tr>
      <w:tr w:rsidR="000D424E" w:rsidRPr="00C6045A" w:rsidTr="00AB725E">
        <w:trPr>
          <w:trHeight w:val="300"/>
        </w:trPr>
        <w:tc>
          <w:tcPr>
            <w:tcW w:w="928" w:type="dxa"/>
            <w:tcBorders>
              <w:top w:val="nil"/>
              <w:left w:val="nil"/>
              <w:bottom w:val="nil"/>
              <w:right w:val="nil"/>
            </w:tcBorders>
            <w:vAlign w:val="bottom"/>
          </w:tcPr>
          <w:p w:rsidR="000D424E" w:rsidRPr="00F71B20" w:rsidRDefault="000D424E" w:rsidP="00AB725E">
            <w:pPr>
              <w:pStyle w:val="Tabletext"/>
            </w:pPr>
          </w:p>
        </w:tc>
        <w:tc>
          <w:tcPr>
            <w:tcW w:w="928" w:type="dxa"/>
            <w:tcBorders>
              <w:top w:val="nil"/>
              <w:left w:val="nil"/>
              <w:bottom w:val="nil"/>
              <w:right w:val="nil"/>
            </w:tcBorders>
            <w:shd w:val="clear" w:color="auto" w:fill="auto"/>
            <w:noWrap/>
            <w:vAlign w:val="bottom"/>
            <w:hideMark/>
          </w:tcPr>
          <w:p w:rsidR="000D424E" w:rsidRPr="00F71B20" w:rsidRDefault="000D424E" w:rsidP="00AB725E">
            <w:pPr>
              <w:pStyle w:val="Tabletext"/>
            </w:pPr>
            <w:r>
              <w:rPr>
                <w:szCs w:val="22"/>
              </w:rPr>
              <w:t>070301</w:t>
            </w:r>
          </w:p>
        </w:tc>
        <w:tc>
          <w:tcPr>
            <w:tcW w:w="3892" w:type="dxa"/>
            <w:tcBorders>
              <w:top w:val="nil"/>
              <w:left w:val="nil"/>
              <w:bottom w:val="nil"/>
              <w:right w:val="nil"/>
            </w:tcBorders>
            <w:vAlign w:val="bottom"/>
          </w:tcPr>
          <w:p w:rsidR="000D424E" w:rsidRDefault="000D424E" w:rsidP="00AB725E">
            <w:pPr>
              <w:pStyle w:val="Tabletext"/>
            </w:pPr>
            <w:r>
              <w:t>Curriculum Studies</w:t>
            </w:r>
          </w:p>
        </w:tc>
      </w:tr>
      <w:tr w:rsidR="000D424E" w:rsidRPr="00C6045A" w:rsidTr="00AB725E">
        <w:trPr>
          <w:trHeight w:val="300"/>
        </w:trPr>
        <w:tc>
          <w:tcPr>
            <w:tcW w:w="928" w:type="dxa"/>
            <w:tcBorders>
              <w:top w:val="nil"/>
              <w:left w:val="nil"/>
              <w:bottom w:val="nil"/>
              <w:right w:val="nil"/>
            </w:tcBorders>
            <w:vAlign w:val="bottom"/>
          </w:tcPr>
          <w:p w:rsidR="000D424E" w:rsidRPr="00F71B20" w:rsidRDefault="000D424E" w:rsidP="00AB725E">
            <w:pPr>
              <w:pStyle w:val="Tabletext"/>
            </w:pPr>
          </w:p>
        </w:tc>
        <w:tc>
          <w:tcPr>
            <w:tcW w:w="928" w:type="dxa"/>
            <w:tcBorders>
              <w:top w:val="nil"/>
              <w:left w:val="nil"/>
              <w:bottom w:val="nil"/>
              <w:right w:val="nil"/>
            </w:tcBorders>
            <w:shd w:val="clear" w:color="auto" w:fill="auto"/>
            <w:noWrap/>
            <w:vAlign w:val="bottom"/>
            <w:hideMark/>
          </w:tcPr>
          <w:p w:rsidR="000D424E" w:rsidRPr="00F71B20" w:rsidRDefault="000D424E" w:rsidP="00AB725E">
            <w:pPr>
              <w:pStyle w:val="Tabletext"/>
            </w:pPr>
            <w:r>
              <w:rPr>
                <w:szCs w:val="22"/>
              </w:rPr>
              <w:t>070303</w:t>
            </w:r>
          </w:p>
        </w:tc>
        <w:tc>
          <w:tcPr>
            <w:tcW w:w="3892" w:type="dxa"/>
            <w:tcBorders>
              <w:top w:val="nil"/>
              <w:left w:val="nil"/>
              <w:bottom w:val="nil"/>
              <w:right w:val="nil"/>
            </w:tcBorders>
            <w:vAlign w:val="bottom"/>
          </w:tcPr>
          <w:p w:rsidR="000D424E" w:rsidRDefault="000D424E" w:rsidP="00AB725E">
            <w:pPr>
              <w:pStyle w:val="Tabletext"/>
            </w:pPr>
            <w:r>
              <w:t xml:space="preserve">Education Studies </w:t>
            </w:r>
          </w:p>
        </w:tc>
      </w:tr>
      <w:tr w:rsidR="000D424E" w:rsidRPr="00C6045A" w:rsidTr="00AB725E">
        <w:trPr>
          <w:trHeight w:val="300"/>
        </w:trPr>
        <w:tc>
          <w:tcPr>
            <w:tcW w:w="928" w:type="dxa"/>
            <w:tcBorders>
              <w:top w:val="nil"/>
              <w:left w:val="nil"/>
              <w:right w:val="nil"/>
            </w:tcBorders>
            <w:vAlign w:val="bottom"/>
          </w:tcPr>
          <w:p w:rsidR="000D424E" w:rsidRPr="00F71B20" w:rsidRDefault="000D424E" w:rsidP="00AB725E">
            <w:pPr>
              <w:pStyle w:val="Tabletext"/>
            </w:pPr>
            <w:r>
              <w:t>0799</w:t>
            </w:r>
          </w:p>
        </w:tc>
        <w:tc>
          <w:tcPr>
            <w:tcW w:w="928" w:type="dxa"/>
            <w:tcBorders>
              <w:top w:val="nil"/>
              <w:left w:val="nil"/>
              <w:right w:val="nil"/>
            </w:tcBorders>
            <w:shd w:val="clear" w:color="auto" w:fill="auto"/>
            <w:noWrap/>
            <w:vAlign w:val="bottom"/>
            <w:hideMark/>
          </w:tcPr>
          <w:p w:rsidR="000D424E" w:rsidRPr="00F71B20" w:rsidRDefault="000D424E" w:rsidP="00AB725E">
            <w:pPr>
              <w:pStyle w:val="Tabletext"/>
            </w:pPr>
          </w:p>
        </w:tc>
        <w:tc>
          <w:tcPr>
            <w:tcW w:w="3892" w:type="dxa"/>
            <w:tcBorders>
              <w:top w:val="nil"/>
              <w:left w:val="nil"/>
              <w:right w:val="nil"/>
            </w:tcBorders>
            <w:vAlign w:val="bottom"/>
          </w:tcPr>
          <w:p w:rsidR="000D424E" w:rsidRDefault="000D424E" w:rsidP="00AB725E">
            <w:pPr>
              <w:pStyle w:val="Tabletext"/>
            </w:pPr>
            <w:r>
              <w:t>OTHER EDUCATION</w:t>
            </w:r>
          </w:p>
        </w:tc>
      </w:tr>
      <w:tr w:rsidR="000D424E" w:rsidRPr="00C6045A" w:rsidTr="00AB725E">
        <w:trPr>
          <w:trHeight w:val="300"/>
        </w:trPr>
        <w:tc>
          <w:tcPr>
            <w:tcW w:w="928" w:type="dxa"/>
            <w:tcBorders>
              <w:top w:val="nil"/>
              <w:left w:val="nil"/>
              <w:bottom w:val="single" w:sz="4" w:space="0" w:color="auto"/>
              <w:right w:val="nil"/>
            </w:tcBorders>
            <w:vAlign w:val="bottom"/>
          </w:tcPr>
          <w:p w:rsidR="000D424E" w:rsidRPr="00F71B20" w:rsidRDefault="000D424E" w:rsidP="00AB725E">
            <w:pPr>
              <w:pStyle w:val="Tabletext"/>
            </w:pPr>
          </w:p>
        </w:tc>
        <w:tc>
          <w:tcPr>
            <w:tcW w:w="928" w:type="dxa"/>
            <w:tcBorders>
              <w:top w:val="nil"/>
              <w:left w:val="nil"/>
              <w:bottom w:val="single" w:sz="4" w:space="0" w:color="auto"/>
              <w:right w:val="nil"/>
            </w:tcBorders>
            <w:shd w:val="clear" w:color="auto" w:fill="auto"/>
            <w:noWrap/>
            <w:vAlign w:val="bottom"/>
            <w:hideMark/>
          </w:tcPr>
          <w:p w:rsidR="000D424E" w:rsidRPr="00F71B20" w:rsidRDefault="000D424E" w:rsidP="00AB725E">
            <w:pPr>
              <w:pStyle w:val="Tabletext"/>
            </w:pPr>
            <w:r>
              <w:rPr>
                <w:szCs w:val="22"/>
              </w:rPr>
              <w:t>079999</w:t>
            </w:r>
          </w:p>
        </w:tc>
        <w:tc>
          <w:tcPr>
            <w:tcW w:w="3892" w:type="dxa"/>
            <w:tcBorders>
              <w:top w:val="nil"/>
              <w:left w:val="nil"/>
              <w:bottom w:val="single" w:sz="4" w:space="0" w:color="auto"/>
              <w:right w:val="nil"/>
            </w:tcBorders>
            <w:vAlign w:val="bottom"/>
          </w:tcPr>
          <w:p w:rsidR="000D424E" w:rsidRDefault="000D424E" w:rsidP="00AB725E">
            <w:pPr>
              <w:pStyle w:val="Tabletext"/>
            </w:pPr>
            <w:r>
              <w:t>Education, not elsewhere classified</w:t>
            </w:r>
          </w:p>
        </w:tc>
      </w:tr>
    </w:tbl>
    <w:p w:rsidR="000D424E" w:rsidRDefault="000D424E" w:rsidP="000D424E">
      <w:pPr>
        <w:pStyle w:val="Source"/>
      </w:pPr>
      <w:r>
        <w:t>Source: Australian Bureau of Statistics (2001) Australian Standard Classification of Education (ASCED)</w:t>
      </w:r>
    </w:p>
    <w:p w:rsidR="000D424E" w:rsidRDefault="000D424E" w:rsidP="000D424E">
      <w:pPr>
        <w:pStyle w:val="Text"/>
      </w:pPr>
      <w:r>
        <w:t>While the admission of VET award-holders in the broad field of Education is 14.9 per cent, this is influenced by the sub-field of Early Childhood Teacher Education, which enrols VET award-holders at almost three times the rate of other sub-fields</w:t>
      </w:r>
      <w:r w:rsidR="000400CF">
        <w:t xml:space="preserve"> (30.5</w:t>
      </w:r>
      <w:r w:rsidR="00CA146B">
        <w:t>%</w:t>
      </w:r>
      <w:r w:rsidR="000400CF">
        <w:t>)</w:t>
      </w:r>
      <w:r w:rsidR="00873564">
        <w:t xml:space="preserve">, as shown in </w:t>
      </w:r>
      <w:r w:rsidR="00B45EBA">
        <w:t xml:space="preserve">Table </w:t>
      </w:r>
      <w:r w:rsidR="000A41F4">
        <w:t>16</w:t>
      </w:r>
      <w:r>
        <w:t xml:space="preserve">. </w:t>
      </w:r>
    </w:p>
    <w:p w:rsidR="000D424E" w:rsidRDefault="00B45EBA" w:rsidP="000D424E">
      <w:pPr>
        <w:pStyle w:val="tabletitle"/>
      </w:pPr>
      <w:bookmarkStart w:id="84" w:name="_Toc350786322"/>
      <w:bookmarkStart w:id="85" w:name="_Toc370995925"/>
      <w:r>
        <w:t xml:space="preserve">Table </w:t>
      </w:r>
      <w:r w:rsidR="006A154F">
        <w:t>16</w:t>
      </w:r>
      <w:r w:rsidR="000D424E">
        <w:tab/>
        <w:t>VET award-holders and all undergraduate commencements in Education (FOE 07), by detailed sub-field, Australia 2010</w:t>
      </w:r>
      <w:bookmarkEnd w:id="84"/>
      <w:bookmarkEnd w:id="85"/>
    </w:p>
    <w:tbl>
      <w:tblPr>
        <w:tblW w:w="9639" w:type="dxa"/>
        <w:tblInd w:w="108" w:type="dxa"/>
        <w:tblLook w:val="04A0"/>
      </w:tblPr>
      <w:tblGrid>
        <w:gridCol w:w="3261"/>
        <w:gridCol w:w="863"/>
        <w:gridCol w:w="980"/>
        <w:gridCol w:w="863"/>
        <w:gridCol w:w="1068"/>
        <w:gridCol w:w="2604"/>
      </w:tblGrid>
      <w:tr w:rsidR="000D424E" w:rsidRPr="00CE24D5" w:rsidTr="00F82B97">
        <w:trPr>
          <w:trHeight w:val="300"/>
        </w:trPr>
        <w:tc>
          <w:tcPr>
            <w:tcW w:w="3261" w:type="dxa"/>
            <w:tcBorders>
              <w:top w:val="single" w:sz="4" w:space="0" w:color="auto"/>
              <w:left w:val="nil"/>
              <w:bottom w:val="nil"/>
              <w:right w:val="nil"/>
            </w:tcBorders>
            <w:shd w:val="clear" w:color="auto" w:fill="auto"/>
            <w:noWrap/>
            <w:vAlign w:val="bottom"/>
            <w:hideMark/>
          </w:tcPr>
          <w:p w:rsidR="000D424E" w:rsidRPr="00CE24D5" w:rsidRDefault="000D424E" w:rsidP="00AB725E">
            <w:pPr>
              <w:pStyle w:val="Tablehead1"/>
              <w:jc w:val="center"/>
              <w:rPr>
                <w:bCs/>
                <w:color w:val="000000"/>
                <w:lang w:val="en-US"/>
              </w:rPr>
            </w:pPr>
          </w:p>
        </w:tc>
        <w:tc>
          <w:tcPr>
            <w:tcW w:w="1843" w:type="dxa"/>
            <w:gridSpan w:val="2"/>
            <w:tcBorders>
              <w:top w:val="single" w:sz="4" w:space="0" w:color="auto"/>
              <w:left w:val="nil"/>
              <w:bottom w:val="nil"/>
              <w:right w:val="nil"/>
            </w:tcBorders>
            <w:shd w:val="clear" w:color="auto" w:fill="auto"/>
            <w:noWrap/>
            <w:vAlign w:val="bottom"/>
            <w:hideMark/>
          </w:tcPr>
          <w:p w:rsidR="000D424E" w:rsidRPr="00CE24D5" w:rsidRDefault="000D424E" w:rsidP="00AB725E">
            <w:pPr>
              <w:pStyle w:val="Tablehead1"/>
              <w:jc w:val="center"/>
              <w:rPr>
                <w:rFonts w:cs="Arial"/>
                <w:bCs/>
                <w:color w:val="000000"/>
                <w:szCs w:val="17"/>
                <w:lang w:val="en-US"/>
              </w:rPr>
            </w:pPr>
            <w:r w:rsidRPr="00CE24D5">
              <w:rPr>
                <w:rFonts w:cs="Arial"/>
                <w:bCs/>
                <w:color w:val="000000"/>
                <w:szCs w:val="17"/>
                <w:lang w:val="en-US"/>
              </w:rPr>
              <w:t xml:space="preserve">VET </w:t>
            </w:r>
            <w:r>
              <w:rPr>
                <w:rFonts w:cs="Arial"/>
                <w:bCs/>
                <w:color w:val="000000"/>
                <w:szCs w:val="17"/>
                <w:lang w:val="en-US"/>
              </w:rPr>
              <w:t>award-holders</w:t>
            </w:r>
          </w:p>
        </w:tc>
        <w:tc>
          <w:tcPr>
            <w:tcW w:w="1931" w:type="dxa"/>
            <w:gridSpan w:val="2"/>
            <w:tcBorders>
              <w:top w:val="single" w:sz="4" w:space="0" w:color="auto"/>
              <w:left w:val="nil"/>
              <w:bottom w:val="nil"/>
              <w:right w:val="nil"/>
            </w:tcBorders>
            <w:vAlign w:val="bottom"/>
          </w:tcPr>
          <w:p w:rsidR="000D424E" w:rsidRPr="00CE24D5" w:rsidRDefault="000D424E" w:rsidP="00AB725E">
            <w:pPr>
              <w:pStyle w:val="Tablehead1"/>
              <w:jc w:val="center"/>
              <w:rPr>
                <w:rFonts w:cs="Arial"/>
                <w:bCs/>
                <w:color w:val="000000"/>
                <w:szCs w:val="17"/>
                <w:lang w:val="en-US"/>
              </w:rPr>
            </w:pPr>
            <w:r w:rsidRPr="00CE24D5">
              <w:rPr>
                <w:rFonts w:cs="Arial"/>
                <w:bCs/>
                <w:color w:val="000000"/>
                <w:szCs w:val="17"/>
                <w:lang w:val="en-US"/>
              </w:rPr>
              <w:t>All undergraduate commencements</w:t>
            </w:r>
          </w:p>
        </w:tc>
        <w:tc>
          <w:tcPr>
            <w:tcW w:w="2604" w:type="dxa"/>
            <w:tcBorders>
              <w:top w:val="single" w:sz="4" w:space="0" w:color="auto"/>
              <w:left w:val="nil"/>
              <w:bottom w:val="nil"/>
              <w:right w:val="nil"/>
            </w:tcBorders>
            <w:vAlign w:val="bottom"/>
          </w:tcPr>
          <w:p w:rsidR="000D424E" w:rsidRPr="00CE24D5" w:rsidRDefault="000D424E" w:rsidP="00AB725E">
            <w:pPr>
              <w:pStyle w:val="Tablehead1"/>
              <w:jc w:val="center"/>
              <w:rPr>
                <w:rFonts w:cs="Arial"/>
                <w:bCs/>
                <w:color w:val="000000"/>
                <w:szCs w:val="17"/>
                <w:lang w:val="en-US"/>
              </w:rPr>
            </w:pPr>
            <w:r w:rsidRPr="00CE24D5">
              <w:rPr>
                <w:rFonts w:cs="Arial"/>
                <w:bCs/>
                <w:color w:val="000000"/>
                <w:szCs w:val="17"/>
                <w:lang w:val="en-US"/>
              </w:rPr>
              <w:t xml:space="preserve">VET </w:t>
            </w:r>
            <w:r>
              <w:rPr>
                <w:rFonts w:cs="Arial"/>
                <w:bCs/>
                <w:color w:val="000000"/>
                <w:szCs w:val="17"/>
                <w:lang w:val="en-US"/>
              </w:rPr>
              <w:t>award-holders</w:t>
            </w:r>
            <w:r w:rsidRPr="00CE24D5">
              <w:rPr>
                <w:rFonts w:cs="Arial"/>
                <w:bCs/>
                <w:color w:val="000000"/>
                <w:szCs w:val="17"/>
                <w:lang w:val="en-US"/>
              </w:rPr>
              <w:t xml:space="preserve"> as a proportion of total U/G commencements</w:t>
            </w:r>
          </w:p>
        </w:tc>
      </w:tr>
      <w:tr w:rsidR="000D424E" w:rsidRPr="00322D4B" w:rsidTr="00F82B97">
        <w:trPr>
          <w:trHeight w:val="300"/>
        </w:trPr>
        <w:tc>
          <w:tcPr>
            <w:tcW w:w="3261" w:type="dxa"/>
            <w:tcBorders>
              <w:top w:val="nil"/>
              <w:left w:val="nil"/>
              <w:bottom w:val="single" w:sz="4" w:space="0" w:color="auto"/>
              <w:right w:val="nil"/>
            </w:tcBorders>
            <w:shd w:val="clear" w:color="auto" w:fill="auto"/>
            <w:noWrap/>
            <w:vAlign w:val="bottom"/>
            <w:hideMark/>
          </w:tcPr>
          <w:p w:rsidR="000D424E" w:rsidRPr="00F71B20" w:rsidRDefault="000D424E" w:rsidP="00AB725E">
            <w:pPr>
              <w:pStyle w:val="Tablehead2"/>
              <w:rPr>
                <w:rFonts w:asciiTheme="majorHAnsi" w:hAnsiTheme="majorHAnsi"/>
                <w:sz w:val="18"/>
                <w:szCs w:val="18"/>
                <w:lang w:val="en-US"/>
              </w:rPr>
            </w:pPr>
            <w:r>
              <w:rPr>
                <w:rFonts w:asciiTheme="majorHAnsi" w:hAnsiTheme="majorHAnsi"/>
                <w:sz w:val="18"/>
                <w:szCs w:val="18"/>
                <w:lang w:val="en-US"/>
              </w:rPr>
              <w:t xml:space="preserve">Detailed Sub-field of </w:t>
            </w:r>
            <w:r w:rsidRPr="00F71B20">
              <w:rPr>
                <w:rFonts w:asciiTheme="majorHAnsi" w:hAnsiTheme="majorHAnsi"/>
                <w:sz w:val="18"/>
                <w:szCs w:val="18"/>
                <w:lang w:val="en-US"/>
              </w:rPr>
              <w:t xml:space="preserve">Education </w:t>
            </w:r>
          </w:p>
        </w:tc>
        <w:tc>
          <w:tcPr>
            <w:tcW w:w="863" w:type="dxa"/>
            <w:tcBorders>
              <w:top w:val="nil"/>
              <w:left w:val="nil"/>
              <w:bottom w:val="single" w:sz="4" w:space="0" w:color="auto"/>
              <w:right w:val="nil"/>
            </w:tcBorders>
            <w:shd w:val="clear" w:color="auto" w:fill="auto"/>
            <w:noWrap/>
            <w:vAlign w:val="bottom"/>
            <w:hideMark/>
          </w:tcPr>
          <w:p w:rsidR="000D424E" w:rsidRPr="00F71B20" w:rsidRDefault="000D424E"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Students</w:t>
            </w:r>
          </w:p>
        </w:tc>
        <w:tc>
          <w:tcPr>
            <w:tcW w:w="980" w:type="dxa"/>
            <w:tcBorders>
              <w:top w:val="nil"/>
              <w:left w:val="nil"/>
              <w:bottom w:val="single" w:sz="4" w:space="0" w:color="auto"/>
              <w:right w:val="nil"/>
            </w:tcBorders>
            <w:shd w:val="clear" w:color="auto" w:fill="auto"/>
            <w:noWrap/>
            <w:vAlign w:val="bottom"/>
            <w:hideMark/>
          </w:tcPr>
          <w:p w:rsidR="000D424E" w:rsidRPr="00F71B20" w:rsidRDefault="000D424E" w:rsidP="00AB725E">
            <w:pPr>
              <w:pStyle w:val="Tablehead2"/>
              <w:jc w:val="center"/>
              <w:rPr>
                <w:rFonts w:asciiTheme="majorHAnsi" w:hAnsiTheme="majorHAnsi"/>
                <w:sz w:val="18"/>
                <w:szCs w:val="18"/>
                <w:lang w:val="en-US"/>
              </w:rPr>
            </w:pPr>
            <w:r w:rsidRPr="00F71B20">
              <w:rPr>
                <w:rFonts w:asciiTheme="majorHAnsi" w:hAnsiTheme="majorHAnsi"/>
                <w:sz w:val="18"/>
                <w:szCs w:val="18"/>
                <w:lang w:val="en-US"/>
              </w:rPr>
              <w:t>% total</w:t>
            </w:r>
          </w:p>
        </w:tc>
        <w:tc>
          <w:tcPr>
            <w:tcW w:w="863" w:type="dxa"/>
            <w:tcBorders>
              <w:top w:val="nil"/>
              <w:left w:val="nil"/>
              <w:bottom w:val="single" w:sz="4" w:space="0" w:color="auto"/>
              <w:right w:val="nil"/>
            </w:tcBorders>
            <w:vAlign w:val="bottom"/>
          </w:tcPr>
          <w:p w:rsidR="000D424E" w:rsidRPr="00F71B20" w:rsidRDefault="000D424E" w:rsidP="00AB725E">
            <w:pPr>
              <w:pStyle w:val="Tablehead2"/>
              <w:rPr>
                <w:rFonts w:asciiTheme="majorHAnsi" w:hAnsiTheme="majorHAnsi"/>
                <w:sz w:val="18"/>
                <w:szCs w:val="18"/>
                <w:lang w:val="en-US"/>
              </w:rPr>
            </w:pPr>
            <w:r w:rsidRPr="00F71B20">
              <w:rPr>
                <w:rFonts w:asciiTheme="majorHAnsi" w:hAnsiTheme="majorHAnsi"/>
                <w:sz w:val="18"/>
                <w:szCs w:val="18"/>
                <w:lang w:val="en-US"/>
              </w:rPr>
              <w:t>Students</w:t>
            </w:r>
          </w:p>
        </w:tc>
        <w:tc>
          <w:tcPr>
            <w:tcW w:w="1068" w:type="dxa"/>
            <w:tcBorders>
              <w:top w:val="nil"/>
              <w:left w:val="nil"/>
              <w:bottom w:val="single" w:sz="4" w:space="0" w:color="auto"/>
              <w:right w:val="nil"/>
            </w:tcBorders>
            <w:vAlign w:val="bottom"/>
          </w:tcPr>
          <w:p w:rsidR="000D424E" w:rsidRPr="00F71B20" w:rsidRDefault="000D424E" w:rsidP="00AB725E">
            <w:pPr>
              <w:pStyle w:val="Tablehead2"/>
              <w:jc w:val="center"/>
              <w:rPr>
                <w:rFonts w:asciiTheme="majorHAnsi" w:hAnsiTheme="majorHAnsi"/>
                <w:sz w:val="18"/>
                <w:szCs w:val="18"/>
                <w:lang w:val="en-US"/>
              </w:rPr>
            </w:pPr>
            <w:r w:rsidRPr="00F71B20">
              <w:rPr>
                <w:rFonts w:asciiTheme="majorHAnsi" w:hAnsiTheme="majorHAnsi"/>
                <w:sz w:val="18"/>
                <w:szCs w:val="18"/>
                <w:lang w:val="en-US"/>
              </w:rPr>
              <w:t>% total</w:t>
            </w:r>
          </w:p>
        </w:tc>
        <w:tc>
          <w:tcPr>
            <w:tcW w:w="2604" w:type="dxa"/>
            <w:tcBorders>
              <w:top w:val="nil"/>
              <w:left w:val="nil"/>
              <w:bottom w:val="single" w:sz="4" w:space="0" w:color="auto"/>
              <w:right w:val="nil"/>
            </w:tcBorders>
            <w:vAlign w:val="bottom"/>
          </w:tcPr>
          <w:p w:rsidR="000D424E" w:rsidRPr="00F71B20" w:rsidRDefault="000D424E" w:rsidP="00AB725E">
            <w:pPr>
              <w:pStyle w:val="Tablehead2"/>
              <w:jc w:val="center"/>
              <w:rPr>
                <w:rFonts w:asciiTheme="majorHAnsi" w:hAnsiTheme="majorHAnsi"/>
                <w:sz w:val="18"/>
                <w:szCs w:val="18"/>
                <w:lang w:val="en-US"/>
              </w:rPr>
            </w:pPr>
          </w:p>
        </w:tc>
      </w:tr>
      <w:tr w:rsidR="000D424E" w:rsidRPr="00C6045A" w:rsidTr="00F82B97">
        <w:trPr>
          <w:trHeight w:val="300"/>
        </w:trPr>
        <w:tc>
          <w:tcPr>
            <w:tcW w:w="3261" w:type="dxa"/>
            <w:tcBorders>
              <w:top w:val="single" w:sz="4" w:space="0" w:color="auto"/>
              <w:left w:val="nil"/>
              <w:bottom w:val="nil"/>
              <w:right w:val="nil"/>
            </w:tcBorders>
            <w:shd w:val="clear" w:color="auto" w:fill="auto"/>
            <w:noWrap/>
            <w:vAlign w:val="bottom"/>
            <w:hideMark/>
          </w:tcPr>
          <w:p w:rsidR="000D424E" w:rsidRPr="00F71B20" w:rsidRDefault="000D424E" w:rsidP="00AB725E">
            <w:pPr>
              <w:pStyle w:val="Tabletext"/>
            </w:pPr>
            <w:r w:rsidRPr="00F71B20">
              <w:rPr>
                <w:szCs w:val="22"/>
              </w:rPr>
              <w:t>Teacher Education: Early Childhood</w:t>
            </w:r>
          </w:p>
        </w:tc>
        <w:tc>
          <w:tcPr>
            <w:tcW w:w="863" w:type="dxa"/>
            <w:tcBorders>
              <w:top w:val="single" w:sz="4" w:space="0" w:color="auto"/>
              <w:left w:val="nil"/>
              <w:bottom w:val="nil"/>
              <w:right w:val="nil"/>
            </w:tcBorders>
            <w:shd w:val="clear" w:color="auto" w:fill="auto"/>
            <w:noWrap/>
            <w:vAlign w:val="bottom"/>
            <w:hideMark/>
          </w:tcPr>
          <w:p w:rsidR="000D424E" w:rsidRDefault="000D424E" w:rsidP="00AB725E">
            <w:pPr>
              <w:pStyle w:val="Tabletext"/>
              <w:jc w:val="right"/>
            </w:pPr>
            <w:r>
              <w:t>1,252</w:t>
            </w:r>
          </w:p>
        </w:tc>
        <w:tc>
          <w:tcPr>
            <w:tcW w:w="980" w:type="dxa"/>
            <w:tcBorders>
              <w:top w:val="single" w:sz="4" w:space="0" w:color="auto"/>
              <w:left w:val="nil"/>
              <w:bottom w:val="nil"/>
              <w:right w:val="nil"/>
            </w:tcBorders>
            <w:shd w:val="clear" w:color="auto" w:fill="auto"/>
            <w:noWrap/>
            <w:vAlign w:val="bottom"/>
            <w:hideMark/>
          </w:tcPr>
          <w:p w:rsidR="000D424E" w:rsidRDefault="000D424E" w:rsidP="00AB725E">
            <w:pPr>
              <w:pStyle w:val="Tabletext"/>
              <w:jc w:val="right"/>
            </w:pPr>
            <w:r>
              <w:t>35.8</w:t>
            </w:r>
          </w:p>
        </w:tc>
        <w:tc>
          <w:tcPr>
            <w:tcW w:w="863" w:type="dxa"/>
            <w:tcBorders>
              <w:top w:val="single" w:sz="4" w:space="0" w:color="auto"/>
              <w:left w:val="nil"/>
              <w:bottom w:val="nil"/>
              <w:right w:val="nil"/>
            </w:tcBorders>
            <w:vAlign w:val="bottom"/>
          </w:tcPr>
          <w:p w:rsidR="000D424E" w:rsidRDefault="000D424E" w:rsidP="00AB725E">
            <w:pPr>
              <w:pStyle w:val="Tabletext"/>
              <w:jc w:val="right"/>
            </w:pPr>
            <w:r>
              <w:t>4,097</w:t>
            </w:r>
          </w:p>
        </w:tc>
        <w:tc>
          <w:tcPr>
            <w:tcW w:w="1068" w:type="dxa"/>
            <w:tcBorders>
              <w:top w:val="single" w:sz="4" w:space="0" w:color="auto"/>
              <w:left w:val="nil"/>
              <w:bottom w:val="nil"/>
              <w:right w:val="nil"/>
            </w:tcBorders>
            <w:vAlign w:val="bottom"/>
          </w:tcPr>
          <w:p w:rsidR="000D424E" w:rsidRDefault="000D424E" w:rsidP="00AB725E">
            <w:pPr>
              <w:pStyle w:val="Tabletext"/>
              <w:jc w:val="right"/>
            </w:pPr>
            <w:r>
              <w:t>17.4</w:t>
            </w:r>
          </w:p>
        </w:tc>
        <w:tc>
          <w:tcPr>
            <w:tcW w:w="2604" w:type="dxa"/>
            <w:tcBorders>
              <w:top w:val="single" w:sz="4" w:space="0" w:color="auto"/>
              <w:left w:val="nil"/>
              <w:bottom w:val="nil"/>
              <w:right w:val="nil"/>
            </w:tcBorders>
            <w:vAlign w:val="bottom"/>
          </w:tcPr>
          <w:p w:rsidR="000D424E" w:rsidRDefault="000D424E" w:rsidP="00AB725E">
            <w:pPr>
              <w:pStyle w:val="Tabletext"/>
              <w:jc w:val="center"/>
            </w:pPr>
            <w:r>
              <w:t>30.6</w:t>
            </w:r>
          </w:p>
        </w:tc>
      </w:tr>
      <w:tr w:rsidR="000D424E" w:rsidRPr="00C6045A" w:rsidTr="00F82B97">
        <w:trPr>
          <w:trHeight w:val="300"/>
        </w:trPr>
        <w:tc>
          <w:tcPr>
            <w:tcW w:w="3261" w:type="dxa"/>
            <w:tcBorders>
              <w:top w:val="nil"/>
              <w:left w:val="nil"/>
              <w:bottom w:val="nil"/>
              <w:right w:val="nil"/>
            </w:tcBorders>
            <w:shd w:val="clear" w:color="auto" w:fill="auto"/>
            <w:noWrap/>
            <w:vAlign w:val="bottom"/>
            <w:hideMark/>
          </w:tcPr>
          <w:p w:rsidR="000D424E" w:rsidRPr="00F71B20" w:rsidRDefault="000D424E" w:rsidP="00AB725E">
            <w:pPr>
              <w:pStyle w:val="Tabletext"/>
            </w:pPr>
            <w:r>
              <w:rPr>
                <w:szCs w:val="22"/>
              </w:rPr>
              <w:t>T</w:t>
            </w:r>
            <w:r w:rsidRPr="00F71B20">
              <w:rPr>
                <w:szCs w:val="22"/>
              </w:rPr>
              <w:t>eacher Education: Primary</w:t>
            </w:r>
          </w:p>
        </w:tc>
        <w:tc>
          <w:tcPr>
            <w:tcW w:w="863" w:type="dxa"/>
            <w:tcBorders>
              <w:top w:val="nil"/>
              <w:left w:val="nil"/>
              <w:bottom w:val="nil"/>
              <w:right w:val="nil"/>
            </w:tcBorders>
            <w:shd w:val="clear" w:color="auto" w:fill="auto"/>
            <w:noWrap/>
            <w:vAlign w:val="bottom"/>
            <w:hideMark/>
          </w:tcPr>
          <w:p w:rsidR="000D424E" w:rsidRDefault="000D424E" w:rsidP="00AB725E">
            <w:pPr>
              <w:pStyle w:val="Tabletext"/>
              <w:jc w:val="right"/>
            </w:pPr>
            <w:r>
              <w:t>839</w:t>
            </w:r>
          </w:p>
        </w:tc>
        <w:tc>
          <w:tcPr>
            <w:tcW w:w="980" w:type="dxa"/>
            <w:tcBorders>
              <w:top w:val="nil"/>
              <w:left w:val="nil"/>
              <w:bottom w:val="nil"/>
              <w:right w:val="nil"/>
            </w:tcBorders>
            <w:shd w:val="clear" w:color="auto" w:fill="auto"/>
            <w:noWrap/>
            <w:vAlign w:val="bottom"/>
            <w:hideMark/>
          </w:tcPr>
          <w:p w:rsidR="000D424E" w:rsidRDefault="000D424E" w:rsidP="00AB725E">
            <w:pPr>
              <w:pStyle w:val="Tabletext"/>
              <w:jc w:val="right"/>
            </w:pPr>
            <w:r>
              <w:t>24.0</w:t>
            </w:r>
          </w:p>
        </w:tc>
        <w:tc>
          <w:tcPr>
            <w:tcW w:w="863" w:type="dxa"/>
            <w:tcBorders>
              <w:top w:val="nil"/>
              <w:left w:val="nil"/>
              <w:bottom w:val="nil"/>
              <w:right w:val="nil"/>
            </w:tcBorders>
            <w:vAlign w:val="bottom"/>
          </w:tcPr>
          <w:p w:rsidR="000D424E" w:rsidRDefault="000D424E" w:rsidP="00AB725E">
            <w:pPr>
              <w:pStyle w:val="Tabletext"/>
              <w:jc w:val="right"/>
            </w:pPr>
            <w:r>
              <w:t>7,283</w:t>
            </w:r>
          </w:p>
        </w:tc>
        <w:tc>
          <w:tcPr>
            <w:tcW w:w="1068" w:type="dxa"/>
            <w:tcBorders>
              <w:top w:val="nil"/>
              <w:left w:val="nil"/>
              <w:bottom w:val="nil"/>
              <w:right w:val="nil"/>
            </w:tcBorders>
            <w:vAlign w:val="bottom"/>
          </w:tcPr>
          <w:p w:rsidR="000D424E" w:rsidRDefault="000D424E" w:rsidP="00AB725E">
            <w:pPr>
              <w:pStyle w:val="Tabletext"/>
              <w:jc w:val="right"/>
            </w:pPr>
            <w:r>
              <w:t>31.1</w:t>
            </w:r>
          </w:p>
        </w:tc>
        <w:tc>
          <w:tcPr>
            <w:tcW w:w="2604" w:type="dxa"/>
            <w:tcBorders>
              <w:top w:val="nil"/>
              <w:left w:val="nil"/>
              <w:bottom w:val="nil"/>
              <w:right w:val="nil"/>
            </w:tcBorders>
            <w:vAlign w:val="bottom"/>
          </w:tcPr>
          <w:p w:rsidR="000D424E" w:rsidRDefault="000D424E" w:rsidP="00AB725E">
            <w:pPr>
              <w:pStyle w:val="Tabletext"/>
              <w:jc w:val="center"/>
            </w:pPr>
            <w:r>
              <w:t>11.5</w:t>
            </w:r>
          </w:p>
        </w:tc>
      </w:tr>
      <w:tr w:rsidR="000D424E" w:rsidRPr="0030254B" w:rsidTr="00F82B97">
        <w:trPr>
          <w:trHeight w:val="300"/>
        </w:trPr>
        <w:tc>
          <w:tcPr>
            <w:tcW w:w="3261" w:type="dxa"/>
            <w:tcBorders>
              <w:top w:val="nil"/>
              <w:left w:val="nil"/>
              <w:bottom w:val="nil"/>
              <w:right w:val="nil"/>
            </w:tcBorders>
            <w:shd w:val="clear" w:color="auto" w:fill="auto"/>
            <w:noWrap/>
            <w:vAlign w:val="bottom"/>
            <w:hideMark/>
          </w:tcPr>
          <w:p w:rsidR="000D424E" w:rsidRPr="0030254B" w:rsidRDefault="000D424E" w:rsidP="00AB725E">
            <w:pPr>
              <w:pStyle w:val="Tabletext"/>
              <w:rPr>
                <w:i/>
              </w:rPr>
            </w:pPr>
            <w:r w:rsidRPr="0030254B">
              <w:rPr>
                <w:i/>
                <w:szCs w:val="22"/>
              </w:rPr>
              <w:t>Sub-total: EC + Primary</w:t>
            </w:r>
          </w:p>
        </w:tc>
        <w:tc>
          <w:tcPr>
            <w:tcW w:w="863" w:type="dxa"/>
            <w:tcBorders>
              <w:top w:val="nil"/>
              <w:left w:val="nil"/>
              <w:bottom w:val="nil"/>
              <w:right w:val="nil"/>
            </w:tcBorders>
            <w:shd w:val="clear" w:color="auto" w:fill="auto"/>
            <w:noWrap/>
            <w:vAlign w:val="bottom"/>
            <w:hideMark/>
          </w:tcPr>
          <w:p w:rsidR="000D424E" w:rsidRPr="0030254B" w:rsidRDefault="000D424E" w:rsidP="00AB725E">
            <w:pPr>
              <w:pStyle w:val="Tabletext"/>
              <w:jc w:val="right"/>
              <w:rPr>
                <w:i/>
              </w:rPr>
            </w:pPr>
            <w:r w:rsidRPr="0030254B">
              <w:rPr>
                <w:i/>
              </w:rPr>
              <w:t>2,091</w:t>
            </w:r>
          </w:p>
        </w:tc>
        <w:tc>
          <w:tcPr>
            <w:tcW w:w="980" w:type="dxa"/>
            <w:tcBorders>
              <w:top w:val="nil"/>
              <w:left w:val="nil"/>
              <w:bottom w:val="nil"/>
              <w:right w:val="nil"/>
            </w:tcBorders>
            <w:shd w:val="clear" w:color="auto" w:fill="auto"/>
            <w:noWrap/>
            <w:vAlign w:val="bottom"/>
            <w:hideMark/>
          </w:tcPr>
          <w:p w:rsidR="000D424E" w:rsidRPr="0030254B" w:rsidRDefault="000D424E" w:rsidP="00AB725E">
            <w:pPr>
              <w:pStyle w:val="Tabletext"/>
              <w:jc w:val="right"/>
              <w:rPr>
                <w:i/>
              </w:rPr>
            </w:pPr>
            <w:r w:rsidRPr="0030254B">
              <w:rPr>
                <w:i/>
              </w:rPr>
              <w:t>59.8</w:t>
            </w:r>
          </w:p>
        </w:tc>
        <w:tc>
          <w:tcPr>
            <w:tcW w:w="863" w:type="dxa"/>
            <w:tcBorders>
              <w:top w:val="nil"/>
              <w:left w:val="nil"/>
              <w:bottom w:val="nil"/>
              <w:right w:val="nil"/>
            </w:tcBorders>
            <w:vAlign w:val="bottom"/>
          </w:tcPr>
          <w:p w:rsidR="000D424E" w:rsidRPr="0030254B" w:rsidRDefault="000D424E" w:rsidP="00AB725E">
            <w:pPr>
              <w:pStyle w:val="Tabletext"/>
              <w:jc w:val="right"/>
              <w:rPr>
                <w:i/>
              </w:rPr>
            </w:pPr>
            <w:r w:rsidRPr="0030254B">
              <w:rPr>
                <w:i/>
              </w:rPr>
              <w:t>11,380</w:t>
            </w:r>
          </w:p>
        </w:tc>
        <w:tc>
          <w:tcPr>
            <w:tcW w:w="1068" w:type="dxa"/>
            <w:tcBorders>
              <w:top w:val="nil"/>
              <w:left w:val="nil"/>
              <w:bottom w:val="nil"/>
              <w:right w:val="nil"/>
            </w:tcBorders>
            <w:vAlign w:val="bottom"/>
          </w:tcPr>
          <w:p w:rsidR="000D424E" w:rsidRPr="0030254B" w:rsidRDefault="000D424E" w:rsidP="00AB725E">
            <w:pPr>
              <w:pStyle w:val="Tabletext"/>
              <w:jc w:val="right"/>
              <w:rPr>
                <w:i/>
              </w:rPr>
            </w:pPr>
            <w:r>
              <w:rPr>
                <w:i/>
              </w:rPr>
              <w:t>48.6</w:t>
            </w:r>
          </w:p>
        </w:tc>
        <w:tc>
          <w:tcPr>
            <w:tcW w:w="2604" w:type="dxa"/>
            <w:tcBorders>
              <w:top w:val="nil"/>
              <w:left w:val="nil"/>
              <w:bottom w:val="nil"/>
              <w:right w:val="nil"/>
            </w:tcBorders>
            <w:vAlign w:val="bottom"/>
          </w:tcPr>
          <w:p w:rsidR="000D424E" w:rsidRPr="0030254B" w:rsidRDefault="000D424E" w:rsidP="00AB725E">
            <w:pPr>
              <w:pStyle w:val="Tabletext"/>
              <w:jc w:val="center"/>
              <w:rPr>
                <w:i/>
              </w:rPr>
            </w:pPr>
            <w:r w:rsidRPr="0030254B">
              <w:rPr>
                <w:i/>
              </w:rPr>
              <w:t>18.4</w:t>
            </w:r>
          </w:p>
        </w:tc>
      </w:tr>
      <w:tr w:rsidR="000D424E" w:rsidRPr="00C6045A" w:rsidTr="00F82B97">
        <w:trPr>
          <w:trHeight w:val="300"/>
        </w:trPr>
        <w:tc>
          <w:tcPr>
            <w:tcW w:w="3261" w:type="dxa"/>
            <w:tcBorders>
              <w:top w:val="nil"/>
              <w:left w:val="nil"/>
              <w:bottom w:val="nil"/>
              <w:right w:val="nil"/>
            </w:tcBorders>
            <w:shd w:val="clear" w:color="auto" w:fill="auto"/>
            <w:noWrap/>
            <w:vAlign w:val="bottom"/>
            <w:hideMark/>
          </w:tcPr>
          <w:p w:rsidR="000D424E" w:rsidRPr="00F71B20" w:rsidRDefault="000D424E" w:rsidP="00AB725E">
            <w:pPr>
              <w:pStyle w:val="Tabletext"/>
            </w:pPr>
            <w:r w:rsidRPr="00F71B20">
              <w:rPr>
                <w:szCs w:val="22"/>
              </w:rPr>
              <w:t>Other Education</w:t>
            </w:r>
            <w:r>
              <w:rPr>
                <w:szCs w:val="22"/>
              </w:rPr>
              <w:t xml:space="preserve"> sub-fields</w:t>
            </w:r>
          </w:p>
        </w:tc>
        <w:tc>
          <w:tcPr>
            <w:tcW w:w="863" w:type="dxa"/>
            <w:tcBorders>
              <w:top w:val="nil"/>
              <w:left w:val="nil"/>
              <w:bottom w:val="nil"/>
              <w:right w:val="nil"/>
            </w:tcBorders>
            <w:shd w:val="clear" w:color="auto" w:fill="auto"/>
            <w:noWrap/>
            <w:vAlign w:val="bottom"/>
            <w:hideMark/>
          </w:tcPr>
          <w:p w:rsidR="000D424E" w:rsidRDefault="000D424E" w:rsidP="00AB725E">
            <w:pPr>
              <w:pStyle w:val="Tabletext"/>
              <w:jc w:val="right"/>
            </w:pPr>
            <w:r>
              <w:t>1,403</w:t>
            </w:r>
          </w:p>
        </w:tc>
        <w:tc>
          <w:tcPr>
            <w:tcW w:w="980" w:type="dxa"/>
            <w:tcBorders>
              <w:top w:val="nil"/>
              <w:left w:val="nil"/>
              <w:bottom w:val="nil"/>
              <w:right w:val="nil"/>
            </w:tcBorders>
            <w:shd w:val="clear" w:color="auto" w:fill="auto"/>
            <w:noWrap/>
            <w:vAlign w:val="bottom"/>
            <w:hideMark/>
          </w:tcPr>
          <w:p w:rsidR="000D424E" w:rsidRDefault="000D424E" w:rsidP="00AB725E">
            <w:pPr>
              <w:pStyle w:val="Tabletext"/>
              <w:jc w:val="right"/>
            </w:pPr>
            <w:r>
              <w:t>40.2</w:t>
            </w:r>
          </w:p>
        </w:tc>
        <w:tc>
          <w:tcPr>
            <w:tcW w:w="863" w:type="dxa"/>
            <w:tcBorders>
              <w:top w:val="nil"/>
              <w:left w:val="nil"/>
              <w:bottom w:val="nil"/>
              <w:right w:val="nil"/>
            </w:tcBorders>
            <w:vAlign w:val="bottom"/>
          </w:tcPr>
          <w:p w:rsidR="000D424E" w:rsidRDefault="000D424E" w:rsidP="00AB725E">
            <w:pPr>
              <w:pStyle w:val="Tabletext"/>
              <w:jc w:val="right"/>
            </w:pPr>
            <w:r>
              <w:t>12,011</w:t>
            </w:r>
          </w:p>
        </w:tc>
        <w:tc>
          <w:tcPr>
            <w:tcW w:w="1068" w:type="dxa"/>
            <w:tcBorders>
              <w:top w:val="nil"/>
              <w:left w:val="nil"/>
              <w:bottom w:val="nil"/>
              <w:right w:val="nil"/>
            </w:tcBorders>
            <w:vAlign w:val="bottom"/>
          </w:tcPr>
          <w:p w:rsidR="000D424E" w:rsidRDefault="000D424E" w:rsidP="00AB725E">
            <w:pPr>
              <w:pStyle w:val="Tabletext"/>
              <w:jc w:val="right"/>
            </w:pPr>
            <w:r>
              <w:t>51.4</w:t>
            </w:r>
          </w:p>
        </w:tc>
        <w:tc>
          <w:tcPr>
            <w:tcW w:w="2604" w:type="dxa"/>
            <w:tcBorders>
              <w:top w:val="nil"/>
              <w:left w:val="nil"/>
              <w:bottom w:val="nil"/>
              <w:right w:val="nil"/>
            </w:tcBorders>
            <w:vAlign w:val="bottom"/>
          </w:tcPr>
          <w:p w:rsidR="000D424E" w:rsidRDefault="000D424E" w:rsidP="00AB725E">
            <w:pPr>
              <w:pStyle w:val="Tabletext"/>
              <w:jc w:val="center"/>
            </w:pPr>
            <w:r>
              <w:t>11.7</w:t>
            </w:r>
          </w:p>
        </w:tc>
      </w:tr>
      <w:tr w:rsidR="000D424E" w:rsidRPr="00C6045A" w:rsidTr="00F82B97">
        <w:trPr>
          <w:trHeight w:val="300"/>
        </w:trPr>
        <w:tc>
          <w:tcPr>
            <w:tcW w:w="3261" w:type="dxa"/>
            <w:tcBorders>
              <w:top w:val="nil"/>
              <w:left w:val="nil"/>
              <w:bottom w:val="single" w:sz="4" w:space="0" w:color="auto"/>
              <w:right w:val="nil"/>
            </w:tcBorders>
            <w:shd w:val="clear" w:color="auto" w:fill="auto"/>
            <w:noWrap/>
            <w:vAlign w:val="bottom"/>
            <w:hideMark/>
          </w:tcPr>
          <w:p w:rsidR="000D424E" w:rsidRPr="00F71B20" w:rsidRDefault="000D424E" w:rsidP="00AB725E">
            <w:pPr>
              <w:pStyle w:val="Tabletext"/>
            </w:pPr>
            <w:r>
              <w:rPr>
                <w:szCs w:val="22"/>
              </w:rPr>
              <w:t xml:space="preserve">Total </w:t>
            </w:r>
            <w:r w:rsidRPr="00F71B20">
              <w:rPr>
                <w:szCs w:val="22"/>
              </w:rPr>
              <w:t>Education</w:t>
            </w:r>
            <w:r>
              <w:rPr>
                <w:szCs w:val="22"/>
              </w:rPr>
              <w:t xml:space="preserve"> </w:t>
            </w:r>
          </w:p>
        </w:tc>
        <w:tc>
          <w:tcPr>
            <w:tcW w:w="863" w:type="dxa"/>
            <w:tcBorders>
              <w:top w:val="nil"/>
              <w:left w:val="nil"/>
              <w:bottom w:val="single" w:sz="4" w:space="0" w:color="auto"/>
              <w:right w:val="nil"/>
            </w:tcBorders>
            <w:shd w:val="clear" w:color="auto" w:fill="auto"/>
            <w:noWrap/>
            <w:vAlign w:val="bottom"/>
            <w:hideMark/>
          </w:tcPr>
          <w:p w:rsidR="000D424E" w:rsidRDefault="000D424E" w:rsidP="00AB725E">
            <w:pPr>
              <w:pStyle w:val="Tabletext"/>
              <w:jc w:val="right"/>
            </w:pPr>
            <w:r>
              <w:t>3,494</w:t>
            </w:r>
          </w:p>
        </w:tc>
        <w:tc>
          <w:tcPr>
            <w:tcW w:w="980" w:type="dxa"/>
            <w:tcBorders>
              <w:top w:val="nil"/>
              <w:left w:val="nil"/>
              <w:bottom w:val="single" w:sz="4" w:space="0" w:color="auto"/>
              <w:right w:val="nil"/>
            </w:tcBorders>
            <w:shd w:val="clear" w:color="auto" w:fill="auto"/>
            <w:noWrap/>
            <w:vAlign w:val="bottom"/>
            <w:hideMark/>
          </w:tcPr>
          <w:p w:rsidR="000D424E" w:rsidRDefault="000D424E" w:rsidP="00AB725E">
            <w:pPr>
              <w:pStyle w:val="Tabletext"/>
              <w:jc w:val="right"/>
            </w:pPr>
            <w:r>
              <w:t>100.0</w:t>
            </w:r>
          </w:p>
        </w:tc>
        <w:tc>
          <w:tcPr>
            <w:tcW w:w="863" w:type="dxa"/>
            <w:tcBorders>
              <w:top w:val="nil"/>
              <w:left w:val="nil"/>
              <w:bottom w:val="single" w:sz="4" w:space="0" w:color="auto"/>
              <w:right w:val="nil"/>
            </w:tcBorders>
            <w:vAlign w:val="bottom"/>
          </w:tcPr>
          <w:p w:rsidR="000D424E" w:rsidRDefault="000D424E" w:rsidP="00AB725E">
            <w:pPr>
              <w:pStyle w:val="Tabletext"/>
              <w:jc w:val="right"/>
            </w:pPr>
            <w:r>
              <w:t>23,391</w:t>
            </w:r>
          </w:p>
        </w:tc>
        <w:tc>
          <w:tcPr>
            <w:tcW w:w="1068" w:type="dxa"/>
            <w:tcBorders>
              <w:top w:val="nil"/>
              <w:left w:val="nil"/>
              <w:bottom w:val="single" w:sz="4" w:space="0" w:color="auto"/>
              <w:right w:val="nil"/>
            </w:tcBorders>
            <w:vAlign w:val="bottom"/>
          </w:tcPr>
          <w:p w:rsidR="000D424E" w:rsidRDefault="000D424E" w:rsidP="00AB725E">
            <w:pPr>
              <w:pStyle w:val="Tabletext"/>
              <w:jc w:val="right"/>
            </w:pPr>
            <w:r>
              <w:t>100.0</w:t>
            </w:r>
          </w:p>
        </w:tc>
        <w:tc>
          <w:tcPr>
            <w:tcW w:w="2604" w:type="dxa"/>
            <w:tcBorders>
              <w:top w:val="nil"/>
              <w:left w:val="nil"/>
              <w:bottom w:val="single" w:sz="4" w:space="0" w:color="auto"/>
              <w:right w:val="nil"/>
            </w:tcBorders>
            <w:vAlign w:val="bottom"/>
          </w:tcPr>
          <w:p w:rsidR="000D424E" w:rsidRDefault="000D424E" w:rsidP="00AB725E">
            <w:pPr>
              <w:pStyle w:val="Tabletext"/>
              <w:jc w:val="center"/>
            </w:pPr>
            <w:r>
              <w:t>14.9</w:t>
            </w:r>
          </w:p>
        </w:tc>
      </w:tr>
    </w:tbl>
    <w:p w:rsidR="000D424E" w:rsidRDefault="000D424E" w:rsidP="000D424E">
      <w:pPr>
        <w:pStyle w:val="Source"/>
      </w:pPr>
      <w:r>
        <w:t>Source: DEEWR (2010) Higher Education Statistics Collection. Unpublished data</w:t>
      </w:r>
    </w:p>
    <w:p w:rsidR="000D424E" w:rsidRDefault="000D424E" w:rsidP="000D424E">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0D424E" w:rsidRDefault="000D424E" w:rsidP="000D424E">
      <w:pPr>
        <w:pStyle w:val="Text"/>
      </w:pPr>
      <w:r w:rsidRPr="003D726A">
        <w:lastRenderedPageBreak/>
        <w:t xml:space="preserve">As shown in </w:t>
      </w:r>
      <w:r w:rsidR="00B45EBA">
        <w:t xml:space="preserve">Table </w:t>
      </w:r>
      <w:r w:rsidR="000A41F4">
        <w:t>16</w:t>
      </w:r>
      <w:r w:rsidRPr="003D726A">
        <w:t>, Early Childhood Education accounts for over 35 per cent of VET award-holders but only 18 per cent of all undergraduate commencements within the broad Education field.  Early Childhood Education and Primary Education together account for 60 per cent of VET award-holders. Therefore the</w:t>
      </w:r>
      <w:r w:rsidR="00873564">
        <w:t>se two</w:t>
      </w:r>
      <w:r w:rsidRPr="003D726A">
        <w:t xml:space="preserve"> detailed sub-field</w:t>
      </w:r>
      <w:r w:rsidR="00873564">
        <w:t xml:space="preserve">s </w:t>
      </w:r>
      <w:r w:rsidRPr="003D726A">
        <w:t>will be the focus of our analysis.</w:t>
      </w:r>
    </w:p>
    <w:p w:rsidR="000D424E" w:rsidRDefault="000D424E" w:rsidP="000D424E">
      <w:pPr>
        <w:pStyle w:val="Heading3"/>
      </w:pPr>
      <w:r>
        <w:t>Variation between institutions</w:t>
      </w:r>
    </w:p>
    <w:p w:rsidR="000D424E" w:rsidRDefault="000D424E" w:rsidP="000D424E">
      <w:pPr>
        <w:pStyle w:val="Text"/>
      </w:pPr>
      <w:r>
        <w:t xml:space="preserve">Twenty-five publicly funded universities offer undergraduate programs in early childhood teacher education, yet the distribution of VET-HE pathways between institutions is extremely uneven. </w:t>
      </w:r>
      <w:r w:rsidR="00873564">
        <w:t xml:space="preserve">Students admitted on the basis of a VET award are indicated along with VET award-holders as a proportion of total commencements by institution in </w:t>
      </w:r>
      <w:r w:rsidR="00B45EBA">
        <w:t xml:space="preserve">Figure </w:t>
      </w:r>
      <w:r w:rsidR="00016C35">
        <w:t>4</w:t>
      </w:r>
      <w:r w:rsidR="00873564">
        <w:t>.</w:t>
      </w:r>
    </w:p>
    <w:p w:rsidR="000D424E" w:rsidRDefault="00B45EBA" w:rsidP="000D424E">
      <w:pPr>
        <w:pStyle w:val="Figuretitle"/>
      </w:pPr>
      <w:bookmarkStart w:id="86" w:name="_Toc370995939"/>
      <w:r>
        <w:t xml:space="preserve">Figure </w:t>
      </w:r>
      <w:r w:rsidR="00971369">
        <w:t>4</w:t>
      </w:r>
      <w:r w:rsidR="000D424E">
        <w:tab/>
        <w:t>Number of students commencing undergraduate studies in Early Childhood Teacher Education who were admitted on the basis of a VET award (and VET award-holders as a proportion of all commencements, in parentheses) by HE institution, Australia 2010</w:t>
      </w:r>
      <w:bookmarkEnd w:id="86"/>
    </w:p>
    <w:p w:rsidR="000D424E" w:rsidRDefault="000D424E" w:rsidP="000D424E">
      <w:pPr>
        <w:pStyle w:val="Figuretitle"/>
      </w:pPr>
      <w:r w:rsidRPr="00777E90">
        <w:rPr>
          <w:noProof/>
          <w:lang w:eastAsia="en-AU"/>
        </w:rPr>
        <w:drawing>
          <wp:inline distT="0" distB="0" distL="0" distR="0">
            <wp:extent cx="4552950" cy="51911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552950" cy="5191125"/>
                    </a:xfrm>
                    <a:prstGeom prst="rect">
                      <a:avLst/>
                    </a:prstGeom>
                    <a:noFill/>
                    <a:ln w="9525">
                      <a:noFill/>
                      <a:miter lim="800000"/>
                      <a:headEnd/>
                      <a:tailEnd/>
                    </a:ln>
                  </pic:spPr>
                </pic:pic>
              </a:graphicData>
            </a:graphic>
          </wp:inline>
        </w:drawing>
      </w:r>
    </w:p>
    <w:p w:rsidR="000D424E" w:rsidRDefault="000D424E" w:rsidP="000D424E">
      <w:pPr>
        <w:pStyle w:val="Source"/>
      </w:pPr>
      <w:r>
        <w:t>Source: DEEWR (2010) Higher Education Statistics Collection. Unpublished data</w:t>
      </w:r>
    </w:p>
    <w:p w:rsidR="000D424E" w:rsidRDefault="000D424E" w:rsidP="000D424E">
      <w:pPr>
        <w:pStyle w:val="Source"/>
      </w:pPr>
      <w:r>
        <w:t>Notes</w:t>
      </w:r>
      <w:r w:rsidRPr="00EE0FA8">
        <w:t xml:space="preserve"> </w:t>
      </w:r>
      <w:r>
        <w:t xml:space="preserve">Due to the coding of some students in combined programs to two fields of education, the totals can be higher than the total number of students and the size of the difference varies between fields of education.  </w:t>
      </w:r>
    </w:p>
    <w:p w:rsidR="000D424E" w:rsidRDefault="000D424E" w:rsidP="000D424E">
      <w:pPr>
        <w:pStyle w:val="Source"/>
      </w:pPr>
      <w:r>
        <w:t xml:space="preserve">.  </w:t>
      </w:r>
    </w:p>
    <w:p w:rsidR="00F82B97" w:rsidRDefault="00F82B97">
      <w:pPr>
        <w:spacing w:before="0" w:line="240" w:lineRule="auto"/>
      </w:pPr>
      <w:r>
        <w:br w:type="page"/>
      </w:r>
    </w:p>
    <w:p w:rsidR="000D424E" w:rsidRDefault="000D424E" w:rsidP="000D424E">
      <w:pPr>
        <w:pStyle w:val="Text"/>
      </w:pPr>
      <w:r w:rsidRPr="003F1E93">
        <w:lastRenderedPageBreak/>
        <w:t xml:space="preserve">As shown in </w:t>
      </w:r>
      <w:r w:rsidR="00B45EBA">
        <w:t xml:space="preserve">Figure </w:t>
      </w:r>
      <w:r w:rsidR="00016C35">
        <w:t>4</w:t>
      </w:r>
      <w:r w:rsidRPr="003F1E93">
        <w:t xml:space="preserve">, in the universities which admit the highest number of VET award-holders in Early Childhood Education, enrolments of VET award-holders </w:t>
      </w:r>
      <w:r>
        <w:t xml:space="preserve">also </w:t>
      </w:r>
      <w:r w:rsidRPr="003F1E93">
        <w:t xml:space="preserve">represent a high proportion of total commencements in this discipline. In Charles Sturt University, for example, 70 per cent of commencements in its Early Childhood teacher education program are admitted on the basis of a VET award. At Deakin University 149 VET award-holders represent 91 per cent of all commencements and at Monash University 94 VET award-holders account for 48 per cent of all commencements in Early Childhood programs. </w:t>
      </w:r>
    </w:p>
    <w:p w:rsidR="000D424E" w:rsidRDefault="000D424E" w:rsidP="000D424E">
      <w:pPr>
        <w:pStyle w:val="Text"/>
      </w:pPr>
      <w:r>
        <w:t xml:space="preserve">Interestingly, the universities which perform well in providing pathways for VET award-holders in Early Childhood Education are not necessarily the institutions that provide consistently strong pathways for VET award-holders in all fields of study. While Charles Sturt University, Deakin University </w:t>
      </w:r>
      <w:r w:rsidR="00873564">
        <w:t xml:space="preserve">and the Australian Catholic University </w:t>
      </w:r>
      <w:r>
        <w:t>enrol VET award-holders in all fields at above-average rates, Monash University and the University of New England both admit VET award-holders at rates below the national average</w:t>
      </w:r>
      <w:r w:rsidR="00873564">
        <w:t xml:space="preserve"> in other fields</w:t>
      </w:r>
      <w:r>
        <w:t xml:space="preserve">, yet contribute significantly to the provision of VET-HE pathways in Early Childhood Education. </w:t>
      </w:r>
    </w:p>
    <w:p w:rsidR="000D424E" w:rsidRDefault="000D424E" w:rsidP="000D424E">
      <w:pPr>
        <w:pStyle w:val="Heading2"/>
      </w:pPr>
      <w:bookmarkStart w:id="87" w:name="_Toc328329743"/>
      <w:bookmarkStart w:id="88" w:name="_Toc358384124"/>
      <w:bookmarkStart w:id="89" w:name="_Toc370995887"/>
      <w:r>
        <w:t>VET-HE Pathways in Early Childhood and Primary Teacher Education</w:t>
      </w:r>
      <w:bookmarkEnd w:id="87"/>
      <w:bookmarkEnd w:id="88"/>
      <w:bookmarkEnd w:id="89"/>
    </w:p>
    <w:p w:rsidR="000D424E" w:rsidRDefault="00B45EBA" w:rsidP="000D424E">
      <w:pPr>
        <w:pStyle w:val="Figuretitle"/>
      </w:pPr>
      <w:bookmarkStart w:id="90" w:name="_Toc328329755"/>
      <w:bookmarkStart w:id="91" w:name="_Toc370995940"/>
      <w:r>
        <w:t xml:space="preserve">Figure </w:t>
      </w:r>
      <w:r w:rsidR="003E15EB">
        <w:t>5</w:t>
      </w:r>
      <w:r w:rsidR="000D424E">
        <w:tab/>
        <w:t>Number of students commencing undergraduate studies in Primary and Early Childhood Teacher Education who were admitted on the basis of a VET award (and VET award-holders as a proportion of all commencements, in parentheses) by HE institution, Australia 2010</w:t>
      </w:r>
      <w:bookmarkEnd w:id="90"/>
      <w:bookmarkEnd w:id="91"/>
    </w:p>
    <w:p w:rsidR="000D424E" w:rsidRDefault="000D424E" w:rsidP="000D424E">
      <w:pPr>
        <w:pStyle w:val="Figuretitle"/>
      </w:pPr>
      <w:r w:rsidRPr="0058479C">
        <w:rPr>
          <w:noProof/>
          <w:lang w:eastAsia="en-AU"/>
        </w:rPr>
        <w:drawing>
          <wp:inline distT="0" distB="0" distL="0" distR="0">
            <wp:extent cx="5580380" cy="4280355"/>
            <wp:effectExtent l="19050" t="0" r="127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580380" cy="4280355"/>
                    </a:xfrm>
                    <a:prstGeom prst="rect">
                      <a:avLst/>
                    </a:prstGeom>
                    <a:noFill/>
                    <a:ln w="9525">
                      <a:noFill/>
                      <a:miter lim="800000"/>
                      <a:headEnd/>
                      <a:tailEnd/>
                    </a:ln>
                  </pic:spPr>
                </pic:pic>
              </a:graphicData>
            </a:graphic>
          </wp:inline>
        </w:drawing>
      </w:r>
    </w:p>
    <w:p w:rsidR="000D424E" w:rsidRDefault="000D424E" w:rsidP="000D424E">
      <w:pPr>
        <w:pStyle w:val="Source"/>
      </w:pPr>
      <w:r>
        <w:t>Source: DEEWR (2010) Higher Education Statistics Collection. Unpublished data</w:t>
      </w:r>
    </w:p>
    <w:p w:rsidR="000D424E" w:rsidRDefault="000D424E" w:rsidP="000D424E">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0D424E" w:rsidRDefault="000D424E" w:rsidP="000D424E">
      <w:pPr>
        <w:pStyle w:val="Source"/>
      </w:pPr>
      <w:r>
        <w:t xml:space="preserve">.  </w:t>
      </w:r>
    </w:p>
    <w:p w:rsidR="004B21E8" w:rsidRDefault="004B21E8" w:rsidP="000D424E">
      <w:pPr>
        <w:pStyle w:val="Text"/>
      </w:pPr>
      <w:r w:rsidRPr="004B21E8">
        <w:lastRenderedPageBreak/>
        <w:t xml:space="preserve">In some institutions, early childhood teacher education is delivered within primary teaching programs, and together these two sub-fields account for almost half of all undergraduate commencements in the field of Education, as shown in </w:t>
      </w:r>
      <w:r w:rsidR="00B45EBA">
        <w:t xml:space="preserve">Figure </w:t>
      </w:r>
      <w:r w:rsidR="00016C35">
        <w:t>5</w:t>
      </w:r>
      <w:r w:rsidRPr="004B21E8">
        <w:t>. When taken together, VET award-holders comprise 11.5 per cent of all primary teaching commencements in Australia and 18.4 per cent of total enrolments in Primary and Early Childhood teacher education combined (</w:t>
      </w:r>
      <w:r w:rsidR="00B45EBA">
        <w:t xml:space="preserve">Table </w:t>
      </w:r>
      <w:r w:rsidR="000A41F4">
        <w:t>16</w:t>
      </w:r>
      <w:r w:rsidRPr="004B21E8">
        <w:t xml:space="preserve">). </w:t>
      </w:r>
    </w:p>
    <w:p w:rsidR="000D424E" w:rsidRDefault="00B45EBA" w:rsidP="000D424E">
      <w:pPr>
        <w:pStyle w:val="Text"/>
      </w:pPr>
      <w:r>
        <w:t xml:space="preserve">Figure </w:t>
      </w:r>
      <w:r w:rsidR="00016C35">
        <w:t>5</w:t>
      </w:r>
      <w:r w:rsidR="000D424E">
        <w:t xml:space="preserve"> illustrates institutions’ enrolments of VET award-holders in primary and early childhood teaching programs combined as well as reporting VET award-holders as a proportion of total enrolments in primary and early childhood programs (in parentheses). In six institutions</w:t>
      </w:r>
      <w:r w:rsidR="00E1220A">
        <w:t xml:space="preserve"> - </w:t>
      </w:r>
      <w:r w:rsidR="00873564">
        <w:t>University of Southern Queensland, University of Queensland, Flinders University, University of the Sunshine Coast, University of Sydney and Southern Cross University</w:t>
      </w:r>
      <w:r w:rsidR="00E1220A">
        <w:t xml:space="preserve"> - </w:t>
      </w:r>
      <w:r w:rsidR="000D424E">
        <w:t>VET award-holders are a negligible proportion (3-6</w:t>
      </w:r>
      <w:r w:rsidR="00CA146B">
        <w:t>%</w:t>
      </w:r>
      <w:r w:rsidR="000D424E">
        <w:t xml:space="preserve">) of the institution’s total enrolments in early childhood and primary education programs. In contrast, all of the remaining 25 institutions offering undergraduate primary and/or early childhood programs enrol VET award-holders at just below (9%), above, or well above the national average rate of 10 per cent. </w:t>
      </w:r>
    </w:p>
    <w:p w:rsidR="000D424E" w:rsidRDefault="000D424E" w:rsidP="000D424E">
      <w:pPr>
        <w:pStyle w:val="Heading2"/>
      </w:pPr>
      <w:bookmarkStart w:id="92" w:name="_Toc328329744"/>
      <w:bookmarkStart w:id="93" w:name="_Toc358384125"/>
      <w:bookmarkStart w:id="94" w:name="_Toc370995888"/>
      <w:r>
        <w:t>Reaching a critical mass</w:t>
      </w:r>
      <w:bookmarkEnd w:id="92"/>
      <w:bookmarkEnd w:id="93"/>
      <w:bookmarkEnd w:id="94"/>
    </w:p>
    <w:p w:rsidR="000D424E" w:rsidRDefault="000D424E" w:rsidP="000D424E">
      <w:pPr>
        <w:pStyle w:val="Text"/>
      </w:pPr>
      <w:r>
        <w:t xml:space="preserve">As shown in </w:t>
      </w:r>
      <w:r w:rsidR="00B45EBA">
        <w:t xml:space="preserve">Figure </w:t>
      </w:r>
      <w:r w:rsidR="00016C35">
        <w:t>4</w:t>
      </w:r>
      <w:r>
        <w:t xml:space="preserve"> and </w:t>
      </w:r>
      <w:r w:rsidR="00B45EBA">
        <w:t xml:space="preserve">Figure </w:t>
      </w:r>
      <w:r w:rsidR="00016C35">
        <w:t>5</w:t>
      </w:r>
      <w:r>
        <w:t xml:space="preserve">, the majority of universities have sufficiently large intakes of VET award-holders (25 + students) commencing in their primary or early childhood programs to provide a critical mass of students holding a VET award within their commencing cohort. Having relatively high numbers of VET award-holders commencing undergraduate programs in one field of study can assist course convenors to deliver customised programs of study that enhance the learning outcomes of this group. </w:t>
      </w:r>
      <w:r w:rsidR="00E1220A">
        <w:t xml:space="preserve">Such a customised program is offered at Monash University – the Bachelor of Early Childhood Studies – and we were advised in an interview with a course convenor that the completion rates for this course are comparable to the completion rates of students admitted to similar courses on another basis. </w:t>
      </w:r>
    </w:p>
    <w:p w:rsidR="000400CF" w:rsidRDefault="000400CF" w:rsidP="000400CF">
      <w:pPr>
        <w:pStyle w:val="Text"/>
      </w:pPr>
      <w:bookmarkStart w:id="95" w:name="_Toc328329745"/>
      <w:r w:rsidRPr="00694D7F">
        <w:t xml:space="preserve">Multiple partners in the early childhood education and care industry, including TAFE and HE providers, and professional associations have worked together over the past decade to revise the content of VET award courses, particularly Diploma-level studies in Children’s Services, to ensure that they provide a foundation for further learning as well as for competent professional practice (CRES 2011). This work </w:t>
      </w:r>
      <w:r>
        <w:t xml:space="preserve">appears to </w:t>
      </w:r>
      <w:r w:rsidR="00477DF9">
        <w:t>have</w:t>
      </w:r>
      <w:r>
        <w:t xml:space="preserve"> resulted in a</w:t>
      </w:r>
      <w:r w:rsidRPr="00694D7F">
        <w:t xml:space="preserve"> strengthened the pathway from a VET Diploma Children’s Services to undergraduate degree</w:t>
      </w:r>
      <w:r>
        <w:t xml:space="preserve"> studies</w:t>
      </w:r>
      <w:r w:rsidRPr="00694D7F">
        <w:t xml:space="preserve"> in Early Childhood Education.</w:t>
      </w:r>
    </w:p>
    <w:p w:rsidR="000400CF" w:rsidRDefault="000400CF" w:rsidP="000400CF">
      <w:pPr>
        <w:pStyle w:val="Text"/>
      </w:pPr>
      <w:r>
        <w:t>While 25 universities offer undergraduate programs in early childhood teacher education, a few major providers dominate provision. The three largest providers are Charles Sturt University and Deakin University (both Cluster 1) and Monash University (Cluster 3). These three providers account for 23 per cent of total commencements and admit VET award-holders at rates of 70 per cent, 91 per cent and 48 per cent respectively. Cluster 1 universities enrol 30 per cent of all students and Cluster 3 universities enrol 18 per cent. However the four Cluster 3 universities (other than Monash) admit VET award-holders at rates of 9 – 13 per cent. This suggests that the field of Early Childhood Education ‘lends itself’ to VET-HE pathways, in such a way that the institutional barriers to the admission of VET award-holders in some Cluster 3 institutions are less relevant.</w:t>
      </w:r>
    </w:p>
    <w:p w:rsidR="00F82B97" w:rsidRDefault="00F82B97">
      <w:pPr>
        <w:spacing w:before="0" w:line="240" w:lineRule="auto"/>
        <w:rPr>
          <w:rFonts w:ascii="Tahoma" w:hAnsi="Tahoma" w:cs="Tahoma"/>
          <w:sz w:val="28"/>
        </w:rPr>
      </w:pPr>
      <w:r>
        <w:br w:type="page"/>
      </w:r>
    </w:p>
    <w:p w:rsidR="000D424E" w:rsidRDefault="000D424E" w:rsidP="000D424E">
      <w:pPr>
        <w:pStyle w:val="Heading2"/>
      </w:pPr>
      <w:bookmarkStart w:id="96" w:name="_Toc358384126"/>
      <w:bookmarkStart w:id="97" w:name="_Toc370995889"/>
      <w:r>
        <w:lastRenderedPageBreak/>
        <w:t>Summary</w:t>
      </w:r>
      <w:bookmarkEnd w:id="95"/>
      <w:bookmarkEnd w:id="96"/>
      <w:bookmarkEnd w:id="97"/>
    </w:p>
    <w:p w:rsidR="000D424E" w:rsidRDefault="000D424E" w:rsidP="000D424E">
      <w:pPr>
        <w:pStyle w:val="Text"/>
      </w:pPr>
      <w:r>
        <w:t xml:space="preserve">Primary and Early Childhood enrolments account for almost half of all undergraduate commencements in Education (ASCED Field of Education 07). VET-HE pathways are particularly strong in Early Childhood Education, where 30 per cent of commencing students are admitted on the basis of a VET award. Over two-thirds of HE providers now admit VET award-holders in cohorts of 25 or more students, which gives course convenors the flexibility to customise learning programs to meet the specific needs of transitioning students. </w:t>
      </w:r>
    </w:p>
    <w:p w:rsidR="000D424E" w:rsidRDefault="000D424E" w:rsidP="000D424E">
      <w:pPr>
        <w:pStyle w:val="Text"/>
      </w:pPr>
      <w:r>
        <w:t xml:space="preserve">Two universities which provide strong pathways for VET award-holders in Early Childhood Education do not </w:t>
      </w:r>
      <w:r w:rsidR="00596FD5">
        <w:t>admit high proportions of</w:t>
      </w:r>
      <w:r>
        <w:t xml:space="preserve"> VET award-holders in </w:t>
      </w:r>
      <w:r w:rsidR="00596FD5">
        <w:t xml:space="preserve">other </w:t>
      </w:r>
      <w:r>
        <w:t xml:space="preserve">fields of study. Monash University and the University of New England both admit VET award-holders at rates below the </w:t>
      </w:r>
      <w:r w:rsidR="00596FD5">
        <w:t>sector average for all fields</w:t>
      </w:r>
      <w:r>
        <w:t>, yet contribute significantly to the provision of VET-HE pathways in Early Childhood Education</w:t>
      </w:r>
      <w:r w:rsidR="00596FD5">
        <w:t xml:space="preserve">. These two universities account for </w:t>
      </w:r>
      <w:r>
        <w:t xml:space="preserve">over 40 per cent of undergraduate commencements in this sub-field </w:t>
      </w:r>
      <w:r w:rsidR="00596FD5">
        <w:t xml:space="preserve">admitted </w:t>
      </w:r>
      <w:r>
        <w:t xml:space="preserve">on the basis of a VET award. </w:t>
      </w:r>
    </w:p>
    <w:p w:rsidR="000D424E" w:rsidRDefault="000D424E">
      <w:pPr>
        <w:spacing w:before="0" w:line="240" w:lineRule="auto"/>
        <w:rPr>
          <w:rFonts w:ascii="Tahoma" w:hAnsi="Tahoma" w:cs="Tahoma"/>
          <w:color w:val="000000"/>
          <w:kern w:val="28"/>
          <w:sz w:val="56"/>
          <w:szCs w:val="56"/>
        </w:rPr>
      </w:pPr>
      <w:r>
        <w:br w:type="page"/>
      </w:r>
    </w:p>
    <w:p w:rsidR="00225653" w:rsidRDefault="0047396B" w:rsidP="00225653">
      <w:pPr>
        <w:pStyle w:val="Heading1"/>
      </w:pPr>
      <w:bookmarkStart w:id="98" w:name="_Toc358384127"/>
      <w:bookmarkStart w:id="99" w:name="_Toc370995890"/>
      <w:bookmarkStart w:id="100" w:name="_Toc328329727"/>
      <w:r>
        <w:lastRenderedPageBreak/>
        <w:t xml:space="preserve">3. </w:t>
      </w:r>
      <w:r w:rsidR="00225653">
        <w:t>Engineering and Related Technologies (FOE 03)</w:t>
      </w:r>
      <w:bookmarkEnd w:id="98"/>
      <w:bookmarkEnd w:id="99"/>
    </w:p>
    <w:p w:rsidR="003F52DC" w:rsidRDefault="003F52DC" w:rsidP="00F36F29">
      <w:pPr>
        <w:pStyle w:val="Text"/>
      </w:pPr>
      <w:r>
        <w:t>The broad field of Engineering and Related Technologies (FOE 03 has the third lowest admission rate of VET award-holders nationally (7.4</w:t>
      </w:r>
      <w:r w:rsidR="00CA146B">
        <w:t>%</w:t>
      </w:r>
      <w:r>
        <w:t>).</w:t>
      </w:r>
      <w:r w:rsidRPr="003F52DC">
        <w:t xml:space="preserve"> </w:t>
      </w:r>
      <w:r>
        <w:t>A</w:t>
      </w:r>
      <w:r w:rsidRPr="003F52DC">
        <w:t xml:space="preserve"> </w:t>
      </w:r>
      <w:r>
        <w:t>recent study reported</w:t>
      </w:r>
      <w:r w:rsidRPr="00297019">
        <w:t xml:space="preserve"> less than 20 per cent </w:t>
      </w:r>
      <w:r>
        <w:t>of VET award-holders</w:t>
      </w:r>
      <w:r w:rsidRPr="00297019">
        <w:t xml:space="preserve"> successfully completing a degree</w:t>
      </w:r>
      <w:r>
        <w:t xml:space="preserve"> compared to 65 per cent for other students</w:t>
      </w:r>
      <w:r w:rsidRPr="00297019">
        <w:t xml:space="preserve"> (</w:t>
      </w:r>
      <w:r>
        <w:t>King</w:t>
      </w:r>
      <w:r w:rsidRPr="00297019">
        <w:t xml:space="preserve"> et al 201</w:t>
      </w:r>
      <w:r>
        <w:t>1</w:t>
      </w:r>
      <w:r w:rsidRPr="00297019">
        <w:t>).</w:t>
      </w:r>
      <w:r>
        <w:t xml:space="preserve">  </w:t>
      </w:r>
    </w:p>
    <w:p w:rsidR="00225653" w:rsidRDefault="00225653" w:rsidP="00225653">
      <w:pPr>
        <w:pStyle w:val="Heading2"/>
      </w:pPr>
      <w:bookmarkStart w:id="101" w:name="_Toc358384128"/>
      <w:bookmarkStart w:id="102" w:name="_Toc370995891"/>
      <w:r>
        <w:t>Variation between institutions</w:t>
      </w:r>
      <w:bookmarkEnd w:id="101"/>
      <w:bookmarkEnd w:id="102"/>
    </w:p>
    <w:p w:rsidR="00225653" w:rsidRDefault="00B45EBA" w:rsidP="00225653">
      <w:pPr>
        <w:pStyle w:val="Figuretitle"/>
      </w:pPr>
      <w:bookmarkStart w:id="103" w:name="_Toc370995941"/>
      <w:r>
        <w:t xml:space="preserve">Figure </w:t>
      </w:r>
      <w:r w:rsidR="003E15EB">
        <w:t>6</w:t>
      </w:r>
      <w:r w:rsidR="00225653">
        <w:tab/>
        <w:t>Number of students commencing undergraduate studies in Engineering and Related Technologies including those admitted on the basis of a VET award, by HE institution, Australia 2010</w:t>
      </w:r>
      <w:bookmarkEnd w:id="103"/>
    </w:p>
    <w:p w:rsidR="00225653" w:rsidRDefault="00225653" w:rsidP="00225653">
      <w:pPr>
        <w:pStyle w:val="Figuretitle"/>
      </w:pPr>
      <w:r w:rsidRPr="009712B7">
        <w:rPr>
          <w:noProof/>
          <w:lang w:eastAsia="en-AU"/>
        </w:rPr>
        <w:drawing>
          <wp:inline distT="0" distB="0" distL="0" distR="0">
            <wp:extent cx="5580380" cy="4849964"/>
            <wp:effectExtent l="19050" t="0" r="127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580380" cy="4849964"/>
                    </a:xfrm>
                    <a:prstGeom prst="rect">
                      <a:avLst/>
                    </a:prstGeom>
                    <a:noFill/>
                    <a:ln w="9525">
                      <a:noFill/>
                      <a:miter lim="800000"/>
                      <a:headEnd/>
                      <a:tailEnd/>
                    </a:ln>
                  </pic:spPr>
                </pic:pic>
              </a:graphicData>
            </a:graphic>
          </wp:inline>
        </w:drawing>
      </w:r>
    </w:p>
    <w:p w:rsidR="00225653" w:rsidRDefault="00225653" w:rsidP="00225653">
      <w:pPr>
        <w:pStyle w:val="Source"/>
      </w:pPr>
    </w:p>
    <w:p w:rsidR="00225653" w:rsidRDefault="00225653" w:rsidP="00225653">
      <w:pPr>
        <w:pStyle w:val="Source"/>
      </w:pPr>
    </w:p>
    <w:p w:rsidR="00225653" w:rsidRDefault="00225653" w:rsidP="00225653">
      <w:pPr>
        <w:pStyle w:val="Source"/>
      </w:pPr>
      <w:r>
        <w:t>Source: DEEWR (2010) Higher Education Statistics Collection. Unpublished data</w:t>
      </w:r>
    </w:p>
    <w:p w:rsidR="00225653" w:rsidRDefault="00225653" w:rsidP="00225653">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BB1B6E" w:rsidRDefault="00BB1B6E" w:rsidP="00225653">
      <w:pPr>
        <w:pStyle w:val="Source"/>
      </w:pPr>
    </w:p>
    <w:p w:rsidR="00BB1B6E" w:rsidRDefault="00BB1B6E" w:rsidP="00BB1B6E">
      <w:pPr>
        <w:pStyle w:val="Text"/>
      </w:pPr>
      <w:r w:rsidRPr="00297019">
        <w:lastRenderedPageBreak/>
        <w:t xml:space="preserve">Although there are 33 providers of courses classified as Engineering and Related Technologies, </w:t>
      </w:r>
      <w:r>
        <w:t xml:space="preserve">14 universities </w:t>
      </w:r>
      <w:r w:rsidRPr="00297019">
        <w:t>account for over two-thirds (68</w:t>
      </w:r>
      <w:r w:rsidR="00CA146B">
        <w:t>%</w:t>
      </w:r>
      <w:r w:rsidRPr="00297019">
        <w:t>) of all undergraduate enrolments in this broad field.</w:t>
      </w:r>
      <w:r>
        <w:t xml:space="preserve"> Analysis of the data reveals considerable variation in the admission rates of VET award-holders between institutions. The 33 universities offering undergraduate programs in Engineering and Related Technologies are listed in </w:t>
      </w:r>
      <w:r w:rsidR="00B45EBA">
        <w:t xml:space="preserve">Figure </w:t>
      </w:r>
      <w:r w:rsidR="00016C35">
        <w:t>6</w:t>
      </w:r>
      <w:r>
        <w:t xml:space="preserve">, ranked according to their total undergraduate commencements in this field. The number of students admitted on the basis of a VET award is also shown. </w:t>
      </w:r>
    </w:p>
    <w:p w:rsidR="00225653" w:rsidRDefault="00225653" w:rsidP="00225653">
      <w:pPr>
        <w:pStyle w:val="Text"/>
      </w:pPr>
      <w:r>
        <w:t xml:space="preserve">As shown in </w:t>
      </w:r>
      <w:r w:rsidR="00B45EBA">
        <w:t xml:space="preserve">Figure </w:t>
      </w:r>
      <w:r w:rsidR="00016C35">
        <w:t>6</w:t>
      </w:r>
      <w:r>
        <w:t>, with a few exceptions, the major providers of engineering programs at the undergraduate level admit very few students on the basis of a VET award, at rates of between 1 and 2 per cent. Among middle-sized providers, the admission rates of VET award-holders are considerably higher – generally above the national average. The fact that the two largest providers – Curtin University and the University of New South Wales – admit negligible numbers of students on the basis of a VET award, would contribute significantly to the overall low rate of admission of VET award-holders in the broad field of engineering</w:t>
      </w:r>
      <w:r w:rsidR="00F36F29">
        <w:t>.</w:t>
      </w:r>
    </w:p>
    <w:p w:rsidR="00F36F29" w:rsidRDefault="00F36F29" w:rsidP="00F36F29">
      <w:pPr>
        <w:pStyle w:val="Text"/>
      </w:pPr>
      <w:r>
        <w:t xml:space="preserve">In this field, Cluster 3 universities are the dominant providers, accounting for 54 per cent of total commencing student load, whereas Cluster 1 universities account for only 21 per cent, as shown in Table </w:t>
      </w:r>
      <w:r w:rsidR="00016C35">
        <w:t>17</w:t>
      </w:r>
      <w:r>
        <w:t>.</w:t>
      </w:r>
    </w:p>
    <w:p w:rsidR="00F36F29" w:rsidRPr="009F6552" w:rsidRDefault="00F36F29" w:rsidP="00F36F29">
      <w:pPr>
        <w:pStyle w:val="tabletitle"/>
      </w:pPr>
      <w:bookmarkStart w:id="104" w:name="_Toc350786323"/>
      <w:bookmarkStart w:id="105" w:name="_Toc370995926"/>
      <w:r>
        <w:t xml:space="preserve">Table </w:t>
      </w:r>
      <w:r w:rsidR="006A154F">
        <w:t>17</w:t>
      </w:r>
      <w:r>
        <w:tab/>
        <w:t>Enrolment share and admission rates of VET award-holders by institutional clusters in Engineering and Related Technologies (FOE 03), Australia 2010</w:t>
      </w:r>
      <w:bookmarkEnd w:id="104"/>
      <w:bookmarkEnd w:id="105"/>
    </w:p>
    <w:tbl>
      <w:tblPr>
        <w:tblW w:w="7655" w:type="dxa"/>
        <w:tblInd w:w="108" w:type="dxa"/>
        <w:tblLayout w:type="fixed"/>
        <w:tblLook w:val="04A0"/>
      </w:tblPr>
      <w:tblGrid>
        <w:gridCol w:w="1985"/>
        <w:gridCol w:w="1276"/>
        <w:gridCol w:w="1275"/>
        <w:gridCol w:w="1276"/>
        <w:gridCol w:w="1843"/>
      </w:tblGrid>
      <w:tr w:rsidR="00F36F29" w:rsidRPr="00691B2C" w:rsidTr="00611727">
        <w:trPr>
          <w:trHeight w:val="300"/>
        </w:trPr>
        <w:tc>
          <w:tcPr>
            <w:tcW w:w="1985" w:type="dxa"/>
            <w:tcBorders>
              <w:top w:val="single" w:sz="4" w:space="0" w:color="auto"/>
              <w:left w:val="nil"/>
              <w:bottom w:val="nil"/>
              <w:right w:val="nil"/>
            </w:tcBorders>
            <w:shd w:val="clear" w:color="auto" w:fill="auto"/>
            <w:noWrap/>
            <w:vAlign w:val="bottom"/>
            <w:hideMark/>
          </w:tcPr>
          <w:p w:rsidR="00F36F29" w:rsidRPr="00691B2C" w:rsidRDefault="00F36F29" w:rsidP="00611727">
            <w:pPr>
              <w:pStyle w:val="Tablehead1"/>
              <w:spacing w:before="0" w:after="0"/>
              <w:rPr>
                <w:bCs/>
                <w:color w:val="000000"/>
                <w:lang w:val="en-US"/>
              </w:rPr>
            </w:pPr>
          </w:p>
        </w:tc>
        <w:tc>
          <w:tcPr>
            <w:tcW w:w="2551" w:type="dxa"/>
            <w:gridSpan w:val="2"/>
            <w:tcBorders>
              <w:top w:val="single" w:sz="4" w:space="0" w:color="auto"/>
              <w:left w:val="nil"/>
              <w:bottom w:val="nil"/>
              <w:right w:val="nil"/>
            </w:tcBorders>
            <w:shd w:val="clear" w:color="auto" w:fill="auto"/>
            <w:noWrap/>
            <w:vAlign w:val="bottom"/>
            <w:hideMark/>
          </w:tcPr>
          <w:p w:rsidR="00F36F29" w:rsidRPr="00691B2C" w:rsidRDefault="00F36F29" w:rsidP="00611727">
            <w:pPr>
              <w:pStyle w:val="Tablehead1"/>
              <w:spacing w:before="0" w:after="0"/>
              <w:jc w:val="center"/>
              <w:rPr>
                <w:rFonts w:cs="Arial"/>
                <w:bCs/>
                <w:color w:val="000000"/>
                <w:szCs w:val="17"/>
                <w:lang w:val="en-US"/>
              </w:rPr>
            </w:pPr>
            <w:r w:rsidRPr="009F6552">
              <w:rPr>
                <w:rFonts w:cs="Arial"/>
                <w:bCs/>
                <w:color w:val="000000"/>
                <w:szCs w:val="17"/>
                <w:lang w:val="en-US"/>
              </w:rPr>
              <w:t>All undergraduate</w:t>
            </w:r>
            <w:r>
              <w:rPr>
                <w:rFonts w:cs="Arial"/>
                <w:bCs/>
                <w:color w:val="000000"/>
                <w:szCs w:val="17"/>
                <w:lang w:val="en-US"/>
              </w:rPr>
              <w:t>s</w:t>
            </w:r>
          </w:p>
        </w:tc>
        <w:tc>
          <w:tcPr>
            <w:tcW w:w="3119" w:type="dxa"/>
            <w:gridSpan w:val="2"/>
            <w:tcBorders>
              <w:top w:val="single" w:sz="4" w:space="0" w:color="auto"/>
              <w:left w:val="nil"/>
              <w:bottom w:val="nil"/>
              <w:right w:val="nil"/>
            </w:tcBorders>
            <w:vAlign w:val="bottom"/>
          </w:tcPr>
          <w:p w:rsidR="00F36F29" w:rsidRPr="00691B2C" w:rsidRDefault="00F36F29" w:rsidP="00611727">
            <w:pPr>
              <w:pStyle w:val="Tablehead1"/>
              <w:spacing w:before="0" w:after="0"/>
              <w:jc w:val="center"/>
              <w:rPr>
                <w:rFonts w:cs="Arial"/>
                <w:bCs/>
                <w:color w:val="000000"/>
                <w:szCs w:val="17"/>
                <w:lang w:val="en-US"/>
              </w:rPr>
            </w:pPr>
            <w:r w:rsidRPr="00562161">
              <w:rPr>
                <w:rFonts w:cs="Arial"/>
                <w:bCs/>
                <w:color w:val="000000"/>
                <w:szCs w:val="17"/>
                <w:lang w:val="en-US"/>
              </w:rPr>
              <w:t>VET award-holders</w:t>
            </w:r>
          </w:p>
        </w:tc>
      </w:tr>
      <w:tr w:rsidR="00F36F29" w:rsidRPr="00322D4B" w:rsidTr="00611727">
        <w:trPr>
          <w:trHeight w:val="300"/>
        </w:trPr>
        <w:tc>
          <w:tcPr>
            <w:tcW w:w="1985" w:type="dxa"/>
            <w:tcBorders>
              <w:top w:val="nil"/>
              <w:left w:val="nil"/>
              <w:bottom w:val="single" w:sz="4" w:space="0" w:color="auto"/>
              <w:right w:val="nil"/>
            </w:tcBorders>
            <w:shd w:val="clear" w:color="auto" w:fill="auto"/>
            <w:noWrap/>
            <w:vAlign w:val="bottom"/>
            <w:hideMark/>
          </w:tcPr>
          <w:p w:rsidR="00F36F29" w:rsidRPr="00322D4B" w:rsidRDefault="00F36F29" w:rsidP="00611727">
            <w:pPr>
              <w:pStyle w:val="Tablehead2"/>
              <w:spacing w:before="0" w:after="0"/>
              <w:jc w:val="both"/>
              <w:rPr>
                <w:lang w:val="en-US"/>
              </w:rPr>
            </w:pPr>
            <w:r>
              <w:rPr>
                <w:lang w:val="en-US"/>
              </w:rPr>
              <w:t>University Cluster</w:t>
            </w:r>
          </w:p>
        </w:tc>
        <w:tc>
          <w:tcPr>
            <w:tcW w:w="1276" w:type="dxa"/>
            <w:tcBorders>
              <w:top w:val="nil"/>
              <w:left w:val="nil"/>
              <w:bottom w:val="single" w:sz="4" w:space="0" w:color="auto"/>
              <w:right w:val="nil"/>
            </w:tcBorders>
            <w:shd w:val="clear" w:color="auto" w:fill="auto"/>
            <w:noWrap/>
            <w:vAlign w:val="bottom"/>
            <w:hideMark/>
          </w:tcPr>
          <w:p w:rsidR="00F36F29" w:rsidRPr="00322D4B" w:rsidRDefault="00F36F29" w:rsidP="00611727">
            <w:pPr>
              <w:pStyle w:val="Tablehead2"/>
              <w:spacing w:before="0" w:after="0"/>
              <w:jc w:val="right"/>
              <w:rPr>
                <w:lang w:val="en-US"/>
              </w:rPr>
            </w:pPr>
            <w:r>
              <w:rPr>
                <w:lang w:val="en-US"/>
              </w:rPr>
              <w:t>St</w:t>
            </w:r>
            <w:r w:rsidRPr="00322D4B">
              <w:rPr>
                <w:lang w:val="en-US"/>
              </w:rPr>
              <w:t>udents</w:t>
            </w:r>
          </w:p>
        </w:tc>
        <w:tc>
          <w:tcPr>
            <w:tcW w:w="1275" w:type="dxa"/>
            <w:tcBorders>
              <w:top w:val="nil"/>
              <w:left w:val="nil"/>
              <w:bottom w:val="single" w:sz="4" w:space="0" w:color="auto"/>
              <w:right w:val="nil"/>
            </w:tcBorders>
            <w:shd w:val="clear" w:color="auto" w:fill="auto"/>
            <w:noWrap/>
            <w:vAlign w:val="bottom"/>
            <w:hideMark/>
          </w:tcPr>
          <w:p w:rsidR="00F36F29" w:rsidRPr="00322D4B" w:rsidRDefault="00F36F29" w:rsidP="00611727">
            <w:pPr>
              <w:pStyle w:val="Tablehead2"/>
              <w:spacing w:before="0" w:after="0"/>
              <w:jc w:val="right"/>
              <w:rPr>
                <w:lang w:val="en-US"/>
              </w:rPr>
            </w:pPr>
            <w:r>
              <w:rPr>
                <w:lang w:val="en-US"/>
              </w:rPr>
              <w:t>share</w:t>
            </w:r>
          </w:p>
        </w:tc>
        <w:tc>
          <w:tcPr>
            <w:tcW w:w="1276" w:type="dxa"/>
            <w:tcBorders>
              <w:top w:val="nil"/>
              <w:left w:val="nil"/>
              <w:bottom w:val="single" w:sz="4" w:space="0" w:color="auto"/>
              <w:right w:val="nil"/>
            </w:tcBorders>
            <w:vAlign w:val="bottom"/>
          </w:tcPr>
          <w:p w:rsidR="00F36F29" w:rsidRPr="00322D4B" w:rsidRDefault="00F36F29" w:rsidP="00611727">
            <w:pPr>
              <w:pStyle w:val="Tablehead2"/>
              <w:spacing w:before="0" w:after="0"/>
              <w:jc w:val="right"/>
              <w:rPr>
                <w:lang w:val="en-US"/>
              </w:rPr>
            </w:pPr>
            <w:r>
              <w:rPr>
                <w:lang w:val="en-US"/>
              </w:rPr>
              <w:t>Students</w:t>
            </w:r>
          </w:p>
        </w:tc>
        <w:tc>
          <w:tcPr>
            <w:tcW w:w="1843" w:type="dxa"/>
            <w:tcBorders>
              <w:top w:val="nil"/>
              <w:left w:val="nil"/>
              <w:bottom w:val="single" w:sz="4" w:space="0" w:color="auto"/>
              <w:right w:val="nil"/>
            </w:tcBorders>
            <w:vAlign w:val="bottom"/>
          </w:tcPr>
          <w:p w:rsidR="00F36F29" w:rsidRPr="00322D4B" w:rsidRDefault="00F36F29" w:rsidP="00611727">
            <w:pPr>
              <w:pStyle w:val="Tablehead2"/>
              <w:spacing w:before="0" w:after="0"/>
              <w:jc w:val="right"/>
              <w:rPr>
                <w:lang w:val="en-US"/>
              </w:rPr>
            </w:pPr>
            <w:r>
              <w:rPr>
                <w:lang w:val="en-US"/>
              </w:rPr>
              <w:t>% of all students</w:t>
            </w:r>
          </w:p>
        </w:tc>
      </w:tr>
      <w:tr w:rsidR="00F36F29" w:rsidRPr="00522A32" w:rsidTr="00611727">
        <w:trPr>
          <w:trHeight w:val="300"/>
        </w:trPr>
        <w:tc>
          <w:tcPr>
            <w:tcW w:w="1985" w:type="dxa"/>
            <w:tcBorders>
              <w:top w:val="single" w:sz="4" w:space="0" w:color="auto"/>
              <w:left w:val="nil"/>
              <w:bottom w:val="nil"/>
              <w:right w:val="nil"/>
            </w:tcBorders>
            <w:shd w:val="clear" w:color="auto" w:fill="auto"/>
            <w:noWrap/>
            <w:vAlign w:val="bottom"/>
            <w:hideMark/>
          </w:tcPr>
          <w:p w:rsidR="00F36F29" w:rsidRPr="00522A32" w:rsidRDefault="00F36F29" w:rsidP="00611727">
            <w:pPr>
              <w:pStyle w:val="Tabletext"/>
              <w:spacing w:before="0" w:after="0"/>
              <w:jc w:val="both"/>
              <w:rPr>
                <w:rFonts w:cs="Arial"/>
                <w:szCs w:val="16"/>
                <w:lang w:val="en-US"/>
              </w:rPr>
            </w:pPr>
            <w:r w:rsidRPr="00522A32">
              <w:rPr>
                <w:rFonts w:cs="Arial"/>
                <w:szCs w:val="16"/>
                <w:lang w:val="en-US"/>
              </w:rPr>
              <w:t>Cluster 1</w:t>
            </w:r>
          </w:p>
        </w:tc>
        <w:tc>
          <w:tcPr>
            <w:tcW w:w="1276" w:type="dxa"/>
            <w:tcBorders>
              <w:top w:val="single" w:sz="4" w:space="0" w:color="auto"/>
              <w:left w:val="nil"/>
              <w:bottom w:val="nil"/>
              <w:right w:val="nil"/>
            </w:tcBorders>
            <w:shd w:val="clear" w:color="auto" w:fill="auto"/>
            <w:noWrap/>
            <w:vAlign w:val="bottom"/>
            <w:hideMark/>
          </w:tcPr>
          <w:p w:rsidR="00F36F29" w:rsidRPr="00522A32" w:rsidRDefault="00F36F29" w:rsidP="00611727">
            <w:pPr>
              <w:spacing w:before="0" w:line="240" w:lineRule="auto"/>
              <w:jc w:val="right"/>
              <w:rPr>
                <w:rFonts w:ascii="Arial" w:hAnsi="Arial" w:cs="Arial"/>
                <w:sz w:val="16"/>
                <w:szCs w:val="16"/>
              </w:rPr>
            </w:pPr>
            <w:r w:rsidRPr="00522A32">
              <w:rPr>
                <w:rFonts w:ascii="Arial" w:hAnsi="Arial" w:cs="Arial"/>
                <w:sz w:val="16"/>
                <w:szCs w:val="16"/>
              </w:rPr>
              <w:t>3556</w:t>
            </w:r>
          </w:p>
        </w:tc>
        <w:tc>
          <w:tcPr>
            <w:tcW w:w="1275" w:type="dxa"/>
            <w:tcBorders>
              <w:top w:val="single" w:sz="4" w:space="0" w:color="auto"/>
              <w:left w:val="nil"/>
              <w:bottom w:val="nil"/>
              <w:right w:val="nil"/>
            </w:tcBorders>
            <w:shd w:val="clear" w:color="auto" w:fill="auto"/>
            <w:noWrap/>
            <w:vAlign w:val="bottom"/>
            <w:hideMark/>
          </w:tcPr>
          <w:p w:rsidR="00F36F29" w:rsidRPr="00522A32" w:rsidRDefault="00F36F29" w:rsidP="00611727">
            <w:pPr>
              <w:spacing w:before="0" w:line="240" w:lineRule="auto"/>
              <w:jc w:val="right"/>
              <w:rPr>
                <w:rFonts w:ascii="Arial" w:hAnsi="Arial" w:cs="Arial"/>
                <w:sz w:val="16"/>
                <w:szCs w:val="16"/>
              </w:rPr>
            </w:pPr>
            <w:r w:rsidRPr="00522A32">
              <w:rPr>
                <w:rFonts w:ascii="Arial" w:hAnsi="Arial" w:cs="Arial"/>
                <w:sz w:val="16"/>
                <w:szCs w:val="16"/>
              </w:rPr>
              <w:t>21%</w:t>
            </w:r>
          </w:p>
        </w:tc>
        <w:tc>
          <w:tcPr>
            <w:tcW w:w="1276" w:type="dxa"/>
            <w:tcBorders>
              <w:top w:val="single" w:sz="4" w:space="0" w:color="auto"/>
              <w:left w:val="nil"/>
              <w:bottom w:val="nil"/>
              <w:right w:val="nil"/>
            </w:tcBorders>
            <w:vAlign w:val="bottom"/>
          </w:tcPr>
          <w:p w:rsidR="00F36F29" w:rsidRPr="00522A32" w:rsidRDefault="00F36F29" w:rsidP="00611727">
            <w:pPr>
              <w:spacing w:before="0" w:line="240" w:lineRule="auto"/>
              <w:jc w:val="right"/>
              <w:rPr>
                <w:rFonts w:ascii="Arial" w:hAnsi="Arial" w:cs="Arial"/>
                <w:sz w:val="16"/>
                <w:szCs w:val="16"/>
              </w:rPr>
            </w:pPr>
            <w:r w:rsidRPr="00522A32">
              <w:rPr>
                <w:rFonts w:ascii="Arial" w:hAnsi="Arial" w:cs="Arial"/>
                <w:sz w:val="16"/>
                <w:szCs w:val="16"/>
              </w:rPr>
              <w:t>612</w:t>
            </w:r>
          </w:p>
        </w:tc>
        <w:tc>
          <w:tcPr>
            <w:tcW w:w="1843" w:type="dxa"/>
            <w:tcBorders>
              <w:top w:val="single" w:sz="4" w:space="0" w:color="auto"/>
              <w:left w:val="nil"/>
              <w:bottom w:val="nil"/>
              <w:right w:val="nil"/>
            </w:tcBorders>
            <w:vAlign w:val="bottom"/>
          </w:tcPr>
          <w:p w:rsidR="00F36F29" w:rsidRPr="00522A32" w:rsidRDefault="00F36F29" w:rsidP="00611727">
            <w:pPr>
              <w:spacing w:before="0" w:line="240" w:lineRule="auto"/>
              <w:jc w:val="right"/>
              <w:rPr>
                <w:rFonts w:ascii="Arial" w:hAnsi="Arial" w:cs="Arial"/>
                <w:sz w:val="16"/>
                <w:szCs w:val="16"/>
              </w:rPr>
            </w:pPr>
            <w:r w:rsidRPr="00522A32">
              <w:rPr>
                <w:rFonts w:ascii="Arial" w:hAnsi="Arial" w:cs="Arial"/>
                <w:sz w:val="16"/>
                <w:szCs w:val="16"/>
              </w:rPr>
              <w:t>17.2%</w:t>
            </w:r>
          </w:p>
        </w:tc>
      </w:tr>
      <w:tr w:rsidR="00F36F29" w:rsidRPr="00522A32" w:rsidTr="00611727">
        <w:trPr>
          <w:trHeight w:val="300"/>
        </w:trPr>
        <w:tc>
          <w:tcPr>
            <w:tcW w:w="1985" w:type="dxa"/>
            <w:tcBorders>
              <w:top w:val="nil"/>
              <w:left w:val="nil"/>
              <w:bottom w:val="nil"/>
              <w:right w:val="nil"/>
            </w:tcBorders>
            <w:shd w:val="clear" w:color="auto" w:fill="auto"/>
            <w:noWrap/>
            <w:vAlign w:val="bottom"/>
            <w:hideMark/>
          </w:tcPr>
          <w:p w:rsidR="00F36F29" w:rsidRPr="00522A32" w:rsidRDefault="00F36F29" w:rsidP="00611727">
            <w:pPr>
              <w:pStyle w:val="Tabletext"/>
              <w:spacing w:before="0" w:after="0"/>
              <w:jc w:val="both"/>
              <w:rPr>
                <w:rFonts w:cs="Arial"/>
                <w:szCs w:val="16"/>
                <w:lang w:val="en-US"/>
              </w:rPr>
            </w:pPr>
            <w:r w:rsidRPr="00522A32">
              <w:rPr>
                <w:rFonts w:cs="Arial"/>
                <w:szCs w:val="16"/>
                <w:lang w:val="en-US"/>
              </w:rPr>
              <w:t>Cluster 2</w:t>
            </w:r>
          </w:p>
        </w:tc>
        <w:tc>
          <w:tcPr>
            <w:tcW w:w="1276" w:type="dxa"/>
            <w:tcBorders>
              <w:top w:val="nil"/>
              <w:left w:val="nil"/>
              <w:bottom w:val="nil"/>
              <w:right w:val="nil"/>
            </w:tcBorders>
            <w:shd w:val="clear" w:color="auto" w:fill="auto"/>
            <w:noWrap/>
            <w:vAlign w:val="bottom"/>
            <w:hideMark/>
          </w:tcPr>
          <w:p w:rsidR="00F36F29" w:rsidRPr="00522A32" w:rsidRDefault="00F36F29" w:rsidP="00611727">
            <w:pPr>
              <w:spacing w:before="0" w:line="240" w:lineRule="auto"/>
              <w:jc w:val="right"/>
              <w:rPr>
                <w:rFonts w:ascii="Arial" w:hAnsi="Arial" w:cs="Arial"/>
                <w:sz w:val="16"/>
                <w:szCs w:val="16"/>
              </w:rPr>
            </w:pPr>
            <w:r w:rsidRPr="00522A32">
              <w:rPr>
                <w:rFonts w:ascii="Arial" w:hAnsi="Arial" w:cs="Arial"/>
                <w:sz w:val="16"/>
                <w:szCs w:val="16"/>
              </w:rPr>
              <w:t>4288</w:t>
            </w:r>
          </w:p>
        </w:tc>
        <w:tc>
          <w:tcPr>
            <w:tcW w:w="1275" w:type="dxa"/>
            <w:tcBorders>
              <w:top w:val="nil"/>
              <w:left w:val="nil"/>
              <w:bottom w:val="nil"/>
              <w:right w:val="nil"/>
            </w:tcBorders>
            <w:shd w:val="clear" w:color="auto" w:fill="auto"/>
            <w:noWrap/>
            <w:vAlign w:val="bottom"/>
            <w:hideMark/>
          </w:tcPr>
          <w:p w:rsidR="00F36F29" w:rsidRPr="00522A32" w:rsidRDefault="00F36F29" w:rsidP="00611727">
            <w:pPr>
              <w:spacing w:before="0" w:line="240" w:lineRule="auto"/>
              <w:jc w:val="right"/>
              <w:rPr>
                <w:rFonts w:ascii="Arial" w:hAnsi="Arial" w:cs="Arial"/>
                <w:sz w:val="16"/>
                <w:szCs w:val="16"/>
              </w:rPr>
            </w:pPr>
            <w:r w:rsidRPr="00522A32">
              <w:rPr>
                <w:rFonts w:ascii="Arial" w:hAnsi="Arial" w:cs="Arial"/>
                <w:sz w:val="16"/>
                <w:szCs w:val="16"/>
              </w:rPr>
              <w:t>25%</w:t>
            </w:r>
          </w:p>
        </w:tc>
        <w:tc>
          <w:tcPr>
            <w:tcW w:w="1276" w:type="dxa"/>
            <w:tcBorders>
              <w:top w:val="nil"/>
              <w:left w:val="nil"/>
              <w:bottom w:val="nil"/>
              <w:right w:val="nil"/>
            </w:tcBorders>
            <w:vAlign w:val="bottom"/>
          </w:tcPr>
          <w:p w:rsidR="00F36F29" w:rsidRPr="00522A32" w:rsidRDefault="00F36F29" w:rsidP="00611727">
            <w:pPr>
              <w:spacing w:before="0" w:line="240" w:lineRule="auto"/>
              <w:jc w:val="right"/>
              <w:rPr>
                <w:rFonts w:ascii="Arial" w:hAnsi="Arial" w:cs="Arial"/>
                <w:sz w:val="16"/>
                <w:szCs w:val="16"/>
              </w:rPr>
            </w:pPr>
            <w:r w:rsidRPr="00522A32">
              <w:rPr>
                <w:rFonts w:ascii="Arial" w:hAnsi="Arial" w:cs="Arial"/>
                <w:sz w:val="16"/>
                <w:szCs w:val="16"/>
              </w:rPr>
              <w:t>466</w:t>
            </w:r>
          </w:p>
        </w:tc>
        <w:tc>
          <w:tcPr>
            <w:tcW w:w="1843" w:type="dxa"/>
            <w:tcBorders>
              <w:top w:val="nil"/>
              <w:left w:val="nil"/>
              <w:bottom w:val="nil"/>
              <w:right w:val="nil"/>
            </w:tcBorders>
            <w:vAlign w:val="bottom"/>
          </w:tcPr>
          <w:p w:rsidR="00F36F29" w:rsidRPr="00522A32" w:rsidRDefault="00F36F29" w:rsidP="00611727">
            <w:pPr>
              <w:spacing w:before="0" w:line="240" w:lineRule="auto"/>
              <w:jc w:val="right"/>
              <w:rPr>
                <w:rFonts w:ascii="Arial" w:hAnsi="Arial" w:cs="Arial"/>
                <w:sz w:val="16"/>
                <w:szCs w:val="16"/>
              </w:rPr>
            </w:pPr>
            <w:r w:rsidRPr="00522A32">
              <w:rPr>
                <w:rFonts w:ascii="Arial" w:hAnsi="Arial" w:cs="Arial"/>
                <w:sz w:val="16"/>
                <w:szCs w:val="16"/>
              </w:rPr>
              <w:t>10.9%</w:t>
            </w:r>
          </w:p>
        </w:tc>
      </w:tr>
      <w:tr w:rsidR="00F36F29" w:rsidRPr="00522A32" w:rsidTr="00611727">
        <w:trPr>
          <w:trHeight w:val="300"/>
        </w:trPr>
        <w:tc>
          <w:tcPr>
            <w:tcW w:w="1985" w:type="dxa"/>
            <w:tcBorders>
              <w:top w:val="nil"/>
              <w:left w:val="nil"/>
              <w:bottom w:val="nil"/>
              <w:right w:val="nil"/>
            </w:tcBorders>
            <w:shd w:val="clear" w:color="auto" w:fill="auto"/>
            <w:noWrap/>
            <w:vAlign w:val="bottom"/>
            <w:hideMark/>
          </w:tcPr>
          <w:p w:rsidR="00F36F29" w:rsidRPr="00522A32" w:rsidRDefault="00F36F29" w:rsidP="00611727">
            <w:pPr>
              <w:pStyle w:val="Tabletext"/>
              <w:spacing w:before="0" w:after="0"/>
              <w:jc w:val="both"/>
              <w:rPr>
                <w:rFonts w:cs="Arial"/>
                <w:szCs w:val="16"/>
                <w:lang w:val="en-US"/>
              </w:rPr>
            </w:pPr>
            <w:r w:rsidRPr="00522A32">
              <w:rPr>
                <w:rFonts w:cs="Arial"/>
                <w:szCs w:val="16"/>
                <w:lang w:val="en-US"/>
              </w:rPr>
              <w:t>Cluster 3</w:t>
            </w:r>
          </w:p>
        </w:tc>
        <w:tc>
          <w:tcPr>
            <w:tcW w:w="1276" w:type="dxa"/>
            <w:tcBorders>
              <w:top w:val="nil"/>
              <w:left w:val="nil"/>
              <w:bottom w:val="nil"/>
              <w:right w:val="nil"/>
            </w:tcBorders>
            <w:shd w:val="clear" w:color="auto" w:fill="auto"/>
            <w:noWrap/>
            <w:vAlign w:val="bottom"/>
            <w:hideMark/>
          </w:tcPr>
          <w:p w:rsidR="00F36F29" w:rsidRPr="00522A32" w:rsidRDefault="00F36F29" w:rsidP="00611727">
            <w:pPr>
              <w:spacing w:before="0" w:line="240" w:lineRule="auto"/>
              <w:jc w:val="right"/>
              <w:rPr>
                <w:rFonts w:ascii="Arial" w:hAnsi="Arial" w:cs="Arial"/>
                <w:sz w:val="16"/>
                <w:szCs w:val="16"/>
              </w:rPr>
            </w:pPr>
            <w:r w:rsidRPr="00522A32">
              <w:rPr>
                <w:rFonts w:ascii="Arial" w:hAnsi="Arial" w:cs="Arial"/>
                <w:sz w:val="16"/>
                <w:szCs w:val="16"/>
              </w:rPr>
              <w:t>9050</w:t>
            </w:r>
          </w:p>
        </w:tc>
        <w:tc>
          <w:tcPr>
            <w:tcW w:w="1275" w:type="dxa"/>
            <w:tcBorders>
              <w:top w:val="nil"/>
              <w:left w:val="nil"/>
              <w:bottom w:val="nil"/>
              <w:right w:val="nil"/>
            </w:tcBorders>
            <w:shd w:val="clear" w:color="auto" w:fill="auto"/>
            <w:noWrap/>
            <w:vAlign w:val="bottom"/>
            <w:hideMark/>
          </w:tcPr>
          <w:p w:rsidR="00F36F29" w:rsidRPr="00522A32" w:rsidRDefault="00F36F29" w:rsidP="00611727">
            <w:pPr>
              <w:spacing w:before="0" w:line="240" w:lineRule="auto"/>
              <w:jc w:val="right"/>
              <w:rPr>
                <w:rFonts w:ascii="Arial" w:hAnsi="Arial" w:cs="Arial"/>
                <w:sz w:val="16"/>
                <w:szCs w:val="16"/>
              </w:rPr>
            </w:pPr>
            <w:r w:rsidRPr="00522A32">
              <w:rPr>
                <w:rFonts w:ascii="Arial" w:hAnsi="Arial" w:cs="Arial"/>
                <w:sz w:val="16"/>
                <w:szCs w:val="16"/>
              </w:rPr>
              <w:t>54%</w:t>
            </w:r>
          </w:p>
        </w:tc>
        <w:tc>
          <w:tcPr>
            <w:tcW w:w="1276" w:type="dxa"/>
            <w:tcBorders>
              <w:top w:val="nil"/>
              <w:left w:val="nil"/>
              <w:bottom w:val="nil"/>
              <w:right w:val="nil"/>
            </w:tcBorders>
            <w:vAlign w:val="bottom"/>
          </w:tcPr>
          <w:p w:rsidR="00F36F29" w:rsidRPr="00522A32" w:rsidRDefault="00F36F29" w:rsidP="00611727">
            <w:pPr>
              <w:spacing w:before="0" w:line="240" w:lineRule="auto"/>
              <w:jc w:val="right"/>
              <w:rPr>
                <w:rFonts w:ascii="Arial" w:hAnsi="Arial" w:cs="Arial"/>
                <w:sz w:val="16"/>
                <w:szCs w:val="16"/>
              </w:rPr>
            </w:pPr>
            <w:r w:rsidRPr="00522A32">
              <w:rPr>
                <w:rFonts w:ascii="Arial" w:hAnsi="Arial" w:cs="Arial"/>
                <w:sz w:val="16"/>
                <w:szCs w:val="16"/>
              </w:rPr>
              <w:t>300</w:t>
            </w:r>
          </w:p>
        </w:tc>
        <w:tc>
          <w:tcPr>
            <w:tcW w:w="1843" w:type="dxa"/>
            <w:tcBorders>
              <w:top w:val="nil"/>
              <w:left w:val="nil"/>
              <w:bottom w:val="nil"/>
              <w:right w:val="nil"/>
            </w:tcBorders>
            <w:vAlign w:val="bottom"/>
          </w:tcPr>
          <w:p w:rsidR="00F36F29" w:rsidRPr="00522A32" w:rsidRDefault="00F36F29" w:rsidP="00611727">
            <w:pPr>
              <w:spacing w:before="0" w:line="240" w:lineRule="auto"/>
              <w:jc w:val="right"/>
              <w:rPr>
                <w:rFonts w:ascii="Arial" w:hAnsi="Arial" w:cs="Arial"/>
                <w:sz w:val="16"/>
                <w:szCs w:val="16"/>
              </w:rPr>
            </w:pPr>
            <w:r w:rsidRPr="00522A32">
              <w:rPr>
                <w:rFonts w:ascii="Arial" w:hAnsi="Arial" w:cs="Arial"/>
                <w:sz w:val="16"/>
                <w:szCs w:val="16"/>
              </w:rPr>
              <w:t>3.3%</w:t>
            </w:r>
          </w:p>
        </w:tc>
      </w:tr>
      <w:tr w:rsidR="00F36F29" w:rsidRPr="00522A32" w:rsidTr="00611727">
        <w:trPr>
          <w:trHeight w:val="300"/>
        </w:trPr>
        <w:tc>
          <w:tcPr>
            <w:tcW w:w="1985" w:type="dxa"/>
            <w:tcBorders>
              <w:top w:val="nil"/>
              <w:left w:val="nil"/>
              <w:bottom w:val="single" w:sz="4" w:space="0" w:color="auto"/>
              <w:right w:val="nil"/>
            </w:tcBorders>
            <w:shd w:val="clear" w:color="auto" w:fill="auto"/>
            <w:noWrap/>
            <w:vAlign w:val="bottom"/>
            <w:hideMark/>
          </w:tcPr>
          <w:p w:rsidR="00F36F29" w:rsidRPr="00522A32" w:rsidRDefault="00F36F29" w:rsidP="00611727">
            <w:pPr>
              <w:pStyle w:val="Tabletext"/>
              <w:spacing w:before="0" w:after="0"/>
              <w:jc w:val="both"/>
              <w:rPr>
                <w:rFonts w:cs="Arial"/>
                <w:szCs w:val="16"/>
                <w:lang w:val="en-US"/>
              </w:rPr>
            </w:pPr>
            <w:r w:rsidRPr="00522A32">
              <w:rPr>
                <w:rFonts w:cs="Arial"/>
                <w:szCs w:val="16"/>
                <w:lang w:val="en-US"/>
              </w:rPr>
              <w:t>Total</w:t>
            </w:r>
          </w:p>
        </w:tc>
        <w:tc>
          <w:tcPr>
            <w:tcW w:w="1276" w:type="dxa"/>
            <w:tcBorders>
              <w:top w:val="nil"/>
              <w:left w:val="nil"/>
              <w:bottom w:val="single" w:sz="4" w:space="0" w:color="auto"/>
              <w:right w:val="nil"/>
            </w:tcBorders>
            <w:shd w:val="clear" w:color="auto" w:fill="auto"/>
            <w:noWrap/>
            <w:vAlign w:val="bottom"/>
            <w:hideMark/>
          </w:tcPr>
          <w:p w:rsidR="00F36F29" w:rsidRPr="00522A32" w:rsidRDefault="00F36F29" w:rsidP="00611727">
            <w:pPr>
              <w:pStyle w:val="Tabletext"/>
              <w:spacing w:before="0" w:after="0"/>
              <w:jc w:val="right"/>
              <w:rPr>
                <w:rFonts w:cs="Arial"/>
                <w:szCs w:val="16"/>
                <w:lang w:val="en-US"/>
              </w:rPr>
            </w:pPr>
          </w:p>
        </w:tc>
        <w:tc>
          <w:tcPr>
            <w:tcW w:w="1275" w:type="dxa"/>
            <w:tcBorders>
              <w:top w:val="nil"/>
              <w:left w:val="nil"/>
              <w:bottom w:val="single" w:sz="4" w:space="0" w:color="auto"/>
              <w:right w:val="nil"/>
            </w:tcBorders>
            <w:shd w:val="clear" w:color="auto" w:fill="auto"/>
            <w:noWrap/>
            <w:vAlign w:val="bottom"/>
            <w:hideMark/>
          </w:tcPr>
          <w:p w:rsidR="00F36F29" w:rsidRPr="00522A32" w:rsidRDefault="00F36F29" w:rsidP="00611727">
            <w:pPr>
              <w:pStyle w:val="Tabletext"/>
              <w:spacing w:before="0" w:after="0"/>
              <w:jc w:val="right"/>
              <w:rPr>
                <w:rFonts w:cs="Arial"/>
                <w:szCs w:val="16"/>
                <w:lang w:val="en-US"/>
              </w:rPr>
            </w:pPr>
            <w:r w:rsidRPr="00522A32">
              <w:rPr>
                <w:rFonts w:cs="Arial"/>
                <w:szCs w:val="16"/>
                <w:lang w:val="en-US"/>
              </w:rPr>
              <w:t>100.0%</w:t>
            </w:r>
          </w:p>
        </w:tc>
        <w:tc>
          <w:tcPr>
            <w:tcW w:w="1276" w:type="dxa"/>
            <w:tcBorders>
              <w:top w:val="nil"/>
              <w:left w:val="nil"/>
              <w:bottom w:val="single" w:sz="4" w:space="0" w:color="auto"/>
              <w:right w:val="nil"/>
            </w:tcBorders>
            <w:vAlign w:val="bottom"/>
          </w:tcPr>
          <w:p w:rsidR="00F36F29" w:rsidRPr="00522A32" w:rsidRDefault="00F36F29" w:rsidP="00611727">
            <w:pPr>
              <w:pStyle w:val="Tabletext"/>
              <w:spacing w:before="0" w:after="0"/>
              <w:jc w:val="right"/>
              <w:rPr>
                <w:rFonts w:cs="Arial"/>
                <w:szCs w:val="16"/>
                <w:lang w:val="en-US"/>
              </w:rPr>
            </w:pPr>
          </w:p>
        </w:tc>
        <w:tc>
          <w:tcPr>
            <w:tcW w:w="1843" w:type="dxa"/>
            <w:tcBorders>
              <w:top w:val="nil"/>
              <w:left w:val="nil"/>
              <w:bottom w:val="single" w:sz="4" w:space="0" w:color="auto"/>
              <w:right w:val="nil"/>
            </w:tcBorders>
            <w:vAlign w:val="bottom"/>
          </w:tcPr>
          <w:p w:rsidR="00F36F29" w:rsidRPr="00522A32" w:rsidRDefault="00F36F29" w:rsidP="00611727">
            <w:pPr>
              <w:pStyle w:val="Tabletext"/>
              <w:spacing w:before="0" w:after="0"/>
              <w:jc w:val="right"/>
              <w:rPr>
                <w:rFonts w:cs="Arial"/>
                <w:szCs w:val="16"/>
              </w:rPr>
            </w:pPr>
            <w:r w:rsidRPr="00522A32">
              <w:rPr>
                <w:rFonts w:cs="Arial"/>
                <w:szCs w:val="16"/>
              </w:rPr>
              <w:t>7.4%</w:t>
            </w:r>
          </w:p>
        </w:tc>
      </w:tr>
    </w:tbl>
    <w:p w:rsidR="00F36F29" w:rsidRDefault="00F36F29" w:rsidP="00F36F29">
      <w:pPr>
        <w:pStyle w:val="Source"/>
      </w:pPr>
      <w:r>
        <w:t>Source: DEEWR (2010) Higher Education Statistics Collection. Unpublished data</w:t>
      </w:r>
    </w:p>
    <w:p w:rsidR="00F36F29" w:rsidRDefault="00F36F29" w:rsidP="00F36F29">
      <w:pPr>
        <w:pStyle w:val="Source"/>
      </w:pPr>
      <w:r>
        <w:t xml:space="preserve">Notes: Due to the coding of some students in combined programs to two fields of education, the totals can be higher than the total number of students..  </w:t>
      </w:r>
    </w:p>
    <w:p w:rsidR="00225653" w:rsidRDefault="00225653" w:rsidP="00225653">
      <w:pPr>
        <w:pStyle w:val="Heading2"/>
      </w:pPr>
      <w:bookmarkStart w:id="106" w:name="_Toc358384129"/>
      <w:bookmarkStart w:id="107" w:name="_Toc370995892"/>
      <w:r>
        <w:t>Differences between sub-fields</w:t>
      </w:r>
      <w:bookmarkEnd w:id="106"/>
      <w:bookmarkEnd w:id="107"/>
    </w:p>
    <w:p w:rsidR="00225653" w:rsidRDefault="00225653" w:rsidP="00225653">
      <w:pPr>
        <w:pStyle w:val="Text"/>
      </w:pPr>
      <w:r>
        <w:t xml:space="preserve">To assess the extent to which the observed differences between universities in rates of admission of VET award-holders might be the product of discipline-mix, rather than institutional policies and practices, we examine the differences in rates of admission of VET award-holders to universities within sub-fields. </w:t>
      </w:r>
      <w:r w:rsidRPr="00ED389E">
        <w:t xml:space="preserve">The distribution of VET award-holders and all undergraduates across the all sub-fields of Engineering is shown in </w:t>
      </w:r>
      <w:r w:rsidR="00B45EBA">
        <w:t>Table 1</w:t>
      </w:r>
      <w:r w:rsidR="009A7713">
        <w:t>8</w:t>
      </w:r>
      <w:r w:rsidRPr="00ED389E">
        <w:t>.</w:t>
      </w:r>
    </w:p>
    <w:p w:rsidR="005F3AC0" w:rsidRDefault="005F3AC0">
      <w:pPr>
        <w:spacing w:before="0" w:line="240" w:lineRule="auto"/>
        <w:rPr>
          <w:rFonts w:ascii="Tahoma" w:hAnsi="Tahoma"/>
          <w:b/>
          <w:sz w:val="17"/>
        </w:rPr>
      </w:pPr>
      <w:bookmarkStart w:id="108" w:name="_Toc350786324"/>
      <w:r>
        <w:br w:type="page"/>
      </w:r>
    </w:p>
    <w:p w:rsidR="00225653" w:rsidRDefault="00B45EBA" w:rsidP="00225653">
      <w:pPr>
        <w:pStyle w:val="tabletitle"/>
      </w:pPr>
      <w:bookmarkStart w:id="109" w:name="_Toc370995927"/>
      <w:r>
        <w:lastRenderedPageBreak/>
        <w:t>Table 1</w:t>
      </w:r>
      <w:r w:rsidR="006A154F">
        <w:t>8</w:t>
      </w:r>
      <w:r w:rsidR="00225653">
        <w:tab/>
        <w:t xml:space="preserve">VET award-holders and all undergraduate commencements in Engineering and Related Technologies </w:t>
      </w:r>
      <w:r w:rsidR="00225653">
        <w:rPr>
          <w:szCs w:val="22"/>
        </w:rPr>
        <w:t>(FOE 03)</w:t>
      </w:r>
      <w:r w:rsidR="00225653">
        <w:t>, Australia 2010</w:t>
      </w:r>
      <w:bookmarkEnd w:id="108"/>
      <w:bookmarkEnd w:id="109"/>
    </w:p>
    <w:tbl>
      <w:tblPr>
        <w:tblW w:w="8896" w:type="dxa"/>
        <w:tblInd w:w="108" w:type="dxa"/>
        <w:tblLayout w:type="fixed"/>
        <w:tblLook w:val="04A0"/>
      </w:tblPr>
      <w:tblGrid>
        <w:gridCol w:w="4253"/>
        <w:gridCol w:w="992"/>
        <w:gridCol w:w="709"/>
        <w:gridCol w:w="992"/>
        <w:gridCol w:w="851"/>
        <w:gridCol w:w="1099"/>
      </w:tblGrid>
      <w:tr w:rsidR="00225653" w:rsidRPr="00CE24D5" w:rsidTr="00AB725E">
        <w:trPr>
          <w:trHeight w:val="300"/>
        </w:trPr>
        <w:tc>
          <w:tcPr>
            <w:tcW w:w="4253" w:type="dxa"/>
            <w:tcBorders>
              <w:top w:val="single" w:sz="4" w:space="0" w:color="auto"/>
              <w:left w:val="nil"/>
              <w:bottom w:val="nil"/>
              <w:right w:val="nil"/>
            </w:tcBorders>
            <w:shd w:val="clear" w:color="auto" w:fill="auto"/>
            <w:noWrap/>
            <w:vAlign w:val="bottom"/>
            <w:hideMark/>
          </w:tcPr>
          <w:p w:rsidR="00225653" w:rsidRPr="00CE24D5" w:rsidRDefault="00225653" w:rsidP="00AB725E">
            <w:pPr>
              <w:pStyle w:val="Tablehead1"/>
              <w:jc w:val="center"/>
              <w:rPr>
                <w:bCs/>
                <w:color w:val="000000"/>
                <w:lang w:val="en-US"/>
              </w:rPr>
            </w:pPr>
          </w:p>
        </w:tc>
        <w:tc>
          <w:tcPr>
            <w:tcW w:w="1701" w:type="dxa"/>
            <w:gridSpan w:val="2"/>
            <w:tcBorders>
              <w:top w:val="single" w:sz="4" w:space="0" w:color="auto"/>
              <w:left w:val="nil"/>
              <w:bottom w:val="nil"/>
              <w:right w:val="nil"/>
            </w:tcBorders>
            <w:shd w:val="clear" w:color="auto" w:fill="auto"/>
            <w:noWrap/>
            <w:vAlign w:val="bottom"/>
            <w:hideMark/>
          </w:tcPr>
          <w:p w:rsidR="00225653" w:rsidRPr="00CE24D5" w:rsidRDefault="00225653" w:rsidP="00AB725E">
            <w:pPr>
              <w:pStyle w:val="Tablehead1"/>
              <w:jc w:val="center"/>
              <w:rPr>
                <w:rFonts w:cs="Arial"/>
                <w:bCs/>
                <w:color w:val="000000"/>
                <w:szCs w:val="17"/>
                <w:lang w:val="en-US"/>
              </w:rPr>
            </w:pPr>
            <w:r w:rsidRPr="00CE24D5">
              <w:rPr>
                <w:rFonts w:cs="Arial"/>
                <w:bCs/>
                <w:color w:val="000000"/>
                <w:szCs w:val="17"/>
                <w:lang w:val="en-US"/>
              </w:rPr>
              <w:t xml:space="preserve">VET </w:t>
            </w:r>
            <w:r>
              <w:rPr>
                <w:rFonts w:cs="Arial"/>
                <w:bCs/>
                <w:color w:val="000000"/>
                <w:szCs w:val="17"/>
                <w:lang w:val="en-US"/>
              </w:rPr>
              <w:t>award-holders</w:t>
            </w:r>
          </w:p>
        </w:tc>
        <w:tc>
          <w:tcPr>
            <w:tcW w:w="1843" w:type="dxa"/>
            <w:gridSpan w:val="2"/>
            <w:tcBorders>
              <w:top w:val="single" w:sz="4" w:space="0" w:color="auto"/>
              <w:left w:val="nil"/>
              <w:bottom w:val="nil"/>
              <w:right w:val="nil"/>
            </w:tcBorders>
            <w:vAlign w:val="bottom"/>
          </w:tcPr>
          <w:p w:rsidR="00225653" w:rsidRPr="00CE24D5" w:rsidRDefault="00225653" w:rsidP="00AB725E">
            <w:pPr>
              <w:pStyle w:val="Tablehead1"/>
              <w:jc w:val="center"/>
              <w:rPr>
                <w:rFonts w:cs="Arial"/>
                <w:bCs/>
                <w:color w:val="000000"/>
                <w:szCs w:val="17"/>
                <w:lang w:val="en-US"/>
              </w:rPr>
            </w:pPr>
            <w:r w:rsidRPr="00CE24D5">
              <w:rPr>
                <w:rFonts w:cs="Arial"/>
                <w:bCs/>
                <w:color w:val="000000"/>
                <w:szCs w:val="17"/>
                <w:lang w:val="en-US"/>
              </w:rPr>
              <w:t>All undergraduate commencements</w:t>
            </w:r>
          </w:p>
        </w:tc>
        <w:tc>
          <w:tcPr>
            <w:tcW w:w="1099" w:type="dxa"/>
            <w:vMerge w:val="restart"/>
            <w:tcBorders>
              <w:top w:val="single" w:sz="4" w:space="0" w:color="auto"/>
              <w:left w:val="nil"/>
              <w:right w:val="nil"/>
            </w:tcBorders>
            <w:vAlign w:val="bottom"/>
          </w:tcPr>
          <w:p w:rsidR="00225653" w:rsidRPr="00CE24D5" w:rsidRDefault="00225653" w:rsidP="00AB725E">
            <w:pPr>
              <w:pStyle w:val="Tablehead1"/>
              <w:jc w:val="center"/>
              <w:rPr>
                <w:rFonts w:cs="Arial"/>
                <w:bCs/>
                <w:color w:val="000000"/>
                <w:szCs w:val="17"/>
                <w:lang w:val="en-US"/>
              </w:rPr>
            </w:pPr>
            <w:r w:rsidRPr="00CE24D5">
              <w:rPr>
                <w:rFonts w:cs="Arial"/>
                <w:bCs/>
                <w:color w:val="000000"/>
                <w:szCs w:val="17"/>
                <w:lang w:val="en-US"/>
              </w:rPr>
              <w:t xml:space="preserve">VET </w:t>
            </w:r>
            <w:r>
              <w:rPr>
                <w:rFonts w:cs="Arial"/>
                <w:bCs/>
                <w:color w:val="000000"/>
                <w:szCs w:val="17"/>
                <w:lang w:val="en-US"/>
              </w:rPr>
              <w:t>award-holders/</w:t>
            </w:r>
            <w:r w:rsidRPr="00CE24D5">
              <w:rPr>
                <w:rFonts w:cs="Arial"/>
                <w:bCs/>
                <w:color w:val="000000"/>
                <w:szCs w:val="17"/>
                <w:lang w:val="en-US"/>
              </w:rPr>
              <w:t xml:space="preserve"> U/G commencements</w:t>
            </w:r>
          </w:p>
        </w:tc>
      </w:tr>
      <w:tr w:rsidR="00225653" w:rsidRPr="00322D4B" w:rsidTr="00AB725E">
        <w:trPr>
          <w:trHeight w:val="300"/>
        </w:trPr>
        <w:tc>
          <w:tcPr>
            <w:tcW w:w="4253" w:type="dxa"/>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rPr>
                <w:rFonts w:asciiTheme="majorHAnsi" w:hAnsiTheme="majorHAnsi"/>
                <w:sz w:val="18"/>
                <w:szCs w:val="18"/>
                <w:lang w:val="en-US"/>
              </w:rPr>
            </w:pPr>
            <w:r>
              <w:rPr>
                <w:rFonts w:asciiTheme="majorHAnsi" w:hAnsiTheme="majorHAnsi"/>
                <w:sz w:val="18"/>
                <w:szCs w:val="18"/>
                <w:lang w:val="en-US"/>
              </w:rPr>
              <w:t xml:space="preserve">Narrow Sub-field </w:t>
            </w:r>
          </w:p>
        </w:tc>
        <w:tc>
          <w:tcPr>
            <w:tcW w:w="992" w:type="dxa"/>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Students</w:t>
            </w:r>
          </w:p>
        </w:tc>
        <w:tc>
          <w:tcPr>
            <w:tcW w:w="709" w:type="dxa"/>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jc w:val="center"/>
              <w:rPr>
                <w:rFonts w:asciiTheme="majorHAnsi" w:hAnsiTheme="majorHAnsi"/>
                <w:sz w:val="18"/>
                <w:szCs w:val="18"/>
                <w:lang w:val="en-US"/>
              </w:rPr>
            </w:pPr>
            <w:r w:rsidRPr="00F71B20">
              <w:rPr>
                <w:rFonts w:asciiTheme="majorHAnsi" w:hAnsiTheme="majorHAnsi"/>
                <w:sz w:val="18"/>
                <w:szCs w:val="18"/>
                <w:lang w:val="en-US"/>
              </w:rPr>
              <w:t xml:space="preserve">% </w:t>
            </w:r>
          </w:p>
        </w:tc>
        <w:tc>
          <w:tcPr>
            <w:tcW w:w="992" w:type="dxa"/>
            <w:tcBorders>
              <w:top w:val="nil"/>
              <w:left w:val="nil"/>
              <w:bottom w:val="single" w:sz="4" w:space="0" w:color="auto"/>
              <w:right w:val="nil"/>
            </w:tcBorders>
            <w:vAlign w:val="bottom"/>
          </w:tcPr>
          <w:p w:rsidR="00225653" w:rsidRPr="00F71B20" w:rsidRDefault="00225653" w:rsidP="00AB725E">
            <w:pPr>
              <w:pStyle w:val="Tablehead2"/>
              <w:rPr>
                <w:rFonts w:asciiTheme="majorHAnsi" w:hAnsiTheme="majorHAnsi"/>
                <w:sz w:val="18"/>
                <w:szCs w:val="18"/>
                <w:lang w:val="en-US"/>
              </w:rPr>
            </w:pPr>
            <w:r w:rsidRPr="00F71B20">
              <w:rPr>
                <w:rFonts w:asciiTheme="majorHAnsi" w:hAnsiTheme="majorHAnsi"/>
                <w:sz w:val="18"/>
                <w:szCs w:val="18"/>
                <w:lang w:val="en-US"/>
              </w:rPr>
              <w:t>Students</w:t>
            </w:r>
          </w:p>
        </w:tc>
        <w:tc>
          <w:tcPr>
            <w:tcW w:w="851" w:type="dxa"/>
            <w:tcBorders>
              <w:top w:val="nil"/>
              <w:left w:val="nil"/>
              <w:bottom w:val="single" w:sz="4" w:space="0" w:color="auto"/>
              <w:right w:val="nil"/>
            </w:tcBorders>
            <w:vAlign w:val="bottom"/>
          </w:tcPr>
          <w:p w:rsidR="00225653" w:rsidRPr="00F71B20" w:rsidRDefault="00225653" w:rsidP="00AB725E">
            <w:pPr>
              <w:pStyle w:val="Tablehead2"/>
              <w:jc w:val="center"/>
              <w:rPr>
                <w:rFonts w:asciiTheme="majorHAnsi" w:hAnsiTheme="majorHAnsi"/>
                <w:sz w:val="18"/>
                <w:szCs w:val="18"/>
                <w:lang w:val="en-US"/>
              </w:rPr>
            </w:pPr>
            <w:r w:rsidRPr="00F71B20">
              <w:rPr>
                <w:rFonts w:asciiTheme="majorHAnsi" w:hAnsiTheme="majorHAnsi"/>
                <w:sz w:val="18"/>
                <w:szCs w:val="18"/>
                <w:lang w:val="en-US"/>
              </w:rPr>
              <w:t>% total</w:t>
            </w:r>
          </w:p>
        </w:tc>
        <w:tc>
          <w:tcPr>
            <w:tcW w:w="1099" w:type="dxa"/>
            <w:vMerge/>
            <w:tcBorders>
              <w:left w:val="nil"/>
              <w:bottom w:val="single" w:sz="4" w:space="0" w:color="auto"/>
              <w:right w:val="nil"/>
            </w:tcBorders>
            <w:vAlign w:val="bottom"/>
          </w:tcPr>
          <w:p w:rsidR="00225653" w:rsidRPr="00F71B20" w:rsidRDefault="00225653" w:rsidP="00AB725E">
            <w:pPr>
              <w:pStyle w:val="Tablehead2"/>
              <w:jc w:val="center"/>
              <w:rPr>
                <w:rFonts w:asciiTheme="majorHAnsi" w:hAnsiTheme="majorHAnsi"/>
                <w:sz w:val="18"/>
                <w:szCs w:val="18"/>
                <w:lang w:val="en-US"/>
              </w:rPr>
            </w:pPr>
          </w:p>
        </w:tc>
      </w:tr>
      <w:tr w:rsidR="00225653" w:rsidRPr="00C6045A" w:rsidTr="00AB725E">
        <w:trPr>
          <w:trHeight w:val="300"/>
        </w:trPr>
        <w:tc>
          <w:tcPr>
            <w:tcW w:w="4253" w:type="dxa"/>
            <w:tcBorders>
              <w:top w:val="single" w:sz="4" w:space="0" w:color="auto"/>
              <w:left w:val="nil"/>
              <w:bottom w:val="nil"/>
              <w:right w:val="nil"/>
            </w:tcBorders>
            <w:shd w:val="clear" w:color="auto" w:fill="auto"/>
            <w:noWrap/>
            <w:vAlign w:val="bottom"/>
            <w:hideMark/>
          </w:tcPr>
          <w:p w:rsidR="00225653" w:rsidRDefault="00225653" w:rsidP="00AB725E">
            <w:pPr>
              <w:pStyle w:val="Tabletext"/>
              <w:rPr>
                <w:szCs w:val="16"/>
              </w:rPr>
            </w:pPr>
            <w:r>
              <w:t>0301  Manufacturing Engineering &amp; Technology</w:t>
            </w:r>
          </w:p>
        </w:tc>
        <w:tc>
          <w:tcPr>
            <w:tcW w:w="992" w:type="dxa"/>
            <w:tcBorders>
              <w:top w:val="single" w:sz="4" w:space="0" w:color="auto"/>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51</w:t>
            </w:r>
          </w:p>
        </w:tc>
        <w:tc>
          <w:tcPr>
            <w:tcW w:w="709" w:type="dxa"/>
            <w:tcBorders>
              <w:top w:val="single" w:sz="4" w:space="0" w:color="auto"/>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3.5</w:t>
            </w:r>
          </w:p>
        </w:tc>
        <w:tc>
          <w:tcPr>
            <w:tcW w:w="992" w:type="dxa"/>
            <w:tcBorders>
              <w:top w:val="single" w:sz="4" w:space="0" w:color="auto"/>
              <w:left w:val="nil"/>
              <w:bottom w:val="nil"/>
              <w:right w:val="nil"/>
            </w:tcBorders>
            <w:vAlign w:val="bottom"/>
          </w:tcPr>
          <w:p w:rsidR="00225653" w:rsidRDefault="00225653" w:rsidP="00AB725E">
            <w:pPr>
              <w:pStyle w:val="Tabletext"/>
              <w:jc w:val="right"/>
              <w:rPr>
                <w:szCs w:val="16"/>
              </w:rPr>
            </w:pPr>
            <w:r>
              <w:rPr>
                <w:szCs w:val="16"/>
              </w:rPr>
              <w:t>185</w:t>
            </w:r>
          </w:p>
        </w:tc>
        <w:tc>
          <w:tcPr>
            <w:tcW w:w="851" w:type="dxa"/>
            <w:tcBorders>
              <w:top w:val="single" w:sz="4" w:space="0" w:color="auto"/>
              <w:left w:val="nil"/>
              <w:bottom w:val="nil"/>
              <w:right w:val="nil"/>
            </w:tcBorders>
            <w:vAlign w:val="bottom"/>
          </w:tcPr>
          <w:p w:rsidR="00225653" w:rsidRDefault="00225653" w:rsidP="00AB725E">
            <w:pPr>
              <w:pStyle w:val="Tabletext"/>
              <w:jc w:val="right"/>
              <w:rPr>
                <w:szCs w:val="16"/>
              </w:rPr>
            </w:pPr>
            <w:r>
              <w:rPr>
                <w:szCs w:val="16"/>
              </w:rPr>
              <w:t>0.9%</w:t>
            </w:r>
          </w:p>
        </w:tc>
        <w:tc>
          <w:tcPr>
            <w:tcW w:w="1099" w:type="dxa"/>
            <w:tcBorders>
              <w:top w:val="single" w:sz="4" w:space="0" w:color="auto"/>
              <w:left w:val="nil"/>
              <w:bottom w:val="nil"/>
              <w:right w:val="nil"/>
            </w:tcBorders>
            <w:vAlign w:val="bottom"/>
          </w:tcPr>
          <w:p w:rsidR="00225653" w:rsidRDefault="00225653" w:rsidP="00AB725E">
            <w:pPr>
              <w:pStyle w:val="Tabletext"/>
              <w:jc w:val="right"/>
              <w:rPr>
                <w:szCs w:val="16"/>
              </w:rPr>
            </w:pPr>
            <w:r>
              <w:rPr>
                <w:szCs w:val="16"/>
              </w:rPr>
              <w:t>27.6</w:t>
            </w:r>
          </w:p>
        </w:tc>
      </w:tr>
      <w:tr w:rsidR="00225653" w:rsidRPr="00C6045A" w:rsidTr="00AB725E">
        <w:trPr>
          <w:trHeight w:val="300"/>
        </w:trPr>
        <w:tc>
          <w:tcPr>
            <w:tcW w:w="4253" w:type="dxa"/>
            <w:tcBorders>
              <w:top w:val="nil"/>
              <w:left w:val="nil"/>
              <w:bottom w:val="nil"/>
              <w:right w:val="nil"/>
            </w:tcBorders>
            <w:shd w:val="clear" w:color="auto" w:fill="auto"/>
            <w:noWrap/>
            <w:vAlign w:val="bottom"/>
            <w:hideMark/>
          </w:tcPr>
          <w:p w:rsidR="00225653" w:rsidRDefault="00225653" w:rsidP="00AB725E">
            <w:pPr>
              <w:pStyle w:val="Tabletext"/>
              <w:rPr>
                <w:szCs w:val="16"/>
              </w:rPr>
            </w:pPr>
            <w:r>
              <w:t>0303  Process and Resources Engineering</w:t>
            </w:r>
          </w:p>
        </w:tc>
        <w:tc>
          <w:tcPr>
            <w:tcW w:w="992"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61</w:t>
            </w:r>
          </w:p>
        </w:tc>
        <w:tc>
          <w:tcPr>
            <w:tcW w:w="709"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4.2</w:t>
            </w:r>
          </w:p>
        </w:tc>
        <w:tc>
          <w:tcPr>
            <w:tcW w:w="992" w:type="dxa"/>
            <w:tcBorders>
              <w:top w:val="nil"/>
              <w:left w:val="nil"/>
              <w:bottom w:val="nil"/>
              <w:right w:val="nil"/>
            </w:tcBorders>
            <w:vAlign w:val="bottom"/>
          </w:tcPr>
          <w:p w:rsidR="00225653" w:rsidRDefault="00225653" w:rsidP="00AB725E">
            <w:pPr>
              <w:pStyle w:val="Tabletext"/>
              <w:jc w:val="right"/>
              <w:rPr>
                <w:szCs w:val="16"/>
              </w:rPr>
            </w:pPr>
            <w:r>
              <w:rPr>
                <w:szCs w:val="16"/>
              </w:rPr>
              <w:t>1 713</w:t>
            </w:r>
          </w:p>
        </w:tc>
        <w:tc>
          <w:tcPr>
            <w:tcW w:w="851" w:type="dxa"/>
            <w:tcBorders>
              <w:top w:val="nil"/>
              <w:left w:val="nil"/>
              <w:bottom w:val="nil"/>
              <w:right w:val="nil"/>
            </w:tcBorders>
            <w:vAlign w:val="bottom"/>
          </w:tcPr>
          <w:p w:rsidR="00225653" w:rsidRDefault="00225653" w:rsidP="00AB725E">
            <w:pPr>
              <w:pStyle w:val="Tabletext"/>
              <w:jc w:val="right"/>
              <w:rPr>
                <w:szCs w:val="16"/>
              </w:rPr>
            </w:pPr>
            <w:r>
              <w:rPr>
                <w:szCs w:val="16"/>
              </w:rPr>
              <w:t>8.7%</w:t>
            </w:r>
          </w:p>
        </w:tc>
        <w:tc>
          <w:tcPr>
            <w:tcW w:w="1099" w:type="dxa"/>
            <w:tcBorders>
              <w:top w:val="nil"/>
              <w:left w:val="nil"/>
              <w:bottom w:val="nil"/>
              <w:right w:val="nil"/>
            </w:tcBorders>
            <w:vAlign w:val="bottom"/>
          </w:tcPr>
          <w:p w:rsidR="00225653" w:rsidRDefault="00225653" w:rsidP="00AB725E">
            <w:pPr>
              <w:pStyle w:val="Tabletext"/>
              <w:jc w:val="right"/>
              <w:rPr>
                <w:szCs w:val="16"/>
              </w:rPr>
            </w:pPr>
            <w:r>
              <w:rPr>
                <w:szCs w:val="16"/>
              </w:rPr>
              <w:t>3.6</w:t>
            </w:r>
          </w:p>
        </w:tc>
      </w:tr>
      <w:tr w:rsidR="00225653" w:rsidRPr="0030254B" w:rsidTr="00AB725E">
        <w:trPr>
          <w:trHeight w:val="300"/>
        </w:trPr>
        <w:tc>
          <w:tcPr>
            <w:tcW w:w="4253" w:type="dxa"/>
            <w:tcBorders>
              <w:top w:val="nil"/>
              <w:left w:val="nil"/>
              <w:bottom w:val="nil"/>
              <w:right w:val="nil"/>
            </w:tcBorders>
            <w:shd w:val="clear" w:color="auto" w:fill="auto"/>
            <w:noWrap/>
            <w:vAlign w:val="bottom"/>
            <w:hideMark/>
          </w:tcPr>
          <w:p w:rsidR="00225653" w:rsidRDefault="00225653" w:rsidP="00AB725E">
            <w:pPr>
              <w:pStyle w:val="Tabletext"/>
              <w:rPr>
                <w:szCs w:val="16"/>
              </w:rPr>
            </w:pPr>
            <w:r>
              <w:t>0305  Automotive Engineering &amp; Technology</w:t>
            </w:r>
          </w:p>
        </w:tc>
        <w:tc>
          <w:tcPr>
            <w:tcW w:w="992"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18</w:t>
            </w:r>
          </w:p>
        </w:tc>
        <w:tc>
          <w:tcPr>
            <w:tcW w:w="709"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1.2</w:t>
            </w:r>
          </w:p>
        </w:tc>
        <w:tc>
          <w:tcPr>
            <w:tcW w:w="992" w:type="dxa"/>
            <w:tcBorders>
              <w:top w:val="nil"/>
              <w:left w:val="nil"/>
              <w:bottom w:val="nil"/>
              <w:right w:val="nil"/>
            </w:tcBorders>
            <w:vAlign w:val="bottom"/>
          </w:tcPr>
          <w:p w:rsidR="00225653" w:rsidRDefault="00225653" w:rsidP="00AB725E">
            <w:pPr>
              <w:pStyle w:val="Tabletext"/>
              <w:jc w:val="right"/>
              <w:rPr>
                <w:szCs w:val="16"/>
              </w:rPr>
            </w:pPr>
            <w:r>
              <w:rPr>
                <w:szCs w:val="16"/>
              </w:rPr>
              <w:t>151</w:t>
            </w:r>
          </w:p>
        </w:tc>
        <w:tc>
          <w:tcPr>
            <w:tcW w:w="851" w:type="dxa"/>
            <w:tcBorders>
              <w:top w:val="nil"/>
              <w:left w:val="nil"/>
              <w:bottom w:val="nil"/>
              <w:right w:val="nil"/>
            </w:tcBorders>
            <w:vAlign w:val="bottom"/>
          </w:tcPr>
          <w:p w:rsidR="00225653" w:rsidRDefault="00225653" w:rsidP="00AB725E">
            <w:pPr>
              <w:pStyle w:val="Tabletext"/>
              <w:jc w:val="right"/>
              <w:rPr>
                <w:szCs w:val="16"/>
              </w:rPr>
            </w:pPr>
            <w:r>
              <w:rPr>
                <w:szCs w:val="16"/>
              </w:rPr>
              <w:t>0.8%</w:t>
            </w:r>
          </w:p>
        </w:tc>
        <w:tc>
          <w:tcPr>
            <w:tcW w:w="1099" w:type="dxa"/>
            <w:tcBorders>
              <w:top w:val="nil"/>
              <w:left w:val="nil"/>
              <w:bottom w:val="nil"/>
              <w:right w:val="nil"/>
            </w:tcBorders>
            <w:vAlign w:val="bottom"/>
          </w:tcPr>
          <w:p w:rsidR="00225653" w:rsidRDefault="00225653" w:rsidP="00AB725E">
            <w:pPr>
              <w:pStyle w:val="Tabletext"/>
              <w:jc w:val="right"/>
              <w:rPr>
                <w:szCs w:val="16"/>
              </w:rPr>
            </w:pPr>
            <w:r>
              <w:rPr>
                <w:szCs w:val="16"/>
              </w:rPr>
              <w:t>11.9</w:t>
            </w:r>
          </w:p>
        </w:tc>
      </w:tr>
      <w:tr w:rsidR="00225653" w:rsidRPr="00C6045A" w:rsidTr="00AB725E">
        <w:trPr>
          <w:trHeight w:val="300"/>
        </w:trPr>
        <w:tc>
          <w:tcPr>
            <w:tcW w:w="4253" w:type="dxa"/>
            <w:tcBorders>
              <w:top w:val="nil"/>
              <w:left w:val="nil"/>
              <w:bottom w:val="nil"/>
              <w:right w:val="nil"/>
            </w:tcBorders>
            <w:shd w:val="clear" w:color="auto" w:fill="auto"/>
            <w:noWrap/>
            <w:vAlign w:val="bottom"/>
            <w:hideMark/>
          </w:tcPr>
          <w:p w:rsidR="00225653" w:rsidRDefault="00225653" w:rsidP="00AB725E">
            <w:pPr>
              <w:pStyle w:val="Tabletext"/>
              <w:rPr>
                <w:szCs w:val="16"/>
              </w:rPr>
            </w:pPr>
            <w:r>
              <w:t>0307  Mechanical &amp; Industrial Engineering &amp; Technology</w:t>
            </w:r>
          </w:p>
        </w:tc>
        <w:tc>
          <w:tcPr>
            <w:tcW w:w="992"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182</w:t>
            </w:r>
          </w:p>
        </w:tc>
        <w:tc>
          <w:tcPr>
            <w:tcW w:w="709"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12.4</w:t>
            </w:r>
          </w:p>
        </w:tc>
        <w:tc>
          <w:tcPr>
            <w:tcW w:w="992" w:type="dxa"/>
            <w:tcBorders>
              <w:top w:val="nil"/>
              <w:left w:val="nil"/>
              <w:bottom w:val="nil"/>
              <w:right w:val="nil"/>
            </w:tcBorders>
            <w:vAlign w:val="bottom"/>
          </w:tcPr>
          <w:p w:rsidR="00225653" w:rsidRDefault="00225653" w:rsidP="00AB725E">
            <w:pPr>
              <w:pStyle w:val="Tabletext"/>
              <w:jc w:val="right"/>
              <w:rPr>
                <w:szCs w:val="16"/>
              </w:rPr>
            </w:pPr>
            <w:r>
              <w:rPr>
                <w:szCs w:val="16"/>
              </w:rPr>
              <w:t>2 253</w:t>
            </w:r>
          </w:p>
        </w:tc>
        <w:tc>
          <w:tcPr>
            <w:tcW w:w="851" w:type="dxa"/>
            <w:tcBorders>
              <w:top w:val="nil"/>
              <w:left w:val="nil"/>
              <w:bottom w:val="nil"/>
              <w:right w:val="nil"/>
            </w:tcBorders>
            <w:vAlign w:val="bottom"/>
          </w:tcPr>
          <w:p w:rsidR="00225653" w:rsidRDefault="00225653" w:rsidP="00AB725E">
            <w:pPr>
              <w:pStyle w:val="Tabletext"/>
              <w:jc w:val="right"/>
              <w:rPr>
                <w:szCs w:val="16"/>
              </w:rPr>
            </w:pPr>
            <w:r>
              <w:rPr>
                <w:szCs w:val="16"/>
              </w:rPr>
              <w:t>11.4%</w:t>
            </w:r>
          </w:p>
        </w:tc>
        <w:tc>
          <w:tcPr>
            <w:tcW w:w="1099" w:type="dxa"/>
            <w:tcBorders>
              <w:top w:val="nil"/>
              <w:left w:val="nil"/>
              <w:bottom w:val="nil"/>
              <w:right w:val="nil"/>
            </w:tcBorders>
            <w:vAlign w:val="bottom"/>
          </w:tcPr>
          <w:p w:rsidR="00225653" w:rsidRDefault="00225653" w:rsidP="00AB725E">
            <w:pPr>
              <w:pStyle w:val="Tabletext"/>
              <w:jc w:val="right"/>
              <w:rPr>
                <w:szCs w:val="16"/>
              </w:rPr>
            </w:pPr>
            <w:r>
              <w:rPr>
                <w:szCs w:val="16"/>
              </w:rPr>
              <w:t>8.1</w:t>
            </w:r>
          </w:p>
        </w:tc>
      </w:tr>
      <w:tr w:rsidR="00225653" w:rsidRPr="00C6045A" w:rsidTr="00AB725E">
        <w:trPr>
          <w:trHeight w:val="300"/>
        </w:trPr>
        <w:tc>
          <w:tcPr>
            <w:tcW w:w="4253" w:type="dxa"/>
            <w:tcBorders>
              <w:top w:val="nil"/>
              <w:left w:val="nil"/>
              <w:bottom w:val="nil"/>
              <w:right w:val="nil"/>
            </w:tcBorders>
            <w:shd w:val="clear" w:color="auto" w:fill="auto"/>
            <w:noWrap/>
            <w:vAlign w:val="bottom"/>
            <w:hideMark/>
          </w:tcPr>
          <w:p w:rsidR="00225653" w:rsidRDefault="00225653" w:rsidP="00AB725E">
            <w:pPr>
              <w:pStyle w:val="Tabletext"/>
              <w:rPr>
                <w:szCs w:val="16"/>
              </w:rPr>
            </w:pPr>
            <w:r>
              <w:t>0309  Civil Engineering</w:t>
            </w:r>
          </w:p>
        </w:tc>
        <w:tc>
          <w:tcPr>
            <w:tcW w:w="992"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188</w:t>
            </w:r>
          </w:p>
        </w:tc>
        <w:tc>
          <w:tcPr>
            <w:tcW w:w="709"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12.8</w:t>
            </w:r>
          </w:p>
        </w:tc>
        <w:tc>
          <w:tcPr>
            <w:tcW w:w="992" w:type="dxa"/>
            <w:tcBorders>
              <w:top w:val="nil"/>
              <w:left w:val="nil"/>
              <w:bottom w:val="nil"/>
              <w:right w:val="nil"/>
            </w:tcBorders>
            <w:vAlign w:val="bottom"/>
          </w:tcPr>
          <w:p w:rsidR="00225653" w:rsidRDefault="00225653" w:rsidP="00AB725E">
            <w:pPr>
              <w:pStyle w:val="Tabletext"/>
              <w:jc w:val="right"/>
              <w:rPr>
                <w:szCs w:val="16"/>
              </w:rPr>
            </w:pPr>
            <w:r>
              <w:rPr>
                <w:szCs w:val="16"/>
              </w:rPr>
              <w:t>2 624</w:t>
            </w:r>
          </w:p>
        </w:tc>
        <w:tc>
          <w:tcPr>
            <w:tcW w:w="851" w:type="dxa"/>
            <w:tcBorders>
              <w:top w:val="nil"/>
              <w:left w:val="nil"/>
              <w:bottom w:val="nil"/>
              <w:right w:val="nil"/>
            </w:tcBorders>
            <w:vAlign w:val="bottom"/>
          </w:tcPr>
          <w:p w:rsidR="00225653" w:rsidRDefault="00225653" w:rsidP="00AB725E">
            <w:pPr>
              <w:pStyle w:val="Tabletext"/>
              <w:jc w:val="right"/>
              <w:rPr>
                <w:szCs w:val="16"/>
              </w:rPr>
            </w:pPr>
            <w:r>
              <w:rPr>
                <w:szCs w:val="16"/>
              </w:rPr>
              <w:t>13.3%</w:t>
            </w:r>
          </w:p>
        </w:tc>
        <w:tc>
          <w:tcPr>
            <w:tcW w:w="1099" w:type="dxa"/>
            <w:tcBorders>
              <w:top w:val="nil"/>
              <w:left w:val="nil"/>
              <w:bottom w:val="nil"/>
              <w:right w:val="nil"/>
            </w:tcBorders>
            <w:vAlign w:val="bottom"/>
          </w:tcPr>
          <w:p w:rsidR="00225653" w:rsidRDefault="00225653" w:rsidP="00AB725E">
            <w:pPr>
              <w:pStyle w:val="Tabletext"/>
              <w:jc w:val="right"/>
              <w:rPr>
                <w:szCs w:val="16"/>
              </w:rPr>
            </w:pPr>
            <w:r>
              <w:rPr>
                <w:szCs w:val="16"/>
              </w:rPr>
              <w:t>7.2</w:t>
            </w:r>
          </w:p>
        </w:tc>
      </w:tr>
      <w:tr w:rsidR="00225653" w:rsidRPr="0030254B" w:rsidTr="00AB725E">
        <w:trPr>
          <w:trHeight w:val="300"/>
        </w:trPr>
        <w:tc>
          <w:tcPr>
            <w:tcW w:w="4253" w:type="dxa"/>
            <w:tcBorders>
              <w:top w:val="nil"/>
              <w:left w:val="nil"/>
              <w:bottom w:val="nil"/>
              <w:right w:val="nil"/>
            </w:tcBorders>
            <w:shd w:val="clear" w:color="auto" w:fill="auto"/>
            <w:noWrap/>
            <w:vAlign w:val="bottom"/>
            <w:hideMark/>
          </w:tcPr>
          <w:p w:rsidR="00225653" w:rsidRDefault="00225653" w:rsidP="00AB725E">
            <w:pPr>
              <w:pStyle w:val="Tabletext"/>
              <w:rPr>
                <w:szCs w:val="16"/>
              </w:rPr>
            </w:pPr>
            <w:r>
              <w:t>0311  Geomatic Engineering</w:t>
            </w:r>
          </w:p>
        </w:tc>
        <w:tc>
          <w:tcPr>
            <w:tcW w:w="992" w:type="dxa"/>
            <w:tcBorders>
              <w:top w:val="nil"/>
              <w:left w:val="nil"/>
              <w:bottom w:val="nil"/>
              <w:right w:val="nil"/>
            </w:tcBorders>
            <w:shd w:val="clear" w:color="auto" w:fill="auto"/>
            <w:noWrap/>
            <w:vAlign w:val="bottom"/>
            <w:hideMark/>
          </w:tcPr>
          <w:p w:rsidR="00225653" w:rsidRPr="00C83488" w:rsidRDefault="00225653" w:rsidP="00AB725E">
            <w:pPr>
              <w:pStyle w:val="Tabletext"/>
              <w:jc w:val="right"/>
              <w:rPr>
                <w:iCs/>
                <w:szCs w:val="16"/>
              </w:rPr>
            </w:pPr>
            <w:r w:rsidRPr="00C83488">
              <w:rPr>
                <w:iCs/>
                <w:szCs w:val="16"/>
              </w:rPr>
              <w:t>43</w:t>
            </w:r>
          </w:p>
        </w:tc>
        <w:tc>
          <w:tcPr>
            <w:tcW w:w="709" w:type="dxa"/>
            <w:tcBorders>
              <w:top w:val="nil"/>
              <w:left w:val="nil"/>
              <w:bottom w:val="nil"/>
              <w:right w:val="nil"/>
            </w:tcBorders>
            <w:shd w:val="clear" w:color="auto" w:fill="auto"/>
            <w:noWrap/>
            <w:vAlign w:val="bottom"/>
            <w:hideMark/>
          </w:tcPr>
          <w:p w:rsidR="00225653" w:rsidRPr="00C83488" w:rsidRDefault="00225653" w:rsidP="00AB725E">
            <w:pPr>
              <w:pStyle w:val="Tabletext"/>
              <w:jc w:val="right"/>
              <w:rPr>
                <w:szCs w:val="16"/>
              </w:rPr>
            </w:pPr>
            <w:r w:rsidRPr="00C83488">
              <w:rPr>
                <w:szCs w:val="16"/>
              </w:rPr>
              <w:t>2.9</w:t>
            </w:r>
          </w:p>
        </w:tc>
        <w:tc>
          <w:tcPr>
            <w:tcW w:w="992" w:type="dxa"/>
            <w:tcBorders>
              <w:top w:val="nil"/>
              <w:left w:val="nil"/>
              <w:bottom w:val="nil"/>
              <w:right w:val="nil"/>
            </w:tcBorders>
            <w:vAlign w:val="bottom"/>
          </w:tcPr>
          <w:p w:rsidR="00225653" w:rsidRPr="00C83488" w:rsidRDefault="00225653" w:rsidP="00AB725E">
            <w:pPr>
              <w:pStyle w:val="Tabletext"/>
              <w:jc w:val="right"/>
              <w:rPr>
                <w:iCs/>
                <w:szCs w:val="16"/>
              </w:rPr>
            </w:pPr>
            <w:r w:rsidRPr="00C83488">
              <w:rPr>
                <w:iCs/>
                <w:szCs w:val="16"/>
              </w:rPr>
              <w:t>226</w:t>
            </w:r>
          </w:p>
        </w:tc>
        <w:tc>
          <w:tcPr>
            <w:tcW w:w="851" w:type="dxa"/>
            <w:tcBorders>
              <w:top w:val="nil"/>
              <w:left w:val="nil"/>
              <w:bottom w:val="nil"/>
              <w:right w:val="nil"/>
            </w:tcBorders>
            <w:vAlign w:val="bottom"/>
          </w:tcPr>
          <w:p w:rsidR="00225653" w:rsidRPr="00C83488" w:rsidRDefault="00225653" w:rsidP="00AB725E">
            <w:pPr>
              <w:pStyle w:val="Tabletext"/>
              <w:jc w:val="right"/>
              <w:rPr>
                <w:szCs w:val="16"/>
              </w:rPr>
            </w:pPr>
            <w:r w:rsidRPr="00C83488">
              <w:rPr>
                <w:szCs w:val="16"/>
              </w:rPr>
              <w:t>1.1%</w:t>
            </w:r>
          </w:p>
        </w:tc>
        <w:tc>
          <w:tcPr>
            <w:tcW w:w="1099" w:type="dxa"/>
            <w:tcBorders>
              <w:top w:val="nil"/>
              <w:left w:val="nil"/>
              <w:bottom w:val="nil"/>
              <w:right w:val="nil"/>
            </w:tcBorders>
            <w:vAlign w:val="bottom"/>
          </w:tcPr>
          <w:p w:rsidR="00225653" w:rsidRPr="00C83488" w:rsidRDefault="00225653" w:rsidP="00AB725E">
            <w:pPr>
              <w:pStyle w:val="Tabletext"/>
              <w:jc w:val="right"/>
              <w:rPr>
                <w:szCs w:val="16"/>
              </w:rPr>
            </w:pPr>
            <w:r w:rsidRPr="00C83488">
              <w:rPr>
                <w:szCs w:val="16"/>
              </w:rPr>
              <w:t>19.0</w:t>
            </w:r>
          </w:p>
        </w:tc>
      </w:tr>
      <w:tr w:rsidR="00225653" w:rsidRPr="00C6045A" w:rsidTr="00AB725E">
        <w:trPr>
          <w:trHeight w:val="300"/>
        </w:trPr>
        <w:tc>
          <w:tcPr>
            <w:tcW w:w="4253" w:type="dxa"/>
            <w:tcBorders>
              <w:top w:val="nil"/>
              <w:left w:val="nil"/>
              <w:bottom w:val="nil"/>
              <w:right w:val="nil"/>
            </w:tcBorders>
            <w:shd w:val="clear" w:color="auto" w:fill="auto"/>
            <w:noWrap/>
            <w:vAlign w:val="bottom"/>
            <w:hideMark/>
          </w:tcPr>
          <w:p w:rsidR="00225653" w:rsidRDefault="00225653" w:rsidP="00AB725E">
            <w:pPr>
              <w:pStyle w:val="Tabletext"/>
              <w:rPr>
                <w:szCs w:val="16"/>
              </w:rPr>
            </w:pPr>
            <w:r>
              <w:t>0313  Electrical and Electronic Engineering &amp; Technology</w:t>
            </w:r>
          </w:p>
        </w:tc>
        <w:tc>
          <w:tcPr>
            <w:tcW w:w="992"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338</w:t>
            </w:r>
          </w:p>
        </w:tc>
        <w:tc>
          <w:tcPr>
            <w:tcW w:w="709"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23.0</w:t>
            </w:r>
          </w:p>
        </w:tc>
        <w:tc>
          <w:tcPr>
            <w:tcW w:w="992" w:type="dxa"/>
            <w:tcBorders>
              <w:top w:val="nil"/>
              <w:left w:val="nil"/>
              <w:bottom w:val="nil"/>
              <w:right w:val="nil"/>
            </w:tcBorders>
            <w:vAlign w:val="bottom"/>
          </w:tcPr>
          <w:p w:rsidR="00225653" w:rsidRDefault="00225653" w:rsidP="00AB725E">
            <w:pPr>
              <w:pStyle w:val="Tabletext"/>
              <w:jc w:val="right"/>
              <w:rPr>
                <w:szCs w:val="16"/>
              </w:rPr>
            </w:pPr>
            <w:r>
              <w:rPr>
                <w:szCs w:val="16"/>
              </w:rPr>
              <w:t>2 472</w:t>
            </w:r>
          </w:p>
        </w:tc>
        <w:tc>
          <w:tcPr>
            <w:tcW w:w="851" w:type="dxa"/>
            <w:tcBorders>
              <w:top w:val="nil"/>
              <w:left w:val="nil"/>
              <w:bottom w:val="nil"/>
              <w:right w:val="nil"/>
            </w:tcBorders>
            <w:vAlign w:val="bottom"/>
          </w:tcPr>
          <w:p w:rsidR="00225653" w:rsidRDefault="00225653" w:rsidP="00AB725E">
            <w:pPr>
              <w:pStyle w:val="Tabletext"/>
              <w:jc w:val="right"/>
              <w:rPr>
                <w:szCs w:val="16"/>
              </w:rPr>
            </w:pPr>
            <w:r>
              <w:rPr>
                <w:szCs w:val="16"/>
              </w:rPr>
              <w:t>12.5%</w:t>
            </w:r>
          </w:p>
        </w:tc>
        <w:tc>
          <w:tcPr>
            <w:tcW w:w="1099" w:type="dxa"/>
            <w:tcBorders>
              <w:top w:val="nil"/>
              <w:left w:val="nil"/>
              <w:bottom w:val="nil"/>
              <w:right w:val="nil"/>
            </w:tcBorders>
            <w:vAlign w:val="bottom"/>
          </w:tcPr>
          <w:p w:rsidR="00225653" w:rsidRDefault="00225653" w:rsidP="00AB725E">
            <w:pPr>
              <w:pStyle w:val="Tabletext"/>
              <w:jc w:val="right"/>
              <w:rPr>
                <w:szCs w:val="16"/>
              </w:rPr>
            </w:pPr>
            <w:r>
              <w:rPr>
                <w:szCs w:val="16"/>
              </w:rPr>
              <w:t>13.7</w:t>
            </w:r>
          </w:p>
        </w:tc>
      </w:tr>
      <w:tr w:rsidR="00225653" w:rsidRPr="00C6045A" w:rsidTr="00AB725E">
        <w:trPr>
          <w:trHeight w:val="300"/>
        </w:trPr>
        <w:tc>
          <w:tcPr>
            <w:tcW w:w="4253" w:type="dxa"/>
            <w:tcBorders>
              <w:top w:val="nil"/>
              <w:left w:val="nil"/>
              <w:bottom w:val="nil"/>
              <w:right w:val="nil"/>
            </w:tcBorders>
            <w:shd w:val="clear" w:color="auto" w:fill="auto"/>
            <w:noWrap/>
            <w:vAlign w:val="bottom"/>
            <w:hideMark/>
          </w:tcPr>
          <w:p w:rsidR="00225653" w:rsidRDefault="00225653" w:rsidP="00AB725E">
            <w:pPr>
              <w:pStyle w:val="Tabletext"/>
              <w:rPr>
                <w:szCs w:val="16"/>
              </w:rPr>
            </w:pPr>
            <w:r>
              <w:t>0315  Aerospace Engineering &amp; Technology</w:t>
            </w:r>
          </w:p>
        </w:tc>
        <w:tc>
          <w:tcPr>
            <w:tcW w:w="992"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80</w:t>
            </w:r>
          </w:p>
        </w:tc>
        <w:tc>
          <w:tcPr>
            <w:tcW w:w="709"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5.4</w:t>
            </w:r>
          </w:p>
        </w:tc>
        <w:tc>
          <w:tcPr>
            <w:tcW w:w="992" w:type="dxa"/>
            <w:tcBorders>
              <w:top w:val="nil"/>
              <w:left w:val="nil"/>
              <w:bottom w:val="nil"/>
              <w:right w:val="nil"/>
            </w:tcBorders>
            <w:vAlign w:val="bottom"/>
          </w:tcPr>
          <w:p w:rsidR="00225653" w:rsidRDefault="00225653" w:rsidP="00AB725E">
            <w:pPr>
              <w:pStyle w:val="Tabletext"/>
              <w:jc w:val="right"/>
              <w:rPr>
                <w:szCs w:val="16"/>
              </w:rPr>
            </w:pPr>
            <w:r>
              <w:rPr>
                <w:szCs w:val="16"/>
              </w:rPr>
              <w:t>1 144</w:t>
            </w:r>
          </w:p>
        </w:tc>
        <w:tc>
          <w:tcPr>
            <w:tcW w:w="851" w:type="dxa"/>
            <w:tcBorders>
              <w:top w:val="nil"/>
              <w:left w:val="nil"/>
              <w:bottom w:val="nil"/>
              <w:right w:val="nil"/>
            </w:tcBorders>
            <w:vAlign w:val="bottom"/>
          </w:tcPr>
          <w:p w:rsidR="00225653" w:rsidRDefault="00225653" w:rsidP="00AB725E">
            <w:pPr>
              <w:pStyle w:val="Tabletext"/>
              <w:jc w:val="right"/>
              <w:rPr>
                <w:szCs w:val="16"/>
              </w:rPr>
            </w:pPr>
            <w:r>
              <w:rPr>
                <w:szCs w:val="16"/>
              </w:rPr>
              <w:t>5.8%</w:t>
            </w:r>
          </w:p>
        </w:tc>
        <w:tc>
          <w:tcPr>
            <w:tcW w:w="1099" w:type="dxa"/>
            <w:tcBorders>
              <w:top w:val="nil"/>
              <w:left w:val="nil"/>
              <w:bottom w:val="nil"/>
              <w:right w:val="nil"/>
            </w:tcBorders>
            <w:vAlign w:val="bottom"/>
          </w:tcPr>
          <w:p w:rsidR="00225653" w:rsidRDefault="00225653" w:rsidP="00AB725E">
            <w:pPr>
              <w:pStyle w:val="Tabletext"/>
              <w:jc w:val="right"/>
              <w:rPr>
                <w:szCs w:val="16"/>
              </w:rPr>
            </w:pPr>
            <w:r>
              <w:rPr>
                <w:szCs w:val="16"/>
              </w:rPr>
              <w:t>7.0</w:t>
            </w:r>
          </w:p>
        </w:tc>
      </w:tr>
      <w:tr w:rsidR="00225653" w:rsidRPr="0030254B" w:rsidTr="00AB725E">
        <w:trPr>
          <w:trHeight w:val="300"/>
        </w:trPr>
        <w:tc>
          <w:tcPr>
            <w:tcW w:w="4253" w:type="dxa"/>
            <w:tcBorders>
              <w:top w:val="nil"/>
              <w:left w:val="nil"/>
              <w:bottom w:val="nil"/>
              <w:right w:val="nil"/>
            </w:tcBorders>
            <w:shd w:val="clear" w:color="auto" w:fill="auto"/>
            <w:noWrap/>
            <w:vAlign w:val="bottom"/>
            <w:hideMark/>
          </w:tcPr>
          <w:p w:rsidR="00225653" w:rsidRDefault="00225653" w:rsidP="00AB725E">
            <w:pPr>
              <w:pStyle w:val="Tabletext"/>
              <w:rPr>
                <w:szCs w:val="16"/>
              </w:rPr>
            </w:pPr>
            <w:r>
              <w:t>0317  Maritime Engineering &amp; Technology</w:t>
            </w:r>
          </w:p>
        </w:tc>
        <w:tc>
          <w:tcPr>
            <w:tcW w:w="992"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66</w:t>
            </w:r>
          </w:p>
        </w:tc>
        <w:tc>
          <w:tcPr>
            <w:tcW w:w="709"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4.5</w:t>
            </w:r>
          </w:p>
        </w:tc>
        <w:tc>
          <w:tcPr>
            <w:tcW w:w="992" w:type="dxa"/>
            <w:tcBorders>
              <w:top w:val="nil"/>
              <w:left w:val="nil"/>
              <w:bottom w:val="nil"/>
              <w:right w:val="nil"/>
            </w:tcBorders>
            <w:vAlign w:val="bottom"/>
          </w:tcPr>
          <w:p w:rsidR="00225653" w:rsidRDefault="00225653" w:rsidP="00AB725E">
            <w:pPr>
              <w:pStyle w:val="Tabletext"/>
              <w:jc w:val="right"/>
              <w:rPr>
                <w:szCs w:val="16"/>
              </w:rPr>
            </w:pPr>
            <w:r>
              <w:rPr>
                <w:szCs w:val="16"/>
              </w:rPr>
              <w:t>254</w:t>
            </w:r>
          </w:p>
        </w:tc>
        <w:tc>
          <w:tcPr>
            <w:tcW w:w="851" w:type="dxa"/>
            <w:tcBorders>
              <w:top w:val="nil"/>
              <w:left w:val="nil"/>
              <w:bottom w:val="nil"/>
              <w:right w:val="nil"/>
            </w:tcBorders>
            <w:vAlign w:val="bottom"/>
          </w:tcPr>
          <w:p w:rsidR="00225653" w:rsidRDefault="00225653" w:rsidP="00AB725E">
            <w:pPr>
              <w:pStyle w:val="Tabletext"/>
              <w:jc w:val="right"/>
              <w:rPr>
                <w:szCs w:val="16"/>
              </w:rPr>
            </w:pPr>
            <w:r>
              <w:rPr>
                <w:szCs w:val="16"/>
              </w:rPr>
              <w:t>1.3%</w:t>
            </w:r>
          </w:p>
        </w:tc>
        <w:tc>
          <w:tcPr>
            <w:tcW w:w="1099" w:type="dxa"/>
            <w:tcBorders>
              <w:top w:val="nil"/>
              <w:left w:val="nil"/>
              <w:bottom w:val="nil"/>
              <w:right w:val="nil"/>
            </w:tcBorders>
            <w:vAlign w:val="bottom"/>
          </w:tcPr>
          <w:p w:rsidR="00225653" w:rsidRDefault="00225653" w:rsidP="00AB725E">
            <w:pPr>
              <w:pStyle w:val="Tabletext"/>
              <w:jc w:val="right"/>
              <w:rPr>
                <w:szCs w:val="16"/>
              </w:rPr>
            </w:pPr>
            <w:r>
              <w:rPr>
                <w:szCs w:val="16"/>
              </w:rPr>
              <w:t>26.0</w:t>
            </w:r>
          </w:p>
        </w:tc>
      </w:tr>
      <w:tr w:rsidR="00225653" w:rsidRPr="00C6045A" w:rsidTr="00AB725E">
        <w:trPr>
          <w:trHeight w:val="300"/>
        </w:trPr>
        <w:tc>
          <w:tcPr>
            <w:tcW w:w="4253" w:type="dxa"/>
            <w:tcBorders>
              <w:top w:val="nil"/>
              <w:left w:val="nil"/>
              <w:bottom w:val="nil"/>
              <w:right w:val="nil"/>
            </w:tcBorders>
            <w:shd w:val="clear" w:color="auto" w:fill="auto"/>
            <w:noWrap/>
            <w:vAlign w:val="bottom"/>
            <w:hideMark/>
          </w:tcPr>
          <w:p w:rsidR="00225653" w:rsidRDefault="00225653" w:rsidP="00AB725E">
            <w:pPr>
              <w:pStyle w:val="Tabletext"/>
              <w:rPr>
                <w:szCs w:val="16"/>
              </w:rPr>
            </w:pPr>
            <w:r>
              <w:t>0399  Other Engineering and Related Technologies</w:t>
            </w:r>
          </w:p>
        </w:tc>
        <w:tc>
          <w:tcPr>
            <w:tcW w:w="992"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442</w:t>
            </w:r>
          </w:p>
        </w:tc>
        <w:tc>
          <w:tcPr>
            <w:tcW w:w="709" w:type="dxa"/>
            <w:tcBorders>
              <w:top w:val="nil"/>
              <w:left w:val="nil"/>
              <w:bottom w:val="nil"/>
              <w:right w:val="nil"/>
            </w:tcBorders>
            <w:shd w:val="clear" w:color="auto" w:fill="auto"/>
            <w:noWrap/>
            <w:vAlign w:val="bottom"/>
            <w:hideMark/>
          </w:tcPr>
          <w:p w:rsidR="00225653" w:rsidRDefault="00225653" w:rsidP="00AB725E">
            <w:pPr>
              <w:pStyle w:val="Tabletext"/>
              <w:jc w:val="right"/>
              <w:rPr>
                <w:szCs w:val="16"/>
              </w:rPr>
            </w:pPr>
            <w:r>
              <w:rPr>
                <w:szCs w:val="16"/>
              </w:rPr>
              <w:t>30.1</w:t>
            </w:r>
          </w:p>
        </w:tc>
        <w:tc>
          <w:tcPr>
            <w:tcW w:w="992" w:type="dxa"/>
            <w:tcBorders>
              <w:top w:val="nil"/>
              <w:left w:val="nil"/>
              <w:bottom w:val="nil"/>
              <w:right w:val="nil"/>
            </w:tcBorders>
            <w:vAlign w:val="bottom"/>
          </w:tcPr>
          <w:p w:rsidR="00225653" w:rsidRDefault="00225653" w:rsidP="00AB725E">
            <w:pPr>
              <w:pStyle w:val="Tabletext"/>
              <w:jc w:val="right"/>
              <w:rPr>
                <w:szCs w:val="16"/>
              </w:rPr>
            </w:pPr>
            <w:r>
              <w:rPr>
                <w:szCs w:val="16"/>
              </w:rPr>
              <w:t>8 764</w:t>
            </w:r>
          </w:p>
        </w:tc>
        <w:tc>
          <w:tcPr>
            <w:tcW w:w="851" w:type="dxa"/>
            <w:tcBorders>
              <w:top w:val="nil"/>
              <w:left w:val="nil"/>
              <w:bottom w:val="nil"/>
              <w:right w:val="nil"/>
            </w:tcBorders>
            <w:vAlign w:val="bottom"/>
          </w:tcPr>
          <w:p w:rsidR="00225653" w:rsidRDefault="00225653" w:rsidP="00AB725E">
            <w:pPr>
              <w:pStyle w:val="Tabletext"/>
              <w:jc w:val="right"/>
              <w:rPr>
                <w:szCs w:val="16"/>
              </w:rPr>
            </w:pPr>
            <w:r>
              <w:rPr>
                <w:szCs w:val="16"/>
              </w:rPr>
              <w:t>44.3%</w:t>
            </w:r>
          </w:p>
        </w:tc>
        <w:tc>
          <w:tcPr>
            <w:tcW w:w="1099" w:type="dxa"/>
            <w:tcBorders>
              <w:top w:val="nil"/>
              <w:left w:val="nil"/>
              <w:bottom w:val="nil"/>
              <w:right w:val="nil"/>
            </w:tcBorders>
            <w:vAlign w:val="bottom"/>
          </w:tcPr>
          <w:p w:rsidR="00225653" w:rsidRDefault="00225653" w:rsidP="00AB725E">
            <w:pPr>
              <w:pStyle w:val="Tabletext"/>
              <w:jc w:val="right"/>
              <w:rPr>
                <w:szCs w:val="16"/>
              </w:rPr>
            </w:pPr>
            <w:r>
              <w:rPr>
                <w:szCs w:val="16"/>
              </w:rPr>
              <w:t>5.0</w:t>
            </w:r>
          </w:p>
        </w:tc>
      </w:tr>
      <w:tr w:rsidR="00225653" w:rsidRPr="00C6045A" w:rsidTr="00AB725E">
        <w:trPr>
          <w:trHeight w:val="300"/>
        </w:trPr>
        <w:tc>
          <w:tcPr>
            <w:tcW w:w="4253" w:type="dxa"/>
            <w:tcBorders>
              <w:top w:val="nil"/>
              <w:left w:val="nil"/>
              <w:bottom w:val="single" w:sz="4" w:space="0" w:color="auto"/>
              <w:right w:val="nil"/>
            </w:tcBorders>
            <w:shd w:val="clear" w:color="auto" w:fill="auto"/>
            <w:noWrap/>
            <w:vAlign w:val="bottom"/>
            <w:hideMark/>
          </w:tcPr>
          <w:p w:rsidR="00225653" w:rsidRDefault="00225653" w:rsidP="00AB725E">
            <w:pPr>
              <w:pStyle w:val="Tabletext"/>
              <w:rPr>
                <w:b/>
                <w:bCs/>
                <w:szCs w:val="16"/>
              </w:rPr>
            </w:pPr>
            <w:r>
              <w:rPr>
                <w:b/>
                <w:bCs/>
              </w:rPr>
              <w:t xml:space="preserve">Total Engineering &amp; Related Technologies </w:t>
            </w:r>
          </w:p>
        </w:tc>
        <w:tc>
          <w:tcPr>
            <w:tcW w:w="992" w:type="dxa"/>
            <w:tcBorders>
              <w:top w:val="nil"/>
              <w:left w:val="nil"/>
              <w:bottom w:val="single" w:sz="4" w:space="0" w:color="auto"/>
              <w:right w:val="nil"/>
            </w:tcBorders>
            <w:shd w:val="clear" w:color="auto" w:fill="auto"/>
            <w:noWrap/>
            <w:vAlign w:val="bottom"/>
            <w:hideMark/>
          </w:tcPr>
          <w:p w:rsidR="00225653" w:rsidRDefault="00225653" w:rsidP="00AB725E">
            <w:pPr>
              <w:pStyle w:val="Tabletext"/>
              <w:jc w:val="right"/>
              <w:rPr>
                <w:b/>
                <w:bCs/>
                <w:sz w:val="17"/>
                <w:szCs w:val="17"/>
              </w:rPr>
            </w:pPr>
            <w:r>
              <w:rPr>
                <w:b/>
                <w:bCs/>
                <w:sz w:val="17"/>
                <w:szCs w:val="17"/>
              </w:rPr>
              <w:t>1,469</w:t>
            </w:r>
          </w:p>
        </w:tc>
        <w:tc>
          <w:tcPr>
            <w:tcW w:w="709" w:type="dxa"/>
            <w:tcBorders>
              <w:top w:val="nil"/>
              <w:left w:val="nil"/>
              <w:bottom w:val="single" w:sz="4" w:space="0" w:color="auto"/>
              <w:right w:val="nil"/>
            </w:tcBorders>
            <w:shd w:val="clear" w:color="auto" w:fill="auto"/>
            <w:noWrap/>
            <w:vAlign w:val="bottom"/>
            <w:hideMark/>
          </w:tcPr>
          <w:p w:rsidR="00225653" w:rsidRDefault="00225653" w:rsidP="00AB725E">
            <w:pPr>
              <w:pStyle w:val="Tabletext"/>
              <w:jc w:val="right"/>
              <w:rPr>
                <w:b/>
                <w:bCs/>
                <w:sz w:val="17"/>
                <w:szCs w:val="17"/>
              </w:rPr>
            </w:pPr>
            <w:r>
              <w:rPr>
                <w:b/>
                <w:bCs/>
                <w:sz w:val="17"/>
                <w:szCs w:val="17"/>
              </w:rPr>
              <w:t>100.0</w:t>
            </w:r>
          </w:p>
        </w:tc>
        <w:tc>
          <w:tcPr>
            <w:tcW w:w="992" w:type="dxa"/>
            <w:tcBorders>
              <w:top w:val="nil"/>
              <w:left w:val="nil"/>
              <w:bottom w:val="single" w:sz="4" w:space="0" w:color="auto"/>
              <w:right w:val="nil"/>
            </w:tcBorders>
            <w:vAlign w:val="bottom"/>
          </w:tcPr>
          <w:p w:rsidR="00225653" w:rsidRDefault="00225653" w:rsidP="00AB725E">
            <w:pPr>
              <w:pStyle w:val="Tabletext"/>
              <w:jc w:val="right"/>
              <w:rPr>
                <w:b/>
                <w:bCs/>
                <w:sz w:val="17"/>
                <w:szCs w:val="17"/>
              </w:rPr>
            </w:pPr>
            <w:r>
              <w:rPr>
                <w:b/>
                <w:bCs/>
                <w:sz w:val="17"/>
                <w:szCs w:val="17"/>
              </w:rPr>
              <w:t>19,786</w:t>
            </w:r>
          </w:p>
        </w:tc>
        <w:tc>
          <w:tcPr>
            <w:tcW w:w="851" w:type="dxa"/>
            <w:tcBorders>
              <w:top w:val="nil"/>
              <w:left w:val="nil"/>
              <w:bottom w:val="single" w:sz="4" w:space="0" w:color="auto"/>
              <w:right w:val="nil"/>
            </w:tcBorders>
            <w:vAlign w:val="bottom"/>
          </w:tcPr>
          <w:p w:rsidR="00225653" w:rsidRDefault="00225653" w:rsidP="00AB725E">
            <w:pPr>
              <w:pStyle w:val="Tabletext"/>
              <w:jc w:val="right"/>
              <w:rPr>
                <w:b/>
                <w:bCs/>
                <w:sz w:val="17"/>
                <w:szCs w:val="17"/>
              </w:rPr>
            </w:pPr>
            <w:r>
              <w:rPr>
                <w:b/>
                <w:bCs/>
                <w:sz w:val="17"/>
                <w:szCs w:val="17"/>
              </w:rPr>
              <w:t>100.0%</w:t>
            </w:r>
          </w:p>
        </w:tc>
        <w:tc>
          <w:tcPr>
            <w:tcW w:w="1099" w:type="dxa"/>
            <w:tcBorders>
              <w:top w:val="nil"/>
              <w:left w:val="nil"/>
              <w:bottom w:val="single" w:sz="4" w:space="0" w:color="auto"/>
              <w:right w:val="nil"/>
            </w:tcBorders>
            <w:vAlign w:val="bottom"/>
          </w:tcPr>
          <w:p w:rsidR="00225653" w:rsidRDefault="00225653" w:rsidP="00AB725E">
            <w:pPr>
              <w:pStyle w:val="Tabletext"/>
              <w:jc w:val="right"/>
              <w:rPr>
                <w:szCs w:val="16"/>
              </w:rPr>
            </w:pPr>
            <w:r>
              <w:rPr>
                <w:szCs w:val="16"/>
              </w:rPr>
              <w:t>7.4</w:t>
            </w:r>
          </w:p>
        </w:tc>
      </w:tr>
    </w:tbl>
    <w:p w:rsidR="00225653" w:rsidRDefault="00225653" w:rsidP="00225653">
      <w:pPr>
        <w:pStyle w:val="Source"/>
      </w:pPr>
      <w:r>
        <w:t>Source: DEEWR (2010) Higher Education Statistics Collection. Unpublished data</w:t>
      </w:r>
    </w:p>
    <w:p w:rsidR="00225653" w:rsidRDefault="00225653" w:rsidP="00225653">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225653" w:rsidRDefault="00225653" w:rsidP="00225653">
      <w:pPr>
        <w:pStyle w:val="Text"/>
      </w:pPr>
      <w:r>
        <w:t xml:space="preserve">As shown in </w:t>
      </w:r>
      <w:r w:rsidR="00B45EBA">
        <w:t>Table 1</w:t>
      </w:r>
      <w:r w:rsidR="009A7713">
        <w:t>8</w:t>
      </w:r>
      <w:r>
        <w:t xml:space="preserve">, there are several large sub-fields in the broad field of engineering and a few large ones, in terms of total student enrolments. </w:t>
      </w:r>
    </w:p>
    <w:p w:rsidR="00225653" w:rsidRDefault="00225653" w:rsidP="00225653">
      <w:pPr>
        <w:pStyle w:val="Heading3"/>
      </w:pPr>
      <w:r>
        <w:t xml:space="preserve">Other Engineering and Related Technologies </w:t>
      </w:r>
    </w:p>
    <w:p w:rsidR="00225653" w:rsidRDefault="00225653" w:rsidP="00225653">
      <w:pPr>
        <w:pStyle w:val="Text"/>
      </w:pPr>
      <w:r>
        <w:t xml:space="preserve">Under </w:t>
      </w:r>
      <w:r w:rsidRPr="0008036E">
        <w:t>the higher education statistics supplied for this study, 44 per cent of all undergraduate commencements in this broad field are classified under the narrow field as “Other</w:t>
      </w:r>
      <w:r>
        <w:t xml:space="preserve"> Engineering and Related Technologies</w:t>
      </w:r>
      <w:r w:rsidRPr="0008036E">
        <w:t xml:space="preserve">”, which means they cannot be categorised within any of the nine narrow (4-digit) sub-fields listed in </w:t>
      </w:r>
      <w:r w:rsidR="00B45EBA">
        <w:t>Table 1</w:t>
      </w:r>
      <w:r w:rsidR="009A7713">
        <w:t>8</w:t>
      </w:r>
      <w:r w:rsidRPr="0008036E">
        <w:t xml:space="preserve">. </w:t>
      </w:r>
    </w:p>
    <w:p w:rsidR="00225653" w:rsidRDefault="00225653" w:rsidP="00225653">
      <w:pPr>
        <w:pStyle w:val="Text"/>
      </w:pPr>
      <w:r>
        <w:t>According to the ASCED definition, the “Other Engineering and Related Technologies” category includes: Environmental Engineering; Biomedical Engineering; Fire Technology; Rail Operations; and Cleaning plus any other areas not elsewhere classified within the FOE. Some of these specialisations have seen rapid growth in recent years, which might explain the high proportion of enrolments accorded to the “Other Engineering and Related Technologies” category.</w:t>
      </w:r>
    </w:p>
    <w:p w:rsidR="005F3AC0" w:rsidRDefault="005F3AC0">
      <w:pPr>
        <w:spacing w:before="0" w:line="240" w:lineRule="auto"/>
        <w:rPr>
          <w:rFonts w:ascii="Tahoma" w:hAnsi="Tahoma"/>
          <w:b/>
          <w:sz w:val="17"/>
        </w:rPr>
      </w:pPr>
      <w:bookmarkStart w:id="110" w:name="_Toc350786325"/>
      <w:r>
        <w:br w:type="page"/>
      </w:r>
    </w:p>
    <w:p w:rsidR="00225653" w:rsidRDefault="00B45EBA" w:rsidP="00225653">
      <w:pPr>
        <w:pStyle w:val="tabletitle"/>
      </w:pPr>
      <w:bookmarkStart w:id="111" w:name="_Toc370995928"/>
      <w:r>
        <w:lastRenderedPageBreak/>
        <w:t>Table 1</w:t>
      </w:r>
      <w:r w:rsidR="006A154F">
        <w:t>9</w:t>
      </w:r>
      <w:r w:rsidR="00225653">
        <w:tab/>
        <w:t xml:space="preserve">VET award-holders and all undergraduate commencements in Other Engineering and Related Technologies </w:t>
      </w:r>
      <w:r w:rsidR="00225653">
        <w:rPr>
          <w:szCs w:val="22"/>
        </w:rPr>
        <w:t>(FOE 0399)</w:t>
      </w:r>
      <w:r w:rsidR="00225653">
        <w:t>, by HE provider Australia 2010</w:t>
      </w:r>
      <w:bookmarkEnd w:id="110"/>
      <w:bookmarkEnd w:id="111"/>
    </w:p>
    <w:tbl>
      <w:tblPr>
        <w:tblW w:w="7938" w:type="dxa"/>
        <w:tblInd w:w="108" w:type="dxa"/>
        <w:tblLayout w:type="fixed"/>
        <w:tblLook w:val="04A0"/>
      </w:tblPr>
      <w:tblGrid>
        <w:gridCol w:w="3448"/>
        <w:gridCol w:w="521"/>
        <w:gridCol w:w="993"/>
        <w:gridCol w:w="850"/>
        <w:gridCol w:w="1134"/>
        <w:gridCol w:w="992"/>
      </w:tblGrid>
      <w:tr w:rsidR="00225653" w:rsidRPr="00CE24D5" w:rsidTr="00AB725E">
        <w:trPr>
          <w:trHeight w:val="300"/>
        </w:trPr>
        <w:tc>
          <w:tcPr>
            <w:tcW w:w="3448" w:type="dxa"/>
            <w:tcBorders>
              <w:top w:val="single" w:sz="4" w:space="0" w:color="auto"/>
              <w:left w:val="nil"/>
              <w:bottom w:val="nil"/>
              <w:right w:val="nil"/>
            </w:tcBorders>
            <w:shd w:val="clear" w:color="auto" w:fill="auto"/>
            <w:noWrap/>
            <w:vAlign w:val="bottom"/>
            <w:hideMark/>
          </w:tcPr>
          <w:p w:rsidR="00225653" w:rsidRPr="00CE24D5" w:rsidRDefault="00225653" w:rsidP="00AB725E">
            <w:pPr>
              <w:pStyle w:val="Tablehead1"/>
              <w:rPr>
                <w:bCs/>
                <w:color w:val="000000"/>
                <w:lang w:val="en-US"/>
              </w:rPr>
            </w:pPr>
          </w:p>
        </w:tc>
        <w:tc>
          <w:tcPr>
            <w:tcW w:w="2364" w:type="dxa"/>
            <w:gridSpan w:val="3"/>
            <w:tcBorders>
              <w:top w:val="single" w:sz="4" w:space="0" w:color="auto"/>
              <w:left w:val="nil"/>
              <w:bottom w:val="nil"/>
              <w:right w:val="nil"/>
            </w:tcBorders>
            <w:shd w:val="clear" w:color="auto" w:fill="auto"/>
            <w:noWrap/>
            <w:vAlign w:val="bottom"/>
            <w:hideMark/>
          </w:tcPr>
          <w:p w:rsidR="00225653" w:rsidRPr="00CE24D5" w:rsidRDefault="00225653" w:rsidP="00AB725E">
            <w:pPr>
              <w:pStyle w:val="Tablehead1"/>
              <w:jc w:val="right"/>
              <w:rPr>
                <w:rFonts w:cs="Arial"/>
                <w:bCs/>
                <w:color w:val="000000"/>
                <w:szCs w:val="17"/>
                <w:lang w:val="en-US"/>
              </w:rPr>
            </w:pPr>
            <w:r>
              <w:rPr>
                <w:rFonts w:cs="Arial"/>
                <w:bCs/>
                <w:color w:val="000000"/>
                <w:szCs w:val="17"/>
                <w:lang w:val="en-US"/>
              </w:rPr>
              <w:t>All undergraduate commencements</w:t>
            </w:r>
          </w:p>
        </w:tc>
        <w:tc>
          <w:tcPr>
            <w:tcW w:w="2126" w:type="dxa"/>
            <w:gridSpan w:val="2"/>
            <w:tcBorders>
              <w:top w:val="single" w:sz="4" w:space="0" w:color="auto"/>
              <w:left w:val="nil"/>
              <w:bottom w:val="nil"/>
              <w:right w:val="nil"/>
            </w:tcBorders>
            <w:vAlign w:val="bottom"/>
          </w:tcPr>
          <w:p w:rsidR="00225653" w:rsidRPr="00CE24D5" w:rsidRDefault="00225653" w:rsidP="00AB725E">
            <w:pPr>
              <w:pStyle w:val="Tablehead1"/>
              <w:jc w:val="right"/>
              <w:rPr>
                <w:rFonts w:cs="Arial"/>
                <w:bCs/>
                <w:color w:val="000000"/>
                <w:szCs w:val="17"/>
                <w:lang w:val="en-US"/>
              </w:rPr>
            </w:pPr>
            <w:r>
              <w:rPr>
                <w:rFonts w:cs="Arial"/>
                <w:bCs/>
                <w:color w:val="000000"/>
                <w:szCs w:val="17"/>
                <w:lang w:val="en-US"/>
              </w:rPr>
              <w:t xml:space="preserve">VET award-holders </w:t>
            </w:r>
          </w:p>
        </w:tc>
      </w:tr>
      <w:tr w:rsidR="00225653" w:rsidRPr="00322D4B"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rPr>
                <w:rFonts w:asciiTheme="majorHAnsi" w:hAnsiTheme="majorHAnsi"/>
                <w:sz w:val="18"/>
                <w:szCs w:val="18"/>
                <w:lang w:val="en-US"/>
              </w:rPr>
            </w:pPr>
            <w:r>
              <w:rPr>
                <w:rFonts w:asciiTheme="majorHAnsi" w:hAnsiTheme="majorHAnsi"/>
                <w:sz w:val="18"/>
                <w:szCs w:val="18"/>
                <w:lang w:val="en-US"/>
              </w:rPr>
              <w:t xml:space="preserve">Institution </w:t>
            </w:r>
            <w:r w:rsidR="00A0715D">
              <w:rPr>
                <w:rFonts w:asciiTheme="majorHAnsi" w:hAnsiTheme="majorHAnsi"/>
                <w:sz w:val="18"/>
                <w:szCs w:val="18"/>
                <w:lang w:val="en-US"/>
              </w:rPr>
              <w:t>(Cluster)</w:t>
            </w:r>
          </w:p>
        </w:tc>
        <w:tc>
          <w:tcPr>
            <w:tcW w:w="993" w:type="dxa"/>
            <w:tcBorders>
              <w:top w:val="nil"/>
              <w:left w:val="nil"/>
              <w:bottom w:val="single" w:sz="4" w:space="0" w:color="auto"/>
              <w:right w:val="nil"/>
            </w:tcBorders>
            <w:shd w:val="clear" w:color="auto" w:fill="auto"/>
            <w:noWrap/>
            <w:vAlign w:val="bottom"/>
            <w:hideMark/>
          </w:tcPr>
          <w:p w:rsidR="00225653" w:rsidRDefault="00225653" w:rsidP="00AB725E">
            <w:pPr>
              <w:pStyle w:val="Tablehead2"/>
              <w:jc w:val="right"/>
              <w:rPr>
                <w:rFonts w:asciiTheme="majorHAnsi" w:hAnsiTheme="majorHAnsi"/>
                <w:sz w:val="18"/>
                <w:szCs w:val="18"/>
                <w:lang w:val="en-US"/>
              </w:rPr>
            </w:pPr>
            <w:r>
              <w:rPr>
                <w:rFonts w:asciiTheme="majorHAnsi" w:hAnsiTheme="majorHAnsi"/>
                <w:sz w:val="18"/>
                <w:szCs w:val="18"/>
                <w:lang w:val="en-US"/>
              </w:rPr>
              <w:t>0399</w:t>
            </w:r>
          </w:p>
          <w:p w:rsidR="00225653" w:rsidRPr="00F71B20" w:rsidRDefault="00225653"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Students</w:t>
            </w:r>
            <w:r>
              <w:rPr>
                <w:rFonts w:asciiTheme="majorHAnsi" w:hAnsiTheme="majorHAnsi"/>
                <w:sz w:val="18"/>
                <w:szCs w:val="18"/>
                <w:lang w:val="en-US"/>
              </w:rPr>
              <w:t xml:space="preserve"> </w:t>
            </w:r>
          </w:p>
        </w:tc>
        <w:tc>
          <w:tcPr>
            <w:tcW w:w="850" w:type="dxa"/>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 total</w:t>
            </w:r>
            <w:r>
              <w:rPr>
                <w:rFonts w:asciiTheme="majorHAnsi" w:hAnsiTheme="majorHAnsi"/>
                <w:sz w:val="18"/>
                <w:szCs w:val="18"/>
                <w:lang w:val="en-US"/>
              </w:rPr>
              <w:t xml:space="preserve"> FOE 07</w:t>
            </w:r>
          </w:p>
        </w:tc>
        <w:tc>
          <w:tcPr>
            <w:tcW w:w="1134" w:type="dxa"/>
            <w:tcBorders>
              <w:top w:val="nil"/>
              <w:left w:val="nil"/>
              <w:bottom w:val="single" w:sz="4" w:space="0" w:color="auto"/>
              <w:right w:val="nil"/>
            </w:tcBorders>
            <w:vAlign w:val="bottom"/>
          </w:tcPr>
          <w:p w:rsidR="00225653" w:rsidRPr="00F71B20" w:rsidRDefault="00225653" w:rsidP="00AB725E">
            <w:pPr>
              <w:pStyle w:val="Tablehead2"/>
              <w:jc w:val="right"/>
              <w:rPr>
                <w:rFonts w:asciiTheme="majorHAnsi" w:hAnsiTheme="majorHAnsi"/>
                <w:sz w:val="18"/>
                <w:szCs w:val="18"/>
                <w:lang w:val="en-US"/>
              </w:rPr>
            </w:pPr>
            <w:r>
              <w:rPr>
                <w:rFonts w:asciiTheme="majorHAnsi" w:hAnsiTheme="majorHAnsi"/>
                <w:sz w:val="18"/>
                <w:szCs w:val="18"/>
                <w:lang w:val="en-US"/>
              </w:rPr>
              <w:t xml:space="preserve">0399 </w:t>
            </w:r>
            <w:r w:rsidRPr="00F71B20">
              <w:rPr>
                <w:rFonts w:asciiTheme="majorHAnsi" w:hAnsiTheme="majorHAnsi"/>
                <w:sz w:val="18"/>
                <w:szCs w:val="18"/>
                <w:lang w:val="en-US"/>
              </w:rPr>
              <w:t>Students</w:t>
            </w:r>
          </w:p>
        </w:tc>
        <w:tc>
          <w:tcPr>
            <w:tcW w:w="992" w:type="dxa"/>
            <w:tcBorders>
              <w:top w:val="nil"/>
              <w:left w:val="nil"/>
              <w:bottom w:val="single" w:sz="4" w:space="0" w:color="auto"/>
              <w:right w:val="nil"/>
            </w:tcBorders>
            <w:vAlign w:val="bottom"/>
          </w:tcPr>
          <w:p w:rsidR="00225653" w:rsidRPr="00F71B20" w:rsidRDefault="00225653" w:rsidP="00AB725E">
            <w:pPr>
              <w:pStyle w:val="Tablehead2"/>
              <w:jc w:val="right"/>
              <w:rPr>
                <w:rFonts w:asciiTheme="majorHAnsi" w:hAnsiTheme="majorHAnsi"/>
                <w:sz w:val="18"/>
                <w:szCs w:val="18"/>
                <w:lang w:val="en-US"/>
              </w:rPr>
            </w:pPr>
            <w:r>
              <w:rPr>
                <w:rFonts w:asciiTheme="majorHAnsi" w:hAnsiTheme="majorHAnsi"/>
                <w:sz w:val="18"/>
                <w:szCs w:val="18"/>
                <w:lang w:val="en-US"/>
              </w:rPr>
              <w:t>% 0399 U/G</w:t>
            </w:r>
          </w:p>
        </w:tc>
      </w:tr>
      <w:tr w:rsidR="00225653" w:rsidRPr="00134625" w:rsidTr="00AB725E">
        <w:trPr>
          <w:trHeight w:val="300"/>
        </w:trPr>
        <w:tc>
          <w:tcPr>
            <w:tcW w:w="3969" w:type="dxa"/>
            <w:gridSpan w:val="2"/>
            <w:tcBorders>
              <w:top w:val="single" w:sz="4" w:space="0" w:color="auto"/>
              <w:left w:val="nil"/>
              <w:bottom w:val="nil"/>
              <w:right w:val="nil"/>
            </w:tcBorders>
            <w:shd w:val="clear" w:color="auto" w:fill="auto"/>
            <w:noWrap/>
            <w:vAlign w:val="bottom"/>
            <w:hideMark/>
          </w:tcPr>
          <w:p w:rsidR="00225653" w:rsidRPr="00134625" w:rsidRDefault="00225653" w:rsidP="00A0715D">
            <w:pPr>
              <w:spacing w:before="100" w:beforeAutospacing="1" w:after="100" w:afterAutospacing="1" w:line="260" w:lineRule="auto"/>
              <w:rPr>
                <w:rFonts w:ascii="Arial" w:hAnsi="Arial" w:cs="Arial"/>
                <w:sz w:val="16"/>
                <w:szCs w:val="16"/>
              </w:rPr>
            </w:pPr>
            <w:r w:rsidRPr="00134625">
              <w:rPr>
                <w:rFonts w:ascii="Arial" w:hAnsi="Arial" w:cs="Arial"/>
                <w:sz w:val="16"/>
                <w:szCs w:val="16"/>
              </w:rPr>
              <w:t>Monash University</w:t>
            </w:r>
            <w:r w:rsidR="00A0715D">
              <w:rPr>
                <w:rFonts w:ascii="Arial" w:hAnsi="Arial" w:cs="Arial"/>
                <w:sz w:val="16"/>
                <w:szCs w:val="16"/>
              </w:rPr>
              <w:t xml:space="preserve"> (3)</w:t>
            </w:r>
          </w:p>
        </w:tc>
        <w:tc>
          <w:tcPr>
            <w:tcW w:w="993" w:type="dxa"/>
            <w:tcBorders>
              <w:top w:val="single" w:sz="4" w:space="0" w:color="auto"/>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924</w:t>
            </w:r>
          </w:p>
        </w:tc>
        <w:tc>
          <w:tcPr>
            <w:tcW w:w="850" w:type="dxa"/>
            <w:tcBorders>
              <w:top w:val="single" w:sz="4" w:space="0" w:color="auto"/>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87%</w:t>
            </w:r>
          </w:p>
        </w:tc>
        <w:tc>
          <w:tcPr>
            <w:tcW w:w="1134" w:type="dxa"/>
            <w:tcBorders>
              <w:top w:val="single" w:sz="4" w:space="0" w:color="auto"/>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&lt;10</w:t>
            </w:r>
          </w:p>
        </w:tc>
        <w:tc>
          <w:tcPr>
            <w:tcW w:w="992" w:type="dxa"/>
            <w:tcBorders>
              <w:top w:val="single" w:sz="4" w:space="0" w:color="auto"/>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n.a</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University of Southern Queensland</w:t>
            </w:r>
            <w:r w:rsidR="00A0715D">
              <w:rPr>
                <w:rFonts w:ascii="Arial" w:hAnsi="Arial" w:cs="Arial"/>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915</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100%</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130</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14.2</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The University of Western Australia</w:t>
            </w:r>
            <w:r w:rsidR="00A0715D">
              <w:rPr>
                <w:rFonts w:ascii="Arial" w:hAnsi="Arial" w:cs="Arial"/>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865</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99%</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0</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0.0</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Queensland University of Technology</w:t>
            </w:r>
            <w:r w:rsidR="00A0715D">
              <w:rPr>
                <w:rFonts w:ascii="Arial" w:hAnsi="Arial" w:cs="Arial"/>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820</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96%</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51</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6.2</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0715D">
            <w:pPr>
              <w:spacing w:before="100" w:beforeAutospacing="1" w:after="100" w:afterAutospacing="1" w:line="260" w:lineRule="auto"/>
              <w:rPr>
                <w:rFonts w:ascii="Arial" w:hAnsi="Arial" w:cs="Arial"/>
                <w:sz w:val="16"/>
                <w:szCs w:val="16"/>
              </w:rPr>
            </w:pPr>
            <w:r w:rsidRPr="00134625">
              <w:rPr>
                <w:rFonts w:ascii="Arial" w:hAnsi="Arial" w:cs="Arial"/>
                <w:sz w:val="16"/>
                <w:szCs w:val="16"/>
              </w:rPr>
              <w:t>University of Technology, Sydney</w:t>
            </w:r>
            <w:r w:rsidR="00A0715D">
              <w:rPr>
                <w:rFonts w:ascii="Arial" w:hAnsi="Arial" w:cs="Arial"/>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698</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97%</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73</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10.5</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The University of Queensland</w:t>
            </w:r>
            <w:r w:rsidR="00A0715D">
              <w:rPr>
                <w:rFonts w:ascii="Arial" w:hAnsi="Arial" w:cs="Arial"/>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600</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59%</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&lt;10</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n.a</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The University of New South Wales</w:t>
            </w:r>
            <w:r w:rsidR="00A0715D">
              <w:rPr>
                <w:rFonts w:ascii="Arial" w:hAnsi="Arial" w:cs="Arial"/>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463</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24%</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&lt;10</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n.a</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University of Western Sydney</w:t>
            </w:r>
            <w:r w:rsidR="00A0715D">
              <w:rPr>
                <w:rFonts w:ascii="Arial" w:hAnsi="Arial" w:cs="Arial"/>
                <w:sz w:val="16"/>
                <w:szCs w:val="16"/>
              </w:rPr>
              <w:t xml:space="preserve"> (1)</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433</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100%</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66</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15.2</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Griffith University</w:t>
            </w:r>
            <w:r w:rsidR="00A0715D">
              <w:rPr>
                <w:rFonts w:ascii="Arial" w:hAnsi="Arial" w:cs="Arial"/>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423</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71%</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18</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4.3</w:t>
            </w:r>
          </w:p>
        </w:tc>
      </w:tr>
      <w:tr w:rsidR="00225653" w:rsidRPr="00134625" w:rsidTr="00AB725E">
        <w:trPr>
          <w:trHeight w:val="300"/>
        </w:trPr>
        <w:tc>
          <w:tcPr>
            <w:tcW w:w="3969" w:type="dxa"/>
            <w:gridSpan w:val="2"/>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The University of Melbourne</w:t>
            </w:r>
            <w:r w:rsidR="00A0715D">
              <w:rPr>
                <w:rFonts w:ascii="Arial" w:hAnsi="Arial" w:cs="Arial"/>
                <w:sz w:val="16"/>
                <w:szCs w:val="16"/>
              </w:rPr>
              <w:t xml:space="preserve"> (3)</w:t>
            </w:r>
          </w:p>
        </w:tc>
        <w:tc>
          <w:tcPr>
            <w:tcW w:w="993" w:type="dxa"/>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349</w:t>
            </w:r>
          </w:p>
        </w:tc>
        <w:tc>
          <w:tcPr>
            <w:tcW w:w="850" w:type="dxa"/>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99%</w:t>
            </w:r>
          </w:p>
        </w:tc>
        <w:tc>
          <w:tcPr>
            <w:tcW w:w="1134" w:type="dxa"/>
            <w:tcBorders>
              <w:top w:val="nil"/>
              <w:left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0</w:t>
            </w:r>
          </w:p>
        </w:tc>
        <w:tc>
          <w:tcPr>
            <w:tcW w:w="992" w:type="dxa"/>
            <w:tcBorders>
              <w:top w:val="nil"/>
              <w:left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0.0</w:t>
            </w:r>
          </w:p>
        </w:tc>
      </w:tr>
      <w:tr w:rsidR="00225653" w:rsidRPr="00134625" w:rsidTr="00AB725E">
        <w:trPr>
          <w:trHeight w:val="300"/>
        </w:trPr>
        <w:tc>
          <w:tcPr>
            <w:tcW w:w="3969" w:type="dxa"/>
            <w:gridSpan w:val="2"/>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Victoria University</w:t>
            </w:r>
            <w:r w:rsidR="00A0715D">
              <w:rPr>
                <w:rFonts w:ascii="Arial" w:hAnsi="Arial" w:cs="Arial"/>
                <w:sz w:val="16"/>
                <w:szCs w:val="16"/>
              </w:rPr>
              <w:t xml:space="preserve"> (1)</w:t>
            </w:r>
          </w:p>
        </w:tc>
        <w:tc>
          <w:tcPr>
            <w:tcW w:w="993" w:type="dxa"/>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283</w:t>
            </w:r>
          </w:p>
        </w:tc>
        <w:tc>
          <w:tcPr>
            <w:tcW w:w="850" w:type="dxa"/>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46%</w:t>
            </w:r>
          </w:p>
        </w:tc>
        <w:tc>
          <w:tcPr>
            <w:tcW w:w="1134" w:type="dxa"/>
            <w:tcBorders>
              <w:top w:val="nil"/>
              <w:left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&lt;10</w:t>
            </w:r>
          </w:p>
        </w:tc>
        <w:tc>
          <w:tcPr>
            <w:tcW w:w="992" w:type="dxa"/>
            <w:tcBorders>
              <w:top w:val="nil"/>
              <w:left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n.a</w:t>
            </w:r>
          </w:p>
        </w:tc>
      </w:tr>
      <w:tr w:rsidR="00225653" w:rsidRPr="00134625" w:rsidTr="00AB725E">
        <w:trPr>
          <w:trHeight w:val="300"/>
        </w:trPr>
        <w:tc>
          <w:tcPr>
            <w:tcW w:w="3969" w:type="dxa"/>
            <w:gridSpan w:val="2"/>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Curtin University of Technology</w:t>
            </w:r>
            <w:r w:rsidR="00A0715D">
              <w:rPr>
                <w:rFonts w:ascii="Arial" w:hAnsi="Arial" w:cs="Arial"/>
                <w:sz w:val="16"/>
                <w:szCs w:val="16"/>
              </w:rPr>
              <w:t xml:space="preserve"> (3)</w:t>
            </w:r>
          </w:p>
        </w:tc>
        <w:tc>
          <w:tcPr>
            <w:tcW w:w="993" w:type="dxa"/>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256</w:t>
            </w:r>
          </w:p>
        </w:tc>
        <w:tc>
          <w:tcPr>
            <w:tcW w:w="850" w:type="dxa"/>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16%</w:t>
            </w:r>
          </w:p>
        </w:tc>
        <w:tc>
          <w:tcPr>
            <w:tcW w:w="1134" w:type="dxa"/>
            <w:tcBorders>
              <w:top w:val="nil"/>
              <w:left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&lt;10</w:t>
            </w:r>
          </w:p>
        </w:tc>
        <w:tc>
          <w:tcPr>
            <w:tcW w:w="992" w:type="dxa"/>
            <w:tcBorders>
              <w:top w:val="nil"/>
              <w:left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n.a</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Swinburne University of Technology</w:t>
            </w:r>
            <w:r w:rsidR="00A0715D">
              <w:rPr>
                <w:rFonts w:ascii="Arial" w:hAnsi="Arial" w:cs="Arial"/>
                <w:sz w:val="16"/>
                <w:szCs w:val="16"/>
              </w:rPr>
              <w:t xml:space="preserve"> (1)</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203</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17%</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26</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12.8</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Deakin University</w:t>
            </w:r>
            <w:r w:rsidR="00A0715D">
              <w:rPr>
                <w:rFonts w:ascii="Arial" w:hAnsi="Arial" w:cs="Arial"/>
                <w:sz w:val="16"/>
                <w:szCs w:val="16"/>
              </w:rPr>
              <w:t>(1)</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203</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100%</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40</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19.7</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Central Queensland University</w:t>
            </w:r>
            <w:r w:rsidR="00A0715D">
              <w:rPr>
                <w:rFonts w:ascii="Arial" w:hAnsi="Arial" w:cs="Arial"/>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199</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67%</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26</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13.1</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James Cook University</w:t>
            </w:r>
            <w:r w:rsidR="00A0715D">
              <w:rPr>
                <w:rFonts w:ascii="Arial" w:hAnsi="Arial" w:cs="Arial"/>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198</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100%</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0</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0.0</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University of Tasmania</w:t>
            </w:r>
            <w:r w:rsidR="00A0715D">
              <w:rPr>
                <w:rFonts w:ascii="Arial" w:hAnsi="Arial" w:cs="Arial"/>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167</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28%</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&lt;10</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n.a</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Charles Darwin University</w:t>
            </w:r>
            <w:r w:rsidR="00A0715D">
              <w:rPr>
                <w:rFonts w:ascii="Arial" w:hAnsi="Arial" w:cs="Arial"/>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163</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100%</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29</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17.8</w:t>
            </w:r>
          </w:p>
        </w:tc>
      </w:tr>
      <w:tr w:rsidR="00225653" w:rsidRPr="00134625" w:rsidTr="00AB725E">
        <w:trPr>
          <w:trHeight w:val="300"/>
        </w:trPr>
        <w:tc>
          <w:tcPr>
            <w:tcW w:w="3969" w:type="dxa"/>
            <w:gridSpan w:val="2"/>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The University of Sydney</w:t>
            </w:r>
            <w:r w:rsidR="00A0715D">
              <w:rPr>
                <w:rFonts w:ascii="Arial" w:hAnsi="Arial" w:cs="Arial"/>
                <w:sz w:val="16"/>
                <w:szCs w:val="16"/>
              </w:rPr>
              <w:t xml:space="preserve"> (3)</w:t>
            </w:r>
          </w:p>
        </w:tc>
        <w:tc>
          <w:tcPr>
            <w:tcW w:w="993" w:type="dxa"/>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154</w:t>
            </w:r>
          </w:p>
        </w:tc>
        <w:tc>
          <w:tcPr>
            <w:tcW w:w="850" w:type="dxa"/>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18%</w:t>
            </w:r>
          </w:p>
        </w:tc>
        <w:tc>
          <w:tcPr>
            <w:tcW w:w="1134" w:type="dxa"/>
            <w:tcBorders>
              <w:top w:val="nil"/>
              <w:left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&lt;10</w:t>
            </w:r>
          </w:p>
        </w:tc>
        <w:tc>
          <w:tcPr>
            <w:tcW w:w="992" w:type="dxa"/>
            <w:tcBorders>
              <w:top w:val="nil"/>
              <w:left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n.a</w:t>
            </w:r>
          </w:p>
        </w:tc>
      </w:tr>
      <w:tr w:rsidR="00225653" w:rsidRPr="00134625" w:rsidTr="00AB725E">
        <w:trPr>
          <w:trHeight w:val="300"/>
        </w:trPr>
        <w:tc>
          <w:tcPr>
            <w:tcW w:w="3969" w:type="dxa"/>
            <w:gridSpan w:val="2"/>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Murdoch University</w:t>
            </w:r>
            <w:r w:rsidR="00A0715D">
              <w:rPr>
                <w:rFonts w:ascii="Arial" w:hAnsi="Arial" w:cs="Arial"/>
                <w:sz w:val="16"/>
                <w:szCs w:val="16"/>
              </w:rPr>
              <w:t xml:space="preserve"> (2)</w:t>
            </w:r>
          </w:p>
        </w:tc>
        <w:tc>
          <w:tcPr>
            <w:tcW w:w="993" w:type="dxa"/>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123</w:t>
            </w:r>
          </w:p>
        </w:tc>
        <w:tc>
          <w:tcPr>
            <w:tcW w:w="850" w:type="dxa"/>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92%</w:t>
            </w:r>
          </w:p>
        </w:tc>
        <w:tc>
          <w:tcPr>
            <w:tcW w:w="1134" w:type="dxa"/>
            <w:tcBorders>
              <w:top w:val="nil"/>
              <w:left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21</w:t>
            </w:r>
          </w:p>
        </w:tc>
        <w:tc>
          <w:tcPr>
            <w:tcW w:w="992" w:type="dxa"/>
            <w:tcBorders>
              <w:top w:val="nil"/>
              <w:left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17.1</w:t>
            </w:r>
          </w:p>
        </w:tc>
      </w:tr>
      <w:tr w:rsidR="00225653" w:rsidRPr="00134625" w:rsidTr="00AB725E">
        <w:trPr>
          <w:trHeight w:val="300"/>
        </w:trPr>
        <w:tc>
          <w:tcPr>
            <w:tcW w:w="3969" w:type="dxa"/>
            <w:gridSpan w:val="2"/>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University of Wollongong</w:t>
            </w:r>
            <w:r w:rsidR="00A0715D">
              <w:rPr>
                <w:rFonts w:ascii="Arial" w:hAnsi="Arial" w:cs="Arial"/>
                <w:sz w:val="16"/>
                <w:szCs w:val="16"/>
              </w:rPr>
              <w:t xml:space="preserve"> (2)</w:t>
            </w:r>
          </w:p>
        </w:tc>
        <w:tc>
          <w:tcPr>
            <w:tcW w:w="993" w:type="dxa"/>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71</w:t>
            </w:r>
          </w:p>
        </w:tc>
        <w:tc>
          <w:tcPr>
            <w:tcW w:w="850" w:type="dxa"/>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14%</w:t>
            </w:r>
          </w:p>
        </w:tc>
        <w:tc>
          <w:tcPr>
            <w:tcW w:w="1134" w:type="dxa"/>
            <w:tcBorders>
              <w:top w:val="nil"/>
              <w:left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&lt;10</w:t>
            </w:r>
          </w:p>
        </w:tc>
        <w:tc>
          <w:tcPr>
            <w:tcW w:w="992" w:type="dxa"/>
            <w:tcBorders>
              <w:top w:val="nil"/>
              <w:left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n.a</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University of South Australia</w:t>
            </w:r>
            <w:r w:rsidR="00A0715D">
              <w:rPr>
                <w:rFonts w:ascii="Arial" w:hAnsi="Arial" w:cs="Arial"/>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65</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10%</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&lt;10</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n.a</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University of Ballarat</w:t>
            </w:r>
            <w:r w:rsidR="00A0715D">
              <w:rPr>
                <w:rFonts w:ascii="Arial" w:hAnsi="Arial" w:cs="Arial"/>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63</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100%</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0</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0.0</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The University of Adelaide</w:t>
            </w:r>
            <w:r w:rsidR="00A0715D">
              <w:rPr>
                <w:rFonts w:ascii="Arial" w:hAnsi="Arial" w:cs="Arial"/>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62</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7%</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&lt;10</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n.a</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Edith Cowan University</w:t>
            </w:r>
            <w:r w:rsidR="00A0715D">
              <w:rPr>
                <w:rFonts w:ascii="Arial" w:hAnsi="Arial" w:cs="Arial"/>
                <w:sz w:val="16"/>
                <w:szCs w:val="16"/>
              </w:rPr>
              <w:t xml:space="preserve"> (1)</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35</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10%</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6</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17.1</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The University of New England</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33</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100%</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0</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0.0</w:t>
            </w:r>
          </w:p>
        </w:tc>
      </w:tr>
      <w:tr w:rsidR="00225653" w:rsidRPr="00134625"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La Trobe University</w:t>
            </w:r>
            <w:r w:rsidR="00A0715D">
              <w:rPr>
                <w:rFonts w:ascii="Arial" w:hAnsi="Arial" w:cs="Arial"/>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17</w:t>
            </w:r>
          </w:p>
        </w:tc>
        <w:tc>
          <w:tcPr>
            <w:tcW w:w="850" w:type="dxa"/>
            <w:tcBorders>
              <w:top w:val="nil"/>
              <w:left w:val="nil"/>
              <w:bottom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18%</w:t>
            </w:r>
          </w:p>
        </w:tc>
        <w:tc>
          <w:tcPr>
            <w:tcW w:w="1134"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&lt;10</w:t>
            </w:r>
          </w:p>
        </w:tc>
        <w:tc>
          <w:tcPr>
            <w:tcW w:w="992" w:type="dxa"/>
            <w:tcBorders>
              <w:top w:val="nil"/>
              <w:left w:val="nil"/>
              <w:bottom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n.a</w:t>
            </w:r>
          </w:p>
        </w:tc>
      </w:tr>
      <w:tr w:rsidR="00225653" w:rsidRPr="00134625" w:rsidTr="00AB725E">
        <w:trPr>
          <w:trHeight w:val="300"/>
        </w:trPr>
        <w:tc>
          <w:tcPr>
            <w:tcW w:w="3969" w:type="dxa"/>
            <w:gridSpan w:val="2"/>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rPr>
                <w:rFonts w:ascii="Arial" w:hAnsi="Arial" w:cs="Arial"/>
                <w:sz w:val="16"/>
                <w:szCs w:val="16"/>
              </w:rPr>
            </w:pPr>
            <w:r w:rsidRPr="00134625">
              <w:rPr>
                <w:rFonts w:ascii="Arial" w:hAnsi="Arial" w:cs="Arial"/>
                <w:sz w:val="16"/>
                <w:szCs w:val="16"/>
              </w:rPr>
              <w:t>RMIT University</w:t>
            </w:r>
            <w:r w:rsidR="00A0715D">
              <w:rPr>
                <w:rFonts w:ascii="Arial" w:hAnsi="Arial" w:cs="Arial"/>
                <w:sz w:val="16"/>
                <w:szCs w:val="16"/>
              </w:rPr>
              <w:t xml:space="preserve"> (1)</w:t>
            </w:r>
          </w:p>
        </w:tc>
        <w:tc>
          <w:tcPr>
            <w:tcW w:w="993" w:type="dxa"/>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14</w:t>
            </w:r>
          </w:p>
        </w:tc>
        <w:tc>
          <w:tcPr>
            <w:tcW w:w="850" w:type="dxa"/>
            <w:tcBorders>
              <w:top w:val="nil"/>
              <w:left w:val="nil"/>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1%</w:t>
            </w:r>
          </w:p>
        </w:tc>
        <w:tc>
          <w:tcPr>
            <w:tcW w:w="1134" w:type="dxa"/>
            <w:tcBorders>
              <w:top w:val="nil"/>
              <w:left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0</w:t>
            </w:r>
          </w:p>
        </w:tc>
        <w:tc>
          <w:tcPr>
            <w:tcW w:w="992" w:type="dxa"/>
            <w:tcBorders>
              <w:top w:val="nil"/>
              <w:left w:val="nil"/>
              <w:right w:val="nil"/>
            </w:tcBorders>
            <w:vAlign w:val="bottom"/>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0.0</w:t>
            </w:r>
          </w:p>
        </w:tc>
      </w:tr>
      <w:tr w:rsidR="00225653" w:rsidRPr="00134625"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225653" w:rsidRPr="00134625" w:rsidRDefault="00225653" w:rsidP="00AB725E">
            <w:pPr>
              <w:pStyle w:val="Tabletext"/>
              <w:spacing w:before="100" w:beforeAutospacing="1" w:after="100" w:afterAutospacing="1" w:line="260" w:lineRule="auto"/>
              <w:rPr>
                <w:rFonts w:cs="Arial"/>
                <w:szCs w:val="16"/>
              </w:rPr>
            </w:pPr>
            <w:r w:rsidRPr="00134625">
              <w:rPr>
                <w:rFonts w:cs="Arial"/>
                <w:szCs w:val="16"/>
              </w:rPr>
              <w:t>TOTAL</w:t>
            </w:r>
          </w:p>
        </w:tc>
        <w:tc>
          <w:tcPr>
            <w:tcW w:w="993" w:type="dxa"/>
            <w:tcBorders>
              <w:top w:val="nil"/>
              <w:left w:val="nil"/>
              <w:bottom w:val="single" w:sz="4" w:space="0" w:color="auto"/>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8 764</w:t>
            </w:r>
          </w:p>
        </w:tc>
        <w:tc>
          <w:tcPr>
            <w:tcW w:w="850" w:type="dxa"/>
            <w:tcBorders>
              <w:top w:val="nil"/>
              <w:left w:val="nil"/>
              <w:bottom w:val="single" w:sz="4" w:space="0" w:color="auto"/>
              <w:right w:val="nil"/>
            </w:tcBorders>
            <w:shd w:val="clear" w:color="auto" w:fill="auto"/>
            <w:noWrap/>
            <w:vAlign w:val="bottom"/>
            <w:hideMark/>
          </w:tcPr>
          <w:p w:rsidR="00225653" w:rsidRPr="00134625" w:rsidRDefault="00225653" w:rsidP="00AB725E">
            <w:pPr>
              <w:spacing w:before="100" w:beforeAutospacing="1" w:after="100" w:afterAutospacing="1" w:line="260" w:lineRule="auto"/>
              <w:jc w:val="right"/>
              <w:rPr>
                <w:rFonts w:ascii="Arial" w:hAnsi="Arial" w:cs="Arial"/>
                <w:sz w:val="16"/>
                <w:szCs w:val="16"/>
              </w:rPr>
            </w:pPr>
            <w:r w:rsidRPr="00134625">
              <w:rPr>
                <w:rFonts w:ascii="Arial" w:hAnsi="Arial" w:cs="Arial"/>
                <w:sz w:val="16"/>
                <w:szCs w:val="16"/>
              </w:rPr>
              <w:t>44.3</w:t>
            </w:r>
          </w:p>
        </w:tc>
        <w:tc>
          <w:tcPr>
            <w:tcW w:w="1134" w:type="dxa"/>
            <w:tcBorders>
              <w:top w:val="nil"/>
              <w:left w:val="nil"/>
              <w:bottom w:val="single" w:sz="4" w:space="0" w:color="auto"/>
              <w:right w:val="nil"/>
            </w:tcBorders>
            <w:vAlign w:val="bottom"/>
          </w:tcPr>
          <w:p w:rsidR="00225653" w:rsidRPr="00134625" w:rsidRDefault="00225653" w:rsidP="00AB725E">
            <w:pPr>
              <w:pStyle w:val="Tabletext"/>
              <w:spacing w:before="100" w:beforeAutospacing="1" w:after="100" w:afterAutospacing="1" w:line="260" w:lineRule="auto"/>
              <w:jc w:val="right"/>
              <w:rPr>
                <w:rFonts w:cs="Arial"/>
                <w:szCs w:val="16"/>
              </w:rPr>
            </w:pPr>
            <w:r w:rsidRPr="00134625">
              <w:rPr>
                <w:rFonts w:cs="Arial"/>
                <w:szCs w:val="16"/>
              </w:rPr>
              <w:t>442</w:t>
            </w:r>
          </w:p>
        </w:tc>
        <w:tc>
          <w:tcPr>
            <w:tcW w:w="992" w:type="dxa"/>
            <w:tcBorders>
              <w:top w:val="nil"/>
              <w:left w:val="nil"/>
              <w:bottom w:val="single" w:sz="4" w:space="0" w:color="auto"/>
              <w:right w:val="nil"/>
            </w:tcBorders>
            <w:vAlign w:val="bottom"/>
          </w:tcPr>
          <w:p w:rsidR="00225653" w:rsidRPr="00134625" w:rsidRDefault="00225653" w:rsidP="00AB725E">
            <w:pPr>
              <w:pStyle w:val="Tabletext"/>
              <w:spacing w:before="100" w:beforeAutospacing="1" w:after="100" w:afterAutospacing="1" w:line="260" w:lineRule="auto"/>
              <w:jc w:val="right"/>
              <w:rPr>
                <w:rFonts w:cs="Arial"/>
                <w:szCs w:val="16"/>
              </w:rPr>
            </w:pPr>
            <w:r w:rsidRPr="00134625">
              <w:rPr>
                <w:rFonts w:cs="Arial"/>
                <w:szCs w:val="16"/>
              </w:rPr>
              <w:t>5.0</w:t>
            </w:r>
          </w:p>
        </w:tc>
      </w:tr>
    </w:tbl>
    <w:p w:rsidR="00225653" w:rsidRDefault="00225653" w:rsidP="00225653">
      <w:pPr>
        <w:pStyle w:val="Source"/>
        <w:tabs>
          <w:tab w:val="left" w:pos="7416"/>
        </w:tabs>
      </w:pPr>
      <w:r>
        <w:t>Source: DEEWR (2010) Higher Education Statistics Collection. Unpublished data</w:t>
      </w:r>
      <w:r>
        <w:tab/>
      </w:r>
    </w:p>
    <w:p w:rsidR="00225653" w:rsidRDefault="00225653" w:rsidP="00225653">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096D36" w:rsidRDefault="00096D36" w:rsidP="00225653">
      <w:pPr>
        <w:pStyle w:val="Text"/>
      </w:pPr>
      <w:r w:rsidRPr="00096D36">
        <w:t xml:space="preserve">It is more likely, however, that the general introductory units of study in first-year undergraduate programs are classified as “Other” because they do not belong to any specific sub-field. As most universities would have some introductory units in their undergraduate degrees, we would expect to see some data on “Other Engineering and Related Technologies” for every institution. However the distribution of enrolments under the “Other Engineering and Related Technologies” category differs substantially between universities, as shown in </w:t>
      </w:r>
      <w:r w:rsidR="00B45EBA">
        <w:t>Table 1</w:t>
      </w:r>
      <w:r w:rsidR="009A7713">
        <w:t>9</w:t>
      </w:r>
      <w:r w:rsidRPr="00096D36">
        <w:t>.</w:t>
      </w:r>
    </w:p>
    <w:p w:rsidR="00225653" w:rsidRDefault="00225653" w:rsidP="00225653">
      <w:pPr>
        <w:pStyle w:val="Text"/>
      </w:pPr>
      <w:r>
        <w:t xml:space="preserve">A brief check of the web-sites of the five largest providers at the top of the list in </w:t>
      </w:r>
      <w:r w:rsidR="00B45EBA">
        <w:t>Table 1</w:t>
      </w:r>
      <w:r w:rsidR="009A7713">
        <w:t>9</w:t>
      </w:r>
      <w:r>
        <w:t xml:space="preserve"> revealed the existence of common introductory units during the first year of all engineering programs, which could explain the reporting of almost 100 per cent of first year enrolments as “Other Engineering and Related Technologies”. </w:t>
      </w:r>
      <w:r w:rsidRPr="00CC2ED3">
        <w:t xml:space="preserve">It is beyond the scope of this </w:t>
      </w:r>
      <w:r>
        <w:t>report</w:t>
      </w:r>
      <w:r w:rsidRPr="00CC2ED3">
        <w:t xml:space="preserve"> to investigate what the “Other </w:t>
      </w:r>
      <w:r w:rsidRPr="00CC2ED3">
        <w:lastRenderedPageBreak/>
        <w:t xml:space="preserve">Engineering and Related Technologies” category actually represents in terms of sub-fields of study. </w:t>
      </w:r>
      <w:r>
        <w:t xml:space="preserve"> However readers need to note that the analysis in this report of enrolments by sub-fields relates to only half of all commencing students in Engineering and Related Technologies, and that the universities which report all of their Engineering commencement data under the sub-field of </w:t>
      </w:r>
      <w:r w:rsidRPr="00077AEB">
        <w:t xml:space="preserve">“Other Engineering and Related Technologies” </w:t>
      </w:r>
      <w:r>
        <w:t xml:space="preserve"> are thus excluded from the analysis that follows.   </w:t>
      </w:r>
    </w:p>
    <w:p w:rsidR="00225653" w:rsidRDefault="00225653" w:rsidP="00225653">
      <w:pPr>
        <w:pStyle w:val="Heading3"/>
      </w:pPr>
      <w:r>
        <w:t>Small sub-fields</w:t>
      </w:r>
    </w:p>
    <w:p w:rsidR="00225653" w:rsidRDefault="00225653" w:rsidP="00225653">
      <w:pPr>
        <w:pStyle w:val="Text"/>
      </w:pPr>
      <w:r>
        <w:t xml:space="preserve">As shown in </w:t>
      </w:r>
      <w:r w:rsidR="00B45EBA">
        <w:t>Table 1</w:t>
      </w:r>
      <w:r w:rsidR="009A7713">
        <w:t>8</w:t>
      </w:r>
      <w:r>
        <w:t>, admission rates of VET award-holders are highest in the relatively small fields of Manufacturing Engineering; Geomatic Engineering and Maritime Engineering, which have admission rates of VET award-holders ranging from 19 to 28 per cent. Provision in these three sub-fields appears to be confined to a small number of institutions.</w:t>
      </w:r>
    </w:p>
    <w:p w:rsidR="00225653" w:rsidRDefault="00225653" w:rsidP="00225653">
      <w:pPr>
        <w:pStyle w:val="Text"/>
      </w:pPr>
      <w:r>
        <w:t xml:space="preserve">In the field of Manufacturing Engineering for example, there are only three providers and one of these – RMIT University – enrols over half of all the undergraduate students in this discipline and accounts for all 51 of the students admitted on the basis of a VET award. The other two universities have no VET award-holders reported in their programs. </w:t>
      </w:r>
    </w:p>
    <w:p w:rsidR="00225653" w:rsidRDefault="00225653" w:rsidP="00225653">
      <w:pPr>
        <w:pStyle w:val="Text"/>
      </w:pPr>
      <w:r>
        <w:t xml:space="preserve">In Geomatic Engineering, the study of mapping and surveying, there are seven providers in total, five of which admit small numbers of students (&lt;10 each) on the basis of a VET award. The RMIT University is also the major provider of Geomatic Engineering, accounting for 28 per cent of all enrolments and almost half (18) of the students in this sub-field who are admitted on the basis of a VET award. </w:t>
      </w:r>
    </w:p>
    <w:p w:rsidR="00225653" w:rsidRDefault="00225653" w:rsidP="00225653">
      <w:pPr>
        <w:pStyle w:val="Text"/>
      </w:pPr>
      <w:r>
        <w:t xml:space="preserve">In Maritime Engineering, there is only one provider – the University of Tasmania – which admitted 66 students or 26 per cent of all commencements in this field on the basis of a VET award in 2010. </w:t>
      </w:r>
    </w:p>
    <w:p w:rsidR="00225653" w:rsidRDefault="00225653" w:rsidP="00225653">
      <w:pPr>
        <w:pStyle w:val="Heading3"/>
      </w:pPr>
      <w:r>
        <w:t>Large sub-fields</w:t>
      </w:r>
    </w:p>
    <w:p w:rsidR="00225653" w:rsidRDefault="00225653" w:rsidP="00225653">
      <w:pPr>
        <w:pStyle w:val="Text"/>
      </w:pPr>
      <w:r>
        <w:t xml:space="preserve">With the exception of Electrical and Electronic Engineering and Technology, all of the large sub-fields (including “Other”), report below-average rates of admission rate of students on the basis of a VET award, however the rates vary between institutions. </w:t>
      </w:r>
    </w:p>
    <w:p w:rsidR="00225653" w:rsidRDefault="00225653" w:rsidP="00225653">
      <w:pPr>
        <w:pStyle w:val="Heading4"/>
      </w:pPr>
      <w:r w:rsidRPr="00770423">
        <w:t xml:space="preserve">Electrical and Electronic Engineering </w:t>
      </w:r>
      <w:r>
        <w:t>&amp;</w:t>
      </w:r>
      <w:r w:rsidRPr="00770423">
        <w:t xml:space="preserve">Technology </w:t>
      </w:r>
    </w:p>
    <w:p w:rsidR="003F52DC" w:rsidRDefault="003F52DC" w:rsidP="003F52DC">
      <w:pPr>
        <w:pStyle w:val="Text"/>
      </w:pPr>
      <w:r>
        <w:t xml:space="preserve">In the sub-field of Electrical and Electronic Engineering (FOE 0313), </w:t>
      </w:r>
      <w:r w:rsidRPr="000D1F74">
        <w:t xml:space="preserve">Cluster 1 universities account for 33 per cent of total enrolments </w:t>
      </w:r>
      <w:r>
        <w:t xml:space="preserve">and Cluster 3 has only </w:t>
      </w:r>
      <w:r w:rsidRPr="000D1F74">
        <w:t>43 per cent</w:t>
      </w:r>
      <w:r w:rsidR="00952A92">
        <w:t xml:space="preserve">, which is </w:t>
      </w:r>
      <w:r w:rsidR="00214797">
        <w:t>less than its share of 54% of the broad field</w:t>
      </w:r>
      <w:r>
        <w:t>.</w:t>
      </w:r>
      <w:r w:rsidRPr="000D1F74">
        <w:t xml:space="preserve"> </w:t>
      </w:r>
      <w:r>
        <w:t xml:space="preserve">Interestingly, the admission rate of VET award-holders in this sub-field is </w:t>
      </w:r>
      <w:r w:rsidRPr="00B3632C">
        <w:t>13.7</w:t>
      </w:r>
      <w:r>
        <w:t xml:space="preserve">, well above the 7.4 per cent for the broad field of Engineering and Related Technologies (FOE 03). </w:t>
      </w:r>
      <w:r w:rsidR="00C25BDC" w:rsidRPr="00C25BDC">
        <w:t>It is one of three main sub-fields, along with Civil Engineering and Mechanical Engineering, that account for over one third (37</w:t>
      </w:r>
      <w:r w:rsidR="00CA146B">
        <w:t>%</w:t>
      </w:r>
      <w:r w:rsidR="00C25BDC" w:rsidRPr="00C25BDC">
        <w:t>) of enrolments in Engineering and Related Technologies, but has the highest rate of admission of VET award-holders of the three</w:t>
      </w:r>
      <w:r w:rsidR="00C25BDC">
        <w:t>.</w:t>
      </w:r>
    </w:p>
    <w:p w:rsidR="00225653" w:rsidRDefault="00225653" w:rsidP="00225653">
      <w:pPr>
        <w:pStyle w:val="Text"/>
      </w:pPr>
      <w:r>
        <w:t xml:space="preserve">Nineteen universities are reported in the higher education statistics collection as having undergraduate commencements in the sub-field of Electrical and Electronic Engineering and Technology, which accounts for 12.5 per cent of all undergraduate commencements in the broad field of Engineering and Related Technologies. </w:t>
      </w:r>
    </w:p>
    <w:p w:rsidR="00225653" w:rsidRDefault="00225653" w:rsidP="00225653">
      <w:pPr>
        <w:pStyle w:val="Text"/>
      </w:pPr>
      <w:r>
        <w:t xml:space="preserve">Commencing enrolments in this field appear to be concentrated among a few institutions. As shown in </w:t>
      </w:r>
      <w:r w:rsidR="00B45EBA">
        <w:t xml:space="preserve">Table </w:t>
      </w:r>
      <w:r w:rsidR="009A7713">
        <w:t>20</w:t>
      </w:r>
      <w:r>
        <w:t>, f</w:t>
      </w:r>
      <w:r w:rsidRPr="0082618E">
        <w:t xml:space="preserve">our universities enrol half of all undergraduates commencing in this sub-field and ten universities account for over 80 per cent of all students. </w:t>
      </w:r>
    </w:p>
    <w:p w:rsidR="00225653" w:rsidRDefault="00225653" w:rsidP="00225653">
      <w:pPr>
        <w:pStyle w:val="Text"/>
      </w:pPr>
      <w:r w:rsidRPr="007A2BAD">
        <w:lastRenderedPageBreak/>
        <w:t xml:space="preserve">This is the only sub-field in the broad field of Engineering and Related Technologies that reports the admission of VET award-holders at above-average rates. Some 13.7 per cent of undergraduate commencements are admitted on the basis of a VET award. </w:t>
      </w:r>
      <w:r>
        <w:t xml:space="preserve">However the admission of VET award holders is very inconsistent between universities. </w:t>
      </w:r>
      <w:r w:rsidRPr="0082618E">
        <w:t>Among the four biggest providers, two institutions – RMIT University and Swinburne University of Technology – admit a very high proportion of students on the basis of a VET award – 35.5 per cent and 19 per cent respectively. In contrast, the next two largest providers – the University of New South Wales and Curtin University of Technology – admit too few VET award-holders to be counted. While ten universities account for 80 per cent of all enrolments in th</w:t>
      </w:r>
      <w:r>
        <w:t>is</w:t>
      </w:r>
      <w:r w:rsidRPr="0082618E">
        <w:t xml:space="preserve"> sub-field, </w:t>
      </w:r>
      <w:r>
        <w:t xml:space="preserve">only </w:t>
      </w:r>
      <w:r w:rsidRPr="0082618E">
        <w:t>five universities account for 80 per cent of the VET award-holders. The RMIT University, Swinburne University, the University of South Australia, the University of Wollongong and the University of Newcastle together enrol 268 of the 338 students admitted to this field on the basis of a VET award.</w:t>
      </w:r>
    </w:p>
    <w:p w:rsidR="00225653" w:rsidRDefault="00B45EBA" w:rsidP="00225653">
      <w:pPr>
        <w:pStyle w:val="tabletitle"/>
      </w:pPr>
      <w:bookmarkStart w:id="112" w:name="_Toc350786326"/>
      <w:bookmarkStart w:id="113" w:name="_Toc370995929"/>
      <w:r>
        <w:t xml:space="preserve">Table </w:t>
      </w:r>
      <w:r w:rsidR="006A154F">
        <w:t>20</w:t>
      </w:r>
      <w:r w:rsidR="00225653">
        <w:tab/>
        <w:t xml:space="preserve">VET award-holders and all undergraduate commencements in Electrical and Electronic Engineering and Technology </w:t>
      </w:r>
      <w:r w:rsidR="00225653">
        <w:rPr>
          <w:szCs w:val="22"/>
        </w:rPr>
        <w:t>(FOE 0305)</w:t>
      </w:r>
      <w:r w:rsidR="00225653">
        <w:t>, by HE provider Australia 2010</w:t>
      </w:r>
      <w:bookmarkEnd w:id="112"/>
      <w:bookmarkEnd w:id="113"/>
    </w:p>
    <w:tbl>
      <w:tblPr>
        <w:tblW w:w="8080" w:type="dxa"/>
        <w:tblInd w:w="108" w:type="dxa"/>
        <w:tblLayout w:type="fixed"/>
        <w:tblLook w:val="04A0"/>
      </w:tblPr>
      <w:tblGrid>
        <w:gridCol w:w="3448"/>
        <w:gridCol w:w="521"/>
        <w:gridCol w:w="993"/>
        <w:gridCol w:w="850"/>
        <w:gridCol w:w="1134"/>
        <w:gridCol w:w="1134"/>
      </w:tblGrid>
      <w:tr w:rsidR="00225653" w:rsidRPr="00CE24D5" w:rsidTr="00AB725E">
        <w:trPr>
          <w:trHeight w:val="300"/>
        </w:trPr>
        <w:tc>
          <w:tcPr>
            <w:tcW w:w="3448" w:type="dxa"/>
            <w:tcBorders>
              <w:top w:val="single" w:sz="4" w:space="0" w:color="auto"/>
              <w:left w:val="nil"/>
              <w:bottom w:val="nil"/>
              <w:right w:val="nil"/>
            </w:tcBorders>
            <w:shd w:val="clear" w:color="auto" w:fill="auto"/>
            <w:noWrap/>
            <w:vAlign w:val="bottom"/>
            <w:hideMark/>
          </w:tcPr>
          <w:p w:rsidR="00225653" w:rsidRPr="00CE24D5" w:rsidRDefault="00225653" w:rsidP="00AB725E">
            <w:pPr>
              <w:pStyle w:val="Tablehead1"/>
              <w:rPr>
                <w:bCs/>
                <w:color w:val="000000"/>
                <w:lang w:val="en-US"/>
              </w:rPr>
            </w:pPr>
          </w:p>
        </w:tc>
        <w:tc>
          <w:tcPr>
            <w:tcW w:w="2364" w:type="dxa"/>
            <w:gridSpan w:val="3"/>
            <w:tcBorders>
              <w:top w:val="single" w:sz="4" w:space="0" w:color="auto"/>
              <w:left w:val="nil"/>
              <w:bottom w:val="nil"/>
              <w:right w:val="nil"/>
            </w:tcBorders>
            <w:shd w:val="clear" w:color="auto" w:fill="auto"/>
            <w:noWrap/>
            <w:vAlign w:val="bottom"/>
            <w:hideMark/>
          </w:tcPr>
          <w:p w:rsidR="00225653" w:rsidRPr="00CE24D5" w:rsidRDefault="00225653" w:rsidP="00AB725E">
            <w:pPr>
              <w:pStyle w:val="Tablehead1"/>
              <w:jc w:val="right"/>
              <w:rPr>
                <w:rFonts w:cs="Arial"/>
                <w:bCs/>
                <w:color w:val="000000"/>
                <w:szCs w:val="17"/>
                <w:lang w:val="en-US"/>
              </w:rPr>
            </w:pPr>
            <w:r>
              <w:rPr>
                <w:rFonts w:cs="Arial"/>
                <w:bCs/>
                <w:color w:val="000000"/>
                <w:szCs w:val="17"/>
                <w:lang w:val="en-US"/>
              </w:rPr>
              <w:t>All undergraduate commencements</w:t>
            </w:r>
          </w:p>
        </w:tc>
        <w:tc>
          <w:tcPr>
            <w:tcW w:w="2268" w:type="dxa"/>
            <w:gridSpan w:val="2"/>
            <w:tcBorders>
              <w:top w:val="single" w:sz="4" w:space="0" w:color="auto"/>
              <w:left w:val="nil"/>
              <w:bottom w:val="nil"/>
              <w:right w:val="nil"/>
            </w:tcBorders>
            <w:vAlign w:val="bottom"/>
          </w:tcPr>
          <w:p w:rsidR="00225653" w:rsidRPr="00CE24D5" w:rsidRDefault="00225653" w:rsidP="00AB725E">
            <w:pPr>
              <w:pStyle w:val="Tablehead1"/>
              <w:jc w:val="right"/>
              <w:rPr>
                <w:rFonts w:cs="Arial"/>
                <w:bCs/>
                <w:color w:val="000000"/>
                <w:szCs w:val="17"/>
                <w:lang w:val="en-US"/>
              </w:rPr>
            </w:pPr>
            <w:r>
              <w:rPr>
                <w:rFonts w:cs="Arial"/>
                <w:bCs/>
                <w:color w:val="000000"/>
                <w:szCs w:val="17"/>
                <w:lang w:val="en-US"/>
              </w:rPr>
              <w:t xml:space="preserve">VET award-holders </w:t>
            </w:r>
          </w:p>
        </w:tc>
      </w:tr>
      <w:tr w:rsidR="00225653" w:rsidRPr="00322D4B"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rPr>
                <w:rFonts w:asciiTheme="majorHAnsi" w:hAnsiTheme="majorHAnsi"/>
                <w:sz w:val="18"/>
                <w:szCs w:val="18"/>
                <w:lang w:val="en-US"/>
              </w:rPr>
            </w:pPr>
            <w:r>
              <w:rPr>
                <w:rFonts w:asciiTheme="majorHAnsi" w:hAnsiTheme="majorHAnsi"/>
                <w:sz w:val="18"/>
                <w:szCs w:val="18"/>
                <w:lang w:val="en-US"/>
              </w:rPr>
              <w:t xml:space="preserve">Institution </w:t>
            </w:r>
            <w:r w:rsidR="005C060A">
              <w:rPr>
                <w:rFonts w:asciiTheme="majorHAnsi" w:hAnsiTheme="majorHAnsi"/>
                <w:sz w:val="18"/>
                <w:szCs w:val="18"/>
                <w:lang w:val="en-US"/>
              </w:rPr>
              <w:t>(Cluster)</w:t>
            </w:r>
          </w:p>
        </w:tc>
        <w:tc>
          <w:tcPr>
            <w:tcW w:w="993" w:type="dxa"/>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Students</w:t>
            </w:r>
          </w:p>
        </w:tc>
        <w:tc>
          <w:tcPr>
            <w:tcW w:w="850" w:type="dxa"/>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 total</w:t>
            </w:r>
          </w:p>
        </w:tc>
        <w:tc>
          <w:tcPr>
            <w:tcW w:w="1134" w:type="dxa"/>
            <w:tcBorders>
              <w:top w:val="nil"/>
              <w:left w:val="nil"/>
              <w:bottom w:val="single" w:sz="4" w:space="0" w:color="auto"/>
              <w:right w:val="nil"/>
            </w:tcBorders>
            <w:vAlign w:val="bottom"/>
          </w:tcPr>
          <w:p w:rsidR="00225653" w:rsidRPr="00F71B20" w:rsidRDefault="00225653"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Students</w:t>
            </w:r>
          </w:p>
        </w:tc>
        <w:tc>
          <w:tcPr>
            <w:tcW w:w="1134" w:type="dxa"/>
            <w:tcBorders>
              <w:top w:val="nil"/>
              <w:left w:val="nil"/>
              <w:bottom w:val="single" w:sz="4" w:space="0" w:color="auto"/>
              <w:right w:val="nil"/>
            </w:tcBorders>
            <w:vAlign w:val="bottom"/>
          </w:tcPr>
          <w:p w:rsidR="00225653" w:rsidRPr="00F71B20" w:rsidRDefault="00225653"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 xml:space="preserve">% </w:t>
            </w:r>
            <w:r>
              <w:rPr>
                <w:rFonts w:asciiTheme="majorHAnsi" w:hAnsiTheme="majorHAnsi"/>
                <w:sz w:val="18"/>
                <w:szCs w:val="18"/>
                <w:lang w:val="en-US"/>
              </w:rPr>
              <w:t>all U/G</w:t>
            </w:r>
          </w:p>
        </w:tc>
      </w:tr>
      <w:tr w:rsidR="00C25BDC" w:rsidRPr="00A96F8F" w:rsidTr="00AB725E">
        <w:trPr>
          <w:trHeight w:val="300"/>
        </w:trPr>
        <w:tc>
          <w:tcPr>
            <w:tcW w:w="3969" w:type="dxa"/>
            <w:gridSpan w:val="2"/>
            <w:tcBorders>
              <w:top w:val="single" w:sz="4" w:space="0" w:color="auto"/>
              <w:left w:val="nil"/>
              <w:bottom w:val="nil"/>
              <w:right w:val="nil"/>
            </w:tcBorders>
            <w:shd w:val="clear" w:color="auto" w:fill="auto"/>
            <w:noWrap/>
            <w:vAlign w:val="bottom"/>
            <w:hideMark/>
          </w:tcPr>
          <w:p w:rsidR="00C25BDC" w:rsidRPr="00A96F8F" w:rsidRDefault="00C25BDC" w:rsidP="00A372CA">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RMIT University</w:t>
            </w:r>
            <w:r>
              <w:rPr>
                <w:rFonts w:ascii="Arial" w:hAnsi="Arial" w:cs="Arial"/>
                <w:color w:val="000000"/>
                <w:sz w:val="16"/>
                <w:szCs w:val="16"/>
              </w:rPr>
              <w:t xml:space="preserve"> (1)</w:t>
            </w:r>
          </w:p>
        </w:tc>
        <w:tc>
          <w:tcPr>
            <w:tcW w:w="993" w:type="dxa"/>
            <w:tcBorders>
              <w:top w:val="single" w:sz="4" w:space="0" w:color="auto"/>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406</w:t>
            </w:r>
          </w:p>
        </w:tc>
        <w:tc>
          <w:tcPr>
            <w:tcW w:w="850" w:type="dxa"/>
            <w:tcBorders>
              <w:top w:val="single" w:sz="4" w:space="0" w:color="auto"/>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16.4</w:t>
            </w:r>
          </w:p>
        </w:tc>
        <w:tc>
          <w:tcPr>
            <w:tcW w:w="1134" w:type="dxa"/>
            <w:tcBorders>
              <w:top w:val="single" w:sz="4" w:space="0" w:color="auto"/>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144</w:t>
            </w:r>
          </w:p>
        </w:tc>
        <w:tc>
          <w:tcPr>
            <w:tcW w:w="1134" w:type="dxa"/>
            <w:tcBorders>
              <w:top w:val="single" w:sz="4" w:space="0" w:color="auto"/>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35.5</w:t>
            </w:r>
          </w:p>
        </w:tc>
      </w:tr>
      <w:tr w:rsidR="00C25BDC"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C25BDC" w:rsidRPr="00A96F8F" w:rsidRDefault="00C25BDC" w:rsidP="00A372CA">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Swinburne University of Technology</w:t>
            </w:r>
            <w:r>
              <w:rPr>
                <w:rFonts w:ascii="Arial" w:hAnsi="Arial" w:cs="Arial"/>
                <w:color w:val="000000"/>
                <w:sz w:val="16"/>
                <w:szCs w:val="16"/>
              </w:rPr>
              <w:t xml:space="preserve"> </w:t>
            </w:r>
            <w:r w:rsidRPr="004A3B4F">
              <w:rPr>
                <w:rFonts w:ascii="Arial" w:hAnsi="Arial" w:cs="Arial"/>
                <w:color w:val="000000"/>
                <w:sz w:val="16"/>
                <w:szCs w:val="16"/>
              </w:rPr>
              <w:t>(1)</w:t>
            </w:r>
          </w:p>
        </w:tc>
        <w:tc>
          <w:tcPr>
            <w:tcW w:w="993"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305</w:t>
            </w:r>
          </w:p>
        </w:tc>
        <w:tc>
          <w:tcPr>
            <w:tcW w:w="850"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12.3</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58</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19.0</w:t>
            </w:r>
          </w:p>
        </w:tc>
      </w:tr>
      <w:tr w:rsidR="00C25BDC"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C25BDC" w:rsidRPr="00A96F8F" w:rsidRDefault="00C25BDC" w:rsidP="00A372CA">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The University of New South Wales</w:t>
            </w:r>
            <w:r>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275</w:t>
            </w:r>
          </w:p>
        </w:tc>
        <w:tc>
          <w:tcPr>
            <w:tcW w:w="850"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11.1</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sz w:val="16"/>
                <w:szCs w:val="16"/>
              </w:rPr>
            </w:pPr>
            <w:r>
              <w:rPr>
                <w:rFonts w:ascii="Arial" w:hAnsi="Arial" w:cs="Arial"/>
                <w:sz w:val="16"/>
                <w:szCs w:val="16"/>
              </w:rPr>
              <w:t>&lt;10</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Pr>
                <w:rFonts w:ascii="Arial" w:hAnsi="Arial" w:cs="Arial"/>
                <w:color w:val="000000"/>
                <w:sz w:val="16"/>
                <w:szCs w:val="16"/>
              </w:rPr>
              <w:t>n.a</w:t>
            </w:r>
          </w:p>
        </w:tc>
      </w:tr>
      <w:tr w:rsidR="00C25BDC"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C25BDC" w:rsidRPr="00A96F8F" w:rsidRDefault="00C25BDC" w:rsidP="00A372CA">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Curtin University of Technology</w:t>
            </w:r>
            <w:r>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236</w:t>
            </w:r>
          </w:p>
        </w:tc>
        <w:tc>
          <w:tcPr>
            <w:tcW w:w="850"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9.5</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sz w:val="16"/>
                <w:szCs w:val="16"/>
              </w:rPr>
            </w:pPr>
            <w:r>
              <w:rPr>
                <w:rFonts w:ascii="Arial" w:hAnsi="Arial" w:cs="Arial"/>
                <w:sz w:val="16"/>
                <w:szCs w:val="16"/>
              </w:rPr>
              <w:t>&lt;10</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Pr>
                <w:rFonts w:ascii="Arial" w:hAnsi="Arial" w:cs="Arial"/>
                <w:color w:val="000000"/>
                <w:sz w:val="16"/>
                <w:szCs w:val="16"/>
              </w:rPr>
              <w:t>n.a</w:t>
            </w:r>
          </w:p>
        </w:tc>
      </w:tr>
      <w:tr w:rsidR="00C25BDC"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C25BDC" w:rsidRPr="00A96F8F" w:rsidRDefault="00C25BDC" w:rsidP="00A372CA">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University of South Australia</w:t>
            </w:r>
            <w:r>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152</w:t>
            </w:r>
          </w:p>
        </w:tc>
        <w:tc>
          <w:tcPr>
            <w:tcW w:w="850"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6.1</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13</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8.6</w:t>
            </w:r>
          </w:p>
        </w:tc>
      </w:tr>
      <w:tr w:rsidR="00C25BDC"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C25BDC" w:rsidRPr="00A96F8F" w:rsidRDefault="00C25BDC" w:rsidP="00A372CA">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The University of Adelaide</w:t>
            </w:r>
            <w:r>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145</w:t>
            </w:r>
          </w:p>
        </w:tc>
        <w:tc>
          <w:tcPr>
            <w:tcW w:w="850"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5.9</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0</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0.0</w:t>
            </w:r>
          </w:p>
        </w:tc>
      </w:tr>
      <w:tr w:rsidR="00C25BDC"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C25BDC" w:rsidRPr="00A96F8F" w:rsidRDefault="00C25BDC" w:rsidP="00A372CA">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University of Wollongong</w:t>
            </w:r>
            <w:r>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145</w:t>
            </w:r>
          </w:p>
        </w:tc>
        <w:tc>
          <w:tcPr>
            <w:tcW w:w="850"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5.9</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13</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9.0</w:t>
            </w:r>
          </w:p>
        </w:tc>
      </w:tr>
      <w:tr w:rsidR="00C25BDC"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C25BDC" w:rsidRPr="00A96F8F" w:rsidRDefault="00C25BDC" w:rsidP="00A372CA">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The University of Newcastle</w:t>
            </w:r>
            <w:r>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142</w:t>
            </w:r>
          </w:p>
        </w:tc>
        <w:tc>
          <w:tcPr>
            <w:tcW w:w="850"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5.7</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40</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28.2</w:t>
            </w:r>
          </w:p>
        </w:tc>
      </w:tr>
      <w:tr w:rsidR="00C25BDC"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C25BDC" w:rsidRPr="00A96F8F" w:rsidRDefault="00C25BDC" w:rsidP="00A372CA">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The University of Queensland</w:t>
            </w:r>
            <w:r>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133</w:t>
            </w:r>
          </w:p>
        </w:tc>
        <w:tc>
          <w:tcPr>
            <w:tcW w:w="850" w:type="dxa"/>
            <w:tcBorders>
              <w:top w:val="nil"/>
              <w:left w:val="nil"/>
              <w:bottom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5.4</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sz w:val="16"/>
                <w:szCs w:val="16"/>
              </w:rPr>
            </w:pPr>
            <w:r>
              <w:rPr>
                <w:rFonts w:ascii="Arial" w:hAnsi="Arial" w:cs="Arial"/>
                <w:sz w:val="16"/>
                <w:szCs w:val="16"/>
              </w:rPr>
              <w:t>&lt;10</w:t>
            </w:r>
          </w:p>
        </w:tc>
        <w:tc>
          <w:tcPr>
            <w:tcW w:w="1134" w:type="dxa"/>
            <w:tcBorders>
              <w:top w:val="nil"/>
              <w:left w:val="nil"/>
              <w:bottom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Pr>
                <w:rFonts w:ascii="Arial" w:hAnsi="Arial" w:cs="Arial"/>
                <w:color w:val="000000"/>
                <w:sz w:val="16"/>
                <w:szCs w:val="16"/>
              </w:rPr>
              <w:t>n.a</w:t>
            </w:r>
          </w:p>
        </w:tc>
      </w:tr>
      <w:tr w:rsidR="00C25BDC" w:rsidRPr="00A96F8F" w:rsidTr="00AB725E">
        <w:trPr>
          <w:trHeight w:val="300"/>
        </w:trPr>
        <w:tc>
          <w:tcPr>
            <w:tcW w:w="3969" w:type="dxa"/>
            <w:gridSpan w:val="2"/>
            <w:tcBorders>
              <w:top w:val="nil"/>
              <w:left w:val="nil"/>
              <w:right w:val="nil"/>
            </w:tcBorders>
            <w:shd w:val="clear" w:color="auto" w:fill="auto"/>
            <w:noWrap/>
            <w:vAlign w:val="bottom"/>
            <w:hideMark/>
          </w:tcPr>
          <w:p w:rsidR="00C25BDC" w:rsidRPr="00A96F8F" w:rsidRDefault="00C25BDC" w:rsidP="00A372CA">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The University of Sydney</w:t>
            </w:r>
            <w:r>
              <w:rPr>
                <w:rFonts w:ascii="Arial" w:hAnsi="Arial" w:cs="Arial"/>
                <w:color w:val="000000"/>
                <w:sz w:val="16"/>
                <w:szCs w:val="16"/>
              </w:rPr>
              <w:t xml:space="preserve"> (3)</w:t>
            </w:r>
          </w:p>
        </w:tc>
        <w:tc>
          <w:tcPr>
            <w:tcW w:w="993" w:type="dxa"/>
            <w:tcBorders>
              <w:top w:val="nil"/>
              <w:left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98</w:t>
            </w:r>
          </w:p>
        </w:tc>
        <w:tc>
          <w:tcPr>
            <w:tcW w:w="850" w:type="dxa"/>
            <w:tcBorders>
              <w:top w:val="nil"/>
              <w:left w:val="nil"/>
              <w:right w:val="nil"/>
            </w:tcBorders>
            <w:shd w:val="clear" w:color="auto" w:fill="auto"/>
            <w:noWrap/>
            <w:vAlign w:val="bottom"/>
            <w:hideMark/>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4.0</w:t>
            </w:r>
          </w:p>
        </w:tc>
        <w:tc>
          <w:tcPr>
            <w:tcW w:w="1134" w:type="dxa"/>
            <w:tcBorders>
              <w:top w:val="nil"/>
              <w:left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sz w:val="16"/>
                <w:szCs w:val="16"/>
              </w:rPr>
            </w:pPr>
            <w:r>
              <w:rPr>
                <w:rFonts w:ascii="Arial" w:hAnsi="Arial" w:cs="Arial"/>
                <w:sz w:val="16"/>
                <w:szCs w:val="16"/>
              </w:rPr>
              <w:t>&lt;10</w:t>
            </w:r>
          </w:p>
        </w:tc>
        <w:tc>
          <w:tcPr>
            <w:tcW w:w="1134" w:type="dxa"/>
            <w:tcBorders>
              <w:top w:val="nil"/>
              <w:left w:val="nil"/>
              <w:right w:val="nil"/>
            </w:tcBorders>
            <w:vAlign w:val="bottom"/>
          </w:tcPr>
          <w:p w:rsidR="00C25BDC" w:rsidRPr="00A96F8F" w:rsidRDefault="00C25BDC" w:rsidP="00AB725E">
            <w:pPr>
              <w:spacing w:before="100" w:beforeAutospacing="1" w:after="100" w:afterAutospacing="1" w:line="276" w:lineRule="auto"/>
              <w:jc w:val="right"/>
              <w:rPr>
                <w:rFonts w:ascii="Arial" w:hAnsi="Arial" w:cs="Arial"/>
                <w:color w:val="000000"/>
                <w:sz w:val="16"/>
                <w:szCs w:val="16"/>
              </w:rPr>
            </w:pPr>
            <w:r>
              <w:rPr>
                <w:rFonts w:ascii="Arial" w:hAnsi="Arial" w:cs="Arial"/>
                <w:color w:val="000000"/>
                <w:sz w:val="16"/>
                <w:szCs w:val="16"/>
              </w:rPr>
              <w:t>n.a</w:t>
            </w:r>
          </w:p>
        </w:tc>
      </w:tr>
      <w:tr w:rsidR="00225653" w:rsidRPr="00A96F8F" w:rsidTr="00AB725E">
        <w:trPr>
          <w:trHeight w:val="300"/>
        </w:trPr>
        <w:tc>
          <w:tcPr>
            <w:tcW w:w="3969" w:type="dxa"/>
            <w:gridSpan w:val="2"/>
            <w:tcBorders>
              <w:top w:val="nil"/>
              <w:left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Macquarie University</w:t>
            </w:r>
            <w:r w:rsidR="00C25BDC">
              <w:rPr>
                <w:rFonts w:ascii="Arial" w:hAnsi="Arial" w:cs="Arial"/>
                <w:color w:val="000000"/>
                <w:sz w:val="16"/>
                <w:szCs w:val="16"/>
              </w:rPr>
              <w:t xml:space="preserve"> (3)</w:t>
            </w:r>
          </w:p>
        </w:tc>
        <w:tc>
          <w:tcPr>
            <w:tcW w:w="993" w:type="dxa"/>
            <w:tcBorders>
              <w:top w:val="nil"/>
              <w:left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93</w:t>
            </w:r>
          </w:p>
        </w:tc>
        <w:tc>
          <w:tcPr>
            <w:tcW w:w="850" w:type="dxa"/>
            <w:tcBorders>
              <w:top w:val="nil"/>
              <w:left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3.8</w:t>
            </w:r>
          </w:p>
        </w:tc>
        <w:tc>
          <w:tcPr>
            <w:tcW w:w="1134" w:type="dxa"/>
            <w:tcBorders>
              <w:top w:val="nil"/>
              <w:left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sz w:val="16"/>
                <w:szCs w:val="16"/>
              </w:rPr>
            </w:pPr>
            <w:r>
              <w:rPr>
                <w:rFonts w:ascii="Arial" w:hAnsi="Arial" w:cs="Arial"/>
                <w:sz w:val="16"/>
                <w:szCs w:val="16"/>
              </w:rPr>
              <w:t>&lt;10</w:t>
            </w:r>
          </w:p>
        </w:tc>
        <w:tc>
          <w:tcPr>
            <w:tcW w:w="1134" w:type="dxa"/>
            <w:tcBorders>
              <w:top w:val="nil"/>
              <w:left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Pr>
                <w:rFonts w:ascii="Arial" w:hAnsi="Arial" w:cs="Arial"/>
                <w:color w:val="000000"/>
                <w:sz w:val="16"/>
                <w:szCs w:val="16"/>
              </w:rPr>
              <w:t>n.a</w:t>
            </w:r>
          </w:p>
        </w:tc>
      </w:tr>
      <w:tr w:rsidR="00225653" w:rsidRPr="00A96F8F" w:rsidTr="00AB725E">
        <w:trPr>
          <w:trHeight w:val="300"/>
        </w:trPr>
        <w:tc>
          <w:tcPr>
            <w:tcW w:w="3969" w:type="dxa"/>
            <w:gridSpan w:val="2"/>
            <w:tcBorders>
              <w:top w:val="nil"/>
              <w:left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La Trobe University</w:t>
            </w:r>
            <w:r w:rsidR="00C25BDC">
              <w:rPr>
                <w:rFonts w:ascii="Arial" w:hAnsi="Arial" w:cs="Arial"/>
                <w:color w:val="000000"/>
                <w:sz w:val="16"/>
                <w:szCs w:val="16"/>
              </w:rPr>
              <w:t xml:space="preserve"> (2)</w:t>
            </w:r>
          </w:p>
        </w:tc>
        <w:tc>
          <w:tcPr>
            <w:tcW w:w="993" w:type="dxa"/>
            <w:tcBorders>
              <w:top w:val="nil"/>
              <w:left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73</w:t>
            </w:r>
          </w:p>
        </w:tc>
        <w:tc>
          <w:tcPr>
            <w:tcW w:w="850" w:type="dxa"/>
            <w:tcBorders>
              <w:top w:val="nil"/>
              <w:left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3.0</w:t>
            </w:r>
          </w:p>
        </w:tc>
        <w:tc>
          <w:tcPr>
            <w:tcW w:w="1134" w:type="dxa"/>
            <w:tcBorders>
              <w:top w:val="nil"/>
              <w:left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sz w:val="16"/>
                <w:szCs w:val="16"/>
              </w:rPr>
            </w:pPr>
            <w:r>
              <w:rPr>
                <w:rFonts w:ascii="Arial" w:hAnsi="Arial" w:cs="Arial"/>
                <w:sz w:val="16"/>
                <w:szCs w:val="16"/>
              </w:rPr>
              <w:t>&lt;10</w:t>
            </w:r>
          </w:p>
        </w:tc>
        <w:tc>
          <w:tcPr>
            <w:tcW w:w="1134" w:type="dxa"/>
            <w:tcBorders>
              <w:top w:val="nil"/>
              <w:left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Pr>
                <w:rFonts w:ascii="Arial" w:hAnsi="Arial" w:cs="Arial"/>
                <w:color w:val="000000"/>
                <w:sz w:val="16"/>
                <w:szCs w:val="16"/>
              </w:rPr>
              <w:t>n.a</w:t>
            </w:r>
          </w:p>
        </w:tc>
      </w:tr>
      <w:tr w:rsidR="00225653"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Edith Cowan University</w:t>
            </w:r>
            <w:r w:rsidR="00C25BDC">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59</w:t>
            </w:r>
          </w:p>
        </w:tc>
        <w:tc>
          <w:tcPr>
            <w:tcW w:w="850" w:type="dxa"/>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2.4</w:t>
            </w:r>
          </w:p>
        </w:tc>
        <w:tc>
          <w:tcPr>
            <w:tcW w:w="1134" w:type="dxa"/>
            <w:tcBorders>
              <w:top w:val="nil"/>
              <w:left w:val="nil"/>
              <w:bottom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11</w:t>
            </w:r>
          </w:p>
        </w:tc>
        <w:tc>
          <w:tcPr>
            <w:tcW w:w="1134" w:type="dxa"/>
            <w:tcBorders>
              <w:top w:val="nil"/>
              <w:left w:val="nil"/>
              <w:bottom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18.6</w:t>
            </w:r>
          </w:p>
        </w:tc>
      </w:tr>
      <w:tr w:rsidR="00225653"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Victoria University</w:t>
            </w:r>
            <w:r w:rsidR="00C25BDC">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55</w:t>
            </w:r>
          </w:p>
        </w:tc>
        <w:tc>
          <w:tcPr>
            <w:tcW w:w="850" w:type="dxa"/>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2.2</w:t>
            </w:r>
          </w:p>
        </w:tc>
        <w:tc>
          <w:tcPr>
            <w:tcW w:w="1134" w:type="dxa"/>
            <w:tcBorders>
              <w:top w:val="nil"/>
              <w:left w:val="nil"/>
              <w:bottom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14</w:t>
            </w:r>
          </w:p>
        </w:tc>
        <w:tc>
          <w:tcPr>
            <w:tcW w:w="1134" w:type="dxa"/>
            <w:tcBorders>
              <w:top w:val="nil"/>
              <w:left w:val="nil"/>
              <w:bottom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25.5</w:t>
            </w:r>
          </w:p>
        </w:tc>
      </w:tr>
      <w:tr w:rsidR="00225653"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The Flinders University of South Australia</w:t>
            </w:r>
            <w:r w:rsidR="00C25BDC">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47</w:t>
            </w:r>
          </w:p>
        </w:tc>
        <w:tc>
          <w:tcPr>
            <w:tcW w:w="850" w:type="dxa"/>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1.9</w:t>
            </w:r>
          </w:p>
        </w:tc>
        <w:tc>
          <w:tcPr>
            <w:tcW w:w="1134" w:type="dxa"/>
            <w:tcBorders>
              <w:top w:val="nil"/>
              <w:left w:val="nil"/>
              <w:bottom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sz w:val="16"/>
                <w:szCs w:val="16"/>
              </w:rPr>
            </w:pPr>
            <w:r>
              <w:rPr>
                <w:rFonts w:ascii="Arial" w:hAnsi="Arial" w:cs="Arial"/>
                <w:sz w:val="16"/>
                <w:szCs w:val="16"/>
              </w:rPr>
              <w:t>&lt;10</w:t>
            </w:r>
          </w:p>
        </w:tc>
        <w:tc>
          <w:tcPr>
            <w:tcW w:w="1134" w:type="dxa"/>
            <w:tcBorders>
              <w:top w:val="nil"/>
              <w:left w:val="nil"/>
              <w:bottom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Pr>
                <w:rFonts w:ascii="Arial" w:hAnsi="Arial" w:cs="Arial"/>
                <w:color w:val="000000"/>
                <w:sz w:val="16"/>
                <w:szCs w:val="16"/>
              </w:rPr>
              <w:t>n.a</w:t>
            </w:r>
          </w:p>
        </w:tc>
      </w:tr>
      <w:tr w:rsidR="00225653"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Queensland University of Technology</w:t>
            </w:r>
            <w:r w:rsidR="00C25BDC">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34</w:t>
            </w:r>
          </w:p>
        </w:tc>
        <w:tc>
          <w:tcPr>
            <w:tcW w:w="850" w:type="dxa"/>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1.4</w:t>
            </w:r>
          </w:p>
        </w:tc>
        <w:tc>
          <w:tcPr>
            <w:tcW w:w="1134" w:type="dxa"/>
            <w:tcBorders>
              <w:top w:val="nil"/>
              <w:left w:val="nil"/>
              <w:bottom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sz w:val="16"/>
                <w:szCs w:val="16"/>
              </w:rPr>
            </w:pPr>
            <w:r>
              <w:rPr>
                <w:rFonts w:ascii="Arial" w:hAnsi="Arial" w:cs="Arial"/>
                <w:sz w:val="16"/>
                <w:szCs w:val="16"/>
              </w:rPr>
              <w:t>&lt;10</w:t>
            </w:r>
          </w:p>
        </w:tc>
        <w:tc>
          <w:tcPr>
            <w:tcW w:w="1134" w:type="dxa"/>
            <w:tcBorders>
              <w:top w:val="nil"/>
              <w:left w:val="nil"/>
              <w:bottom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Pr>
                <w:rFonts w:ascii="Arial" w:hAnsi="Arial" w:cs="Arial"/>
                <w:color w:val="000000"/>
                <w:sz w:val="16"/>
                <w:szCs w:val="16"/>
              </w:rPr>
              <w:t>n.a</w:t>
            </w:r>
          </w:p>
        </w:tc>
      </w:tr>
      <w:tr w:rsidR="00225653"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The Australian National University</w:t>
            </w:r>
            <w:r w:rsidR="00C25BDC">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34</w:t>
            </w:r>
          </w:p>
        </w:tc>
        <w:tc>
          <w:tcPr>
            <w:tcW w:w="850" w:type="dxa"/>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1.4</w:t>
            </w:r>
          </w:p>
        </w:tc>
        <w:tc>
          <w:tcPr>
            <w:tcW w:w="1134" w:type="dxa"/>
            <w:tcBorders>
              <w:top w:val="nil"/>
              <w:left w:val="nil"/>
              <w:bottom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0</w:t>
            </w:r>
          </w:p>
        </w:tc>
        <w:tc>
          <w:tcPr>
            <w:tcW w:w="1134" w:type="dxa"/>
            <w:tcBorders>
              <w:top w:val="nil"/>
              <w:left w:val="nil"/>
              <w:bottom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0.0</w:t>
            </w:r>
          </w:p>
        </w:tc>
      </w:tr>
      <w:tr w:rsidR="00225653"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Central Queensland University</w:t>
            </w:r>
            <w:r w:rsidR="00C25BDC">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20</w:t>
            </w:r>
          </w:p>
        </w:tc>
        <w:tc>
          <w:tcPr>
            <w:tcW w:w="850" w:type="dxa"/>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0.8</w:t>
            </w:r>
          </w:p>
        </w:tc>
        <w:tc>
          <w:tcPr>
            <w:tcW w:w="1134" w:type="dxa"/>
            <w:tcBorders>
              <w:top w:val="nil"/>
              <w:left w:val="nil"/>
              <w:bottom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sz w:val="16"/>
                <w:szCs w:val="16"/>
              </w:rPr>
            </w:pPr>
            <w:r>
              <w:rPr>
                <w:rFonts w:ascii="Arial" w:hAnsi="Arial" w:cs="Arial"/>
                <w:sz w:val="16"/>
                <w:szCs w:val="16"/>
              </w:rPr>
              <w:t>&lt;10</w:t>
            </w:r>
          </w:p>
        </w:tc>
        <w:tc>
          <w:tcPr>
            <w:tcW w:w="1134" w:type="dxa"/>
            <w:tcBorders>
              <w:top w:val="nil"/>
              <w:left w:val="nil"/>
              <w:bottom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Pr>
                <w:rFonts w:ascii="Arial" w:hAnsi="Arial" w:cs="Arial"/>
                <w:color w:val="000000"/>
                <w:sz w:val="16"/>
                <w:szCs w:val="16"/>
              </w:rPr>
              <w:t>n.a</w:t>
            </w:r>
          </w:p>
        </w:tc>
      </w:tr>
      <w:tr w:rsidR="00225653" w:rsidRPr="00A96F8F"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rPr>
                <w:rFonts w:ascii="Arial" w:hAnsi="Arial" w:cs="Arial"/>
                <w:color w:val="000000"/>
                <w:sz w:val="16"/>
                <w:szCs w:val="16"/>
              </w:rPr>
            </w:pPr>
            <w:r w:rsidRPr="00A96F8F">
              <w:rPr>
                <w:rFonts w:ascii="Arial" w:hAnsi="Arial" w:cs="Arial"/>
                <w:color w:val="000000"/>
                <w:sz w:val="16"/>
                <w:szCs w:val="16"/>
              </w:rPr>
              <w:t>Monash University</w:t>
            </w:r>
            <w:r w:rsidR="00C25BDC">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10</w:t>
            </w:r>
          </w:p>
        </w:tc>
        <w:tc>
          <w:tcPr>
            <w:tcW w:w="850" w:type="dxa"/>
            <w:tcBorders>
              <w:top w:val="nil"/>
              <w:left w:val="nil"/>
              <w:bottom w:val="nil"/>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0.4</w:t>
            </w:r>
          </w:p>
        </w:tc>
        <w:tc>
          <w:tcPr>
            <w:tcW w:w="1134" w:type="dxa"/>
            <w:tcBorders>
              <w:top w:val="nil"/>
              <w:left w:val="nil"/>
              <w:bottom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sz w:val="16"/>
                <w:szCs w:val="16"/>
              </w:rPr>
            </w:pPr>
            <w:r w:rsidRPr="00A96F8F">
              <w:rPr>
                <w:rFonts w:ascii="Arial" w:hAnsi="Arial" w:cs="Arial"/>
                <w:sz w:val="16"/>
                <w:szCs w:val="16"/>
              </w:rPr>
              <w:t>0</w:t>
            </w:r>
          </w:p>
        </w:tc>
        <w:tc>
          <w:tcPr>
            <w:tcW w:w="1134" w:type="dxa"/>
            <w:tcBorders>
              <w:top w:val="nil"/>
              <w:left w:val="nil"/>
              <w:bottom w:val="nil"/>
              <w:right w:val="nil"/>
            </w:tcBorders>
            <w:vAlign w:val="bottom"/>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0.0</w:t>
            </w:r>
          </w:p>
        </w:tc>
      </w:tr>
      <w:tr w:rsidR="00225653" w:rsidRPr="00A96F8F"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225653" w:rsidRPr="00A96F8F" w:rsidRDefault="00225653" w:rsidP="00AB725E">
            <w:pPr>
              <w:pStyle w:val="Tabletext"/>
              <w:spacing w:before="100" w:beforeAutospacing="1" w:after="100" w:afterAutospacing="1" w:line="276" w:lineRule="auto"/>
              <w:rPr>
                <w:rFonts w:cs="Arial"/>
                <w:szCs w:val="16"/>
              </w:rPr>
            </w:pPr>
            <w:r w:rsidRPr="00A96F8F">
              <w:rPr>
                <w:rFonts w:cs="Arial"/>
                <w:szCs w:val="16"/>
              </w:rPr>
              <w:t>TOTAL</w:t>
            </w:r>
          </w:p>
        </w:tc>
        <w:tc>
          <w:tcPr>
            <w:tcW w:w="993" w:type="dxa"/>
            <w:tcBorders>
              <w:top w:val="nil"/>
              <w:left w:val="nil"/>
              <w:bottom w:val="single" w:sz="4" w:space="0" w:color="auto"/>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2472</w:t>
            </w:r>
          </w:p>
        </w:tc>
        <w:tc>
          <w:tcPr>
            <w:tcW w:w="850" w:type="dxa"/>
            <w:tcBorders>
              <w:top w:val="nil"/>
              <w:left w:val="nil"/>
              <w:bottom w:val="single" w:sz="4" w:space="0" w:color="auto"/>
              <w:right w:val="nil"/>
            </w:tcBorders>
            <w:shd w:val="clear" w:color="auto" w:fill="auto"/>
            <w:noWrap/>
            <w:vAlign w:val="bottom"/>
            <w:hideMark/>
          </w:tcPr>
          <w:p w:rsidR="00225653" w:rsidRPr="00A96F8F" w:rsidRDefault="00225653" w:rsidP="00AB725E">
            <w:pPr>
              <w:spacing w:before="100" w:beforeAutospacing="1" w:after="100" w:afterAutospacing="1" w:line="276" w:lineRule="auto"/>
              <w:jc w:val="right"/>
              <w:rPr>
                <w:rFonts w:ascii="Arial" w:hAnsi="Arial" w:cs="Arial"/>
                <w:color w:val="000000"/>
                <w:sz w:val="16"/>
                <w:szCs w:val="16"/>
              </w:rPr>
            </w:pPr>
            <w:r w:rsidRPr="00A96F8F">
              <w:rPr>
                <w:rFonts w:ascii="Arial" w:hAnsi="Arial" w:cs="Arial"/>
                <w:color w:val="000000"/>
                <w:sz w:val="16"/>
                <w:szCs w:val="16"/>
              </w:rPr>
              <w:t>100</w:t>
            </w:r>
          </w:p>
        </w:tc>
        <w:tc>
          <w:tcPr>
            <w:tcW w:w="1134" w:type="dxa"/>
            <w:tcBorders>
              <w:top w:val="nil"/>
              <w:left w:val="nil"/>
              <w:bottom w:val="single" w:sz="4" w:space="0" w:color="auto"/>
              <w:right w:val="nil"/>
            </w:tcBorders>
            <w:vAlign w:val="bottom"/>
          </w:tcPr>
          <w:p w:rsidR="00225653" w:rsidRPr="00A96F8F" w:rsidRDefault="00225653" w:rsidP="00AB725E">
            <w:pPr>
              <w:pStyle w:val="Tabletext"/>
              <w:spacing w:before="100" w:beforeAutospacing="1" w:after="100" w:afterAutospacing="1" w:line="276" w:lineRule="auto"/>
              <w:jc w:val="right"/>
              <w:rPr>
                <w:rFonts w:cs="Arial"/>
                <w:szCs w:val="16"/>
              </w:rPr>
            </w:pPr>
            <w:r w:rsidRPr="00A96F8F">
              <w:rPr>
                <w:rFonts w:cs="Arial"/>
                <w:szCs w:val="16"/>
              </w:rPr>
              <w:t>338</w:t>
            </w:r>
          </w:p>
        </w:tc>
        <w:tc>
          <w:tcPr>
            <w:tcW w:w="1134" w:type="dxa"/>
            <w:tcBorders>
              <w:top w:val="nil"/>
              <w:left w:val="nil"/>
              <w:bottom w:val="single" w:sz="4" w:space="0" w:color="auto"/>
              <w:right w:val="nil"/>
            </w:tcBorders>
            <w:vAlign w:val="bottom"/>
          </w:tcPr>
          <w:p w:rsidR="00225653" w:rsidRPr="00A96F8F" w:rsidRDefault="00225653" w:rsidP="00AB725E">
            <w:pPr>
              <w:pStyle w:val="Tabletext"/>
              <w:spacing w:before="100" w:beforeAutospacing="1" w:after="100" w:afterAutospacing="1" w:line="276" w:lineRule="auto"/>
              <w:jc w:val="right"/>
              <w:rPr>
                <w:rFonts w:cs="Arial"/>
                <w:szCs w:val="16"/>
              </w:rPr>
            </w:pPr>
            <w:r w:rsidRPr="00A96F8F">
              <w:rPr>
                <w:rFonts w:cs="Arial"/>
                <w:szCs w:val="16"/>
              </w:rPr>
              <w:t>13.7%</w:t>
            </w:r>
          </w:p>
        </w:tc>
      </w:tr>
    </w:tbl>
    <w:p w:rsidR="00225653" w:rsidRDefault="00225653" w:rsidP="00225653">
      <w:pPr>
        <w:pStyle w:val="Source"/>
      </w:pPr>
      <w:r>
        <w:t>Source: DEEWR (2010) Higher Education Statistics Collection. Unpublished data</w:t>
      </w:r>
    </w:p>
    <w:p w:rsidR="00225653" w:rsidRDefault="00225653" w:rsidP="00225653">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C25BDC" w:rsidRDefault="00C25BDC" w:rsidP="00B22C42">
      <w:pPr>
        <w:pStyle w:val="Text"/>
      </w:pPr>
      <w:r w:rsidRPr="009A7713">
        <w:t xml:space="preserve">As shown in Table </w:t>
      </w:r>
      <w:r w:rsidR="009A7713" w:rsidRPr="009A7713">
        <w:t>20</w:t>
      </w:r>
      <w:r w:rsidRPr="009A7713">
        <w:t>, of the four biggest</w:t>
      </w:r>
      <w:r>
        <w:t xml:space="preserve"> providers of courses in this sub-field, two Cluster 1 institutions – RMIT University and Swinburne University of Technology – admit students on the basis of a VET award at well above the national rate (ie. 35 per cent and 19 per cent respectively), whereas the next two largest providers – the University of New South Wales and Curtin University of Technology (both Cluster 3) – admit none. Nationally, provision of Electrical and Electronic Engineering is dominated by 10 universities which enrol well over three-quarters of all undergraduate commencements in this field, yet half of these universities (all Cluster 3) admit no students on the </w:t>
      </w:r>
      <w:r>
        <w:lastRenderedPageBreak/>
        <w:t xml:space="preserve">basis of a VET award. The relatively </w:t>
      </w:r>
      <w:r w:rsidRPr="003D756E">
        <w:t xml:space="preserve">high admission rate of VET award-holders in Electrical and Electronic Engineering </w:t>
      </w:r>
      <w:r>
        <w:t xml:space="preserve">of 13.7 per cent thus reflects the efforts of two Cluster 1 universities, which account for 29 per cent of all commencing students and admit VET award-holders at rates of 35.5 and 19 per cent respectively. Overall, Cluster 1 universities account for 33 per cent of total enrolments in this sub-field, compared to 43 per cent for Cluster 3.  </w:t>
      </w:r>
    </w:p>
    <w:p w:rsidR="00225653" w:rsidRDefault="00225653" w:rsidP="00225653">
      <w:pPr>
        <w:pStyle w:val="Text"/>
        <w:rPr>
          <w:rFonts w:ascii="Tahoma" w:hAnsi="Tahoma"/>
          <w:i/>
          <w:sz w:val="24"/>
        </w:rPr>
      </w:pPr>
      <w:r>
        <w:rPr>
          <w:rFonts w:ascii="Tahoma" w:hAnsi="Tahoma"/>
          <w:i/>
          <w:sz w:val="24"/>
        </w:rPr>
        <w:t>Mechanical and Industrial</w:t>
      </w:r>
      <w:r w:rsidRPr="00770423">
        <w:rPr>
          <w:rFonts w:ascii="Tahoma" w:hAnsi="Tahoma"/>
          <w:i/>
          <w:sz w:val="24"/>
        </w:rPr>
        <w:t xml:space="preserve"> Engineering </w:t>
      </w:r>
      <w:r>
        <w:rPr>
          <w:rFonts w:ascii="Tahoma" w:hAnsi="Tahoma"/>
          <w:i/>
          <w:sz w:val="24"/>
        </w:rPr>
        <w:t>&amp;</w:t>
      </w:r>
      <w:r w:rsidRPr="00770423">
        <w:rPr>
          <w:rFonts w:ascii="Tahoma" w:hAnsi="Tahoma"/>
          <w:i/>
          <w:sz w:val="24"/>
        </w:rPr>
        <w:t xml:space="preserve"> Technology </w:t>
      </w:r>
    </w:p>
    <w:p w:rsidR="00B22C42" w:rsidRDefault="00B22C42" w:rsidP="00B22C42">
      <w:pPr>
        <w:pStyle w:val="Text"/>
      </w:pPr>
      <w:r>
        <w:t xml:space="preserve">A similar pattern is evident in the sub-field of Mechanical and Industrial Engineering and Technology (0307) which admits VET award-holders at a rate of 8.1 per cent. However in this sub-field, Cluster 3 universities are more dominant, accounting for 50 per cent </w:t>
      </w:r>
      <w:r w:rsidRPr="00714AD6">
        <w:t xml:space="preserve">of </w:t>
      </w:r>
      <w:r>
        <w:t>total enrolments, compared to 30 per cent in Cluster 1 institutions. As in the sub-field of Electrical Engineering, Cluster 1 universities admit VET award-holders at more than double the rate for the sub-field, while Cluster 3 universities admit none. In both sub-fields, the University of Newcastle (Cluster 2) performs like a Cluster 1 institution in admitting VET award-holders at rates well over 20 per cent.</w:t>
      </w:r>
    </w:p>
    <w:p w:rsidR="00225653" w:rsidRDefault="00225653" w:rsidP="00225653">
      <w:pPr>
        <w:pStyle w:val="Text"/>
      </w:pPr>
      <w:r>
        <w:t xml:space="preserve">Mechanical and Industrial Engineering &amp; Technology is another large sub-field in Engineering and Related Technologies with </w:t>
      </w:r>
      <w:r w:rsidR="00B22C42">
        <w:t xml:space="preserve">2 253 undergraduate enrolments. </w:t>
      </w:r>
      <w:r>
        <w:t xml:space="preserve"> As shown in </w:t>
      </w:r>
      <w:r w:rsidR="00B45EBA">
        <w:t xml:space="preserve">Table </w:t>
      </w:r>
      <w:r w:rsidR="009A7713">
        <w:t>21</w:t>
      </w:r>
      <w:r>
        <w:t xml:space="preserve">, 15 universities report undergraduate commencements in this sub-field, but five universities cater for two-thirds of all enrolments. Around half of the 15 universities admit VET award-holders but the two largest providers - </w:t>
      </w:r>
      <w:r w:rsidRPr="00CD0495">
        <w:t>Curtin University and th</w:t>
      </w:r>
      <w:r>
        <w:t xml:space="preserve">e University of New South Wales – are not among them, which contributes the low average admission rate of VET award-holders for the sub-field. </w:t>
      </w:r>
    </w:p>
    <w:p w:rsidR="00225653" w:rsidRDefault="00B45EBA" w:rsidP="00225653">
      <w:pPr>
        <w:pStyle w:val="tabletitle"/>
      </w:pPr>
      <w:bookmarkStart w:id="114" w:name="_Toc350786327"/>
      <w:bookmarkStart w:id="115" w:name="_Toc370995930"/>
      <w:r>
        <w:t xml:space="preserve">Table </w:t>
      </w:r>
      <w:r w:rsidR="006A154F">
        <w:t>21</w:t>
      </w:r>
      <w:r w:rsidR="00225653">
        <w:tab/>
        <w:t xml:space="preserve">VET award-holders and all undergraduate commencements in Mechanical and Industrial Engineering &amp; Technology </w:t>
      </w:r>
      <w:r w:rsidR="00225653">
        <w:rPr>
          <w:szCs w:val="22"/>
        </w:rPr>
        <w:t>(FOE 0307)</w:t>
      </w:r>
      <w:r w:rsidR="00225653">
        <w:t>, by HE provider Australia 2010</w:t>
      </w:r>
      <w:bookmarkEnd w:id="114"/>
      <w:bookmarkEnd w:id="115"/>
    </w:p>
    <w:tbl>
      <w:tblPr>
        <w:tblW w:w="8080" w:type="dxa"/>
        <w:tblInd w:w="108" w:type="dxa"/>
        <w:tblLayout w:type="fixed"/>
        <w:tblLook w:val="04A0"/>
      </w:tblPr>
      <w:tblGrid>
        <w:gridCol w:w="3448"/>
        <w:gridCol w:w="521"/>
        <w:gridCol w:w="993"/>
        <w:gridCol w:w="850"/>
        <w:gridCol w:w="1134"/>
        <w:gridCol w:w="851"/>
        <w:gridCol w:w="283"/>
      </w:tblGrid>
      <w:tr w:rsidR="00225653" w:rsidRPr="00CE24D5" w:rsidTr="00AB725E">
        <w:trPr>
          <w:gridAfter w:val="1"/>
          <w:wAfter w:w="283" w:type="dxa"/>
          <w:trHeight w:val="300"/>
        </w:trPr>
        <w:tc>
          <w:tcPr>
            <w:tcW w:w="3448" w:type="dxa"/>
            <w:tcBorders>
              <w:top w:val="single" w:sz="4" w:space="0" w:color="auto"/>
              <w:left w:val="nil"/>
              <w:bottom w:val="nil"/>
              <w:right w:val="nil"/>
            </w:tcBorders>
            <w:shd w:val="clear" w:color="auto" w:fill="auto"/>
            <w:noWrap/>
            <w:vAlign w:val="bottom"/>
            <w:hideMark/>
          </w:tcPr>
          <w:p w:rsidR="00225653" w:rsidRPr="00CE24D5" w:rsidRDefault="00225653" w:rsidP="00AB725E">
            <w:pPr>
              <w:pStyle w:val="Tablehead1"/>
              <w:jc w:val="center"/>
              <w:rPr>
                <w:bCs/>
                <w:color w:val="000000"/>
                <w:lang w:val="en-US"/>
              </w:rPr>
            </w:pPr>
          </w:p>
        </w:tc>
        <w:tc>
          <w:tcPr>
            <w:tcW w:w="2364" w:type="dxa"/>
            <w:gridSpan w:val="3"/>
            <w:tcBorders>
              <w:top w:val="single" w:sz="4" w:space="0" w:color="auto"/>
              <w:left w:val="nil"/>
              <w:bottom w:val="nil"/>
              <w:right w:val="nil"/>
            </w:tcBorders>
            <w:shd w:val="clear" w:color="auto" w:fill="auto"/>
            <w:noWrap/>
            <w:vAlign w:val="bottom"/>
            <w:hideMark/>
          </w:tcPr>
          <w:p w:rsidR="00225653" w:rsidRPr="00CE24D5" w:rsidRDefault="00225653" w:rsidP="00AB725E">
            <w:pPr>
              <w:pStyle w:val="Tablehead1"/>
              <w:jc w:val="center"/>
              <w:rPr>
                <w:rFonts w:cs="Arial"/>
                <w:bCs/>
                <w:color w:val="000000"/>
                <w:szCs w:val="17"/>
                <w:lang w:val="en-US"/>
              </w:rPr>
            </w:pPr>
            <w:r>
              <w:rPr>
                <w:rFonts w:cs="Arial"/>
                <w:bCs/>
                <w:color w:val="000000"/>
                <w:szCs w:val="17"/>
                <w:lang w:val="en-US"/>
              </w:rPr>
              <w:t>All undergraduate commencements</w:t>
            </w:r>
          </w:p>
        </w:tc>
        <w:tc>
          <w:tcPr>
            <w:tcW w:w="1985" w:type="dxa"/>
            <w:gridSpan w:val="2"/>
            <w:tcBorders>
              <w:top w:val="single" w:sz="4" w:space="0" w:color="auto"/>
              <w:left w:val="nil"/>
              <w:bottom w:val="nil"/>
              <w:right w:val="nil"/>
            </w:tcBorders>
            <w:vAlign w:val="bottom"/>
          </w:tcPr>
          <w:p w:rsidR="00225653" w:rsidRPr="00CE24D5" w:rsidRDefault="00225653" w:rsidP="00AB725E">
            <w:pPr>
              <w:pStyle w:val="Tablehead1"/>
              <w:jc w:val="center"/>
              <w:rPr>
                <w:rFonts w:cs="Arial"/>
                <w:bCs/>
                <w:color w:val="000000"/>
                <w:szCs w:val="17"/>
                <w:lang w:val="en-US"/>
              </w:rPr>
            </w:pPr>
            <w:r>
              <w:rPr>
                <w:rFonts w:cs="Arial"/>
                <w:bCs/>
                <w:color w:val="000000"/>
                <w:szCs w:val="17"/>
                <w:lang w:val="en-US"/>
              </w:rPr>
              <w:t xml:space="preserve">VET award-holders </w:t>
            </w:r>
          </w:p>
        </w:tc>
      </w:tr>
      <w:tr w:rsidR="00225653" w:rsidRPr="00322D4B"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rPr>
                <w:rFonts w:asciiTheme="majorHAnsi" w:hAnsiTheme="majorHAnsi"/>
                <w:sz w:val="18"/>
                <w:szCs w:val="18"/>
                <w:lang w:val="en-US"/>
              </w:rPr>
            </w:pPr>
            <w:r>
              <w:rPr>
                <w:rFonts w:asciiTheme="majorHAnsi" w:hAnsiTheme="majorHAnsi"/>
                <w:sz w:val="18"/>
                <w:szCs w:val="18"/>
                <w:lang w:val="en-US"/>
              </w:rPr>
              <w:t xml:space="preserve">Institution </w:t>
            </w:r>
            <w:r w:rsidR="00511BBB">
              <w:rPr>
                <w:rFonts w:asciiTheme="majorHAnsi" w:hAnsiTheme="majorHAnsi"/>
                <w:sz w:val="18"/>
                <w:szCs w:val="18"/>
                <w:lang w:val="en-US"/>
              </w:rPr>
              <w:t>(Cluster)</w:t>
            </w:r>
          </w:p>
        </w:tc>
        <w:tc>
          <w:tcPr>
            <w:tcW w:w="993" w:type="dxa"/>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Students</w:t>
            </w:r>
          </w:p>
        </w:tc>
        <w:tc>
          <w:tcPr>
            <w:tcW w:w="850" w:type="dxa"/>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jc w:val="center"/>
              <w:rPr>
                <w:rFonts w:asciiTheme="majorHAnsi" w:hAnsiTheme="majorHAnsi"/>
                <w:sz w:val="18"/>
                <w:szCs w:val="18"/>
                <w:lang w:val="en-US"/>
              </w:rPr>
            </w:pPr>
            <w:r w:rsidRPr="00F71B20">
              <w:rPr>
                <w:rFonts w:asciiTheme="majorHAnsi" w:hAnsiTheme="majorHAnsi"/>
                <w:sz w:val="18"/>
                <w:szCs w:val="18"/>
                <w:lang w:val="en-US"/>
              </w:rPr>
              <w:t>% total</w:t>
            </w:r>
          </w:p>
        </w:tc>
        <w:tc>
          <w:tcPr>
            <w:tcW w:w="1134" w:type="dxa"/>
            <w:tcBorders>
              <w:top w:val="nil"/>
              <w:left w:val="nil"/>
              <w:bottom w:val="single" w:sz="4" w:space="0" w:color="auto"/>
              <w:right w:val="nil"/>
            </w:tcBorders>
            <w:vAlign w:val="bottom"/>
          </w:tcPr>
          <w:p w:rsidR="00225653" w:rsidRPr="00F71B20" w:rsidRDefault="00225653" w:rsidP="00AB725E">
            <w:pPr>
              <w:pStyle w:val="Tablehead2"/>
              <w:rPr>
                <w:rFonts w:asciiTheme="majorHAnsi" w:hAnsiTheme="majorHAnsi"/>
                <w:sz w:val="18"/>
                <w:szCs w:val="18"/>
                <w:lang w:val="en-US"/>
              </w:rPr>
            </w:pPr>
            <w:r w:rsidRPr="00F71B20">
              <w:rPr>
                <w:rFonts w:asciiTheme="majorHAnsi" w:hAnsiTheme="majorHAnsi"/>
                <w:sz w:val="18"/>
                <w:szCs w:val="18"/>
                <w:lang w:val="en-US"/>
              </w:rPr>
              <w:t>Students</w:t>
            </w:r>
          </w:p>
        </w:tc>
        <w:tc>
          <w:tcPr>
            <w:tcW w:w="1134" w:type="dxa"/>
            <w:gridSpan w:val="2"/>
            <w:tcBorders>
              <w:top w:val="nil"/>
              <w:left w:val="nil"/>
              <w:bottom w:val="single" w:sz="4" w:space="0" w:color="auto"/>
              <w:right w:val="nil"/>
            </w:tcBorders>
            <w:vAlign w:val="bottom"/>
          </w:tcPr>
          <w:p w:rsidR="00225653" w:rsidRPr="00F71B20" w:rsidRDefault="00225653" w:rsidP="00AB725E">
            <w:pPr>
              <w:pStyle w:val="Tablehead2"/>
              <w:jc w:val="center"/>
              <w:rPr>
                <w:rFonts w:asciiTheme="majorHAnsi" w:hAnsiTheme="majorHAnsi"/>
                <w:sz w:val="18"/>
                <w:szCs w:val="18"/>
                <w:lang w:val="en-US"/>
              </w:rPr>
            </w:pPr>
            <w:r w:rsidRPr="00F71B20">
              <w:rPr>
                <w:rFonts w:asciiTheme="majorHAnsi" w:hAnsiTheme="majorHAnsi"/>
                <w:sz w:val="18"/>
                <w:szCs w:val="18"/>
                <w:lang w:val="en-US"/>
              </w:rPr>
              <w:t xml:space="preserve">% </w:t>
            </w:r>
            <w:r>
              <w:rPr>
                <w:rFonts w:asciiTheme="majorHAnsi" w:hAnsiTheme="majorHAnsi"/>
                <w:sz w:val="18"/>
                <w:szCs w:val="18"/>
                <w:lang w:val="en-US"/>
              </w:rPr>
              <w:t>all U/G</w:t>
            </w:r>
          </w:p>
        </w:tc>
      </w:tr>
      <w:tr w:rsidR="00225653" w:rsidRPr="004B65F3" w:rsidTr="00AB725E">
        <w:trPr>
          <w:trHeight w:val="300"/>
        </w:trPr>
        <w:tc>
          <w:tcPr>
            <w:tcW w:w="3969" w:type="dxa"/>
            <w:gridSpan w:val="2"/>
            <w:tcBorders>
              <w:top w:val="single" w:sz="4" w:space="0" w:color="auto"/>
              <w:left w:val="nil"/>
              <w:bottom w:val="nil"/>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Curtin University of Technology</w:t>
            </w:r>
            <w:r w:rsidR="00511BBB">
              <w:rPr>
                <w:rFonts w:ascii="Arial" w:hAnsi="Arial" w:cs="Arial"/>
                <w:color w:val="000000"/>
                <w:sz w:val="16"/>
                <w:szCs w:val="16"/>
              </w:rPr>
              <w:t xml:space="preserve"> (3)</w:t>
            </w:r>
          </w:p>
        </w:tc>
        <w:tc>
          <w:tcPr>
            <w:tcW w:w="993" w:type="dxa"/>
            <w:tcBorders>
              <w:top w:val="single" w:sz="4" w:space="0" w:color="auto"/>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367</w:t>
            </w:r>
          </w:p>
        </w:tc>
        <w:tc>
          <w:tcPr>
            <w:tcW w:w="850" w:type="dxa"/>
            <w:tcBorders>
              <w:top w:val="single" w:sz="4" w:space="0" w:color="auto"/>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16.3</w:t>
            </w:r>
          </w:p>
        </w:tc>
        <w:tc>
          <w:tcPr>
            <w:tcW w:w="1134" w:type="dxa"/>
            <w:tcBorders>
              <w:top w:val="single" w:sz="4" w:space="0" w:color="auto"/>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Pr>
                <w:rFonts w:ascii="Arial" w:hAnsi="Arial" w:cs="Arial"/>
                <w:color w:val="000000"/>
                <w:sz w:val="16"/>
                <w:szCs w:val="16"/>
              </w:rPr>
              <w:t>&lt;10</w:t>
            </w:r>
          </w:p>
        </w:tc>
        <w:tc>
          <w:tcPr>
            <w:tcW w:w="1134" w:type="dxa"/>
            <w:gridSpan w:val="2"/>
            <w:tcBorders>
              <w:top w:val="single" w:sz="4" w:space="0" w:color="auto"/>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The University of New South Wales</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341</w:t>
            </w:r>
          </w:p>
        </w:tc>
        <w:tc>
          <w:tcPr>
            <w:tcW w:w="850"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15.1</w:t>
            </w:r>
          </w:p>
        </w:tc>
        <w:tc>
          <w:tcPr>
            <w:tcW w:w="1134" w:type="dxa"/>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Pr>
                <w:rFonts w:ascii="Arial" w:hAnsi="Arial" w:cs="Arial"/>
                <w:color w:val="000000"/>
                <w:sz w:val="16"/>
                <w:szCs w:val="16"/>
              </w:rPr>
              <w:t>&lt;10</w:t>
            </w:r>
          </w:p>
        </w:tc>
        <w:tc>
          <w:tcPr>
            <w:tcW w:w="1134" w:type="dxa"/>
            <w:gridSpan w:val="2"/>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RMIT University</w:t>
            </w:r>
            <w:r w:rsidR="00511BBB">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316</w:t>
            </w:r>
          </w:p>
        </w:tc>
        <w:tc>
          <w:tcPr>
            <w:tcW w:w="850"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14.0</w:t>
            </w:r>
          </w:p>
        </w:tc>
        <w:tc>
          <w:tcPr>
            <w:tcW w:w="1134" w:type="dxa"/>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46</w:t>
            </w:r>
          </w:p>
        </w:tc>
        <w:tc>
          <w:tcPr>
            <w:tcW w:w="1134" w:type="dxa"/>
            <w:gridSpan w:val="2"/>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14.6</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Swinburne University of Technology</w:t>
            </w:r>
            <w:r w:rsidR="00511BBB">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259</w:t>
            </w:r>
          </w:p>
        </w:tc>
        <w:tc>
          <w:tcPr>
            <w:tcW w:w="850"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11.5</w:t>
            </w:r>
          </w:p>
        </w:tc>
        <w:tc>
          <w:tcPr>
            <w:tcW w:w="1134" w:type="dxa"/>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33</w:t>
            </w:r>
          </w:p>
        </w:tc>
        <w:tc>
          <w:tcPr>
            <w:tcW w:w="1134" w:type="dxa"/>
            <w:gridSpan w:val="2"/>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12.7</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University of South Australia</w:t>
            </w:r>
            <w:r w:rsidR="00511BBB">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214</w:t>
            </w:r>
          </w:p>
        </w:tc>
        <w:tc>
          <w:tcPr>
            <w:tcW w:w="850"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9.5</w:t>
            </w:r>
          </w:p>
        </w:tc>
        <w:tc>
          <w:tcPr>
            <w:tcW w:w="1134" w:type="dxa"/>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16</w:t>
            </w:r>
          </w:p>
        </w:tc>
        <w:tc>
          <w:tcPr>
            <w:tcW w:w="1134" w:type="dxa"/>
            <w:gridSpan w:val="2"/>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7.5</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The University of Newcastle</w:t>
            </w:r>
            <w:r w:rsidR="00511BBB">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175</w:t>
            </w:r>
          </w:p>
        </w:tc>
        <w:tc>
          <w:tcPr>
            <w:tcW w:w="850"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7.8</w:t>
            </w:r>
          </w:p>
        </w:tc>
        <w:tc>
          <w:tcPr>
            <w:tcW w:w="1134" w:type="dxa"/>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41</w:t>
            </w:r>
          </w:p>
        </w:tc>
        <w:tc>
          <w:tcPr>
            <w:tcW w:w="1134" w:type="dxa"/>
            <w:gridSpan w:val="2"/>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23.4</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The University of Adelaide</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164</w:t>
            </w:r>
          </w:p>
        </w:tc>
        <w:tc>
          <w:tcPr>
            <w:tcW w:w="850"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7.3</w:t>
            </w:r>
          </w:p>
        </w:tc>
        <w:tc>
          <w:tcPr>
            <w:tcW w:w="1134" w:type="dxa"/>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0</w:t>
            </w:r>
          </w:p>
        </w:tc>
        <w:tc>
          <w:tcPr>
            <w:tcW w:w="1134" w:type="dxa"/>
            <w:gridSpan w:val="2"/>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0.0</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The University of Sydney</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132</w:t>
            </w:r>
          </w:p>
        </w:tc>
        <w:tc>
          <w:tcPr>
            <w:tcW w:w="850"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5.9</w:t>
            </w:r>
          </w:p>
        </w:tc>
        <w:tc>
          <w:tcPr>
            <w:tcW w:w="1134" w:type="dxa"/>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0</w:t>
            </w:r>
          </w:p>
        </w:tc>
        <w:tc>
          <w:tcPr>
            <w:tcW w:w="1134" w:type="dxa"/>
            <w:gridSpan w:val="2"/>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0.0</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University of Wollongong</w:t>
            </w:r>
            <w:r w:rsidR="00511BBB">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73</w:t>
            </w:r>
          </w:p>
        </w:tc>
        <w:tc>
          <w:tcPr>
            <w:tcW w:w="850"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3.2</w:t>
            </w:r>
          </w:p>
        </w:tc>
        <w:tc>
          <w:tcPr>
            <w:tcW w:w="1134" w:type="dxa"/>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11</w:t>
            </w:r>
          </w:p>
        </w:tc>
        <w:tc>
          <w:tcPr>
            <w:tcW w:w="1134" w:type="dxa"/>
            <w:gridSpan w:val="2"/>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15.1</w:t>
            </w:r>
          </w:p>
        </w:tc>
      </w:tr>
      <w:tr w:rsidR="00225653" w:rsidRPr="004B65F3" w:rsidTr="00AB725E">
        <w:trPr>
          <w:trHeight w:val="300"/>
        </w:trPr>
        <w:tc>
          <w:tcPr>
            <w:tcW w:w="3969" w:type="dxa"/>
            <w:gridSpan w:val="2"/>
            <w:tcBorders>
              <w:top w:val="nil"/>
              <w:left w:val="nil"/>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Victoria University</w:t>
            </w:r>
            <w:r w:rsidR="00511BBB">
              <w:rPr>
                <w:rFonts w:ascii="Arial" w:hAnsi="Arial" w:cs="Arial"/>
                <w:color w:val="000000"/>
                <w:sz w:val="16"/>
                <w:szCs w:val="16"/>
              </w:rPr>
              <w:t xml:space="preserve"> (1)</w:t>
            </w:r>
          </w:p>
        </w:tc>
        <w:tc>
          <w:tcPr>
            <w:tcW w:w="993" w:type="dxa"/>
            <w:tcBorders>
              <w:top w:val="nil"/>
              <w:left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53</w:t>
            </w:r>
          </w:p>
        </w:tc>
        <w:tc>
          <w:tcPr>
            <w:tcW w:w="850" w:type="dxa"/>
            <w:tcBorders>
              <w:top w:val="nil"/>
              <w:left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2.4</w:t>
            </w:r>
          </w:p>
        </w:tc>
        <w:tc>
          <w:tcPr>
            <w:tcW w:w="1134" w:type="dxa"/>
            <w:tcBorders>
              <w:top w:val="nil"/>
              <w:left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15</w:t>
            </w:r>
          </w:p>
        </w:tc>
        <w:tc>
          <w:tcPr>
            <w:tcW w:w="1134" w:type="dxa"/>
            <w:gridSpan w:val="2"/>
            <w:tcBorders>
              <w:top w:val="nil"/>
              <w:left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28.3</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Edith Cowan University</w:t>
            </w:r>
            <w:r w:rsidR="00511BBB">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50</w:t>
            </w:r>
          </w:p>
        </w:tc>
        <w:tc>
          <w:tcPr>
            <w:tcW w:w="850"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2.2</w:t>
            </w:r>
          </w:p>
        </w:tc>
        <w:tc>
          <w:tcPr>
            <w:tcW w:w="1134" w:type="dxa"/>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Pr>
                <w:rFonts w:ascii="Arial" w:hAnsi="Arial" w:cs="Arial"/>
                <w:color w:val="000000"/>
                <w:sz w:val="16"/>
                <w:szCs w:val="16"/>
              </w:rPr>
              <w:t>&lt;10</w:t>
            </w:r>
          </w:p>
        </w:tc>
        <w:tc>
          <w:tcPr>
            <w:tcW w:w="1134" w:type="dxa"/>
            <w:gridSpan w:val="2"/>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The University of Queensland</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50</w:t>
            </w:r>
          </w:p>
        </w:tc>
        <w:tc>
          <w:tcPr>
            <w:tcW w:w="850"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2.2</w:t>
            </w:r>
          </w:p>
        </w:tc>
        <w:tc>
          <w:tcPr>
            <w:tcW w:w="1134" w:type="dxa"/>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0</w:t>
            </w:r>
          </w:p>
        </w:tc>
        <w:tc>
          <w:tcPr>
            <w:tcW w:w="1134" w:type="dxa"/>
            <w:gridSpan w:val="2"/>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0.0</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The Flinders University of South Australia</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37</w:t>
            </w:r>
          </w:p>
        </w:tc>
        <w:tc>
          <w:tcPr>
            <w:tcW w:w="850"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1.6</w:t>
            </w:r>
          </w:p>
        </w:tc>
        <w:tc>
          <w:tcPr>
            <w:tcW w:w="1134" w:type="dxa"/>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Pr>
                <w:rFonts w:ascii="Arial" w:hAnsi="Arial" w:cs="Arial"/>
                <w:color w:val="000000"/>
                <w:sz w:val="16"/>
                <w:szCs w:val="16"/>
              </w:rPr>
              <w:t>&lt;10</w:t>
            </w:r>
          </w:p>
        </w:tc>
        <w:tc>
          <w:tcPr>
            <w:tcW w:w="1134" w:type="dxa"/>
            <w:gridSpan w:val="2"/>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The Australian National University</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17</w:t>
            </w:r>
          </w:p>
        </w:tc>
        <w:tc>
          <w:tcPr>
            <w:tcW w:w="850" w:type="dxa"/>
            <w:tcBorders>
              <w:top w:val="nil"/>
              <w:left w:val="nil"/>
              <w:bottom w:val="nil"/>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0.8</w:t>
            </w:r>
          </w:p>
        </w:tc>
        <w:tc>
          <w:tcPr>
            <w:tcW w:w="1134" w:type="dxa"/>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0</w:t>
            </w:r>
          </w:p>
        </w:tc>
        <w:tc>
          <w:tcPr>
            <w:tcW w:w="1134" w:type="dxa"/>
            <w:gridSpan w:val="2"/>
            <w:tcBorders>
              <w:top w:val="nil"/>
              <w:left w:val="nil"/>
              <w:bottom w:val="nil"/>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0.0</w:t>
            </w:r>
          </w:p>
        </w:tc>
      </w:tr>
      <w:tr w:rsidR="00225653" w:rsidRPr="004B65F3"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225653" w:rsidRPr="004B65F3" w:rsidRDefault="00225653" w:rsidP="00AB725E">
            <w:pPr>
              <w:spacing w:before="0"/>
              <w:rPr>
                <w:rFonts w:ascii="Arial" w:hAnsi="Arial" w:cs="Arial"/>
                <w:color w:val="000000"/>
                <w:sz w:val="16"/>
                <w:szCs w:val="16"/>
              </w:rPr>
            </w:pPr>
            <w:r w:rsidRPr="004B65F3">
              <w:rPr>
                <w:rFonts w:ascii="Arial" w:hAnsi="Arial" w:cs="Arial"/>
                <w:color w:val="000000"/>
                <w:sz w:val="16"/>
                <w:szCs w:val="16"/>
              </w:rPr>
              <w:t>The University of Western Australia</w:t>
            </w:r>
            <w:r w:rsidR="00511BBB">
              <w:rPr>
                <w:rFonts w:ascii="Arial" w:hAnsi="Arial" w:cs="Arial"/>
                <w:color w:val="000000"/>
                <w:sz w:val="16"/>
                <w:szCs w:val="16"/>
              </w:rPr>
              <w:t xml:space="preserve"> (3)</w:t>
            </w:r>
          </w:p>
        </w:tc>
        <w:tc>
          <w:tcPr>
            <w:tcW w:w="993" w:type="dxa"/>
            <w:tcBorders>
              <w:top w:val="nil"/>
              <w:left w:val="nil"/>
              <w:bottom w:val="single" w:sz="4" w:space="0" w:color="auto"/>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5</w:t>
            </w:r>
          </w:p>
        </w:tc>
        <w:tc>
          <w:tcPr>
            <w:tcW w:w="850" w:type="dxa"/>
            <w:tcBorders>
              <w:top w:val="nil"/>
              <w:left w:val="nil"/>
              <w:bottom w:val="single" w:sz="4" w:space="0" w:color="auto"/>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0.2</w:t>
            </w:r>
          </w:p>
        </w:tc>
        <w:tc>
          <w:tcPr>
            <w:tcW w:w="1134" w:type="dxa"/>
            <w:tcBorders>
              <w:top w:val="nil"/>
              <w:left w:val="nil"/>
              <w:bottom w:val="single" w:sz="4" w:space="0" w:color="auto"/>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0</w:t>
            </w:r>
          </w:p>
        </w:tc>
        <w:tc>
          <w:tcPr>
            <w:tcW w:w="1134" w:type="dxa"/>
            <w:gridSpan w:val="2"/>
            <w:tcBorders>
              <w:top w:val="nil"/>
              <w:left w:val="nil"/>
              <w:bottom w:val="single" w:sz="4" w:space="0" w:color="auto"/>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0.0</w:t>
            </w:r>
          </w:p>
        </w:tc>
      </w:tr>
      <w:tr w:rsidR="00225653" w:rsidRPr="004B65F3" w:rsidTr="00AB725E">
        <w:trPr>
          <w:trHeight w:val="300"/>
        </w:trPr>
        <w:tc>
          <w:tcPr>
            <w:tcW w:w="3969" w:type="dxa"/>
            <w:gridSpan w:val="2"/>
            <w:tcBorders>
              <w:top w:val="single" w:sz="4" w:space="0" w:color="auto"/>
              <w:left w:val="nil"/>
              <w:bottom w:val="single" w:sz="4" w:space="0" w:color="auto"/>
              <w:right w:val="nil"/>
            </w:tcBorders>
            <w:shd w:val="clear" w:color="auto" w:fill="auto"/>
            <w:noWrap/>
            <w:vAlign w:val="bottom"/>
            <w:hideMark/>
          </w:tcPr>
          <w:p w:rsidR="00225653" w:rsidRPr="004B65F3" w:rsidRDefault="00225653" w:rsidP="00AB725E">
            <w:pPr>
              <w:pStyle w:val="Tabletext"/>
              <w:rPr>
                <w:rFonts w:cs="Arial"/>
                <w:szCs w:val="16"/>
              </w:rPr>
            </w:pPr>
            <w:r w:rsidRPr="004B65F3">
              <w:rPr>
                <w:rFonts w:cs="Arial"/>
                <w:szCs w:val="16"/>
              </w:rPr>
              <w:t>TOTAL</w:t>
            </w:r>
          </w:p>
        </w:tc>
        <w:tc>
          <w:tcPr>
            <w:tcW w:w="993" w:type="dxa"/>
            <w:tcBorders>
              <w:top w:val="single" w:sz="4" w:space="0" w:color="auto"/>
              <w:left w:val="nil"/>
              <w:bottom w:val="single" w:sz="4" w:space="0" w:color="auto"/>
              <w:right w:val="nil"/>
            </w:tcBorders>
            <w:shd w:val="clear" w:color="auto" w:fill="auto"/>
            <w:noWrap/>
            <w:vAlign w:val="bottom"/>
            <w:hideMark/>
          </w:tcPr>
          <w:p w:rsidR="00225653" w:rsidRPr="004B65F3" w:rsidRDefault="00225653" w:rsidP="00AB725E">
            <w:pPr>
              <w:pStyle w:val="Tabletext"/>
              <w:jc w:val="right"/>
              <w:rPr>
                <w:rFonts w:cs="Arial"/>
                <w:szCs w:val="16"/>
              </w:rPr>
            </w:pPr>
            <w:r w:rsidRPr="004B65F3">
              <w:rPr>
                <w:rFonts w:cs="Arial"/>
                <w:szCs w:val="16"/>
              </w:rPr>
              <w:t>2 253</w:t>
            </w:r>
          </w:p>
        </w:tc>
        <w:tc>
          <w:tcPr>
            <w:tcW w:w="850" w:type="dxa"/>
            <w:tcBorders>
              <w:top w:val="single" w:sz="4" w:space="0" w:color="auto"/>
              <w:left w:val="nil"/>
              <w:bottom w:val="single" w:sz="4" w:space="0" w:color="auto"/>
              <w:right w:val="nil"/>
            </w:tcBorders>
            <w:shd w:val="clear" w:color="auto" w:fill="auto"/>
            <w:noWrap/>
            <w:vAlign w:val="bottom"/>
            <w:hideMark/>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100.0</w:t>
            </w:r>
          </w:p>
        </w:tc>
        <w:tc>
          <w:tcPr>
            <w:tcW w:w="1134" w:type="dxa"/>
            <w:tcBorders>
              <w:top w:val="single" w:sz="4" w:space="0" w:color="auto"/>
              <w:left w:val="nil"/>
              <w:bottom w:val="single" w:sz="4" w:space="0" w:color="auto"/>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182</w:t>
            </w:r>
          </w:p>
        </w:tc>
        <w:tc>
          <w:tcPr>
            <w:tcW w:w="1134" w:type="dxa"/>
            <w:gridSpan w:val="2"/>
            <w:tcBorders>
              <w:top w:val="single" w:sz="4" w:space="0" w:color="auto"/>
              <w:left w:val="nil"/>
              <w:bottom w:val="single" w:sz="4" w:space="0" w:color="auto"/>
              <w:right w:val="nil"/>
            </w:tcBorders>
            <w:vAlign w:val="bottom"/>
          </w:tcPr>
          <w:p w:rsidR="00225653" w:rsidRPr="004B65F3" w:rsidRDefault="00225653" w:rsidP="00AB725E">
            <w:pPr>
              <w:spacing w:before="0"/>
              <w:jc w:val="right"/>
              <w:rPr>
                <w:rFonts w:ascii="Arial" w:hAnsi="Arial" w:cs="Arial"/>
                <w:color w:val="000000"/>
                <w:sz w:val="16"/>
                <w:szCs w:val="16"/>
              </w:rPr>
            </w:pPr>
            <w:r w:rsidRPr="004B65F3">
              <w:rPr>
                <w:rFonts w:ascii="Arial" w:hAnsi="Arial" w:cs="Arial"/>
                <w:color w:val="000000"/>
                <w:sz w:val="16"/>
                <w:szCs w:val="16"/>
              </w:rPr>
              <w:t>8.1</w:t>
            </w:r>
          </w:p>
        </w:tc>
      </w:tr>
    </w:tbl>
    <w:p w:rsidR="00225653" w:rsidRDefault="00225653" w:rsidP="00225653">
      <w:pPr>
        <w:pStyle w:val="Source"/>
      </w:pPr>
      <w:r>
        <w:t>Source: DEEWR (2010) Higher Education Statistics Collection. Unpublished data</w:t>
      </w:r>
    </w:p>
    <w:p w:rsidR="00225653" w:rsidRDefault="00225653" w:rsidP="00225653">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5F3AC0" w:rsidRDefault="005F3AC0">
      <w:pPr>
        <w:spacing w:before="0" w:line="240" w:lineRule="auto"/>
        <w:rPr>
          <w:rFonts w:ascii="Tahoma" w:hAnsi="Tahoma"/>
          <w:i/>
          <w:sz w:val="24"/>
        </w:rPr>
      </w:pPr>
      <w:r>
        <w:rPr>
          <w:rFonts w:ascii="Tahoma" w:hAnsi="Tahoma"/>
          <w:i/>
          <w:sz w:val="24"/>
        </w:rPr>
        <w:br w:type="page"/>
      </w:r>
    </w:p>
    <w:p w:rsidR="00225653" w:rsidRDefault="00225653" w:rsidP="00225653">
      <w:pPr>
        <w:pStyle w:val="Text"/>
        <w:rPr>
          <w:rFonts w:ascii="Tahoma" w:hAnsi="Tahoma"/>
          <w:i/>
          <w:sz w:val="24"/>
        </w:rPr>
      </w:pPr>
      <w:r>
        <w:rPr>
          <w:rFonts w:ascii="Tahoma" w:hAnsi="Tahoma"/>
          <w:i/>
          <w:sz w:val="24"/>
        </w:rPr>
        <w:lastRenderedPageBreak/>
        <w:t>Civil</w:t>
      </w:r>
      <w:r w:rsidRPr="00770423">
        <w:rPr>
          <w:rFonts w:ascii="Tahoma" w:hAnsi="Tahoma"/>
          <w:i/>
          <w:sz w:val="24"/>
        </w:rPr>
        <w:t xml:space="preserve"> Engineering  </w:t>
      </w:r>
    </w:p>
    <w:p w:rsidR="00225653" w:rsidRDefault="00225653" w:rsidP="00225653">
      <w:pPr>
        <w:pStyle w:val="Text"/>
      </w:pPr>
      <w:r>
        <w:t>Civil Engineering is the</w:t>
      </w:r>
      <w:r w:rsidRPr="00770423">
        <w:t xml:space="preserve"> largest sub-field</w:t>
      </w:r>
      <w:r>
        <w:t xml:space="preserve">, after “Other”, with 2 624 undergraduate commencements in the field of Engineering and Related Technologies. Some 7.2 per cent of students in Civil Engineering Programs are admitted on the basis of a VET award as shown in </w:t>
      </w:r>
      <w:r w:rsidR="00B45EBA">
        <w:t xml:space="preserve">Table </w:t>
      </w:r>
      <w:r w:rsidR="009A7713">
        <w:t>22</w:t>
      </w:r>
      <w:r>
        <w:t xml:space="preserve">. </w:t>
      </w:r>
    </w:p>
    <w:p w:rsidR="004B21E8" w:rsidRDefault="004B21E8" w:rsidP="004B21E8">
      <w:pPr>
        <w:pStyle w:val="Text"/>
      </w:pPr>
      <w:r>
        <w:t xml:space="preserve">Nineteen universities enrol commencing students in the sub-field of civil engineering but nine of these account for 83 per cent of all undergraduate enrolments. Seven universities admit students on the basis of a VET award but the two largest providers – the University of New South Wales and the University of Sydney - do not and the third and fifth largest providers, Swinburne University and Curtin University, admit only 4.5 per cent and 6.5 per cent respectively on the basis of a VET award. </w:t>
      </w:r>
    </w:p>
    <w:p w:rsidR="004B21E8" w:rsidRDefault="004B21E8" w:rsidP="004B21E8">
      <w:pPr>
        <w:pStyle w:val="Text"/>
      </w:pPr>
      <w:r>
        <w:t>Stronger VET-HE pathways in civil engineering appear to be provided by RMIT University (12.7</w:t>
      </w:r>
      <w:r w:rsidR="00CA146B">
        <w:t>%</w:t>
      </w:r>
      <w:r>
        <w:t>), Victoria University (20.4</w:t>
      </w:r>
      <w:r w:rsidR="00CA146B">
        <w:t>%</w:t>
      </w:r>
      <w:r>
        <w:t>), University of Wollongong (9.8</w:t>
      </w:r>
      <w:r w:rsidR="00CA146B">
        <w:t>%</w:t>
      </w:r>
      <w:r>
        <w:t>), University of South Australia (21.4</w:t>
      </w:r>
      <w:r w:rsidR="00CA146B">
        <w:t>%</w:t>
      </w:r>
      <w:r>
        <w:t>) and Edith Cowan University (over 30</w:t>
      </w:r>
      <w:r w:rsidR="00CA146B">
        <w:t>%</w:t>
      </w:r>
      <w:r>
        <w:t xml:space="preserve">).  </w:t>
      </w:r>
    </w:p>
    <w:p w:rsidR="00225653" w:rsidRDefault="00B45EBA" w:rsidP="00225653">
      <w:pPr>
        <w:pStyle w:val="tabletitle"/>
      </w:pPr>
      <w:bookmarkStart w:id="116" w:name="_Toc350786328"/>
      <w:bookmarkStart w:id="117" w:name="_Toc370995931"/>
      <w:r>
        <w:t xml:space="preserve">Table </w:t>
      </w:r>
      <w:r w:rsidR="006A154F">
        <w:t>22</w:t>
      </w:r>
      <w:r w:rsidR="00225653">
        <w:tab/>
        <w:t xml:space="preserve">VET award-holders and all undergraduate commencements in Civil Engineering </w:t>
      </w:r>
      <w:r w:rsidR="00225653">
        <w:rPr>
          <w:szCs w:val="22"/>
        </w:rPr>
        <w:t>(FOE 0309)</w:t>
      </w:r>
      <w:r w:rsidR="00225653">
        <w:t>, by HE provider Australia 2010</w:t>
      </w:r>
      <w:bookmarkEnd w:id="116"/>
      <w:bookmarkEnd w:id="117"/>
    </w:p>
    <w:tbl>
      <w:tblPr>
        <w:tblW w:w="8080" w:type="dxa"/>
        <w:tblInd w:w="108" w:type="dxa"/>
        <w:tblLayout w:type="fixed"/>
        <w:tblLook w:val="04A0"/>
      </w:tblPr>
      <w:tblGrid>
        <w:gridCol w:w="3448"/>
        <w:gridCol w:w="521"/>
        <w:gridCol w:w="993"/>
        <w:gridCol w:w="850"/>
        <w:gridCol w:w="1134"/>
        <w:gridCol w:w="851"/>
        <w:gridCol w:w="283"/>
      </w:tblGrid>
      <w:tr w:rsidR="00225653" w:rsidRPr="00CE24D5" w:rsidTr="00AB725E">
        <w:trPr>
          <w:gridAfter w:val="1"/>
          <w:wAfter w:w="283" w:type="dxa"/>
          <w:trHeight w:val="300"/>
        </w:trPr>
        <w:tc>
          <w:tcPr>
            <w:tcW w:w="3448" w:type="dxa"/>
            <w:tcBorders>
              <w:top w:val="single" w:sz="4" w:space="0" w:color="auto"/>
              <w:left w:val="nil"/>
              <w:bottom w:val="nil"/>
              <w:right w:val="nil"/>
            </w:tcBorders>
            <w:shd w:val="clear" w:color="auto" w:fill="auto"/>
            <w:noWrap/>
            <w:vAlign w:val="bottom"/>
            <w:hideMark/>
          </w:tcPr>
          <w:p w:rsidR="00225653" w:rsidRPr="00CE24D5" w:rsidRDefault="00225653" w:rsidP="00AB725E">
            <w:pPr>
              <w:pStyle w:val="Tablehead1"/>
              <w:jc w:val="center"/>
              <w:rPr>
                <w:bCs/>
                <w:color w:val="000000"/>
                <w:lang w:val="en-US"/>
              </w:rPr>
            </w:pPr>
          </w:p>
        </w:tc>
        <w:tc>
          <w:tcPr>
            <w:tcW w:w="2364" w:type="dxa"/>
            <w:gridSpan w:val="3"/>
            <w:tcBorders>
              <w:top w:val="single" w:sz="4" w:space="0" w:color="auto"/>
              <w:left w:val="nil"/>
              <w:bottom w:val="nil"/>
              <w:right w:val="nil"/>
            </w:tcBorders>
            <w:shd w:val="clear" w:color="auto" w:fill="auto"/>
            <w:noWrap/>
            <w:vAlign w:val="bottom"/>
            <w:hideMark/>
          </w:tcPr>
          <w:p w:rsidR="00225653" w:rsidRPr="00CE24D5" w:rsidRDefault="00225653" w:rsidP="00AB725E">
            <w:pPr>
              <w:pStyle w:val="Tablehead1"/>
              <w:jc w:val="center"/>
              <w:rPr>
                <w:rFonts w:cs="Arial"/>
                <w:bCs/>
                <w:color w:val="000000"/>
                <w:szCs w:val="17"/>
                <w:lang w:val="en-US"/>
              </w:rPr>
            </w:pPr>
            <w:r>
              <w:rPr>
                <w:rFonts w:cs="Arial"/>
                <w:bCs/>
                <w:color w:val="000000"/>
                <w:szCs w:val="17"/>
                <w:lang w:val="en-US"/>
              </w:rPr>
              <w:t>All undergraduate commencements</w:t>
            </w:r>
          </w:p>
        </w:tc>
        <w:tc>
          <w:tcPr>
            <w:tcW w:w="1985" w:type="dxa"/>
            <w:gridSpan w:val="2"/>
            <w:tcBorders>
              <w:top w:val="single" w:sz="4" w:space="0" w:color="auto"/>
              <w:left w:val="nil"/>
              <w:bottom w:val="nil"/>
              <w:right w:val="nil"/>
            </w:tcBorders>
            <w:vAlign w:val="bottom"/>
          </w:tcPr>
          <w:p w:rsidR="00225653" w:rsidRPr="00CE24D5" w:rsidRDefault="00225653" w:rsidP="00AB725E">
            <w:pPr>
              <w:pStyle w:val="Tablehead1"/>
              <w:jc w:val="center"/>
              <w:rPr>
                <w:rFonts w:cs="Arial"/>
                <w:bCs/>
                <w:color w:val="000000"/>
                <w:szCs w:val="17"/>
                <w:lang w:val="en-US"/>
              </w:rPr>
            </w:pPr>
            <w:r>
              <w:rPr>
                <w:rFonts w:cs="Arial"/>
                <w:bCs/>
                <w:color w:val="000000"/>
                <w:szCs w:val="17"/>
                <w:lang w:val="en-US"/>
              </w:rPr>
              <w:t xml:space="preserve">VET award-holders </w:t>
            </w:r>
          </w:p>
        </w:tc>
      </w:tr>
      <w:tr w:rsidR="00225653" w:rsidRPr="00322D4B"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rPr>
                <w:rFonts w:asciiTheme="majorHAnsi" w:hAnsiTheme="majorHAnsi"/>
                <w:sz w:val="18"/>
                <w:szCs w:val="18"/>
                <w:lang w:val="en-US"/>
              </w:rPr>
            </w:pPr>
            <w:r>
              <w:rPr>
                <w:rFonts w:asciiTheme="majorHAnsi" w:hAnsiTheme="majorHAnsi"/>
                <w:sz w:val="18"/>
                <w:szCs w:val="18"/>
                <w:lang w:val="en-US"/>
              </w:rPr>
              <w:t xml:space="preserve">Institution </w:t>
            </w:r>
            <w:r w:rsidR="00511BBB">
              <w:rPr>
                <w:rFonts w:asciiTheme="majorHAnsi" w:hAnsiTheme="majorHAnsi"/>
                <w:sz w:val="18"/>
                <w:szCs w:val="18"/>
                <w:lang w:val="en-US"/>
              </w:rPr>
              <w:t>(Cluster)</w:t>
            </w:r>
          </w:p>
        </w:tc>
        <w:tc>
          <w:tcPr>
            <w:tcW w:w="993" w:type="dxa"/>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Students</w:t>
            </w:r>
          </w:p>
        </w:tc>
        <w:tc>
          <w:tcPr>
            <w:tcW w:w="850" w:type="dxa"/>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jc w:val="center"/>
              <w:rPr>
                <w:rFonts w:asciiTheme="majorHAnsi" w:hAnsiTheme="majorHAnsi"/>
                <w:sz w:val="18"/>
                <w:szCs w:val="18"/>
                <w:lang w:val="en-US"/>
              </w:rPr>
            </w:pPr>
            <w:r w:rsidRPr="00F71B20">
              <w:rPr>
                <w:rFonts w:asciiTheme="majorHAnsi" w:hAnsiTheme="majorHAnsi"/>
                <w:sz w:val="18"/>
                <w:szCs w:val="18"/>
                <w:lang w:val="en-US"/>
              </w:rPr>
              <w:t>% total</w:t>
            </w:r>
          </w:p>
        </w:tc>
        <w:tc>
          <w:tcPr>
            <w:tcW w:w="1134" w:type="dxa"/>
            <w:tcBorders>
              <w:top w:val="nil"/>
              <w:left w:val="nil"/>
              <w:bottom w:val="single" w:sz="4" w:space="0" w:color="auto"/>
              <w:right w:val="nil"/>
            </w:tcBorders>
            <w:vAlign w:val="bottom"/>
          </w:tcPr>
          <w:p w:rsidR="00225653" w:rsidRPr="00F71B20" w:rsidRDefault="00225653" w:rsidP="00AB725E">
            <w:pPr>
              <w:pStyle w:val="Tablehead2"/>
              <w:rPr>
                <w:rFonts w:asciiTheme="majorHAnsi" w:hAnsiTheme="majorHAnsi"/>
                <w:sz w:val="18"/>
                <w:szCs w:val="18"/>
                <w:lang w:val="en-US"/>
              </w:rPr>
            </w:pPr>
            <w:r w:rsidRPr="00F71B20">
              <w:rPr>
                <w:rFonts w:asciiTheme="majorHAnsi" w:hAnsiTheme="majorHAnsi"/>
                <w:sz w:val="18"/>
                <w:szCs w:val="18"/>
                <w:lang w:val="en-US"/>
              </w:rPr>
              <w:t>Students</w:t>
            </w:r>
          </w:p>
        </w:tc>
        <w:tc>
          <w:tcPr>
            <w:tcW w:w="1134" w:type="dxa"/>
            <w:gridSpan w:val="2"/>
            <w:tcBorders>
              <w:top w:val="nil"/>
              <w:left w:val="nil"/>
              <w:bottom w:val="single" w:sz="4" w:space="0" w:color="auto"/>
              <w:right w:val="nil"/>
            </w:tcBorders>
            <w:vAlign w:val="bottom"/>
          </w:tcPr>
          <w:p w:rsidR="00225653" w:rsidRPr="00F71B20" w:rsidRDefault="00225653" w:rsidP="00AB725E">
            <w:pPr>
              <w:pStyle w:val="Tablehead2"/>
              <w:jc w:val="center"/>
              <w:rPr>
                <w:rFonts w:asciiTheme="majorHAnsi" w:hAnsiTheme="majorHAnsi"/>
                <w:sz w:val="18"/>
                <w:szCs w:val="18"/>
                <w:lang w:val="en-US"/>
              </w:rPr>
            </w:pPr>
            <w:r w:rsidRPr="00F71B20">
              <w:rPr>
                <w:rFonts w:asciiTheme="majorHAnsi" w:hAnsiTheme="majorHAnsi"/>
                <w:sz w:val="18"/>
                <w:szCs w:val="18"/>
                <w:lang w:val="en-US"/>
              </w:rPr>
              <w:t xml:space="preserve">% </w:t>
            </w:r>
            <w:r>
              <w:rPr>
                <w:rFonts w:asciiTheme="majorHAnsi" w:hAnsiTheme="majorHAnsi"/>
                <w:sz w:val="18"/>
                <w:szCs w:val="18"/>
                <w:lang w:val="en-US"/>
              </w:rPr>
              <w:t>all U/G</w:t>
            </w:r>
          </w:p>
        </w:tc>
      </w:tr>
      <w:tr w:rsidR="00225653" w:rsidRPr="004B65F3" w:rsidTr="00AB725E">
        <w:trPr>
          <w:trHeight w:val="300"/>
        </w:trPr>
        <w:tc>
          <w:tcPr>
            <w:tcW w:w="3969" w:type="dxa"/>
            <w:gridSpan w:val="2"/>
            <w:tcBorders>
              <w:top w:val="single" w:sz="4" w:space="0" w:color="auto"/>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The University of New South Wales</w:t>
            </w:r>
            <w:r w:rsidR="00511BBB">
              <w:rPr>
                <w:rFonts w:ascii="Arial" w:hAnsi="Arial" w:cs="Arial"/>
                <w:color w:val="000000"/>
                <w:sz w:val="16"/>
                <w:szCs w:val="16"/>
              </w:rPr>
              <w:t xml:space="preserve"> (3)</w:t>
            </w:r>
          </w:p>
        </w:tc>
        <w:tc>
          <w:tcPr>
            <w:tcW w:w="993" w:type="dxa"/>
            <w:tcBorders>
              <w:top w:val="single" w:sz="4" w:space="0" w:color="auto"/>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347</w:t>
            </w:r>
          </w:p>
        </w:tc>
        <w:tc>
          <w:tcPr>
            <w:tcW w:w="850" w:type="dxa"/>
            <w:tcBorders>
              <w:top w:val="single" w:sz="4" w:space="0" w:color="auto"/>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13.2</w:t>
            </w:r>
          </w:p>
        </w:tc>
        <w:tc>
          <w:tcPr>
            <w:tcW w:w="1134" w:type="dxa"/>
            <w:tcBorders>
              <w:top w:val="single" w:sz="4" w:space="0" w:color="auto"/>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&lt;10</w:t>
            </w:r>
          </w:p>
        </w:tc>
        <w:tc>
          <w:tcPr>
            <w:tcW w:w="1134" w:type="dxa"/>
            <w:gridSpan w:val="2"/>
            <w:tcBorders>
              <w:top w:val="single" w:sz="4" w:space="0" w:color="auto"/>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The University of Sydney</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288</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11.0</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&lt;10</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Swinburne University of Technology</w:t>
            </w:r>
            <w:r w:rsidR="00511BBB">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286</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10.9</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13</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4.5</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RMIT University</w:t>
            </w:r>
            <w:r w:rsidR="00511BBB">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283</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10.8</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36</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12.7</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Curtin University of Technology</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262</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10.0</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17</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6.5</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The University of Adelaide</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227</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8.7</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&lt;10</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Victoria University</w:t>
            </w:r>
            <w:r w:rsidR="00511BBB">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191</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7.3</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39</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20.4</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University of Wollongong</w:t>
            </w:r>
            <w:r w:rsidR="00511BBB">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153</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5.8</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15</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9.8</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The University of Newcastle</w:t>
            </w:r>
            <w:r w:rsidR="00511BBB">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147</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5.6</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&lt;10</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University of South Australia</w:t>
            </w:r>
            <w:r w:rsidR="00511BBB">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84</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3.2</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18</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21.4</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The University of Queensland</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82</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3.1</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0</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0.0</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Central Queensland University</w:t>
            </w:r>
            <w:r w:rsidR="00511BBB">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69</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2.6</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0</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0.0</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Edith Cowan University</w:t>
            </w:r>
            <w:r w:rsidR="00511BBB">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50</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1.9</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15</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30.0</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University of the Sunshine Coast</w:t>
            </w:r>
            <w:r w:rsidR="00511BBB">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43</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1.6</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0</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0.0</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Monash University</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40</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1.5</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&lt;10</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University of Technology, Sydney</w:t>
            </w:r>
            <w:r w:rsidR="00511BBB">
              <w:rPr>
                <w:rFonts w:ascii="Arial" w:hAnsi="Arial" w:cs="Arial"/>
                <w:color w:val="000000"/>
                <w:sz w:val="16"/>
                <w:szCs w:val="16"/>
              </w:rPr>
              <w:t xml:space="preserve"> (2)</w:t>
            </w:r>
          </w:p>
        </w:tc>
        <w:tc>
          <w:tcPr>
            <w:tcW w:w="993" w:type="dxa"/>
            <w:tcBorders>
              <w:top w:val="nil"/>
              <w:left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22</w:t>
            </w:r>
          </w:p>
        </w:tc>
        <w:tc>
          <w:tcPr>
            <w:tcW w:w="850" w:type="dxa"/>
            <w:tcBorders>
              <w:top w:val="nil"/>
              <w:left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0.8</w:t>
            </w:r>
          </w:p>
        </w:tc>
        <w:tc>
          <w:tcPr>
            <w:tcW w:w="1134" w:type="dxa"/>
            <w:tcBorders>
              <w:top w:val="nil"/>
              <w:left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0</w:t>
            </w:r>
          </w:p>
        </w:tc>
        <w:tc>
          <w:tcPr>
            <w:tcW w:w="1134" w:type="dxa"/>
            <w:gridSpan w:val="2"/>
            <w:tcBorders>
              <w:top w:val="nil"/>
              <w:left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0.0</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University of Tasmania</w:t>
            </w:r>
            <w:r w:rsidR="00511BBB">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20</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0.8</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&lt;10</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Griffith University</w:t>
            </w:r>
            <w:r w:rsidR="00511BBB">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15</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0.6</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&lt;10</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rPr>
                <w:rFonts w:ascii="Arial" w:hAnsi="Arial" w:cs="Arial"/>
                <w:color w:val="000000"/>
                <w:sz w:val="16"/>
                <w:szCs w:val="16"/>
              </w:rPr>
            </w:pPr>
            <w:r w:rsidRPr="00422A02">
              <w:rPr>
                <w:rFonts w:ascii="Arial" w:hAnsi="Arial" w:cs="Arial"/>
                <w:color w:val="000000"/>
                <w:sz w:val="16"/>
                <w:szCs w:val="16"/>
              </w:rPr>
              <w:t>The Flinders University of South Australia</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10</w:t>
            </w:r>
          </w:p>
        </w:tc>
        <w:tc>
          <w:tcPr>
            <w:tcW w:w="850" w:type="dxa"/>
            <w:tcBorders>
              <w:top w:val="nil"/>
              <w:left w:val="nil"/>
              <w:bottom w:val="nil"/>
              <w:right w:val="nil"/>
            </w:tcBorders>
            <w:shd w:val="clear" w:color="auto" w:fill="auto"/>
            <w:noWrap/>
            <w:vAlign w:val="bottom"/>
            <w:hideMark/>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0.4</w:t>
            </w:r>
          </w:p>
        </w:tc>
        <w:tc>
          <w:tcPr>
            <w:tcW w:w="1134" w:type="dxa"/>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0</w:t>
            </w:r>
          </w:p>
        </w:tc>
        <w:tc>
          <w:tcPr>
            <w:tcW w:w="1134" w:type="dxa"/>
            <w:gridSpan w:val="2"/>
            <w:tcBorders>
              <w:top w:val="nil"/>
              <w:left w:val="nil"/>
              <w:bottom w:val="nil"/>
              <w:right w:val="nil"/>
            </w:tcBorders>
            <w:vAlign w:val="bottom"/>
          </w:tcPr>
          <w:p w:rsidR="00225653" w:rsidRPr="00422A02" w:rsidRDefault="00225653" w:rsidP="00AB725E">
            <w:pPr>
              <w:spacing w:before="100" w:beforeAutospacing="1" w:after="100" w:afterAutospacing="1" w:line="260" w:lineRule="auto"/>
              <w:jc w:val="right"/>
              <w:rPr>
                <w:rFonts w:ascii="Arial" w:hAnsi="Arial" w:cs="Arial"/>
                <w:color w:val="000000"/>
                <w:sz w:val="16"/>
                <w:szCs w:val="16"/>
              </w:rPr>
            </w:pPr>
            <w:r w:rsidRPr="00422A02">
              <w:rPr>
                <w:rFonts w:ascii="Arial" w:hAnsi="Arial" w:cs="Arial"/>
                <w:color w:val="000000"/>
                <w:sz w:val="16"/>
                <w:szCs w:val="16"/>
              </w:rPr>
              <w:t>0.0</w:t>
            </w:r>
          </w:p>
        </w:tc>
      </w:tr>
      <w:tr w:rsidR="00225653" w:rsidRPr="004B65F3" w:rsidTr="00AB725E">
        <w:trPr>
          <w:trHeight w:val="300"/>
        </w:trPr>
        <w:tc>
          <w:tcPr>
            <w:tcW w:w="3969" w:type="dxa"/>
            <w:gridSpan w:val="2"/>
            <w:tcBorders>
              <w:top w:val="single" w:sz="4" w:space="0" w:color="auto"/>
              <w:left w:val="nil"/>
              <w:bottom w:val="single" w:sz="4" w:space="0" w:color="auto"/>
              <w:right w:val="nil"/>
            </w:tcBorders>
            <w:shd w:val="clear" w:color="auto" w:fill="auto"/>
            <w:noWrap/>
            <w:vAlign w:val="bottom"/>
            <w:hideMark/>
          </w:tcPr>
          <w:p w:rsidR="00225653" w:rsidRPr="00422A02" w:rsidRDefault="00225653" w:rsidP="00AB725E">
            <w:pPr>
              <w:pStyle w:val="Tabletext"/>
              <w:spacing w:before="0" w:after="0"/>
              <w:rPr>
                <w:rFonts w:cs="Arial"/>
                <w:szCs w:val="16"/>
              </w:rPr>
            </w:pPr>
            <w:r w:rsidRPr="00422A02">
              <w:rPr>
                <w:rFonts w:cs="Arial"/>
                <w:szCs w:val="16"/>
              </w:rPr>
              <w:t>TOTAL</w:t>
            </w:r>
          </w:p>
        </w:tc>
        <w:tc>
          <w:tcPr>
            <w:tcW w:w="993" w:type="dxa"/>
            <w:tcBorders>
              <w:top w:val="single" w:sz="4" w:space="0" w:color="auto"/>
              <w:left w:val="nil"/>
              <w:bottom w:val="single" w:sz="4" w:space="0" w:color="auto"/>
              <w:right w:val="nil"/>
            </w:tcBorders>
            <w:shd w:val="clear" w:color="auto" w:fill="auto"/>
            <w:noWrap/>
            <w:vAlign w:val="bottom"/>
            <w:hideMark/>
          </w:tcPr>
          <w:p w:rsidR="00225653" w:rsidRPr="00A83197" w:rsidRDefault="00225653" w:rsidP="00AB725E">
            <w:pPr>
              <w:spacing w:before="0" w:line="240" w:lineRule="auto"/>
              <w:jc w:val="right"/>
              <w:rPr>
                <w:rFonts w:ascii="Arial" w:hAnsi="Arial" w:cs="Arial"/>
                <w:b/>
                <w:bCs/>
                <w:color w:val="000000"/>
                <w:sz w:val="16"/>
                <w:szCs w:val="16"/>
              </w:rPr>
            </w:pPr>
            <w:r w:rsidRPr="00A83197">
              <w:rPr>
                <w:rFonts w:ascii="Arial" w:hAnsi="Arial" w:cs="Arial"/>
                <w:b/>
                <w:bCs/>
                <w:color w:val="000000"/>
                <w:sz w:val="16"/>
                <w:szCs w:val="16"/>
              </w:rPr>
              <w:t>2</w:t>
            </w:r>
            <w:r>
              <w:rPr>
                <w:rFonts w:ascii="Arial" w:hAnsi="Arial" w:cs="Arial"/>
                <w:b/>
                <w:bCs/>
                <w:color w:val="000000"/>
                <w:sz w:val="16"/>
                <w:szCs w:val="16"/>
              </w:rPr>
              <w:t xml:space="preserve"> </w:t>
            </w:r>
            <w:r w:rsidRPr="00A83197">
              <w:rPr>
                <w:rFonts w:ascii="Arial" w:hAnsi="Arial" w:cs="Arial"/>
                <w:b/>
                <w:bCs/>
                <w:color w:val="000000"/>
                <w:sz w:val="16"/>
                <w:szCs w:val="16"/>
              </w:rPr>
              <w:t>624</w:t>
            </w:r>
          </w:p>
        </w:tc>
        <w:tc>
          <w:tcPr>
            <w:tcW w:w="850" w:type="dxa"/>
            <w:tcBorders>
              <w:top w:val="single" w:sz="4" w:space="0" w:color="auto"/>
              <w:left w:val="nil"/>
              <w:bottom w:val="single" w:sz="4" w:space="0" w:color="auto"/>
              <w:right w:val="nil"/>
            </w:tcBorders>
            <w:shd w:val="clear" w:color="auto" w:fill="auto"/>
            <w:noWrap/>
            <w:vAlign w:val="bottom"/>
            <w:hideMark/>
          </w:tcPr>
          <w:p w:rsidR="00225653" w:rsidRPr="00A83197" w:rsidRDefault="00225653" w:rsidP="00AB725E">
            <w:pPr>
              <w:spacing w:before="0" w:line="240" w:lineRule="auto"/>
              <w:jc w:val="right"/>
              <w:rPr>
                <w:rFonts w:ascii="Arial" w:hAnsi="Arial" w:cs="Arial"/>
                <w:b/>
                <w:bCs/>
                <w:color w:val="000000"/>
                <w:sz w:val="16"/>
                <w:szCs w:val="16"/>
              </w:rPr>
            </w:pPr>
            <w:r w:rsidRPr="00A83197">
              <w:rPr>
                <w:rFonts w:ascii="Arial" w:hAnsi="Arial" w:cs="Arial"/>
                <w:b/>
                <w:bCs/>
                <w:color w:val="000000"/>
                <w:sz w:val="16"/>
                <w:szCs w:val="16"/>
              </w:rPr>
              <w:t>100</w:t>
            </w:r>
            <w:r>
              <w:rPr>
                <w:rFonts w:ascii="Arial" w:hAnsi="Arial" w:cs="Arial"/>
                <w:b/>
                <w:bCs/>
                <w:color w:val="000000"/>
                <w:sz w:val="16"/>
                <w:szCs w:val="16"/>
              </w:rPr>
              <w:t>.0</w:t>
            </w:r>
          </w:p>
        </w:tc>
        <w:tc>
          <w:tcPr>
            <w:tcW w:w="1134" w:type="dxa"/>
            <w:tcBorders>
              <w:top w:val="single" w:sz="4" w:space="0" w:color="auto"/>
              <w:left w:val="nil"/>
              <w:bottom w:val="single" w:sz="4" w:space="0" w:color="auto"/>
              <w:right w:val="nil"/>
            </w:tcBorders>
            <w:vAlign w:val="bottom"/>
          </w:tcPr>
          <w:p w:rsidR="00225653" w:rsidRPr="00A83197" w:rsidRDefault="00225653" w:rsidP="00AB725E">
            <w:pPr>
              <w:spacing w:before="0" w:line="240" w:lineRule="auto"/>
              <w:jc w:val="right"/>
              <w:rPr>
                <w:rFonts w:ascii="Arial" w:hAnsi="Arial" w:cs="Arial"/>
                <w:b/>
                <w:bCs/>
                <w:color w:val="000000"/>
                <w:sz w:val="16"/>
                <w:szCs w:val="16"/>
              </w:rPr>
            </w:pPr>
            <w:r w:rsidRPr="00A83197">
              <w:rPr>
                <w:rFonts w:ascii="Arial" w:hAnsi="Arial" w:cs="Arial"/>
                <w:b/>
                <w:bCs/>
                <w:color w:val="000000"/>
                <w:sz w:val="16"/>
                <w:szCs w:val="16"/>
              </w:rPr>
              <w:t>188</w:t>
            </w:r>
          </w:p>
        </w:tc>
        <w:tc>
          <w:tcPr>
            <w:tcW w:w="1134" w:type="dxa"/>
            <w:gridSpan w:val="2"/>
            <w:tcBorders>
              <w:top w:val="single" w:sz="4" w:space="0" w:color="auto"/>
              <w:left w:val="nil"/>
              <w:bottom w:val="single" w:sz="4" w:space="0" w:color="auto"/>
              <w:right w:val="nil"/>
            </w:tcBorders>
            <w:vAlign w:val="bottom"/>
          </w:tcPr>
          <w:p w:rsidR="00225653" w:rsidRPr="00A83197" w:rsidRDefault="00225653" w:rsidP="00AB725E">
            <w:pPr>
              <w:spacing w:before="0" w:line="240" w:lineRule="auto"/>
              <w:jc w:val="right"/>
              <w:rPr>
                <w:rFonts w:ascii="Arial" w:hAnsi="Arial" w:cs="Arial"/>
                <w:b/>
                <w:bCs/>
                <w:color w:val="000000"/>
                <w:sz w:val="16"/>
                <w:szCs w:val="16"/>
              </w:rPr>
            </w:pPr>
            <w:r w:rsidRPr="00A83197">
              <w:rPr>
                <w:rFonts w:ascii="Arial" w:hAnsi="Arial" w:cs="Arial"/>
                <w:b/>
                <w:bCs/>
                <w:color w:val="000000"/>
                <w:sz w:val="16"/>
                <w:szCs w:val="16"/>
              </w:rPr>
              <w:t>7.2</w:t>
            </w:r>
          </w:p>
        </w:tc>
      </w:tr>
    </w:tbl>
    <w:p w:rsidR="00225653" w:rsidRDefault="00225653" w:rsidP="00225653">
      <w:pPr>
        <w:pStyle w:val="Source"/>
      </w:pPr>
      <w:r>
        <w:t>Source: DEEWR (2010) Higher Education Statistics Collection. Unpublished data</w:t>
      </w:r>
    </w:p>
    <w:p w:rsidR="00225653" w:rsidRDefault="00225653" w:rsidP="00225653">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AE766A" w:rsidRDefault="00AE766A" w:rsidP="00AE766A">
      <w:pPr>
        <w:pStyle w:val="Text"/>
      </w:pPr>
      <w:r>
        <w:t xml:space="preserve">In Civil Engineering, </w:t>
      </w:r>
      <w:r w:rsidRPr="00D716BD">
        <w:t xml:space="preserve">Cluster 3 universities are </w:t>
      </w:r>
      <w:r>
        <w:t>the dominant providers</w:t>
      </w:r>
      <w:r w:rsidRPr="00D716BD">
        <w:t xml:space="preserve"> accounting for 48 per cent of enrolments compared to 31 per cent for Cluster 1. </w:t>
      </w:r>
      <w:r>
        <w:t xml:space="preserve">However in Civil Engineering, the rates of admission of VET award-holders in Cluster 1 universities are not uniformly high. Swinburne and RMIT Universities, the third and fourth largest providers in this sub-field admit VET award-holders at rates of only 4.5 per cent and 12.7 per cent respectively. Other Cluster 1 universities perform better, with </w:t>
      </w:r>
      <w:r>
        <w:lastRenderedPageBreak/>
        <w:t xml:space="preserve">rates above 20 per cent along with the University of South Australia (Cluster 2). Interestingly, Curtin University, which admits negligible numbers of VET award-holders in the other sub-fields, admits 6.5 per cent of students to its Civil Engineering programs on the basis of a VET award. </w:t>
      </w:r>
    </w:p>
    <w:p w:rsidR="00AE766A" w:rsidRDefault="00AE766A" w:rsidP="00AE766A">
      <w:pPr>
        <w:pStyle w:val="Text"/>
      </w:pPr>
      <w:r>
        <w:t xml:space="preserve">Civil Engineering </w:t>
      </w:r>
      <w:r w:rsidR="00425FCD">
        <w:t>may be a</w:t>
      </w:r>
      <w:r>
        <w:t xml:space="preserve"> sub-field which does not ‘lend itself’ to VET-HE pathways because there is currently no nationally endorsed VET training package at the Advanced Diploma level that could serve as a basis for a VET-HE pathway in this sub-field (see Dowling 2010, pp5-6). Hence the pattern of admission of VET award-holders in this sub-field </w:t>
      </w:r>
      <w:r w:rsidR="00425FCD">
        <w:t xml:space="preserve">is more likely to </w:t>
      </w:r>
      <w:r>
        <w:t xml:space="preserve">reflect local arrangements. </w:t>
      </w:r>
    </w:p>
    <w:p w:rsidR="00225653" w:rsidRDefault="00225653" w:rsidP="00225653">
      <w:pPr>
        <w:pStyle w:val="Text"/>
        <w:rPr>
          <w:rFonts w:ascii="Tahoma" w:hAnsi="Tahoma"/>
          <w:i/>
          <w:sz w:val="24"/>
        </w:rPr>
      </w:pPr>
      <w:r>
        <w:rPr>
          <w:rFonts w:ascii="Tahoma" w:hAnsi="Tahoma"/>
          <w:i/>
          <w:sz w:val="24"/>
        </w:rPr>
        <w:t>Aerospace</w:t>
      </w:r>
      <w:r w:rsidRPr="00770423">
        <w:rPr>
          <w:rFonts w:ascii="Tahoma" w:hAnsi="Tahoma"/>
          <w:i/>
          <w:sz w:val="24"/>
        </w:rPr>
        <w:t xml:space="preserve"> Engineering </w:t>
      </w:r>
      <w:r>
        <w:rPr>
          <w:rFonts w:ascii="Tahoma" w:hAnsi="Tahoma"/>
          <w:i/>
          <w:sz w:val="24"/>
        </w:rPr>
        <w:t>&amp;</w:t>
      </w:r>
      <w:r w:rsidRPr="00770423">
        <w:rPr>
          <w:rFonts w:ascii="Tahoma" w:hAnsi="Tahoma"/>
          <w:i/>
          <w:sz w:val="24"/>
        </w:rPr>
        <w:t xml:space="preserve"> Technology </w:t>
      </w:r>
    </w:p>
    <w:p w:rsidR="00203DC0" w:rsidRDefault="00225653" w:rsidP="00225653">
      <w:pPr>
        <w:pStyle w:val="Text"/>
      </w:pPr>
      <w:r>
        <w:t xml:space="preserve">The sub-field of Aerospace Engineering &amp; Technology reported 1 114 undergraduate commencements, in 2010 of which 7 per cent are admitted on the basis of a VET award. Only ten universities report commencing undergraduate enrolments in this sub-field, and total student load appears to be shared relatively equally between them, as illustrated in </w:t>
      </w:r>
      <w:r w:rsidR="00B45EBA">
        <w:t xml:space="preserve">Table </w:t>
      </w:r>
      <w:r w:rsidR="009A7713">
        <w:t>23</w:t>
      </w:r>
      <w:r>
        <w:t>.</w:t>
      </w:r>
    </w:p>
    <w:p w:rsidR="00203DC0" w:rsidRDefault="00203DC0">
      <w:pPr>
        <w:spacing w:before="0" w:line="240" w:lineRule="auto"/>
      </w:pPr>
      <w:r>
        <w:br w:type="page"/>
      </w:r>
    </w:p>
    <w:p w:rsidR="00225653" w:rsidRDefault="00B45EBA" w:rsidP="00225653">
      <w:pPr>
        <w:pStyle w:val="tabletitle"/>
      </w:pPr>
      <w:bookmarkStart w:id="118" w:name="_Toc350786329"/>
      <w:bookmarkStart w:id="119" w:name="_Toc370995932"/>
      <w:r>
        <w:lastRenderedPageBreak/>
        <w:t xml:space="preserve">Table </w:t>
      </w:r>
      <w:r w:rsidR="006A154F">
        <w:t>23</w:t>
      </w:r>
      <w:r w:rsidR="00225653">
        <w:tab/>
        <w:t xml:space="preserve">VET award-holders and all undergraduate commencements in Aerospace Engineering </w:t>
      </w:r>
      <w:r w:rsidR="00225653">
        <w:rPr>
          <w:szCs w:val="22"/>
        </w:rPr>
        <w:t>(FOE 0315)</w:t>
      </w:r>
      <w:r w:rsidR="00225653">
        <w:t>, by HE provider Australia 2010</w:t>
      </w:r>
      <w:bookmarkEnd w:id="118"/>
      <w:bookmarkEnd w:id="119"/>
    </w:p>
    <w:tbl>
      <w:tblPr>
        <w:tblW w:w="8080" w:type="dxa"/>
        <w:tblInd w:w="108" w:type="dxa"/>
        <w:tblLayout w:type="fixed"/>
        <w:tblLook w:val="04A0"/>
      </w:tblPr>
      <w:tblGrid>
        <w:gridCol w:w="3448"/>
        <w:gridCol w:w="521"/>
        <w:gridCol w:w="993"/>
        <w:gridCol w:w="850"/>
        <w:gridCol w:w="1134"/>
        <w:gridCol w:w="1134"/>
      </w:tblGrid>
      <w:tr w:rsidR="00225653" w:rsidRPr="00774CB9" w:rsidTr="00AB725E">
        <w:trPr>
          <w:trHeight w:val="300"/>
        </w:trPr>
        <w:tc>
          <w:tcPr>
            <w:tcW w:w="3448" w:type="dxa"/>
            <w:tcBorders>
              <w:top w:val="single" w:sz="4" w:space="0" w:color="auto"/>
              <w:left w:val="nil"/>
              <w:bottom w:val="nil"/>
              <w:right w:val="nil"/>
            </w:tcBorders>
            <w:shd w:val="clear" w:color="auto" w:fill="auto"/>
            <w:noWrap/>
            <w:vAlign w:val="bottom"/>
            <w:hideMark/>
          </w:tcPr>
          <w:p w:rsidR="00225653" w:rsidRPr="00774CB9" w:rsidRDefault="00225653" w:rsidP="00AB725E">
            <w:pPr>
              <w:pStyle w:val="Tablehead1"/>
              <w:spacing w:before="100" w:beforeAutospacing="1" w:after="100" w:afterAutospacing="1" w:line="260" w:lineRule="auto"/>
              <w:jc w:val="center"/>
              <w:rPr>
                <w:rFonts w:cs="Arial"/>
                <w:bCs/>
                <w:color w:val="000000"/>
                <w:sz w:val="16"/>
                <w:szCs w:val="16"/>
                <w:lang w:val="en-US"/>
              </w:rPr>
            </w:pPr>
          </w:p>
        </w:tc>
        <w:tc>
          <w:tcPr>
            <w:tcW w:w="2364" w:type="dxa"/>
            <w:gridSpan w:val="3"/>
            <w:tcBorders>
              <w:top w:val="single" w:sz="4" w:space="0" w:color="auto"/>
              <w:left w:val="nil"/>
              <w:bottom w:val="nil"/>
              <w:right w:val="nil"/>
            </w:tcBorders>
            <w:shd w:val="clear" w:color="auto" w:fill="auto"/>
            <w:noWrap/>
            <w:vAlign w:val="bottom"/>
            <w:hideMark/>
          </w:tcPr>
          <w:p w:rsidR="00225653" w:rsidRPr="00774CB9" w:rsidRDefault="00225653" w:rsidP="00AB725E">
            <w:pPr>
              <w:pStyle w:val="Tablehead1"/>
              <w:spacing w:before="100" w:beforeAutospacing="1" w:after="100" w:afterAutospacing="1" w:line="260" w:lineRule="auto"/>
              <w:jc w:val="right"/>
              <w:rPr>
                <w:rFonts w:cs="Arial"/>
                <w:bCs/>
                <w:color w:val="000000"/>
                <w:sz w:val="16"/>
                <w:szCs w:val="16"/>
                <w:lang w:val="en-US"/>
              </w:rPr>
            </w:pPr>
            <w:r w:rsidRPr="00774CB9">
              <w:rPr>
                <w:rFonts w:cs="Arial"/>
                <w:bCs/>
                <w:color w:val="000000"/>
                <w:sz w:val="16"/>
                <w:szCs w:val="16"/>
                <w:lang w:val="en-US"/>
              </w:rPr>
              <w:t>All undergraduate commencements</w:t>
            </w:r>
          </w:p>
        </w:tc>
        <w:tc>
          <w:tcPr>
            <w:tcW w:w="2268" w:type="dxa"/>
            <w:gridSpan w:val="2"/>
            <w:tcBorders>
              <w:top w:val="single" w:sz="4" w:space="0" w:color="auto"/>
              <w:left w:val="nil"/>
              <w:bottom w:val="nil"/>
              <w:right w:val="nil"/>
            </w:tcBorders>
            <w:vAlign w:val="bottom"/>
          </w:tcPr>
          <w:p w:rsidR="00225653" w:rsidRPr="00774CB9" w:rsidRDefault="00225653" w:rsidP="00AB725E">
            <w:pPr>
              <w:pStyle w:val="Tablehead1"/>
              <w:spacing w:before="100" w:beforeAutospacing="1" w:after="100" w:afterAutospacing="1" w:line="260" w:lineRule="auto"/>
              <w:jc w:val="right"/>
              <w:rPr>
                <w:rFonts w:cs="Arial"/>
                <w:bCs/>
                <w:color w:val="000000"/>
                <w:sz w:val="16"/>
                <w:szCs w:val="16"/>
                <w:lang w:val="en-US"/>
              </w:rPr>
            </w:pPr>
            <w:r w:rsidRPr="00774CB9">
              <w:rPr>
                <w:rFonts w:cs="Arial"/>
                <w:bCs/>
                <w:color w:val="000000"/>
                <w:sz w:val="16"/>
                <w:szCs w:val="16"/>
                <w:lang w:val="en-US"/>
              </w:rPr>
              <w:t xml:space="preserve">VET award-holders </w:t>
            </w:r>
          </w:p>
        </w:tc>
      </w:tr>
      <w:tr w:rsidR="00225653" w:rsidRPr="00322D4B" w:rsidTr="00AB725E">
        <w:trPr>
          <w:trHeight w:val="300"/>
        </w:trPr>
        <w:tc>
          <w:tcPr>
            <w:tcW w:w="3969" w:type="dxa"/>
            <w:gridSpan w:val="2"/>
            <w:tcBorders>
              <w:top w:val="nil"/>
              <w:left w:val="nil"/>
              <w:bottom w:val="single" w:sz="4" w:space="0" w:color="auto"/>
              <w:right w:val="nil"/>
            </w:tcBorders>
            <w:shd w:val="clear" w:color="auto" w:fill="auto"/>
            <w:noWrap/>
            <w:vAlign w:val="bottom"/>
            <w:hideMark/>
          </w:tcPr>
          <w:p w:rsidR="00225653" w:rsidRPr="00774CB9" w:rsidRDefault="00225653" w:rsidP="00AB725E">
            <w:pPr>
              <w:pStyle w:val="Tablehead2"/>
              <w:spacing w:before="100" w:beforeAutospacing="1" w:after="100" w:afterAutospacing="1" w:line="260" w:lineRule="auto"/>
              <w:rPr>
                <w:rFonts w:cs="Arial"/>
                <w:sz w:val="16"/>
                <w:szCs w:val="16"/>
                <w:lang w:val="en-US"/>
              </w:rPr>
            </w:pPr>
            <w:r>
              <w:rPr>
                <w:rFonts w:cs="Arial"/>
                <w:sz w:val="16"/>
                <w:szCs w:val="16"/>
                <w:lang w:val="en-US"/>
              </w:rPr>
              <w:t>Institution</w:t>
            </w:r>
            <w:r w:rsidR="00511BBB">
              <w:rPr>
                <w:rFonts w:cs="Arial"/>
                <w:sz w:val="16"/>
                <w:szCs w:val="16"/>
                <w:lang w:val="en-US"/>
              </w:rPr>
              <w:t xml:space="preserve"> (Cluster)</w:t>
            </w:r>
          </w:p>
        </w:tc>
        <w:tc>
          <w:tcPr>
            <w:tcW w:w="993" w:type="dxa"/>
            <w:tcBorders>
              <w:top w:val="nil"/>
              <w:left w:val="nil"/>
              <w:bottom w:val="single" w:sz="4" w:space="0" w:color="auto"/>
              <w:right w:val="nil"/>
            </w:tcBorders>
            <w:shd w:val="clear" w:color="auto" w:fill="auto"/>
            <w:noWrap/>
            <w:vAlign w:val="bottom"/>
            <w:hideMark/>
          </w:tcPr>
          <w:p w:rsidR="00225653" w:rsidRPr="00774CB9" w:rsidRDefault="00225653" w:rsidP="00AB725E">
            <w:pPr>
              <w:pStyle w:val="Tablehead2"/>
              <w:spacing w:before="100" w:beforeAutospacing="1" w:after="100" w:afterAutospacing="1" w:line="260" w:lineRule="auto"/>
              <w:jc w:val="right"/>
              <w:rPr>
                <w:rFonts w:cs="Arial"/>
                <w:sz w:val="16"/>
                <w:szCs w:val="16"/>
                <w:lang w:val="en-US"/>
              </w:rPr>
            </w:pPr>
            <w:r w:rsidRPr="00774CB9">
              <w:rPr>
                <w:rFonts w:cs="Arial"/>
                <w:sz w:val="16"/>
                <w:szCs w:val="16"/>
                <w:lang w:val="en-US"/>
              </w:rPr>
              <w:t>Students</w:t>
            </w:r>
          </w:p>
        </w:tc>
        <w:tc>
          <w:tcPr>
            <w:tcW w:w="850" w:type="dxa"/>
            <w:tcBorders>
              <w:top w:val="nil"/>
              <w:left w:val="nil"/>
              <w:bottom w:val="single" w:sz="4" w:space="0" w:color="auto"/>
              <w:right w:val="nil"/>
            </w:tcBorders>
            <w:shd w:val="clear" w:color="auto" w:fill="auto"/>
            <w:noWrap/>
            <w:vAlign w:val="bottom"/>
            <w:hideMark/>
          </w:tcPr>
          <w:p w:rsidR="00225653" w:rsidRPr="00774CB9" w:rsidRDefault="00225653" w:rsidP="00AB725E">
            <w:pPr>
              <w:pStyle w:val="Tablehead2"/>
              <w:spacing w:before="100" w:beforeAutospacing="1" w:after="100" w:afterAutospacing="1" w:line="260" w:lineRule="auto"/>
              <w:jc w:val="right"/>
              <w:rPr>
                <w:rFonts w:cs="Arial"/>
                <w:sz w:val="16"/>
                <w:szCs w:val="16"/>
                <w:lang w:val="en-US"/>
              </w:rPr>
            </w:pPr>
            <w:r w:rsidRPr="00774CB9">
              <w:rPr>
                <w:rFonts w:cs="Arial"/>
                <w:sz w:val="16"/>
                <w:szCs w:val="16"/>
                <w:lang w:val="en-US"/>
              </w:rPr>
              <w:t>% total</w:t>
            </w:r>
          </w:p>
        </w:tc>
        <w:tc>
          <w:tcPr>
            <w:tcW w:w="1134" w:type="dxa"/>
            <w:tcBorders>
              <w:top w:val="nil"/>
              <w:left w:val="nil"/>
              <w:bottom w:val="single" w:sz="4" w:space="0" w:color="auto"/>
              <w:right w:val="nil"/>
            </w:tcBorders>
            <w:vAlign w:val="bottom"/>
          </w:tcPr>
          <w:p w:rsidR="00225653" w:rsidRPr="00774CB9" w:rsidRDefault="00225653" w:rsidP="00AB725E">
            <w:pPr>
              <w:pStyle w:val="Tablehead2"/>
              <w:spacing w:before="100" w:beforeAutospacing="1" w:after="100" w:afterAutospacing="1" w:line="260" w:lineRule="auto"/>
              <w:jc w:val="right"/>
              <w:rPr>
                <w:rFonts w:cs="Arial"/>
                <w:sz w:val="16"/>
                <w:szCs w:val="16"/>
                <w:lang w:val="en-US"/>
              </w:rPr>
            </w:pPr>
            <w:r w:rsidRPr="00774CB9">
              <w:rPr>
                <w:rFonts w:cs="Arial"/>
                <w:sz w:val="16"/>
                <w:szCs w:val="16"/>
                <w:lang w:val="en-US"/>
              </w:rPr>
              <w:t>Students</w:t>
            </w:r>
          </w:p>
        </w:tc>
        <w:tc>
          <w:tcPr>
            <w:tcW w:w="1134" w:type="dxa"/>
            <w:tcBorders>
              <w:top w:val="nil"/>
              <w:left w:val="nil"/>
              <w:bottom w:val="single" w:sz="4" w:space="0" w:color="auto"/>
              <w:right w:val="nil"/>
            </w:tcBorders>
            <w:vAlign w:val="bottom"/>
          </w:tcPr>
          <w:p w:rsidR="00225653" w:rsidRPr="00774CB9" w:rsidRDefault="00225653" w:rsidP="00AB725E">
            <w:pPr>
              <w:pStyle w:val="Tablehead2"/>
              <w:spacing w:before="100" w:beforeAutospacing="1" w:after="100" w:afterAutospacing="1" w:line="260" w:lineRule="auto"/>
              <w:jc w:val="right"/>
              <w:rPr>
                <w:rFonts w:cs="Arial"/>
                <w:sz w:val="16"/>
                <w:szCs w:val="16"/>
                <w:lang w:val="en-US"/>
              </w:rPr>
            </w:pPr>
            <w:r w:rsidRPr="00774CB9">
              <w:rPr>
                <w:rFonts w:cs="Arial"/>
                <w:sz w:val="16"/>
                <w:szCs w:val="16"/>
                <w:lang w:val="en-US"/>
              </w:rPr>
              <w:t>% all U/G</w:t>
            </w:r>
          </w:p>
        </w:tc>
      </w:tr>
      <w:tr w:rsidR="00225653" w:rsidRPr="004B65F3" w:rsidTr="00AB725E">
        <w:trPr>
          <w:trHeight w:val="300"/>
        </w:trPr>
        <w:tc>
          <w:tcPr>
            <w:tcW w:w="3969" w:type="dxa"/>
            <w:gridSpan w:val="2"/>
            <w:tcBorders>
              <w:top w:val="single" w:sz="4" w:space="0" w:color="auto"/>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rPr>
                <w:rFonts w:ascii="Arial" w:hAnsi="Arial" w:cs="Arial"/>
                <w:color w:val="000000"/>
                <w:sz w:val="16"/>
                <w:szCs w:val="16"/>
              </w:rPr>
            </w:pPr>
            <w:r w:rsidRPr="00774CB9">
              <w:rPr>
                <w:rFonts w:ascii="Arial" w:hAnsi="Arial" w:cs="Arial"/>
                <w:color w:val="000000"/>
                <w:sz w:val="16"/>
                <w:szCs w:val="16"/>
              </w:rPr>
              <w:t>RMIT University</w:t>
            </w:r>
            <w:r w:rsidR="00511BBB">
              <w:rPr>
                <w:rFonts w:ascii="Arial" w:hAnsi="Arial" w:cs="Arial"/>
                <w:color w:val="000000"/>
                <w:sz w:val="16"/>
                <w:szCs w:val="16"/>
              </w:rPr>
              <w:t xml:space="preserve"> (1)</w:t>
            </w:r>
          </w:p>
        </w:tc>
        <w:tc>
          <w:tcPr>
            <w:tcW w:w="993" w:type="dxa"/>
            <w:tcBorders>
              <w:top w:val="single" w:sz="4" w:space="0" w:color="auto"/>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194</w:t>
            </w:r>
          </w:p>
        </w:tc>
        <w:tc>
          <w:tcPr>
            <w:tcW w:w="850" w:type="dxa"/>
            <w:tcBorders>
              <w:top w:val="single" w:sz="4" w:space="0" w:color="auto"/>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17.0</w:t>
            </w:r>
          </w:p>
        </w:tc>
        <w:tc>
          <w:tcPr>
            <w:tcW w:w="1134" w:type="dxa"/>
            <w:tcBorders>
              <w:top w:val="single" w:sz="4" w:space="0" w:color="auto"/>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27</w:t>
            </w:r>
          </w:p>
        </w:tc>
        <w:tc>
          <w:tcPr>
            <w:tcW w:w="1134" w:type="dxa"/>
            <w:tcBorders>
              <w:top w:val="single" w:sz="4" w:space="0" w:color="auto"/>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13.9</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rPr>
                <w:rFonts w:ascii="Arial" w:hAnsi="Arial" w:cs="Arial"/>
                <w:color w:val="000000"/>
                <w:sz w:val="16"/>
                <w:szCs w:val="16"/>
              </w:rPr>
            </w:pPr>
            <w:r w:rsidRPr="00774CB9">
              <w:rPr>
                <w:rFonts w:ascii="Arial" w:hAnsi="Arial" w:cs="Arial"/>
                <w:color w:val="000000"/>
                <w:sz w:val="16"/>
                <w:szCs w:val="16"/>
              </w:rPr>
              <w:t>Griffith University</w:t>
            </w:r>
            <w:r w:rsidR="00511BBB">
              <w:rPr>
                <w:rFonts w:ascii="Arial" w:hAnsi="Arial" w:cs="Arial"/>
                <w:color w:val="000000"/>
                <w:sz w:val="16"/>
                <w:szCs w:val="16"/>
              </w:rPr>
              <w:t xml:space="preserve"> (2) </w:t>
            </w:r>
          </w:p>
        </w:tc>
        <w:tc>
          <w:tcPr>
            <w:tcW w:w="993"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155</w:t>
            </w:r>
          </w:p>
        </w:tc>
        <w:tc>
          <w:tcPr>
            <w:tcW w:w="850"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13.5</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13</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8.4</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rPr>
                <w:rFonts w:ascii="Arial" w:hAnsi="Arial" w:cs="Arial"/>
                <w:color w:val="000000"/>
                <w:sz w:val="16"/>
                <w:szCs w:val="16"/>
              </w:rPr>
            </w:pPr>
            <w:r w:rsidRPr="00774CB9">
              <w:rPr>
                <w:rFonts w:ascii="Arial" w:hAnsi="Arial" w:cs="Arial"/>
                <w:color w:val="000000"/>
                <w:sz w:val="16"/>
                <w:szCs w:val="16"/>
              </w:rPr>
              <w:t>The University of New South Wales</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153</w:t>
            </w:r>
          </w:p>
        </w:tc>
        <w:tc>
          <w:tcPr>
            <w:tcW w:w="850"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13.4</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&lt;10</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rPr>
                <w:rFonts w:ascii="Arial" w:hAnsi="Arial" w:cs="Arial"/>
                <w:color w:val="000000"/>
                <w:sz w:val="16"/>
                <w:szCs w:val="16"/>
              </w:rPr>
            </w:pPr>
            <w:r w:rsidRPr="00774CB9">
              <w:rPr>
                <w:rFonts w:ascii="Arial" w:hAnsi="Arial" w:cs="Arial"/>
                <w:color w:val="000000"/>
                <w:sz w:val="16"/>
                <w:szCs w:val="16"/>
              </w:rPr>
              <w:t>Swinburne University of Technology</w:t>
            </w:r>
            <w:r w:rsidR="00511BBB">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127</w:t>
            </w:r>
          </w:p>
        </w:tc>
        <w:tc>
          <w:tcPr>
            <w:tcW w:w="850"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11.1</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&lt;10</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rPr>
                <w:rFonts w:ascii="Arial" w:hAnsi="Arial" w:cs="Arial"/>
                <w:color w:val="000000"/>
                <w:sz w:val="16"/>
                <w:szCs w:val="16"/>
              </w:rPr>
            </w:pPr>
            <w:r w:rsidRPr="00774CB9">
              <w:rPr>
                <w:rFonts w:ascii="Arial" w:hAnsi="Arial" w:cs="Arial"/>
                <w:color w:val="000000"/>
                <w:sz w:val="16"/>
                <w:szCs w:val="16"/>
              </w:rPr>
              <w:t>The University of Sydney</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101</w:t>
            </w:r>
          </w:p>
        </w:tc>
        <w:tc>
          <w:tcPr>
            <w:tcW w:w="850"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8.8</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&lt;10</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rPr>
                <w:rFonts w:ascii="Arial" w:hAnsi="Arial" w:cs="Arial"/>
                <w:color w:val="000000"/>
                <w:sz w:val="16"/>
                <w:szCs w:val="16"/>
              </w:rPr>
            </w:pPr>
            <w:r w:rsidRPr="00774CB9">
              <w:rPr>
                <w:rFonts w:ascii="Arial" w:hAnsi="Arial" w:cs="Arial"/>
                <w:color w:val="000000"/>
                <w:sz w:val="16"/>
                <w:szCs w:val="16"/>
              </w:rPr>
              <w:t>Edith Cowan University</w:t>
            </w:r>
            <w:r w:rsidR="00511BBB">
              <w:rPr>
                <w:rFonts w:ascii="Arial" w:hAnsi="Arial" w:cs="Arial"/>
                <w:color w:val="000000"/>
                <w:sz w:val="16"/>
                <w:szCs w:val="16"/>
              </w:rPr>
              <w:t xml:space="preserve"> (1)</w:t>
            </w:r>
          </w:p>
        </w:tc>
        <w:tc>
          <w:tcPr>
            <w:tcW w:w="993"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94</w:t>
            </w:r>
          </w:p>
        </w:tc>
        <w:tc>
          <w:tcPr>
            <w:tcW w:w="850"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8.2</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&lt;10</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Pr>
                <w:rFonts w:ascii="Arial" w:hAnsi="Arial" w:cs="Arial"/>
                <w:color w:val="000000"/>
                <w:sz w:val="16"/>
                <w:szCs w:val="16"/>
              </w:rPr>
              <w:t>n.a</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rPr>
                <w:rFonts w:ascii="Arial" w:hAnsi="Arial" w:cs="Arial"/>
                <w:color w:val="000000"/>
                <w:sz w:val="16"/>
                <w:szCs w:val="16"/>
              </w:rPr>
            </w:pPr>
            <w:r w:rsidRPr="00774CB9">
              <w:rPr>
                <w:rFonts w:ascii="Arial" w:hAnsi="Arial" w:cs="Arial"/>
                <w:color w:val="000000"/>
                <w:sz w:val="16"/>
                <w:szCs w:val="16"/>
              </w:rPr>
              <w:t>The University of Adelaide</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89</w:t>
            </w:r>
          </w:p>
        </w:tc>
        <w:tc>
          <w:tcPr>
            <w:tcW w:w="850"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7.8</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0</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0.0</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rPr>
                <w:rFonts w:ascii="Arial" w:hAnsi="Arial" w:cs="Arial"/>
                <w:color w:val="000000"/>
                <w:sz w:val="16"/>
                <w:szCs w:val="16"/>
              </w:rPr>
            </w:pPr>
            <w:r w:rsidRPr="00774CB9">
              <w:rPr>
                <w:rFonts w:ascii="Arial" w:hAnsi="Arial" w:cs="Arial"/>
                <w:color w:val="000000"/>
                <w:sz w:val="16"/>
                <w:szCs w:val="16"/>
              </w:rPr>
              <w:t>Monash University</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86</w:t>
            </w:r>
          </w:p>
        </w:tc>
        <w:tc>
          <w:tcPr>
            <w:tcW w:w="850"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7.5</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0</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0.0</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rPr>
                <w:rFonts w:ascii="Arial" w:hAnsi="Arial" w:cs="Arial"/>
                <w:color w:val="000000"/>
                <w:sz w:val="16"/>
                <w:szCs w:val="16"/>
              </w:rPr>
            </w:pPr>
            <w:r w:rsidRPr="00774CB9">
              <w:rPr>
                <w:rFonts w:ascii="Arial" w:hAnsi="Arial" w:cs="Arial"/>
                <w:color w:val="000000"/>
                <w:sz w:val="16"/>
                <w:szCs w:val="16"/>
              </w:rPr>
              <w:t>University of South Australia</w:t>
            </w:r>
            <w:r w:rsidR="00511BBB">
              <w:rPr>
                <w:rFonts w:ascii="Arial" w:hAnsi="Arial" w:cs="Arial"/>
                <w:color w:val="000000"/>
                <w:sz w:val="16"/>
                <w:szCs w:val="16"/>
              </w:rPr>
              <w:t xml:space="preserve"> (2)</w:t>
            </w:r>
          </w:p>
        </w:tc>
        <w:tc>
          <w:tcPr>
            <w:tcW w:w="993"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82</w:t>
            </w:r>
          </w:p>
        </w:tc>
        <w:tc>
          <w:tcPr>
            <w:tcW w:w="850"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7.2</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20</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24.4</w:t>
            </w:r>
          </w:p>
        </w:tc>
      </w:tr>
      <w:tr w:rsidR="00225653" w:rsidRPr="004B65F3" w:rsidTr="00AB725E">
        <w:trPr>
          <w:trHeight w:val="300"/>
        </w:trPr>
        <w:tc>
          <w:tcPr>
            <w:tcW w:w="3969" w:type="dxa"/>
            <w:gridSpan w:val="2"/>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rPr>
                <w:rFonts w:ascii="Arial" w:hAnsi="Arial" w:cs="Arial"/>
                <w:color w:val="000000"/>
                <w:sz w:val="16"/>
                <w:szCs w:val="16"/>
              </w:rPr>
            </w:pPr>
            <w:r w:rsidRPr="00774CB9">
              <w:rPr>
                <w:rFonts w:ascii="Arial" w:hAnsi="Arial" w:cs="Arial"/>
                <w:color w:val="000000"/>
                <w:sz w:val="16"/>
                <w:szCs w:val="16"/>
              </w:rPr>
              <w:t>The University of Queensland</w:t>
            </w:r>
            <w:r w:rsidR="00511BBB">
              <w:rPr>
                <w:rFonts w:ascii="Arial" w:hAnsi="Arial" w:cs="Arial"/>
                <w:color w:val="000000"/>
                <w:sz w:val="16"/>
                <w:szCs w:val="16"/>
              </w:rPr>
              <w:t xml:space="preserve"> (3)</w:t>
            </w:r>
          </w:p>
        </w:tc>
        <w:tc>
          <w:tcPr>
            <w:tcW w:w="993"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63</w:t>
            </w:r>
          </w:p>
        </w:tc>
        <w:tc>
          <w:tcPr>
            <w:tcW w:w="850" w:type="dxa"/>
            <w:tcBorders>
              <w:top w:val="nil"/>
              <w:left w:val="nil"/>
              <w:bottom w:val="nil"/>
              <w:right w:val="nil"/>
            </w:tcBorders>
            <w:shd w:val="clear" w:color="auto" w:fill="auto"/>
            <w:noWrap/>
            <w:vAlign w:val="bottom"/>
            <w:hideMark/>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5.5</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0</w:t>
            </w:r>
          </w:p>
        </w:tc>
        <w:tc>
          <w:tcPr>
            <w:tcW w:w="1134" w:type="dxa"/>
            <w:tcBorders>
              <w:top w:val="nil"/>
              <w:left w:val="nil"/>
              <w:bottom w:val="nil"/>
              <w:right w:val="nil"/>
            </w:tcBorders>
            <w:vAlign w:val="bottom"/>
          </w:tcPr>
          <w:p w:rsidR="00225653" w:rsidRPr="00774CB9" w:rsidRDefault="00225653" w:rsidP="00AB725E">
            <w:pPr>
              <w:spacing w:before="100" w:beforeAutospacing="1" w:after="100" w:afterAutospacing="1" w:line="260" w:lineRule="auto"/>
              <w:jc w:val="right"/>
              <w:rPr>
                <w:rFonts w:ascii="Arial" w:hAnsi="Arial" w:cs="Arial"/>
                <w:color w:val="000000"/>
                <w:sz w:val="16"/>
                <w:szCs w:val="16"/>
              </w:rPr>
            </w:pPr>
            <w:r w:rsidRPr="00774CB9">
              <w:rPr>
                <w:rFonts w:ascii="Arial" w:hAnsi="Arial" w:cs="Arial"/>
                <w:color w:val="000000"/>
                <w:sz w:val="16"/>
                <w:szCs w:val="16"/>
              </w:rPr>
              <w:t>0.0</w:t>
            </w:r>
          </w:p>
        </w:tc>
      </w:tr>
      <w:tr w:rsidR="00225653" w:rsidRPr="00A225B5" w:rsidTr="00AB725E">
        <w:trPr>
          <w:trHeight w:val="300"/>
        </w:trPr>
        <w:tc>
          <w:tcPr>
            <w:tcW w:w="3969" w:type="dxa"/>
            <w:gridSpan w:val="2"/>
            <w:tcBorders>
              <w:top w:val="single" w:sz="4" w:space="0" w:color="auto"/>
              <w:left w:val="nil"/>
              <w:bottom w:val="single" w:sz="4" w:space="0" w:color="auto"/>
              <w:right w:val="nil"/>
            </w:tcBorders>
            <w:shd w:val="clear" w:color="auto" w:fill="auto"/>
            <w:noWrap/>
            <w:vAlign w:val="bottom"/>
            <w:hideMark/>
          </w:tcPr>
          <w:p w:rsidR="00225653" w:rsidRPr="00A225B5" w:rsidRDefault="00225653" w:rsidP="00AB725E">
            <w:pPr>
              <w:pStyle w:val="Tabletext"/>
              <w:spacing w:before="0" w:after="0"/>
              <w:rPr>
                <w:rFonts w:cs="Arial"/>
                <w:szCs w:val="16"/>
              </w:rPr>
            </w:pPr>
            <w:r w:rsidRPr="00A225B5">
              <w:rPr>
                <w:rFonts w:cs="Arial"/>
                <w:szCs w:val="16"/>
              </w:rPr>
              <w:t>TOTAL</w:t>
            </w:r>
          </w:p>
        </w:tc>
        <w:tc>
          <w:tcPr>
            <w:tcW w:w="993" w:type="dxa"/>
            <w:tcBorders>
              <w:top w:val="single" w:sz="4" w:space="0" w:color="auto"/>
              <w:left w:val="nil"/>
              <w:bottom w:val="single" w:sz="4" w:space="0" w:color="auto"/>
              <w:right w:val="nil"/>
            </w:tcBorders>
            <w:shd w:val="clear" w:color="auto" w:fill="auto"/>
            <w:noWrap/>
            <w:vAlign w:val="bottom"/>
            <w:hideMark/>
          </w:tcPr>
          <w:p w:rsidR="00225653" w:rsidRPr="00A225B5" w:rsidRDefault="00225653" w:rsidP="00AB725E">
            <w:pPr>
              <w:spacing w:before="0" w:line="240" w:lineRule="auto"/>
              <w:jc w:val="right"/>
              <w:rPr>
                <w:rFonts w:ascii="Arial" w:hAnsi="Arial" w:cs="Arial"/>
                <w:color w:val="000000"/>
                <w:sz w:val="16"/>
                <w:szCs w:val="16"/>
              </w:rPr>
            </w:pPr>
            <w:r w:rsidRPr="00A225B5">
              <w:rPr>
                <w:rFonts w:ascii="Arial" w:hAnsi="Arial" w:cs="Arial"/>
                <w:color w:val="000000"/>
                <w:sz w:val="16"/>
                <w:szCs w:val="16"/>
              </w:rPr>
              <w:t>1 144</w:t>
            </w:r>
          </w:p>
        </w:tc>
        <w:tc>
          <w:tcPr>
            <w:tcW w:w="850" w:type="dxa"/>
            <w:tcBorders>
              <w:top w:val="single" w:sz="4" w:space="0" w:color="auto"/>
              <w:left w:val="nil"/>
              <w:bottom w:val="single" w:sz="4" w:space="0" w:color="auto"/>
              <w:right w:val="nil"/>
            </w:tcBorders>
            <w:shd w:val="clear" w:color="auto" w:fill="auto"/>
            <w:noWrap/>
            <w:vAlign w:val="bottom"/>
            <w:hideMark/>
          </w:tcPr>
          <w:p w:rsidR="00225653" w:rsidRPr="00A225B5" w:rsidRDefault="00225653" w:rsidP="00AB725E">
            <w:pPr>
              <w:spacing w:before="0" w:line="240" w:lineRule="auto"/>
              <w:jc w:val="right"/>
              <w:rPr>
                <w:rFonts w:ascii="Arial" w:hAnsi="Arial" w:cs="Arial"/>
                <w:color w:val="000000"/>
                <w:sz w:val="16"/>
                <w:szCs w:val="16"/>
              </w:rPr>
            </w:pPr>
            <w:r w:rsidRPr="00A225B5">
              <w:rPr>
                <w:rFonts w:ascii="Arial" w:hAnsi="Arial" w:cs="Arial"/>
                <w:color w:val="000000"/>
                <w:sz w:val="16"/>
                <w:szCs w:val="16"/>
              </w:rPr>
              <w:t>80</w:t>
            </w:r>
          </w:p>
        </w:tc>
        <w:tc>
          <w:tcPr>
            <w:tcW w:w="1134" w:type="dxa"/>
            <w:tcBorders>
              <w:top w:val="single" w:sz="4" w:space="0" w:color="auto"/>
              <w:left w:val="nil"/>
              <w:bottom w:val="single" w:sz="4" w:space="0" w:color="auto"/>
              <w:right w:val="nil"/>
            </w:tcBorders>
            <w:vAlign w:val="bottom"/>
          </w:tcPr>
          <w:p w:rsidR="00225653" w:rsidRPr="00A225B5" w:rsidRDefault="00225653" w:rsidP="00AB725E">
            <w:pPr>
              <w:spacing w:before="0" w:line="240" w:lineRule="auto"/>
              <w:jc w:val="right"/>
              <w:rPr>
                <w:rFonts w:ascii="Arial" w:hAnsi="Arial" w:cs="Arial"/>
                <w:color w:val="000000"/>
                <w:sz w:val="16"/>
                <w:szCs w:val="16"/>
              </w:rPr>
            </w:pPr>
            <w:r w:rsidRPr="00A225B5">
              <w:rPr>
                <w:rFonts w:ascii="Arial" w:hAnsi="Arial" w:cs="Arial"/>
                <w:color w:val="000000"/>
                <w:sz w:val="16"/>
                <w:szCs w:val="16"/>
              </w:rPr>
              <w:t>100.0</w:t>
            </w:r>
          </w:p>
        </w:tc>
        <w:tc>
          <w:tcPr>
            <w:tcW w:w="1134" w:type="dxa"/>
            <w:tcBorders>
              <w:top w:val="single" w:sz="4" w:space="0" w:color="auto"/>
              <w:left w:val="nil"/>
              <w:bottom w:val="single" w:sz="4" w:space="0" w:color="auto"/>
              <w:right w:val="nil"/>
            </w:tcBorders>
            <w:vAlign w:val="bottom"/>
          </w:tcPr>
          <w:p w:rsidR="00225653" w:rsidRPr="00A225B5" w:rsidRDefault="00225653" w:rsidP="00AB725E">
            <w:pPr>
              <w:spacing w:before="0" w:line="240" w:lineRule="auto"/>
              <w:jc w:val="right"/>
              <w:rPr>
                <w:rFonts w:ascii="Arial" w:hAnsi="Arial" w:cs="Arial"/>
                <w:color w:val="000000"/>
                <w:sz w:val="16"/>
                <w:szCs w:val="16"/>
              </w:rPr>
            </w:pPr>
            <w:r w:rsidRPr="00A225B5">
              <w:rPr>
                <w:rFonts w:ascii="Arial" w:hAnsi="Arial" w:cs="Arial"/>
                <w:color w:val="000000"/>
                <w:sz w:val="16"/>
                <w:szCs w:val="16"/>
              </w:rPr>
              <w:t>7.0</w:t>
            </w:r>
          </w:p>
        </w:tc>
      </w:tr>
    </w:tbl>
    <w:p w:rsidR="00225653" w:rsidRDefault="00225653" w:rsidP="00225653">
      <w:pPr>
        <w:pStyle w:val="Source"/>
      </w:pPr>
      <w:r>
        <w:t>Source: DEEWR (2010) Higher Education Statistics Collection. Unpublished data</w:t>
      </w:r>
    </w:p>
    <w:p w:rsidR="00225653" w:rsidRDefault="00225653" w:rsidP="00225653">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225653" w:rsidRDefault="00225653" w:rsidP="00225653">
      <w:pPr>
        <w:pStyle w:val="Text"/>
      </w:pPr>
      <w:r>
        <w:t xml:space="preserve">Only three of the providers of courses in aerospace engineering admit students on the basis of a VET award in sufficient numbers to be counted, but as two of these institutions – RMIT University and Griffith University – are the largest providers, this lifts the average for the whole sub-field. </w:t>
      </w:r>
    </w:p>
    <w:p w:rsidR="00225653" w:rsidRDefault="00225653" w:rsidP="00225653">
      <w:pPr>
        <w:pStyle w:val="Text"/>
        <w:rPr>
          <w:rFonts w:ascii="Tahoma" w:hAnsi="Tahoma"/>
          <w:i/>
          <w:sz w:val="24"/>
        </w:rPr>
      </w:pPr>
      <w:r>
        <w:rPr>
          <w:rFonts w:ascii="Tahoma" w:hAnsi="Tahoma"/>
          <w:i/>
          <w:sz w:val="24"/>
        </w:rPr>
        <w:t xml:space="preserve">Process and Resources </w:t>
      </w:r>
      <w:r w:rsidRPr="00770423">
        <w:rPr>
          <w:rFonts w:ascii="Tahoma" w:hAnsi="Tahoma"/>
          <w:i/>
          <w:sz w:val="24"/>
        </w:rPr>
        <w:t xml:space="preserve">Engineering </w:t>
      </w:r>
    </w:p>
    <w:p w:rsidR="00225653" w:rsidRDefault="00225653" w:rsidP="00225653">
      <w:pPr>
        <w:pStyle w:val="Text"/>
      </w:pPr>
      <w:r>
        <w:t xml:space="preserve">There were </w:t>
      </w:r>
      <w:r w:rsidRPr="00770423">
        <w:t>1,713 commencements</w:t>
      </w:r>
      <w:r>
        <w:t xml:space="preserve"> in the sub-field of process and resources engineering  which represents </w:t>
      </w:r>
      <w:r w:rsidRPr="006534AF">
        <w:t>8.7 per cent of total undergraduate enrolments in the field of Engineering and Related Technologies (</w:t>
      </w:r>
      <w:r w:rsidR="00B45EBA">
        <w:t>Table 1</w:t>
      </w:r>
      <w:r w:rsidR="009A7713">
        <w:t>8</w:t>
      </w:r>
      <w:r w:rsidRPr="006534AF">
        <w:t>)</w:t>
      </w:r>
      <w:r>
        <w:t>. This sub-field</w:t>
      </w:r>
      <w:r w:rsidRPr="00770423">
        <w:t xml:space="preserve"> has the lowest rate of admission of VET award-holders</w:t>
      </w:r>
      <w:r>
        <w:t>, at 3.6 per cent.</w:t>
      </w:r>
      <w:r w:rsidRPr="00770423">
        <w:t xml:space="preserve"> </w:t>
      </w:r>
    </w:p>
    <w:p w:rsidR="00203DC0" w:rsidRDefault="00203DC0" w:rsidP="00203DC0">
      <w:pPr>
        <w:pStyle w:val="Text"/>
      </w:pPr>
      <w:r w:rsidRPr="00203DC0">
        <w:t xml:space="preserve">Process and Resources Engineering is the study of systems, processes and plant machinery for locating and extracting minerals such as oil and gas, and for physically and chemically transforming raw materials to produce metals, alloys, petrochemicals, ceramics, polymers and other materials. It also relates to the industrial manufacture of foodstuffs, pharmaceuticals and bio-chemicals. Courses within the sub-field of Process and Resources Engineering include Chemical Engineering, Mining Engineering, Materials Engineering, Food Processing Technology, Fuel Technology and Pharmaceutical Manufacturing (ABS 2001). </w:t>
      </w:r>
    </w:p>
    <w:p w:rsidR="00203DC0" w:rsidRDefault="00203DC0" w:rsidP="00203DC0">
      <w:pPr>
        <w:pStyle w:val="Text"/>
      </w:pPr>
      <w:r w:rsidRPr="00AB5094">
        <w:t xml:space="preserve">As shown in </w:t>
      </w:r>
      <w:r w:rsidR="00B45EBA">
        <w:t xml:space="preserve">Table </w:t>
      </w:r>
      <w:r w:rsidR="009A7713">
        <w:t>24,</w:t>
      </w:r>
      <w:r w:rsidRPr="00AB5094">
        <w:t xml:space="preserve"> while 13 universities are reported as having undergraduate enrolments in this sub-field, two providers account for 45 per cent of all commencements in this sub-field, and four universities account for 65 per cent of all students. The remaining universities cater for much smaller cohorts. Among the four largest providers only the Australian National University admits VET award-holders (13 students) in numbers high enough to be reported. Th</w:t>
      </w:r>
      <w:r>
        <w:t xml:space="preserve">us the other three </w:t>
      </w:r>
      <w:r w:rsidRPr="00AB5094">
        <w:t>institutions</w:t>
      </w:r>
      <w:r>
        <w:t xml:space="preserve"> which dominate provision</w:t>
      </w:r>
      <w:r w:rsidRPr="00AB5094">
        <w:t xml:space="preserve"> – Curtin University of Technology, the University of New South Wales and the University of Tasmania</w:t>
      </w:r>
      <w:r>
        <w:t xml:space="preserve"> – would be </w:t>
      </w:r>
      <w:r w:rsidRPr="00AB5094">
        <w:t>contribut</w:t>
      </w:r>
      <w:r>
        <w:t>ing</w:t>
      </w:r>
      <w:r w:rsidRPr="00AB5094">
        <w:t xml:space="preserve"> to the low proportion of VET award-holders admitted to undergraduate programs in th</w:t>
      </w:r>
      <w:r>
        <w:t>e</w:t>
      </w:r>
      <w:r w:rsidRPr="00AB5094">
        <w:t xml:space="preserve"> sub-field</w:t>
      </w:r>
      <w:r>
        <w:t xml:space="preserve"> of process and resources engineering as a whole.</w:t>
      </w:r>
    </w:p>
    <w:p w:rsidR="00203DC0" w:rsidRDefault="00203DC0" w:rsidP="00203DC0">
      <w:pPr>
        <w:pStyle w:val="Text"/>
      </w:pPr>
    </w:p>
    <w:p w:rsidR="00203DC0" w:rsidRDefault="00203DC0" w:rsidP="00203DC0">
      <w:pPr>
        <w:pStyle w:val="Text"/>
      </w:pPr>
    </w:p>
    <w:p w:rsidR="00225653" w:rsidRDefault="00B45EBA" w:rsidP="00225653">
      <w:pPr>
        <w:pStyle w:val="tabletitle"/>
      </w:pPr>
      <w:bookmarkStart w:id="120" w:name="_Toc350786330"/>
      <w:bookmarkStart w:id="121" w:name="_Toc370995933"/>
      <w:r>
        <w:lastRenderedPageBreak/>
        <w:t xml:space="preserve">Table </w:t>
      </w:r>
      <w:r w:rsidR="006A154F">
        <w:t>24</w:t>
      </w:r>
      <w:r w:rsidR="00225653">
        <w:tab/>
        <w:t xml:space="preserve">VET award-holders and all undergraduate commencements in Process and Resources Engineering </w:t>
      </w:r>
      <w:r w:rsidR="00225653">
        <w:rPr>
          <w:szCs w:val="22"/>
        </w:rPr>
        <w:t>(FOE 0303)</w:t>
      </w:r>
      <w:r w:rsidR="00225653">
        <w:t>, by HE provider Australia 2010</w:t>
      </w:r>
      <w:bookmarkEnd w:id="120"/>
      <w:bookmarkEnd w:id="121"/>
    </w:p>
    <w:tbl>
      <w:tblPr>
        <w:tblW w:w="8536" w:type="dxa"/>
        <w:tblInd w:w="108" w:type="dxa"/>
        <w:tblLayout w:type="fixed"/>
        <w:tblLook w:val="04A0"/>
      </w:tblPr>
      <w:tblGrid>
        <w:gridCol w:w="3641"/>
        <w:gridCol w:w="551"/>
        <w:gridCol w:w="1049"/>
        <w:gridCol w:w="898"/>
        <w:gridCol w:w="1198"/>
        <w:gridCol w:w="898"/>
        <w:gridCol w:w="301"/>
      </w:tblGrid>
      <w:tr w:rsidR="00225653" w:rsidRPr="00CE24D5" w:rsidTr="005F3AC0">
        <w:trPr>
          <w:gridAfter w:val="1"/>
          <w:wAfter w:w="301" w:type="dxa"/>
          <w:trHeight w:val="278"/>
        </w:trPr>
        <w:tc>
          <w:tcPr>
            <w:tcW w:w="3642" w:type="dxa"/>
            <w:tcBorders>
              <w:top w:val="single" w:sz="4" w:space="0" w:color="auto"/>
              <w:left w:val="nil"/>
              <w:bottom w:val="nil"/>
              <w:right w:val="nil"/>
            </w:tcBorders>
            <w:shd w:val="clear" w:color="auto" w:fill="auto"/>
            <w:noWrap/>
            <w:vAlign w:val="bottom"/>
            <w:hideMark/>
          </w:tcPr>
          <w:p w:rsidR="00225653" w:rsidRPr="00CE24D5" w:rsidRDefault="00225653" w:rsidP="00AB725E">
            <w:pPr>
              <w:pStyle w:val="Tablehead1"/>
              <w:jc w:val="center"/>
              <w:rPr>
                <w:bCs/>
                <w:color w:val="000000"/>
                <w:lang w:val="en-US"/>
              </w:rPr>
            </w:pPr>
          </w:p>
        </w:tc>
        <w:tc>
          <w:tcPr>
            <w:tcW w:w="2497" w:type="dxa"/>
            <w:gridSpan w:val="3"/>
            <w:tcBorders>
              <w:top w:val="single" w:sz="4" w:space="0" w:color="auto"/>
              <w:left w:val="nil"/>
              <w:bottom w:val="nil"/>
              <w:right w:val="nil"/>
            </w:tcBorders>
            <w:shd w:val="clear" w:color="auto" w:fill="auto"/>
            <w:noWrap/>
            <w:vAlign w:val="bottom"/>
            <w:hideMark/>
          </w:tcPr>
          <w:p w:rsidR="00225653" w:rsidRPr="00CE24D5" w:rsidRDefault="00225653" w:rsidP="00AB725E">
            <w:pPr>
              <w:pStyle w:val="Tablehead1"/>
              <w:jc w:val="center"/>
              <w:rPr>
                <w:rFonts w:cs="Arial"/>
                <w:bCs/>
                <w:color w:val="000000"/>
                <w:szCs w:val="17"/>
                <w:lang w:val="en-US"/>
              </w:rPr>
            </w:pPr>
            <w:r>
              <w:rPr>
                <w:rFonts w:cs="Arial"/>
                <w:bCs/>
                <w:color w:val="000000"/>
                <w:szCs w:val="17"/>
                <w:lang w:val="en-US"/>
              </w:rPr>
              <w:t>All undergraduate commencements</w:t>
            </w:r>
          </w:p>
        </w:tc>
        <w:tc>
          <w:tcPr>
            <w:tcW w:w="2096" w:type="dxa"/>
            <w:gridSpan w:val="2"/>
            <w:tcBorders>
              <w:top w:val="single" w:sz="4" w:space="0" w:color="auto"/>
              <w:left w:val="nil"/>
              <w:bottom w:val="nil"/>
              <w:right w:val="nil"/>
            </w:tcBorders>
            <w:vAlign w:val="bottom"/>
          </w:tcPr>
          <w:p w:rsidR="00225653" w:rsidRPr="00CE24D5" w:rsidRDefault="00225653" w:rsidP="00AB725E">
            <w:pPr>
              <w:pStyle w:val="Tablehead1"/>
              <w:jc w:val="center"/>
              <w:rPr>
                <w:rFonts w:cs="Arial"/>
                <w:bCs/>
                <w:color w:val="000000"/>
                <w:szCs w:val="17"/>
                <w:lang w:val="en-US"/>
              </w:rPr>
            </w:pPr>
            <w:r>
              <w:rPr>
                <w:rFonts w:cs="Arial"/>
                <w:bCs/>
                <w:color w:val="000000"/>
                <w:szCs w:val="17"/>
                <w:lang w:val="en-US"/>
              </w:rPr>
              <w:t xml:space="preserve">VET award-holders </w:t>
            </w:r>
          </w:p>
        </w:tc>
      </w:tr>
      <w:tr w:rsidR="00225653" w:rsidRPr="00322D4B" w:rsidTr="005F3AC0">
        <w:trPr>
          <w:trHeight w:val="278"/>
        </w:trPr>
        <w:tc>
          <w:tcPr>
            <w:tcW w:w="4193" w:type="dxa"/>
            <w:gridSpan w:val="2"/>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rPr>
                <w:rFonts w:asciiTheme="majorHAnsi" w:hAnsiTheme="majorHAnsi"/>
                <w:sz w:val="18"/>
                <w:szCs w:val="18"/>
                <w:lang w:val="en-US"/>
              </w:rPr>
            </w:pPr>
            <w:r>
              <w:rPr>
                <w:rFonts w:asciiTheme="majorHAnsi" w:hAnsiTheme="majorHAnsi"/>
                <w:sz w:val="18"/>
                <w:szCs w:val="18"/>
                <w:lang w:val="en-US"/>
              </w:rPr>
              <w:t xml:space="preserve">Sub-field </w:t>
            </w:r>
            <w:r w:rsidR="007B452B">
              <w:rPr>
                <w:rFonts w:asciiTheme="majorHAnsi" w:hAnsiTheme="majorHAnsi"/>
                <w:sz w:val="18"/>
                <w:szCs w:val="18"/>
                <w:lang w:val="en-US"/>
              </w:rPr>
              <w:t>(Cluster)</w:t>
            </w:r>
          </w:p>
        </w:tc>
        <w:tc>
          <w:tcPr>
            <w:tcW w:w="1049" w:type="dxa"/>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Students</w:t>
            </w:r>
          </w:p>
        </w:tc>
        <w:tc>
          <w:tcPr>
            <w:tcW w:w="898" w:type="dxa"/>
            <w:tcBorders>
              <w:top w:val="nil"/>
              <w:left w:val="nil"/>
              <w:bottom w:val="single" w:sz="4" w:space="0" w:color="auto"/>
              <w:right w:val="nil"/>
            </w:tcBorders>
            <w:shd w:val="clear" w:color="auto" w:fill="auto"/>
            <w:noWrap/>
            <w:vAlign w:val="bottom"/>
            <w:hideMark/>
          </w:tcPr>
          <w:p w:rsidR="00225653" w:rsidRPr="00F71B20" w:rsidRDefault="00225653" w:rsidP="00AB725E">
            <w:pPr>
              <w:pStyle w:val="Tablehead2"/>
              <w:jc w:val="center"/>
              <w:rPr>
                <w:rFonts w:asciiTheme="majorHAnsi" w:hAnsiTheme="majorHAnsi"/>
                <w:sz w:val="18"/>
                <w:szCs w:val="18"/>
                <w:lang w:val="en-US"/>
              </w:rPr>
            </w:pPr>
            <w:r w:rsidRPr="00F71B20">
              <w:rPr>
                <w:rFonts w:asciiTheme="majorHAnsi" w:hAnsiTheme="majorHAnsi"/>
                <w:sz w:val="18"/>
                <w:szCs w:val="18"/>
                <w:lang w:val="en-US"/>
              </w:rPr>
              <w:t>% total</w:t>
            </w:r>
          </w:p>
        </w:tc>
        <w:tc>
          <w:tcPr>
            <w:tcW w:w="1198" w:type="dxa"/>
            <w:tcBorders>
              <w:top w:val="nil"/>
              <w:left w:val="nil"/>
              <w:bottom w:val="single" w:sz="4" w:space="0" w:color="auto"/>
              <w:right w:val="nil"/>
            </w:tcBorders>
            <w:vAlign w:val="bottom"/>
          </w:tcPr>
          <w:p w:rsidR="00225653" w:rsidRPr="00F71B20" w:rsidRDefault="00225653" w:rsidP="00AB725E">
            <w:pPr>
              <w:pStyle w:val="Tablehead2"/>
              <w:rPr>
                <w:rFonts w:asciiTheme="majorHAnsi" w:hAnsiTheme="majorHAnsi"/>
                <w:sz w:val="18"/>
                <w:szCs w:val="18"/>
                <w:lang w:val="en-US"/>
              </w:rPr>
            </w:pPr>
            <w:r w:rsidRPr="00F71B20">
              <w:rPr>
                <w:rFonts w:asciiTheme="majorHAnsi" w:hAnsiTheme="majorHAnsi"/>
                <w:sz w:val="18"/>
                <w:szCs w:val="18"/>
                <w:lang w:val="en-US"/>
              </w:rPr>
              <w:t>Students</w:t>
            </w:r>
          </w:p>
        </w:tc>
        <w:tc>
          <w:tcPr>
            <w:tcW w:w="1198" w:type="dxa"/>
            <w:gridSpan w:val="2"/>
            <w:tcBorders>
              <w:top w:val="nil"/>
              <w:left w:val="nil"/>
              <w:bottom w:val="single" w:sz="4" w:space="0" w:color="auto"/>
              <w:right w:val="nil"/>
            </w:tcBorders>
            <w:vAlign w:val="bottom"/>
          </w:tcPr>
          <w:p w:rsidR="00225653" w:rsidRPr="00F71B20" w:rsidRDefault="00225653" w:rsidP="00AB725E">
            <w:pPr>
              <w:pStyle w:val="Tablehead2"/>
              <w:jc w:val="center"/>
              <w:rPr>
                <w:rFonts w:asciiTheme="majorHAnsi" w:hAnsiTheme="majorHAnsi"/>
                <w:sz w:val="18"/>
                <w:szCs w:val="18"/>
                <w:lang w:val="en-US"/>
              </w:rPr>
            </w:pPr>
            <w:r w:rsidRPr="00F71B20">
              <w:rPr>
                <w:rFonts w:asciiTheme="majorHAnsi" w:hAnsiTheme="majorHAnsi"/>
                <w:sz w:val="18"/>
                <w:szCs w:val="18"/>
                <w:lang w:val="en-US"/>
              </w:rPr>
              <w:t xml:space="preserve">% </w:t>
            </w:r>
            <w:r>
              <w:rPr>
                <w:rFonts w:asciiTheme="majorHAnsi" w:hAnsiTheme="majorHAnsi"/>
                <w:sz w:val="18"/>
                <w:szCs w:val="18"/>
                <w:lang w:val="en-US"/>
              </w:rPr>
              <w:t>all U/G</w:t>
            </w:r>
          </w:p>
        </w:tc>
      </w:tr>
      <w:tr w:rsidR="00225653" w:rsidRPr="00C6045A" w:rsidTr="005F3AC0">
        <w:trPr>
          <w:trHeight w:val="278"/>
        </w:trPr>
        <w:tc>
          <w:tcPr>
            <w:tcW w:w="4193" w:type="dxa"/>
            <w:gridSpan w:val="2"/>
            <w:tcBorders>
              <w:top w:val="single" w:sz="4" w:space="0" w:color="auto"/>
              <w:left w:val="nil"/>
              <w:bottom w:val="nil"/>
              <w:right w:val="nil"/>
            </w:tcBorders>
            <w:shd w:val="clear" w:color="auto" w:fill="auto"/>
            <w:noWrap/>
            <w:vAlign w:val="bottom"/>
            <w:hideMark/>
          </w:tcPr>
          <w:p w:rsidR="00225653" w:rsidRPr="00C87F4E" w:rsidRDefault="00225653" w:rsidP="00AB725E">
            <w:pPr>
              <w:pStyle w:val="Tabletext"/>
            </w:pPr>
            <w:r w:rsidRPr="00C87F4E">
              <w:t>Curtin University of Technology</w:t>
            </w:r>
            <w:r w:rsidR="007B452B">
              <w:t xml:space="preserve"> (3)</w:t>
            </w:r>
          </w:p>
        </w:tc>
        <w:tc>
          <w:tcPr>
            <w:tcW w:w="1049" w:type="dxa"/>
            <w:tcBorders>
              <w:top w:val="single" w:sz="4" w:space="0" w:color="auto"/>
              <w:left w:val="nil"/>
              <w:bottom w:val="nil"/>
              <w:right w:val="nil"/>
            </w:tcBorders>
            <w:shd w:val="clear" w:color="auto" w:fill="auto"/>
            <w:noWrap/>
            <w:vAlign w:val="bottom"/>
            <w:hideMark/>
          </w:tcPr>
          <w:p w:rsidR="00225653" w:rsidRPr="00521FC7" w:rsidRDefault="00225653" w:rsidP="00AB725E">
            <w:pPr>
              <w:pStyle w:val="Tabletext"/>
              <w:jc w:val="center"/>
            </w:pPr>
            <w:r w:rsidRPr="00521FC7">
              <w:rPr>
                <w:szCs w:val="16"/>
              </w:rPr>
              <w:t>478</w:t>
            </w:r>
          </w:p>
        </w:tc>
        <w:tc>
          <w:tcPr>
            <w:tcW w:w="898" w:type="dxa"/>
            <w:tcBorders>
              <w:top w:val="single" w:sz="4" w:space="0" w:color="auto"/>
              <w:left w:val="nil"/>
              <w:bottom w:val="nil"/>
              <w:right w:val="nil"/>
            </w:tcBorders>
            <w:shd w:val="clear" w:color="auto" w:fill="auto"/>
            <w:noWrap/>
            <w:vAlign w:val="bottom"/>
            <w:hideMark/>
          </w:tcPr>
          <w:p w:rsidR="00225653" w:rsidRDefault="00225653" w:rsidP="00AB725E">
            <w:pPr>
              <w:pStyle w:val="Tabletext"/>
              <w:jc w:val="center"/>
            </w:pPr>
            <w:r>
              <w:t>27.9%</w:t>
            </w:r>
          </w:p>
        </w:tc>
        <w:tc>
          <w:tcPr>
            <w:tcW w:w="1198" w:type="dxa"/>
            <w:tcBorders>
              <w:top w:val="single" w:sz="4" w:space="0" w:color="auto"/>
              <w:left w:val="nil"/>
              <w:bottom w:val="nil"/>
              <w:right w:val="nil"/>
            </w:tcBorders>
            <w:vAlign w:val="bottom"/>
          </w:tcPr>
          <w:p w:rsidR="00225653" w:rsidRDefault="00225653" w:rsidP="00AB725E">
            <w:pPr>
              <w:pStyle w:val="Tabletext"/>
              <w:jc w:val="center"/>
            </w:pPr>
            <w:r>
              <w:t>&lt;10</w:t>
            </w:r>
          </w:p>
        </w:tc>
        <w:tc>
          <w:tcPr>
            <w:tcW w:w="1198" w:type="dxa"/>
            <w:gridSpan w:val="2"/>
            <w:tcBorders>
              <w:top w:val="single" w:sz="4" w:space="0" w:color="auto"/>
              <w:left w:val="nil"/>
              <w:bottom w:val="nil"/>
              <w:right w:val="nil"/>
            </w:tcBorders>
            <w:vAlign w:val="bottom"/>
          </w:tcPr>
          <w:p w:rsidR="00225653" w:rsidRDefault="00225653" w:rsidP="00AB725E">
            <w:pPr>
              <w:pStyle w:val="Tabletext"/>
              <w:jc w:val="center"/>
            </w:pPr>
            <w:r>
              <w:t>n.a</w:t>
            </w:r>
          </w:p>
        </w:tc>
      </w:tr>
      <w:tr w:rsidR="00225653" w:rsidRPr="00C6045A" w:rsidTr="005F3AC0">
        <w:trPr>
          <w:trHeight w:val="278"/>
        </w:trPr>
        <w:tc>
          <w:tcPr>
            <w:tcW w:w="4193" w:type="dxa"/>
            <w:gridSpan w:val="2"/>
            <w:tcBorders>
              <w:top w:val="nil"/>
              <w:left w:val="nil"/>
              <w:bottom w:val="nil"/>
              <w:right w:val="nil"/>
            </w:tcBorders>
            <w:shd w:val="clear" w:color="auto" w:fill="auto"/>
            <w:noWrap/>
            <w:vAlign w:val="bottom"/>
            <w:hideMark/>
          </w:tcPr>
          <w:p w:rsidR="00225653" w:rsidRPr="00C87F4E" w:rsidRDefault="00225653" w:rsidP="00AB725E">
            <w:pPr>
              <w:pStyle w:val="Tabletext"/>
            </w:pPr>
            <w:r w:rsidRPr="00C87F4E">
              <w:t>The University of New South Wales</w:t>
            </w:r>
            <w:r w:rsidR="007B452B">
              <w:t xml:space="preserve"> (3)</w:t>
            </w:r>
          </w:p>
        </w:tc>
        <w:tc>
          <w:tcPr>
            <w:tcW w:w="1049" w:type="dxa"/>
            <w:tcBorders>
              <w:top w:val="nil"/>
              <w:left w:val="nil"/>
              <w:bottom w:val="nil"/>
              <w:right w:val="nil"/>
            </w:tcBorders>
            <w:shd w:val="clear" w:color="auto" w:fill="auto"/>
            <w:noWrap/>
            <w:vAlign w:val="bottom"/>
            <w:hideMark/>
          </w:tcPr>
          <w:p w:rsidR="00225653" w:rsidRPr="00521FC7" w:rsidRDefault="00225653" w:rsidP="00AB725E">
            <w:pPr>
              <w:pStyle w:val="Tabletext"/>
              <w:jc w:val="center"/>
            </w:pPr>
            <w:r w:rsidRPr="00521FC7">
              <w:rPr>
                <w:szCs w:val="16"/>
              </w:rPr>
              <w:t>293</w:t>
            </w:r>
          </w:p>
        </w:tc>
        <w:tc>
          <w:tcPr>
            <w:tcW w:w="898" w:type="dxa"/>
            <w:tcBorders>
              <w:top w:val="nil"/>
              <w:left w:val="nil"/>
              <w:bottom w:val="nil"/>
              <w:right w:val="nil"/>
            </w:tcBorders>
            <w:shd w:val="clear" w:color="auto" w:fill="auto"/>
            <w:noWrap/>
            <w:vAlign w:val="bottom"/>
            <w:hideMark/>
          </w:tcPr>
          <w:p w:rsidR="00225653" w:rsidRDefault="00225653" w:rsidP="00AB725E">
            <w:pPr>
              <w:pStyle w:val="Tabletext"/>
              <w:jc w:val="center"/>
            </w:pPr>
            <w:r>
              <w:t>17.1%</w:t>
            </w:r>
          </w:p>
        </w:tc>
        <w:tc>
          <w:tcPr>
            <w:tcW w:w="1198" w:type="dxa"/>
            <w:tcBorders>
              <w:top w:val="nil"/>
              <w:left w:val="nil"/>
              <w:bottom w:val="nil"/>
              <w:right w:val="nil"/>
            </w:tcBorders>
            <w:vAlign w:val="bottom"/>
          </w:tcPr>
          <w:p w:rsidR="00225653" w:rsidRDefault="00225653" w:rsidP="00AB725E">
            <w:pPr>
              <w:pStyle w:val="Tabletext"/>
              <w:jc w:val="center"/>
            </w:pPr>
            <w:r>
              <w:t>&lt;10</w:t>
            </w:r>
          </w:p>
        </w:tc>
        <w:tc>
          <w:tcPr>
            <w:tcW w:w="1198" w:type="dxa"/>
            <w:gridSpan w:val="2"/>
            <w:tcBorders>
              <w:top w:val="nil"/>
              <w:left w:val="nil"/>
              <w:bottom w:val="nil"/>
              <w:right w:val="nil"/>
            </w:tcBorders>
            <w:vAlign w:val="bottom"/>
          </w:tcPr>
          <w:p w:rsidR="00225653" w:rsidRDefault="00225653" w:rsidP="00AB725E">
            <w:pPr>
              <w:pStyle w:val="Tabletext"/>
              <w:jc w:val="center"/>
            </w:pPr>
            <w:r>
              <w:t>n.a</w:t>
            </w:r>
          </w:p>
        </w:tc>
      </w:tr>
      <w:tr w:rsidR="00225653" w:rsidRPr="0030254B" w:rsidTr="005F3AC0">
        <w:trPr>
          <w:trHeight w:val="278"/>
        </w:trPr>
        <w:tc>
          <w:tcPr>
            <w:tcW w:w="4193" w:type="dxa"/>
            <w:gridSpan w:val="2"/>
            <w:tcBorders>
              <w:top w:val="nil"/>
              <w:left w:val="nil"/>
              <w:bottom w:val="nil"/>
              <w:right w:val="nil"/>
            </w:tcBorders>
            <w:shd w:val="clear" w:color="auto" w:fill="auto"/>
            <w:noWrap/>
            <w:vAlign w:val="bottom"/>
            <w:hideMark/>
          </w:tcPr>
          <w:p w:rsidR="00225653" w:rsidRPr="00C87F4E" w:rsidRDefault="00225653" w:rsidP="00AB725E">
            <w:pPr>
              <w:pStyle w:val="Tabletext"/>
            </w:pPr>
            <w:r w:rsidRPr="00C87F4E">
              <w:t>The Australian National University</w:t>
            </w:r>
            <w:r w:rsidR="007B452B">
              <w:t xml:space="preserve"> (3)</w:t>
            </w:r>
          </w:p>
        </w:tc>
        <w:tc>
          <w:tcPr>
            <w:tcW w:w="1049" w:type="dxa"/>
            <w:tcBorders>
              <w:top w:val="nil"/>
              <w:left w:val="nil"/>
              <w:bottom w:val="nil"/>
              <w:right w:val="nil"/>
            </w:tcBorders>
            <w:shd w:val="clear" w:color="auto" w:fill="auto"/>
            <w:noWrap/>
            <w:vAlign w:val="bottom"/>
            <w:hideMark/>
          </w:tcPr>
          <w:p w:rsidR="00225653" w:rsidRPr="00521FC7" w:rsidRDefault="00225653" w:rsidP="00AB725E">
            <w:pPr>
              <w:pStyle w:val="Tabletext"/>
              <w:jc w:val="center"/>
            </w:pPr>
            <w:r w:rsidRPr="00521FC7">
              <w:rPr>
                <w:szCs w:val="16"/>
              </w:rPr>
              <w:t>197</w:t>
            </w:r>
          </w:p>
        </w:tc>
        <w:tc>
          <w:tcPr>
            <w:tcW w:w="898" w:type="dxa"/>
            <w:tcBorders>
              <w:top w:val="nil"/>
              <w:left w:val="nil"/>
              <w:bottom w:val="nil"/>
              <w:right w:val="nil"/>
            </w:tcBorders>
            <w:shd w:val="clear" w:color="auto" w:fill="auto"/>
            <w:noWrap/>
            <w:vAlign w:val="bottom"/>
            <w:hideMark/>
          </w:tcPr>
          <w:p w:rsidR="00225653" w:rsidRDefault="00225653" w:rsidP="00AB725E">
            <w:pPr>
              <w:pStyle w:val="Tabletext"/>
              <w:jc w:val="center"/>
            </w:pPr>
            <w:r>
              <w:t>11.5%</w:t>
            </w:r>
          </w:p>
        </w:tc>
        <w:tc>
          <w:tcPr>
            <w:tcW w:w="1198" w:type="dxa"/>
            <w:tcBorders>
              <w:top w:val="nil"/>
              <w:left w:val="nil"/>
              <w:bottom w:val="nil"/>
              <w:right w:val="nil"/>
            </w:tcBorders>
            <w:vAlign w:val="bottom"/>
          </w:tcPr>
          <w:p w:rsidR="00225653" w:rsidRDefault="00225653" w:rsidP="00AB725E">
            <w:pPr>
              <w:pStyle w:val="Tabletext"/>
              <w:jc w:val="center"/>
            </w:pPr>
            <w:r>
              <w:t>13</w:t>
            </w:r>
          </w:p>
        </w:tc>
        <w:tc>
          <w:tcPr>
            <w:tcW w:w="1198" w:type="dxa"/>
            <w:gridSpan w:val="2"/>
            <w:tcBorders>
              <w:top w:val="nil"/>
              <w:left w:val="nil"/>
              <w:bottom w:val="nil"/>
              <w:right w:val="nil"/>
            </w:tcBorders>
            <w:vAlign w:val="bottom"/>
          </w:tcPr>
          <w:p w:rsidR="00225653" w:rsidRDefault="00225653" w:rsidP="00AB725E">
            <w:pPr>
              <w:pStyle w:val="Tabletext"/>
              <w:jc w:val="center"/>
            </w:pPr>
            <w:r>
              <w:t>6.6%</w:t>
            </w:r>
          </w:p>
        </w:tc>
      </w:tr>
      <w:tr w:rsidR="00225653" w:rsidRPr="00C6045A" w:rsidTr="005F3AC0">
        <w:trPr>
          <w:trHeight w:val="278"/>
        </w:trPr>
        <w:tc>
          <w:tcPr>
            <w:tcW w:w="4193" w:type="dxa"/>
            <w:gridSpan w:val="2"/>
            <w:tcBorders>
              <w:top w:val="nil"/>
              <w:left w:val="nil"/>
              <w:bottom w:val="nil"/>
              <w:right w:val="nil"/>
            </w:tcBorders>
            <w:shd w:val="clear" w:color="auto" w:fill="auto"/>
            <w:noWrap/>
            <w:vAlign w:val="bottom"/>
            <w:hideMark/>
          </w:tcPr>
          <w:p w:rsidR="00225653" w:rsidRPr="00C87F4E" w:rsidRDefault="00225653" w:rsidP="00AB725E">
            <w:pPr>
              <w:pStyle w:val="Tabletext"/>
            </w:pPr>
            <w:r w:rsidRPr="00C87F4E">
              <w:t>University of Tasmania</w:t>
            </w:r>
            <w:r w:rsidR="007B452B">
              <w:t xml:space="preserve"> (2)</w:t>
            </w:r>
          </w:p>
        </w:tc>
        <w:tc>
          <w:tcPr>
            <w:tcW w:w="1049" w:type="dxa"/>
            <w:tcBorders>
              <w:top w:val="nil"/>
              <w:left w:val="nil"/>
              <w:bottom w:val="nil"/>
              <w:right w:val="nil"/>
            </w:tcBorders>
            <w:shd w:val="clear" w:color="auto" w:fill="auto"/>
            <w:noWrap/>
            <w:vAlign w:val="bottom"/>
            <w:hideMark/>
          </w:tcPr>
          <w:p w:rsidR="00225653" w:rsidRPr="00521FC7" w:rsidRDefault="00225653" w:rsidP="00AB725E">
            <w:pPr>
              <w:pStyle w:val="Tabletext"/>
              <w:jc w:val="center"/>
            </w:pPr>
            <w:r w:rsidRPr="00521FC7">
              <w:rPr>
                <w:szCs w:val="16"/>
              </w:rPr>
              <w:t>140</w:t>
            </w:r>
          </w:p>
        </w:tc>
        <w:tc>
          <w:tcPr>
            <w:tcW w:w="898" w:type="dxa"/>
            <w:tcBorders>
              <w:top w:val="nil"/>
              <w:left w:val="nil"/>
              <w:bottom w:val="nil"/>
              <w:right w:val="nil"/>
            </w:tcBorders>
            <w:shd w:val="clear" w:color="auto" w:fill="auto"/>
            <w:noWrap/>
            <w:vAlign w:val="bottom"/>
            <w:hideMark/>
          </w:tcPr>
          <w:p w:rsidR="00225653" w:rsidRDefault="00225653" w:rsidP="00AB725E">
            <w:pPr>
              <w:pStyle w:val="Tabletext"/>
              <w:jc w:val="center"/>
            </w:pPr>
            <w:r>
              <w:t>8.2%</w:t>
            </w:r>
          </w:p>
        </w:tc>
        <w:tc>
          <w:tcPr>
            <w:tcW w:w="1198" w:type="dxa"/>
            <w:tcBorders>
              <w:top w:val="nil"/>
              <w:left w:val="nil"/>
              <w:bottom w:val="nil"/>
              <w:right w:val="nil"/>
            </w:tcBorders>
            <w:vAlign w:val="bottom"/>
          </w:tcPr>
          <w:p w:rsidR="00225653" w:rsidRDefault="00225653" w:rsidP="00AB725E">
            <w:pPr>
              <w:pStyle w:val="Tabletext"/>
              <w:jc w:val="center"/>
            </w:pPr>
            <w:r>
              <w:t>&lt;10</w:t>
            </w:r>
          </w:p>
        </w:tc>
        <w:tc>
          <w:tcPr>
            <w:tcW w:w="1198" w:type="dxa"/>
            <w:gridSpan w:val="2"/>
            <w:tcBorders>
              <w:top w:val="nil"/>
              <w:left w:val="nil"/>
              <w:bottom w:val="nil"/>
              <w:right w:val="nil"/>
            </w:tcBorders>
            <w:vAlign w:val="bottom"/>
          </w:tcPr>
          <w:p w:rsidR="00225653" w:rsidRDefault="00225653" w:rsidP="00AB725E">
            <w:pPr>
              <w:pStyle w:val="Tabletext"/>
              <w:jc w:val="center"/>
            </w:pPr>
            <w:r>
              <w:t>n.a</w:t>
            </w:r>
          </w:p>
        </w:tc>
      </w:tr>
      <w:tr w:rsidR="00225653" w:rsidRPr="00C6045A" w:rsidTr="005F3AC0">
        <w:trPr>
          <w:trHeight w:val="278"/>
        </w:trPr>
        <w:tc>
          <w:tcPr>
            <w:tcW w:w="4193" w:type="dxa"/>
            <w:gridSpan w:val="2"/>
            <w:tcBorders>
              <w:top w:val="nil"/>
              <w:left w:val="nil"/>
              <w:bottom w:val="nil"/>
              <w:right w:val="nil"/>
            </w:tcBorders>
            <w:shd w:val="clear" w:color="auto" w:fill="auto"/>
            <w:noWrap/>
            <w:vAlign w:val="bottom"/>
            <w:hideMark/>
          </w:tcPr>
          <w:p w:rsidR="00225653" w:rsidRPr="00C87F4E" w:rsidRDefault="00225653" w:rsidP="00AB725E">
            <w:pPr>
              <w:pStyle w:val="Tabletext"/>
            </w:pPr>
            <w:r w:rsidRPr="00C87F4E">
              <w:t>The University of Adelaide</w:t>
            </w:r>
            <w:r w:rsidR="007B452B">
              <w:t xml:space="preserve"> (3)</w:t>
            </w:r>
          </w:p>
        </w:tc>
        <w:tc>
          <w:tcPr>
            <w:tcW w:w="1049" w:type="dxa"/>
            <w:tcBorders>
              <w:top w:val="nil"/>
              <w:left w:val="nil"/>
              <w:bottom w:val="nil"/>
              <w:right w:val="nil"/>
            </w:tcBorders>
            <w:shd w:val="clear" w:color="auto" w:fill="auto"/>
            <w:noWrap/>
            <w:vAlign w:val="bottom"/>
            <w:hideMark/>
          </w:tcPr>
          <w:p w:rsidR="00225653" w:rsidRPr="00521FC7" w:rsidRDefault="00225653" w:rsidP="00AB725E">
            <w:pPr>
              <w:pStyle w:val="Tabletext"/>
              <w:jc w:val="center"/>
            </w:pPr>
            <w:r w:rsidRPr="00521FC7">
              <w:rPr>
                <w:szCs w:val="16"/>
              </w:rPr>
              <w:t>129</w:t>
            </w:r>
          </w:p>
        </w:tc>
        <w:tc>
          <w:tcPr>
            <w:tcW w:w="898" w:type="dxa"/>
            <w:tcBorders>
              <w:top w:val="nil"/>
              <w:left w:val="nil"/>
              <w:bottom w:val="nil"/>
              <w:right w:val="nil"/>
            </w:tcBorders>
            <w:shd w:val="clear" w:color="auto" w:fill="auto"/>
            <w:noWrap/>
            <w:vAlign w:val="bottom"/>
            <w:hideMark/>
          </w:tcPr>
          <w:p w:rsidR="00225653" w:rsidRDefault="00225653" w:rsidP="00AB725E">
            <w:pPr>
              <w:pStyle w:val="Tabletext"/>
              <w:jc w:val="center"/>
            </w:pPr>
            <w:r>
              <w:t>7.5%</w:t>
            </w:r>
          </w:p>
        </w:tc>
        <w:tc>
          <w:tcPr>
            <w:tcW w:w="1198" w:type="dxa"/>
            <w:tcBorders>
              <w:top w:val="nil"/>
              <w:left w:val="nil"/>
              <w:bottom w:val="nil"/>
              <w:right w:val="nil"/>
            </w:tcBorders>
            <w:vAlign w:val="bottom"/>
          </w:tcPr>
          <w:p w:rsidR="00225653" w:rsidRDefault="00225653" w:rsidP="00AB725E">
            <w:pPr>
              <w:pStyle w:val="Tabletext"/>
              <w:jc w:val="center"/>
            </w:pPr>
            <w:r>
              <w:t>0</w:t>
            </w:r>
          </w:p>
        </w:tc>
        <w:tc>
          <w:tcPr>
            <w:tcW w:w="1198" w:type="dxa"/>
            <w:gridSpan w:val="2"/>
            <w:tcBorders>
              <w:top w:val="nil"/>
              <w:left w:val="nil"/>
              <w:bottom w:val="nil"/>
              <w:right w:val="nil"/>
            </w:tcBorders>
            <w:vAlign w:val="bottom"/>
          </w:tcPr>
          <w:p w:rsidR="00225653" w:rsidRDefault="00225653" w:rsidP="00AB725E">
            <w:pPr>
              <w:pStyle w:val="Tabletext"/>
              <w:jc w:val="center"/>
            </w:pPr>
            <w:r>
              <w:t>0.0%</w:t>
            </w:r>
          </w:p>
        </w:tc>
      </w:tr>
      <w:tr w:rsidR="00225653" w:rsidRPr="0030254B" w:rsidTr="005F3AC0">
        <w:trPr>
          <w:trHeight w:val="278"/>
        </w:trPr>
        <w:tc>
          <w:tcPr>
            <w:tcW w:w="4193" w:type="dxa"/>
            <w:gridSpan w:val="2"/>
            <w:tcBorders>
              <w:top w:val="nil"/>
              <w:left w:val="nil"/>
              <w:bottom w:val="nil"/>
              <w:right w:val="nil"/>
            </w:tcBorders>
            <w:shd w:val="clear" w:color="auto" w:fill="auto"/>
            <w:noWrap/>
            <w:vAlign w:val="bottom"/>
            <w:hideMark/>
          </w:tcPr>
          <w:p w:rsidR="00225653" w:rsidRPr="00C87F4E" w:rsidRDefault="00225653" w:rsidP="00AB725E">
            <w:pPr>
              <w:pStyle w:val="Tabletext"/>
            </w:pPr>
            <w:r w:rsidRPr="00C87F4E">
              <w:t>RMIT University</w:t>
            </w:r>
            <w:r w:rsidR="007B452B">
              <w:t xml:space="preserve"> (1)</w:t>
            </w:r>
          </w:p>
        </w:tc>
        <w:tc>
          <w:tcPr>
            <w:tcW w:w="1049" w:type="dxa"/>
            <w:tcBorders>
              <w:top w:val="nil"/>
              <w:left w:val="nil"/>
              <w:bottom w:val="nil"/>
              <w:right w:val="nil"/>
            </w:tcBorders>
            <w:shd w:val="clear" w:color="auto" w:fill="auto"/>
            <w:noWrap/>
            <w:vAlign w:val="bottom"/>
            <w:hideMark/>
          </w:tcPr>
          <w:p w:rsidR="00225653" w:rsidRPr="00521FC7" w:rsidRDefault="00225653" w:rsidP="00AB725E">
            <w:pPr>
              <w:pStyle w:val="Tabletext"/>
              <w:jc w:val="center"/>
            </w:pPr>
            <w:r w:rsidRPr="00521FC7">
              <w:rPr>
                <w:szCs w:val="16"/>
              </w:rPr>
              <w:t>105</w:t>
            </w:r>
          </w:p>
        </w:tc>
        <w:tc>
          <w:tcPr>
            <w:tcW w:w="898" w:type="dxa"/>
            <w:tcBorders>
              <w:top w:val="nil"/>
              <w:left w:val="nil"/>
              <w:bottom w:val="nil"/>
              <w:right w:val="nil"/>
            </w:tcBorders>
            <w:shd w:val="clear" w:color="auto" w:fill="auto"/>
            <w:noWrap/>
            <w:vAlign w:val="bottom"/>
            <w:hideMark/>
          </w:tcPr>
          <w:p w:rsidR="00225653" w:rsidRDefault="00225653" w:rsidP="00AB725E">
            <w:pPr>
              <w:pStyle w:val="Tabletext"/>
              <w:jc w:val="center"/>
            </w:pPr>
            <w:r>
              <w:t>6.1%</w:t>
            </w:r>
          </w:p>
        </w:tc>
        <w:tc>
          <w:tcPr>
            <w:tcW w:w="1198" w:type="dxa"/>
            <w:tcBorders>
              <w:top w:val="nil"/>
              <w:left w:val="nil"/>
              <w:bottom w:val="nil"/>
              <w:right w:val="nil"/>
            </w:tcBorders>
            <w:vAlign w:val="bottom"/>
          </w:tcPr>
          <w:p w:rsidR="00225653" w:rsidRDefault="00225653" w:rsidP="00AB725E">
            <w:pPr>
              <w:pStyle w:val="Tabletext"/>
              <w:jc w:val="center"/>
            </w:pPr>
            <w:r>
              <w:t>&lt;10</w:t>
            </w:r>
          </w:p>
        </w:tc>
        <w:tc>
          <w:tcPr>
            <w:tcW w:w="1198" w:type="dxa"/>
            <w:gridSpan w:val="2"/>
            <w:tcBorders>
              <w:top w:val="nil"/>
              <w:left w:val="nil"/>
              <w:bottom w:val="nil"/>
              <w:right w:val="nil"/>
            </w:tcBorders>
            <w:vAlign w:val="bottom"/>
          </w:tcPr>
          <w:p w:rsidR="00225653" w:rsidRDefault="00225653" w:rsidP="00AB725E">
            <w:pPr>
              <w:pStyle w:val="Tabletext"/>
              <w:jc w:val="center"/>
            </w:pPr>
            <w:r>
              <w:t>n.a</w:t>
            </w:r>
          </w:p>
        </w:tc>
      </w:tr>
      <w:tr w:rsidR="00225653" w:rsidRPr="00C6045A" w:rsidTr="005F3AC0">
        <w:trPr>
          <w:trHeight w:val="278"/>
        </w:trPr>
        <w:tc>
          <w:tcPr>
            <w:tcW w:w="4193" w:type="dxa"/>
            <w:gridSpan w:val="2"/>
            <w:tcBorders>
              <w:top w:val="nil"/>
              <w:left w:val="nil"/>
              <w:bottom w:val="nil"/>
              <w:right w:val="nil"/>
            </w:tcBorders>
            <w:shd w:val="clear" w:color="auto" w:fill="auto"/>
            <w:noWrap/>
            <w:vAlign w:val="bottom"/>
            <w:hideMark/>
          </w:tcPr>
          <w:p w:rsidR="00225653" w:rsidRPr="00C87F4E" w:rsidRDefault="00225653" w:rsidP="00AB725E">
            <w:pPr>
              <w:pStyle w:val="Tabletext"/>
            </w:pPr>
            <w:r w:rsidRPr="00C87F4E">
              <w:t>The University of Queensland</w:t>
            </w:r>
            <w:r w:rsidR="007B452B">
              <w:t xml:space="preserve"> (3)</w:t>
            </w:r>
          </w:p>
        </w:tc>
        <w:tc>
          <w:tcPr>
            <w:tcW w:w="1049" w:type="dxa"/>
            <w:tcBorders>
              <w:top w:val="nil"/>
              <w:left w:val="nil"/>
              <w:bottom w:val="nil"/>
              <w:right w:val="nil"/>
            </w:tcBorders>
            <w:shd w:val="clear" w:color="auto" w:fill="auto"/>
            <w:noWrap/>
            <w:vAlign w:val="bottom"/>
            <w:hideMark/>
          </w:tcPr>
          <w:p w:rsidR="00225653" w:rsidRPr="00521FC7" w:rsidRDefault="00225653" w:rsidP="00AB725E">
            <w:pPr>
              <w:pStyle w:val="Tabletext"/>
              <w:jc w:val="center"/>
            </w:pPr>
            <w:r w:rsidRPr="00521FC7">
              <w:rPr>
                <w:szCs w:val="16"/>
              </w:rPr>
              <w:t>94</w:t>
            </w:r>
          </w:p>
        </w:tc>
        <w:tc>
          <w:tcPr>
            <w:tcW w:w="898" w:type="dxa"/>
            <w:tcBorders>
              <w:top w:val="nil"/>
              <w:left w:val="nil"/>
              <w:bottom w:val="nil"/>
              <w:right w:val="nil"/>
            </w:tcBorders>
            <w:shd w:val="clear" w:color="auto" w:fill="auto"/>
            <w:noWrap/>
            <w:vAlign w:val="bottom"/>
            <w:hideMark/>
          </w:tcPr>
          <w:p w:rsidR="00225653" w:rsidRDefault="00225653" w:rsidP="00AB725E">
            <w:pPr>
              <w:pStyle w:val="Tabletext"/>
              <w:jc w:val="center"/>
            </w:pPr>
            <w:r>
              <w:t>5.5%</w:t>
            </w:r>
          </w:p>
        </w:tc>
        <w:tc>
          <w:tcPr>
            <w:tcW w:w="1198" w:type="dxa"/>
            <w:tcBorders>
              <w:top w:val="nil"/>
              <w:left w:val="nil"/>
              <w:bottom w:val="nil"/>
              <w:right w:val="nil"/>
            </w:tcBorders>
            <w:vAlign w:val="bottom"/>
          </w:tcPr>
          <w:p w:rsidR="00225653" w:rsidRDefault="00225653" w:rsidP="00AB725E">
            <w:pPr>
              <w:pStyle w:val="Tabletext"/>
              <w:jc w:val="center"/>
            </w:pPr>
            <w:r>
              <w:t>0</w:t>
            </w:r>
          </w:p>
        </w:tc>
        <w:tc>
          <w:tcPr>
            <w:tcW w:w="1198" w:type="dxa"/>
            <w:gridSpan w:val="2"/>
            <w:tcBorders>
              <w:top w:val="nil"/>
              <w:left w:val="nil"/>
              <w:bottom w:val="nil"/>
              <w:right w:val="nil"/>
            </w:tcBorders>
            <w:vAlign w:val="bottom"/>
          </w:tcPr>
          <w:p w:rsidR="00225653" w:rsidRDefault="00225653" w:rsidP="00AB725E">
            <w:pPr>
              <w:pStyle w:val="Tabletext"/>
              <w:jc w:val="center"/>
            </w:pPr>
            <w:r>
              <w:t>0.0%</w:t>
            </w:r>
          </w:p>
        </w:tc>
      </w:tr>
      <w:tr w:rsidR="00225653" w:rsidRPr="00C6045A" w:rsidTr="005F3AC0">
        <w:trPr>
          <w:trHeight w:val="278"/>
        </w:trPr>
        <w:tc>
          <w:tcPr>
            <w:tcW w:w="4193" w:type="dxa"/>
            <w:gridSpan w:val="2"/>
            <w:tcBorders>
              <w:top w:val="nil"/>
              <w:left w:val="nil"/>
              <w:bottom w:val="nil"/>
              <w:right w:val="nil"/>
            </w:tcBorders>
            <w:shd w:val="clear" w:color="auto" w:fill="auto"/>
            <w:noWrap/>
            <w:vAlign w:val="bottom"/>
            <w:hideMark/>
          </w:tcPr>
          <w:p w:rsidR="00225653" w:rsidRPr="00C87F4E" w:rsidRDefault="00225653" w:rsidP="00AB725E">
            <w:pPr>
              <w:pStyle w:val="Tabletext"/>
            </w:pPr>
            <w:r w:rsidRPr="00C87F4E">
              <w:t>The University of Sydney</w:t>
            </w:r>
            <w:r w:rsidR="007B452B">
              <w:t xml:space="preserve"> (3)</w:t>
            </w:r>
          </w:p>
        </w:tc>
        <w:tc>
          <w:tcPr>
            <w:tcW w:w="1049" w:type="dxa"/>
            <w:tcBorders>
              <w:top w:val="nil"/>
              <w:left w:val="nil"/>
              <w:bottom w:val="nil"/>
              <w:right w:val="nil"/>
            </w:tcBorders>
            <w:shd w:val="clear" w:color="auto" w:fill="auto"/>
            <w:noWrap/>
            <w:vAlign w:val="bottom"/>
            <w:hideMark/>
          </w:tcPr>
          <w:p w:rsidR="00225653" w:rsidRPr="00521FC7" w:rsidRDefault="00225653" w:rsidP="00AB725E">
            <w:pPr>
              <w:pStyle w:val="Tabletext"/>
              <w:jc w:val="center"/>
            </w:pPr>
            <w:r w:rsidRPr="00521FC7">
              <w:rPr>
                <w:szCs w:val="16"/>
              </w:rPr>
              <w:t>94</w:t>
            </w:r>
          </w:p>
        </w:tc>
        <w:tc>
          <w:tcPr>
            <w:tcW w:w="898" w:type="dxa"/>
            <w:tcBorders>
              <w:top w:val="nil"/>
              <w:left w:val="nil"/>
              <w:bottom w:val="nil"/>
              <w:right w:val="nil"/>
            </w:tcBorders>
            <w:shd w:val="clear" w:color="auto" w:fill="auto"/>
            <w:noWrap/>
            <w:vAlign w:val="bottom"/>
            <w:hideMark/>
          </w:tcPr>
          <w:p w:rsidR="00225653" w:rsidRDefault="00225653" w:rsidP="00AB725E">
            <w:pPr>
              <w:pStyle w:val="Tabletext"/>
              <w:jc w:val="center"/>
            </w:pPr>
            <w:r>
              <w:t>5.5%</w:t>
            </w:r>
          </w:p>
        </w:tc>
        <w:tc>
          <w:tcPr>
            <w:tcW w:w="1198" w:type="dxa"/>
            <w:tcBorders>
              <w:top w:val="nil"/>
              <w:left w:val="nil"/>
              <w:bottom w:val="nil"/>
              <w:right w:val="nil"/>
            </w:tcBorders>
            <w:vAlign w:val="bottom"/>
          </w:tcPr>
          <w:p w:rsidR="00225653" w:rsidRDefault="00225653" w:rsidP="00AB725E">
            <w:pPr>
              <w:pStyle w:val="Tabletext"/>
              <w:jc w:val="center"/>
            </w:pPr>
            <w:r>
              <w:t>0</w:t>
            </w:r>
          </w:p>
        </w:tc>
        <w:tc>
          <w:tcPr>
            <w:tcW w:w="1198" w:type="dxa"/>
            <w:gridSpan w:val="2"/>
            <w:tcBorders>
              <w:top w:val="nil"/>
              <w:left w:val="nil"/>
              <w:bottom w:val="nil"/>
              <w:right w:val="nil"/>
            </w:tcBorders>
            <w:vAlign w:val="bottom"/>
          </w:tcPr>
          <w:p w:rsidR="00225653" w:rsidRDefault="00225653" w:rsidP="00AB725E">
            <w:pPr>
              <w:pStyle w:val="Tabletext"/>
              <w:jc w:val="center"/>
            </w:pPr>
            <w:r>
              <w:t>0.0%</w:t>
            </w:r>
          </w:p>
        </w:tc>
      </w:tr>
      <w:tr w:rsidR="00225653" w:rsidRPr="0030254B" w:rsidTr="005F3AC0">
        <w:trPr>
          <w:trHeight w:val="278"/>
        </w:trPr>
        <w:tc>
          <w:tcPr>
            <w:tcW w:w="4193" w:type="dxa"/>
            <w:gridSpan w:val="2"/>
            <w:tcBorders>
              <w:top w:val="nil"/>
              <w:left w:val="nil"/>
              <w:bottom w:val="nil"/>
              <w:right w:val="nil"/>
            </w:tcBorders>
            <w:shd w:val="clear" w:color="auto" w:fill="auto"/>
            <w:noWrap/>
            <w:vAlign w:val="bottom"/>
            <w:hideMark/>
          </w:tcPr>
          <w:p w:rsidR="00225653" w:rsidRPr="00C87F4E" w:rsidRDefault="00225653" w:rsidP="00AB725E">
            <w:pPr>
              <w:pStyle w:val="Tabletext"/>
            </w:pPr>
            <w:r w:rsidRPr="00C87F4E">
              <w:t>The University of Newcastle</w:t>
            </w:r>
            <w:r w:rsidR="007B452B">
              <w:t xml:space="preserve"> (2)</w:t>
            </w:r>
          </w:p>
        </w:tc>
        <w:tc>
          <w:tcPr>
            <w:tcW w:w="1049" w:type="dxa"/>
            <w:tcBorders>
              <w:top w:val="nil"/>
              <w:left w:val="nil"/>
              <w:bottom w:val="nil"/>
              <w:right w:val="nil"/>
            </w:tcBorders>
            <w:shd w:val="clear" w:color="auto" w:fill="auto"/>
            <w:noWrap/>
            <w:vAlign w:val="bottom"/>
            <w:hideMark/>
          </w:tcPr>
          <w:p w:rsidR="00225653" w:rsidRPr="00521FC7" w:rsidRDefault="00225653" w:rsidP="00AB725E">
            <w:pPr>
              <w:pStyle w:val="Tabletext"/>
              <w:jc w:val="center"/>
            </w:pPr>
            <w:r w:rsidRPr="00521FC7">
              <w:rPr>
                <w:szCs w:val="16"/>
              </w:rPr>
              <w:t>74</w:t>
            </w:r>
          </w:p>
        </w:tc>
        <w:tc>
          <w:tcPr>
            <w:tcW w:w="898" w:type="dxa"/>
            <w:tcBorders>
              <w:top w:val="nil"/>
              <w:left w:val="nil"/>
              <w:bottom w:val="nil"/>
              <w:right w:val="nil"/>
            </w:tcBorders>
            <w:shd w:val="clear" w:color="auto" w:fill="auto"/>
            <w:noWrap/>
            <w:vAlign w:val="bottom"/>
            <w:hideMark/>
          </w:tcPr>
          <w:p w:rsidR="00225653" w:rsidRDefault="00225653" w:rsidP="00AB725E">
            <w:pPr>
              <w:pStyle w:val="Tabletext"/>
              <w:jc w:val="center"/>
            </w:pPr>
            <w:r>
              <w:t>4.3%</w:t>
            </w:r>
          </w:p>
        </w:tc>
        <w:tc>
          <w:tcPr>
            <w:tcW w:w="1198" w:type="dxa"/>
            <w:tcBorders>
              <w:top w:val="nil"/>
              <w:left w:val="nil"/>
              <w:bottom w:val="nil"/>
              <w:right w:val="nil"/>
            </w:tcBorders>
            <w:vAlign w:val="bottom"/>
          </w:tcPr>
          <w:p w:rsidR="00225653" w:rsidRDefault="00225653" w:rsidP="00AB725E">
            <w:pPr>
              <w:pStyle w:val="Tabletext"/>
              <w:jc w:val="center"/>
            </w:pPr>
            <w:r>
              <w:t>&lt;10</w:t>
            </w:r>
          </w:p>
        </w:tc>
        <w:tc>
          <w:tcPr>
            <w:tcW w:w="1198" w:type="dxa"/>
            <w:gridSpan w:val="2"/>
            <w:tcBorders>
              <w:top w:val="nil"/>
              <w:left w:val="nil"/>
              <w:bottom w:val="nil"/>
              <w:right w:val="nil"/>
            </w:tcBorders>
            <w:vAlign w:val="bottom"/>
          </w:tcPr>
          <w:p w:rsidR="00225653" w:rsidRDefault="00225653" w:rsidP="00AB725E">
            <w:pPr>
              <w:pStyle w:val="Tabletext"/>
              <w:jc w:val="center"/>
            </w:pPr>
            <w:r>
              <w:t>n.a</w:t>
            </w:r>
          </w:p>
        </w:tc>
      </w:tr>
      <w:tr w:rsidR="00225653" w:rsidRPr="00C6045A" w:rsidTr="005F3AC0">
        <w:trPr>
          <w:trHeight w:val="278"/>
        </w:trPr>
        <w:tc>
          <w:tcPr>
            <w:tcW w:w="4193" w:type="dxa"/>
            <w:gridSpan w:val="2"/>
            <w:tcBorders>
              <w:top w:val="nil"/>
              <w:left w:val="nil"/>
              <w:right w:val="nil"/>
            </w:tcBorders>
            <w:shd w:val="clear" w:color="auto" w:fill="auto"/>
            <w:noWrap/>
            <w:vAlign w:val="bottom"/>
            <w:hideMark/>
          </w:tcPr>
          <w:p w:rsidR="00225653" w:rsidRPr="00C87F4E" w:rsidRDefault="00225653" w:rsidP="00AB725E">
            <w:pPr>
              <w:pStyle w:val="Tabletext"/>
            </w:pPr>
            <w:r w:rsidRPr="00C87F4E">
              <w:t>University of Wollongong</w:t>
            </w:r>
            <w:r w:rsidR="007B452B">
              <w:t xml:space="preserve"> (2)</w:t>
            </w:r>
          </w:p>
        </w:tc>
        <w:tc>
          <w:tcPr>
            <w:tcW w:w="1049" w:type="dxa"/>
            <w:tcBorders>
              <w:top w:val="nil"/>
              <w:left w:val="nil"/>
              <w:right w:val="nil"/>
            </w:tcBorders>
            <w:shd w:val="clear" w:color="auto" w:fill="auto"/>
            <w:noWrap/>
            <w:vAlign w:val="bottom"/>
            <w:hideMark/>
          </w:tcPr>
          <w:p w:rsidR="00225653" w:rsidRPr="00521FC7" w:rsidRDefault="00225653" w:rsidP="00AB725E">
            <w:pPr>
              <w:pStyle w:val="Tabletext"/>
              <w:jc w:val="center"/>
            </w:pPr>
            <w:r w:rsidRPr="00521FC7">
              <w:rPr>
                <w:szCs w:val="16"/>
              </w:rPr>
              <w:t>51</w:t>
            </w:r>
          </w:p>
        </w:tc>
        <w:tc>
          <w:tcPr>
            <w:tcW w:w="898" w:type="dxa"/>
            <w:tcBorders>
              <w:top w:val="nil"/>
              <w:left w:val="nil"/>
              <w:right w:val="nil"/>
            </w:tcBorders>
            <w:shd w:val="clear" w:color="auto" w:fill="auto"/>
            <w:noWrap/>
            <w:vAlign w:val="bottom"/>
            <w:hideMark/>
          </w:tcPr>
          <w:p w:rsidR="00225653" w:rsidRDefault="00225653" w:rsidP="00AB725E">
            <w:pPr>
              <w:pStyle w:val="Tabletext"/>
              <w:jc w:val="center"/>
            </w:pPr>
            <w:r>
              <w:t>3.0%</w:t>
            </w:r>
          </w:p>
        </w:tc>
        <w:tc>
          <w:tcPr>
            <w:tcW w:w="1198" w:type="dxa"/>
            <w:tcBorders>
              <w:top w:val="nil"/>
              <w:left w:val="nil"/>
              <w:right w:val="nil"/>
            </w:tcBorders>
            <w:vAlign w:val="bottom"/>
          </w:tcPr>
          <w:p w:rsidR="00225653" w:rsidRDefault="00225653" w:rsidP="00AB725E">
            <w:pPr>
              <w:pStyle w:val="Tabletext"/>
              <w:jc w:val="center"/>
            </w:pPr>
            <w:r>
              <w:t>&lt;10</w:t>
            </w:r>
          </w:p>
        </w:tc>
        <w:tc>
          <w:tcPr>
            <w:tcW w:w="1198" w:type="dxa"/>
            <w:gridSpan w:val="2"/>
            <w:tcBorders>
              <w:top w:val="nil"/>
              <w:left w:val="nil"/>
              <w:right w:val="nil"/>
            </w:tcBorders>
            <w:vAlign w:val="bottom"/>
          </w:tcPr>
          <w:p w:rsidR="00225653" w:rsidRDefault="00225653" w:rsidP="00AB725E">
            <w:pPr>
              <w:pStyle w:val="Tabletext"/>
              <w:jc w:val="center"/>
            </w:pPr>
            <w:r>
              <w:t>n.a</w:t>
            </w:r>
          </w:p>
        </w:tc>
      </w:tr>
      <w:tr w:rsidR="00225653" w:rsidRPr="00C6045A" w:rsidTr="005F3AC0">
        <w:trPr>
          <w:trHeight w:val="278"/>
        </w:trPr>
        <w:tc>
          <w:tcPr>
            <w:tcW w:w="4193" w:type="dxa"/>
            <w:gridSpan w:val="2"/>
            <w:tcBorders>
              <w:top w:val="nil"/>
              <w:left w:val="nil"/>
              <w:right w:val="nil"/>
            </w:tcBorders>
            <w:shd w:val="clear" w:color="auto" w:fill="auto"/>
            <w:noWrap/>
            <w:vAlign w:val="bottom"/>
            <w:hideMark/>
          </w:tcPr>
          <w:p w:rsidR="00225653" w:rsidRPr="00C87F4E" w:rsidRDefault="00225653" w:rsidP="00AB725E">
            <w:pPr>
              <w:pStyle w:val="Tabletext"/>
            </w:pPr>
            <w:r w:rsidRPr="00C87F4E">
              <w:t>Victoria University</w:t>
            </w:r>
            <w:r w:rsidR="007B452B">
              <w:t xml:space="preserve"> (1)</w:t>
            </w:r>
          </w:p>
        </w:tc>
        <w:tc>
          <w:tcPr>
            <w:tcW w:w="1049" w:type="dxa"/>
            <w:tcBorders>
              <w:top w:val="nil"/>
              <w:left w:val="nil"/>
              <w:right w:val="nil"/>
            </w:tcBorders>
            <w:shd w:val="clear" w:color="auto" w:fill="auto"/>
            <w:noWrap/>
            <w:vAlign w:val="bottom"/>
            <w:hideMark/>
          </w:tcPr>
          <w:p w:rsidR="00225653" w:rsidRPr="00521FC7" w:rsidRDefault="00225653" w:rsidP="00AB725E">
            <w:pPr>
              <w:pStyle w:val="Tabletext"/>
              <w:jc w:val="center"/>
            </w:pPr>
            <w:r w:rsidRPr="00521FC7">
              <w:rPr>
                <w:szCs w:val="16"/>
              </w:rPr>
              <w:t>38</w:t>
            </w:r>
          </w:p>
        </w:tc>
        <w:tc>
          <w:tcPr>
            <w:tcW w:w="898" w:type="dxa"/>
            <w:tcBorders>
              <w:top w:val="nil"/>
              <w:left w:val="nil"/>
              <w:right w:val="nil"/>
            </w:tcBorders>
            <w:shd w:val="clear" w:color="auto" w:fill="auto"/>
            <w:noWrap/>
            <w:vAlign w:val="bottom"/>
            <w:hideMark/>
          </w:tcPr>
          <w:p w:rsidR="00225653" w:rsidRDefault="00225653" w:rsidP="00AB725E">
            <w:pPr>
              <w:pStyle w:val="Tabletext"/>
              <w:jc w:val="center"/>
            </w:pPr>
            <w:r>
              <w:t>2.2%</w:t>
            </w:r>
          </w:p>
        </w:tc>
        <w:tc>
          <w:tcPr>
            <w:tcW w:w="1198" w:type="dxa"/>
            <w:tcBorders>
              <w:top w:val="nil"/>
              <w:left w:val="nil"/>
              <w:right w:val="nil"/>
            </w:tcBorders>
            <w:vAlign w:val="bottom"/>
          </w:tcPr>
          <w:p w:rsidR="00225653" w:rsidRDefault="00225653" w:rsidP="00AB725E">
            <w:pPr>
              <w:pStyle w:val="Tabletext"/>
              <w:jc w:val="center"/>
            </w:pPr>
            <w:r>
              <w:t>13</w:t>
            </w:r>
          </w:p>
        </w:tc>
        <w:tc>
          <w:tcPr>
            <w:tcW w:w="1198" w:type="dxa"/>
            <w:gridSpan w:val="2"/>
            <w:tcBorders>
              <w:top w:val="nil"/>
              <w:left w:val="nil"/>
              <w:right w:val="nil"/>
            </w:tcBorders>
            <w:vAlign w:val="bottom"/>
          </w:tcPr>
          <w:p w:rsidR="00225653" w:rsidRDefault="00225653" w:rsidP="00AB725E">
            <w:pPr>
              <w:pStyle w:val="Tabletext"/>
              <w:jc w:val="center"/>
            </w:pPr>
            <w:r>
              <w:t>34.2%</w:t>
            </w:r>
          </w:p>
        </w:tc>
      </w:tr>
      <w:tr w:rsidR="00225653" w:rsidRPr="00C6045A" w:rsidTr="005F3AC0">
        <w:trPr>
          <w:trHeight w:val="278"/>
        </w:trPr>
        <w:tc>
          <w:tcPr>
            <w:tcW w:w="4193" w:type="dxa"/>
            <w:gridSpan w:val="2"/>
            <w:tcBorders>
              <w:top w:val="nil"/>
              <w:left w:val="nil"/>
              <w:right w:val="nil"/>
            </w:tcBorders>
            <w:shd w:val="clear" w:color="auto" w:fill="auto"/>
            <w:noWrap/>
            <w:vAlign w:val="bottom"/>
            <w:hideMark/>
          </w:tcPr>
          <w:p w:rsidR="00225653" w:rsidRPr="00C87F4E" w:rsidRDefault="00225653" w:rsidP="00AB725E">
            <w:pPr>
              <w:pStyle w:val="Tabletext"/>
            </w:pPr>
            <w:r w:rsidRPr="00C87F4E">
              <w:t>Central Queensland University</w:t>
            </w:r>
            <w:r w:rsidR="007B452B">
              <w:t xml:space="preserve"> (2)</w:t>
            </w:r>
          </w:p>
        </w:tc>
        <w:tc>
          <w:tcPr>
            <w:tcW w:w="1049" w:type="dxa"/>
            <w:tcBorders>
              <w:top w:val="nil"/>
              <w:left w:val="nil"/>
              <w:right w:val="nil"/>
            </w:tcBorders>
            <w:shd w:val="clear" w:color="auto" w:fill="auto"/>
            <w:noWrap/>
            <w:vAlign w:val="bottom"/>
            <w:hideMark/>
          </w:tcPr>
          <w:p w:rsidR="00225653" w:rsidRPr="00521FC7" w:rsidRDefault="00225653" w:rsidP="00AB725E">
            <w:pPr>
              <w:pStyle w:val="Tabletext"/>
              <w:jc w:val="center"/>
            </w:pPr>
            <w:r w:rsidRPr="00521FC7">
              <w:rPr>
                <w:szCs w:val="16"/>
              </w:rPr>
              <w:t>10</w:t>
            </w:r>
          </w:p>
        </w:tc>
        <w:tc>
          <w:tcPr>
            <w:tcW w:w="898" w:type="dxa"/>
            <w:tcBorders>
              <w:top w:val="nil"/>
              <w:left w:val="nil"/>
              <w:right w:val="nil"/>
            </w:tcBorders>
            <w:shd w:val="clear" w:color="auto" w:fill="auto"/>
            <w:noWrap/>
            <w:vAlign w:val="bottom"/>
            <w:hideMark/>
          </w:tcPr>
          <w:p w:rsidR="00225653" w:rsidRDefault="00225653" w:rsidP="00AB725E">
            <w:pPr>
              <w:pStyle w:val="Tabletext"/>
              <w:jc w:val="center"/>
            </w:pPr>
            <w:r>
              <w:t>0.6%</w:t>
            </w:r>
          </w:p>
        </w:tc>
        <w:tc>
          <w:tcPr>
            <w:tcW w:w="1198" w:type="dxa"/>
            <w:tcBorders>
              <w:top w:val="nil"/>
              <w:left w:val="nil"/>
              <w:right w:val="nil"/>
            </w:tcBorders>
            <w:vAlign w:val="bottom"/>
          </w:tcPr>
          <w:p w:rsidR="00225653" w:rsidRDefault="00225653" w:rsidP="00AB725E">
            <w:pPr>
              <w:pStyle w:val="Tabletext"/>
              <w:jc w:val="center"/>
            </w:pPr>
            <w:r>
              <w:t>&lt;10</w:t>
            </w:r>
          </w:p>
        </w:tc>
        <w:tc>
          <w:tcPr>
            <w:tcW w:w="1198" w:type="dxa"/>
            <w:gridSpan w:val="2"/>
            <w:tcBorders>
              <w:top w:val="nil"/>
              <w:left w:val="nil"/>
              <w:right w:val="nil"/>
            </w:tcBorders>
            <w:vAlign w:val="bottom"/>
          </w:tcPr>
          <w:p w:rsidR="00225653" w:rsidRDefault="00225653" w:rsidP="00AB725E">
            <w:pPr>
              <w:pStyle w:val="Tabletext"/>
              <w:jc w:val="center"/>
            </w:pPr>
            <w:r>
              <w:t>n.a</w:t>
            </w:r>
          </w:p>
        </w:tc>
      </w:tr>
      <w:tr w:rsidR="00225653" w:rsidRPr="00C6045A" w:rsidTr="005F3AC0">
        <w:trPr>
          <w:trHeight w:val="278"/>
        </w:trPr>
        <w:tc>
          <w:tcPr>
            <w:tcW w:w="4193" w:type="dxa"/>
            <w:gridSpan w:val="2"/>
            <w:tcBorders>
              <w:left w:val="nil"/>
              <w:bottom w:val="single" w:sz="4" w:space="0" w:color="auto"/>
              <w:right w:val="nil"/>
            </w:tcBorders>
            <w:shd w:val="clear" w:color="auto" w:fill="auto"/>
            <w:noWrap/>
            <w:vAlign w:val="bottom"/>
            <w:hideMark/>
          </w:tcPr>
          <w:p w:rsidR="00225653" w:rsidRPr="00C87F4E" w:rsidRDefault="00225653" w:rsidP="00AB725E">
            <w:pPr>
              <w:pStyle w:val="Tabletext"/>
            </w:pPr>
            <w:r w:rsidRPr="00C87F4E">
              <w:t>Murdoch University</w:t>
            </w:r>
            <w:r w:rsidR="007B452B">
              <w:t xml:space="preserve"> (2)</w:t>
            </w:r>
          </w:p>
        </w:tc>
        <w:tc>
          <w:tcPr>
            <w:tcW w:w="1049" w:type="dxa"/>
            <w:tcBorders>
              <w:left w:val="nil"/>
              <w:bottom w:val="single" w:sz="4" w:space="0" w:color="auto"/>
              <w:right w:val="nil"/>
            </w:tcBorders>
            <w:shd w:val="clear" w:color="auto" w:fill="auto"/>
            <w:noWrap/>
            <w:vAlign w:val="bottom"/>
            <w:hideMark/>
          </w:tcPr>
          <w:p w:rsidR="00225653" w:rsidRPr="00521FC7" w:rsidRDefault="00225653" w:rsidP="00AB725E">
            <w:pPr>
              <w:pStyle w:val="Tabletext"/>
              <w:jc w:val="center"/>
            </w:pPr>
            <w:r w:rsidRPr="00521FC7">
              <w:rPr>
                <w:szCs w:val="16"/>
              </w:rPr>
              <w:t>10</w:t>
            </w:r>
          </w:p>
        </w:tc>
        <w:tc>
          <w:tcPr>
            <w:tcW w:w="898" w:type="dxa"/>
            <w:tcBorders>
              <w:left w:val="nil"/>
              <w:bottom w:val="single" w:sz="4" w:space="0" w:color="auto"/>
              <w:right w:val="nil"/>
            </w:tcBorders>
            <w:shd w:val="clear" w:color="auto" w:fill="auto"/>
            <w:noWrap/>
            <w:vAlign w:val="bottom"/>
            <w:hideMark/>
          </w:tcPr>
          <w:p w:rsidR="00225653" w:rsidRDefault="00225653" w:rsidP="00AB725E">
            <w:pPr>
              <w:pStyle w:val="Tabletext"/>
              <w:jc w:val="center"/>
            </w:pPr>
            <w:r>
              <w:t>0.6%</w:t>
            </w:r>
          </w:p>
        </w:tc>
        <w:tc>
          <w:tcPr>
            <w:tcW w:w="1198" w:type="dxa"/>
            <w:tcBorders>
              <w:left w:val="nil"/>
              <w:bottom w:val="single" w:sz="4" w:space="0" w:color="auto"/>
              <w:right w:val="nil"/>
            </w:tcBorders>
            <w:vAlign w:val="bottom"/>
          </w:tcPr>
          <w:p w:rsidR="00225653" w:rsidRDefault="00225653" w:rsidP="00AB725E">
            <w:pPr>
              <w:pStyle w:val="Tabletext"/>
              <w:jc w:val="center"/>
            </w:pPr>
            <w:r>
              <w:t>0</w:t>
            </w:r>
          </w:p>
        </w:tc>
        <w:tc>
          <w:tcPr>
            <w:tcW w:w="1198" w:type="dxa"/>
            <w:gridSpan w:val="2"/>
            <w:tcBorders>
              <w:left w:val="nil"/>
              <w:bottom w:val="single" w:sz="4" w:space="0" w:color="auto"/>
              <w:right w:val="nil"/>
            </w:tcBorders>
            <w:vAlign w:val="bottom"/>
          </w:tcPr>
          <w:p w:rsidR="00225653" w:rsidRDefault="00225653" w:rsidP="00AB725E">
            <w:pPr>
              <w:pStyle w:val="Tabletext"/>
              <w:jc w:val="center"/>
            </w:pPr>
            <w:r>
              <w:t>0.0%</w:t>
            </w:r>
          </w:p>
        </w:tc>
      </w:tr>
      <w:tr w:rsidR="00225653" w:rsidRPr="00C6045A" w:rsidTr="005F3AC0">
        <w:trPr>
          <w:trHeight w:val="278"/>
        </w:trPr>
        <w:tc>
          <w:tcPr>
            <w:tcW w:w="4193" w:type="dxa"/>
            <w:gridSpan w:val="2"/>
            <w:tcBorders>
              <w:top w:val="nil"/>
              <w:left w:val="nil"/>
              <w:bottom w:val="single" w:sz="4" w:space="0" w:color="auto"/>
              <w:right w:val="nil"/>
            </w:tcBorders>
            <w:shd w:val="clear" w:color="auto" w:fill="auto"/>
            <w:noWrap/>
            <w:vAlign w:val="bottom"/>
            <w:hideMark/>
          </w:tcPr>
          <w:p w:rsidR="00225653" w:rsidRPr="00C87F4E" w:rsidRDefault="00225653" w:rsidP="00AB725E">
            <w:pPr>
              <w:pStyle w:val="Tabletext"/>
            </w:pPr>
            <w:r w:rsidRPr="00C87F4E">
              <w:t>TOTAL</w:t>
            </w:r>
          </w:p>
        </w:tc>
        <w:tc>
          <w:tcPr>
            <w:tcW w:w="1049" w:type="dxa"/>
            <w:tcBorders>
              <w:top w:val="nil"/>
              <w:left w:val="nil"/>
              <w:bottom w:val="single" w:sz="4" w:space="0" w:color="auto"/>
              <w:right w:val="nil"/>
            </w:tcBorders>
            <w:shd w:val="clear" w:color="auto" w:fill="auto"/>
            <w:noWrap/>
            <w:vAlign w:val="bottom"/>
            <w:hideMark/>
          </w:tcPr>
          <w:p w:rsidR="00225653" w:rsidRPr="00521FC7" w:rsidRDefault="00225653" w:rsidP="00AB725E">
            <w:pPr>
              <w:pStyle w:val="Tabletext"/>
              <w:jc w:val="center"/>
            </w:pPr>
            <w:r w:rsidRPr="00521FC7">
              <w:rPr>
                <w:szCs w:val="16"/>
              </w:rPr>
              <w:t>1,713</w:t>
            </w:r>
          </w:p>
        </w:tc>
        <w:tc>
          <w:tcPr>
            <w:tcW w:w="898" w:type="dxa"/>
            <w:tcBorders>
              <w:top w:val="nil"/>
              <w:left w:val="nil"/>
              <w:bottom w:val="single" w:sz="4" w:space="0" w:color="auto"/>
              <w:right w:val="nil"/>
            </w:tcBorders>
            <w:shd w:val="clear" w:color="auto" w:fill="auto"/>
            <w:noWrap/>
            <w:vAlign w:val="bottom"/>
            <w:hideMark/>
          </w:tcPr>
          <w:p w:rsidR="00225653" w:rsidRDefault="00225653" w:rsidP="00AB725E">
            <w:pPr>
              <w:pStyle w:val="Tabletext"/>
              <w:jc w:val="center"/>
            </w:pPr>
            <w:r>
              <w:t>100.0%</w:t>
            </w:r>
          </w:p>
        </w:tc>
        <w:tc>
          <w:tcPr>
            <w:tcW w:w="1198" w:type="dxa"/>
            <w:tcBorders>
              <w:top w:val="nil"/>
              <w:left w:val="nil"/>
              <w:bottom w:val="single" w:sz="4" w:space="0" w:color="auto"/>
              <w:right w:val="nil"/>
            </w:tcBorders>
            <w:vAlign w:val="bottom"/>
          </w:tcPr>
          <w:p w:rsidR="00225653" w:rsidRDefault="00225653" w:rsidP="00AB725E">
            <w:pPr>
              <w:pStyle w:val="Tabletext"/>
              <w:jc w:val="center"/>
            </w:pPr>
            <w:r>
              <w:t>61</w:t>
            </w:r>
          </w:p>
        </w:tc>
        <w:tc>
          <w:tcPr>
            <w:tcW w:w="1198" w:type="dxa"/>
            <w:gridSpan w:val="2"/>
            <w:tcBorders>
              <w:top w:val="nil"/>
              <w:left w:val="nil"/>
              <w:bottom w:val="single" w:sz="4" w:space="0" w:color="auto"/>
              <w:right w:val="nil"/>
            </w:tcBorders>
            <w:vAlign w:val="bottom"/>
          </w:tcPr>
          <w:p w:rsidR="00225653" w:rsidRDefault="00225653" w:rsidP="00AB725E">
            <w:pPr>
              <w:pStyle w:val="Tabletext"/>
              <w:jc w:val="center"/>
            </w:pPr>
            <w:r>
              <w:t>3.6%</w:t>
            </w:r>
          </w:p>
        </w:tc>
      </w:tr>
    </w:tbl>
    <w:p w:rsidR="00225653" w:rsidRDefault="00225653" w:rsidP="00225653">
      <w:pPr>
        <w:pStyle w:val="Source"/>
      </w:pPr>
      <w:r>
        <w:t>Source: DEEWR (2010) Higher Education Statistics Collection. Unpublished data</w:t>
      </w:r>
    </w:p>
    <w:p w:rsidR="00225653" w:rsidRDefault="00225653" w:rsidP="00225653">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225653" w:rsidRDefault="00225653" w:rsidP="00225653">
      <w:pPr>
        <w:pStyle w:val="Heading2"/>
      </w:pPr>
      <w:bookmarkStart w:id="122" w:name="_Toc358384130"/>
      <w:bookmarkStart w:id="123" w:name="_Toc370995893"/>
      <w:r>
        <w:t>Summary</w:t>
      </w:r>
      <w:bookmarkEnd w:id="122"/>
      <w:bookmarkEnd w:id="123"/>
    </w:p>
    <w:p w:rsidR="00225653" w:rsidRDefault="00225653" w:rsidP="00225653">
      <w:pPr>
        <w:pStyle w:val="Text"/>
      </w:pPr>
      <w:r>
        <w:t xml:space="preserve">Engineering course provision is dominated by eleven universities, seven of which admit negligible numbers of students on the basis of a VET award. Although four large providers of engineering programs admit relatively high proportions of VET award-holders, the polarisation between large providers in terms of providing VET-HE pathways brings down the average rate of admission of VET award-holders overall. This polarisation is evident in all the large sub-fields and could be contributing to low rates of admission of VET award-holders in the field of process and resources engineering, where a small number of large providers dominate the data on undergraduate commencements.  </w:t>
      </w:r>
    </w:p>
    <w:p w:rsidR="00225653" w:rsidRDefault="00225653" w:rsidP="00225653">
      <w:pPr>
        <w:pStyle w:val="Text"/>
      </w:pPr>
      <w:r w:rsidRPr="00E87B69">
        <w:t>Data on commencements in sub-fields of engineering courses need to be analysed with caution, as almost half of all undergraduate commencements in the broad field of engineering and related technologies are recorded under the narrow sub-field of “Other Engineering and Related Technologies”. In some cases, this may be due to emerging fields not being accommodated in the existing classifications (e</w:t>
      </w:r>
      <w:r w:rsidR="005630EC">
        <w:t>.</w:t>
      </w:r>
      <w:r w:rsidRPr="00E87B69">
        <w:t xml:space="preserve">g. environmental engineering). However it is more likely due to the fact that in many universities, commencing students in engineering courses undertake general introductory units of study in their first year </w:t>
      </w:r>
      <w:r>
        <w:t>that are routinely classified as “Other Engineering and Related Technologies”</w:t>
      </w:r>
      <w:r w:rsidRPr="00E87B69">
        <w:t xml:space="preserve">.  </w:t>
      </w:r>
      <w:bookmarkEnd w:id="100"/>
    </w:p>
    <w:p w:rsidR="005A04CB" w:rsidRDefault="005A04CB" w:rsidP="00225653">
      <w:pPr>
        <w:pStyle w:val="Text"/>
      </w:pPr>
      <w:r w:rsidRPr="005A04CB">
        <w:t xml:space="preserve">The admission rates of VET award-holders in each of the sub-fields of Engineering and Related Technologies illustrates how the enrolment share held by Cluster 3 universities appears to influence the admission rate of VET award-holders in this field.  A similar pattern is evident in the sub-field of Mechanical and Industrial Engineering and Technology (0307) which admits VET award-holders at a rate of 8.1 per cent. As in the sub-field of Electrical Engineering, Cluster 1 universities admit VET award-holders at more than double the rate for the sub-field, while Cluster 3 universities admit none. In both sub-fields, the University of Newcastle (Cluster 2) performs like a Cluster 1 institution in admitting VET award-holders at rates well over 20 per cent. However in this sub-field, Cluster 3 </w:t>
      </w:r>
      <w:r w:rsidRPr="005A04CB">
        <w:lastRenderedPageBreak/>
        <w:t>universities account for 50 per cent of total enrolments, which influences the overall rate of admissions of VET-award-holders in this field.</w:t>
      </w:r>
    </w:p>
    <w:p w:rsidR="00225653" w:rsidRDefault="00225653">
      <w:pPr>
        <w:spacing w:before="0" w:line="240" w:lineRule="auto"/>
      </w:pPr>
      <w:r>
        <w:br w:type="page"/>
      </w:r>
    </w:p>
    <w:p w:rsidR="00225653" w:rsidRDefault="00225653" w:rsidP="00225653">
      <w:pPr>
        <w:pStyle w:val="Text"/>
      </w:pPr>
    </w:p>
    <w:p w:rsidR="000D2C23" w:rsidRDefault="0047396B" w:rsidP="000D2C23">
      <w:pPr>
        <w:pStyle w:val="Heading1"/>
      </w:pPr>
      <w:bookmarkStart w:id="124" w:name="_Toc358384131"/>
      <w:bookmarkStart w:id="125" w:name="_Toc370995894"/>
      <w:r>
        <w:t xml:space="preserve">4. </w:t>
      </w:r>
      <w:r w:rsidR="000D2C23">
        <w:t>Agriculture, Environmental and Related Studies (FOE 05)</w:t>
      </w:r>
      <w:bookmarkEnd w:id="124"/>
      <w:bookmarkEnd w:id="125"/>
      <w:r w:rsidR="000D2C23">
        <w:t xml:space="preserve"> </w:t>
      </w:r>
      <w:bookmarkEnd w:id="60"/>
    </w:p>
    <w:p w:rsidR="000D2C23" w:rsidRDefault="000D2C23" w:rsidP="000D2C23">
      <w:pPr>
        <w:pStyle w:val="Text"/>
      </w:pPr>
      <w:r>
        <w:t>Agriculture, Environment and Related Studies (FOE 05) is the smallest field of undergraduate education with just 3,781 students or 1.2 per cent of total undergraduate enrolments. The proportion of students admitted on the basis of a VET award to this broad field is 7.4 per cent.</w:t>
      </w:r>
    </w:p>
    <w:p w:rsidR="000D2C23" w:rsidRDefault="000D2C23" w:rsidP="000D2C23">
      <w:pPr>
        <w:pStyle w:val="Text"/>
      </w:pPr>
      <w:r>
        <w:t xml:space="preserve">As a broad field under the ASCED categorisation, </w:t>
      </w:r>
      <w:r w:rsidRPr="007B01E5">
        <w:t xml:space="preserve">Agriculture, Environment and Related Studies (FOE 05) </w:t>
      </w:r>
      <w:r>
        <w:t xml:space="preserve">is comprised of six narrow sub-fields. Data on total commencements and the number of students admitted on the basis of a VET award </w:t>
      </w:r>
      <w:r w:rsidR="00096D36">
        <w:t>are</w:t>
      </w:r>
      <w:r>
        <w:t xml:space="preserve"> provided for each of these sub-fields in </w:t>
      </w:r>
      <w:r w:rsidR="00B45EBA">
        <w:t xml:space="preserve">Table </w:t>
      </w:r>
      <w:r w:rsidR="00D718A6">
        <w:t>25</w:t>
      </w:r>
      <w:r>
        <w:t>.</w:t>
      </w:r>
    </w:p>
    <w:p w:rsidR="000D2C23" w:rsidRDefault="00B45EBA" w:rsidP="000D2C23">
      <w:pPr>
        <w:pStyle w:val="tabletitle"/>
      </w:pPr>
      <w:bookmarkStart w:id="126" w:name="_Toc318507617"/>
      <w:bookmarkStart w:id="127" w:name="_Toc350786331"/>
      <w:bookmarkStart w:id="128" w:name="_Toc370995934"/>
      <w:r>
        <w:t xml:space="preserve">Table </w:t>
      </w:r>
      <w:r w:rsidR="006A154F">
        <w:t>25</w:t>
      </w:r>
      <w:r w:rsidR="000D2C23">
        <w:tab/>
        <w:t>VET award-holders and all undergraduate commencements in Agriculture, Environmental and Related Studies (FOE 05), by narrow sub-field, Australia 2010</w:t>
      </w:r>
      <w:bookmarkEnd w:id="126"/>
      <w:bookmarkEnd w:id="127"/>
      <w:bookmarkEnd w:id="128"/>
    </w:p>
    <w:tbl>
      <w:tblPr>
        <w:tblW w:w="8861" w:type="dxa"/>
        <w:tblInd w:w="108" w:type="dxa"/>
        <w:tblLook w:val="04A0"/>
      </w:tblPr>
      <w:tblGrid>
        <w:gridCol w:w="3261"/>
        <w:gridCol w:w="863"/>
        <w:gridCol w:w="980"/>
        <w:gridCol w:w="863"/>
        <w:gridCol w:w="1068"/>
        <w:gridCol w:w="1826"/>
      </w:tblGrid>
      <w:tr w:rsidR="000D2C23" w:rsidRPr="00CE24D5" w:rsidTr="00AB725E">
        <w:trPr>
          <w:trHeight w:val="300"/>
        </w:trPr>
        <w:tc>
          <w:tcPr>
            <w:tcW w:w="3261" w:type="dxa"/>
            <w:tcBorders>
              <w:top w:val="single" w:sz="4" w:space="0" w:color="auto"/>
              <w:left w:val="nil"/>
              <w:bottom w:val="nil"/>
              <w:right w:val="nil"/>
            </w:tcBorders>
            <w:shd w:val="clear" w:color="auto" w:fill="auto"/>
            <w:noWrap/>
            <w:vAlign w:val="bottom"/>
            <w:hideMark/>
          </w:tcPr>
          <w:p w:rsidR="000D2C23" w:rsidRPr="00CE24D5" w:rsidRDefault="000D2C23" w:rsidP="00AB725E">
            <w:pPr>
              <w:pStyle w:val="Tablehead1"/>
              <w:jc w:val="center"/>
              <w:rPr>
                <w:bCs/>
                <w:color w:val="000000"/>
                <w:lang w:val="en-US"/>
              </w:rPr>
            </w:pPr>
          </w:p>
        </w:tc>
        <w:tc>
          <w:tcPr>
            <w:tcW w:w="1843" w:type="dxa"/>
            <w:gridSpan w:val="2"/>
            <w:tcBorders>
              <w:top w:val="single" w:sz="4" w:space="0" w:color="auto"/>
              <w:left w:val="nil"/>
              <w:bottom w:val="nil"/>
              <w:right w:val="nil"/>
            </w:tcBorders>
            <w:shd w:val="clear" w:color="auto" w:fill="auto"/>
            <w:noWrap/>
            <w:vAlign w:val="bottom"/>
            <w:hideMark/>
          </w:tcPr>
          <w:p w:rsidR="000D2C23" w:rsidRPr="00CE24D5" w:rsidRDefault="000D2C23" w:rsidP="00AB725E">
            <w:pPr>
              <w:pStyle w:val="Tablehead1"/>
              <w:jc w:val="center"/>
              <w:rPr>
                <w:rFonts w:cs="Arial"/>
                <w:bCs/>
                <w:color w:val="000000"/>
                <w:szCs w:val="17"/>
                <w:lang w:val="en-US"/>
              </w:rPr>
            </w:pPr>
            <w:r w:rsidRPr="00CE24D5">
              <w:rPr>
                <w:rFonts w:cs="Arial"/>
                <w:bCs/>
                <w:color w:val="000000"/>
                <w:szCs w:val="17"/>
                <w:lang w:val="en-US"/>
              </w:rPr>
              <w:t xml:space="preserve">VET </w:t>
            </w:r>
            <w:r>
              <w:rPr>
                <w:rFonts w:cs="Arial"/>
                <w:bCs/>
                <w:color w:val="000000"/>
                <w:szCs w:val="17"/>
                <w:lang w:val="en-US"/>
              </w:rPr>
              <w:t>award-holders</w:t>
            </w:r>
          </w:p>
        </w:tc>
        <w:tc>
          <w:tcPr>
            <w:tcW w:w="1931" w:type="dxa"/>
            <w:gridSpan w:val="2"/>
            <w:tcBorders>
              <w:top w:val="single" w:sz="4" w:space="0" w:color="auto"/>
              <w:left w:val="nil"/>
              <w:bottom w:val="nil"/>
              <w:right w:val="nil"/>
            </w:tcBorders>
            <w:vAlign w:val="bottom"/>
          </w:tcPr>
          <w:p w:rsidR="000D2C23" w:rsidRPr="00CE24D5" w:rsidRDefault="000D2C23" w:rsidP="00AB725E">
            <w:pPr>
              <w:pStyle w:val="Tablehead1"/>
              <w:jc w:val="center"/>
              <w:rPr>
                <w:rFonts w:cs="Arial"/>
                <w:bCs/>
                <w:color w:val="000000"/>
                <w:szCs w:val="17"/>
                <w:lang w:val="en-US"/>
              </w:rPr>
            </w:pPr>
            <w:r w:rsidRPr="00CE24D5">
              <w:rPr>
                <w:rFonts w:cs="Arial"/>
                <w:bCs/>
                <w:color w:val="000000"/>
                <w:szCs w:val="17"/>
                <w:lang w:val="en-US"/>
              </w:rPr>
              <w:t>All undergraduate commencements</w:t>
            </w:r>
          </w:p>
        </w:tc>
        <w:tc>
          <w:tcPr>
            <w:tcW w:w="1826" w:type="dxa"/>
            <w:tcBorders>
              <w:top w:val="single" w:sz="4" w:space="0" w:color="auto"/>
              <w:left w:val="nil"/>
              <w:bottom w:val="nil"/>
              <w:right w:val="nil"/>
            </w:tcBorders>
            <w:vAlign w:val="bottom"/>
          </w:tcPr>
          <w:p w:rsidR="000D2C23" w:rsidRPr="00CE24D5" w:rsidRDefault="000D2C23" w:rsidP="00AB725E">
            <w:pPr>
              <w:pStyle w:val="Tablehead1"/>
              <w:jc w:val="center"/>
              <w:rPr>
                <w:rFonts w:cs="Arial"/>
                <w:bCs/>
                <w:color w:val="000000"/>
                <w:szCs w:val="17"/>
                <w:lang w:val="en-US"/>
              </w:rPr>
            </w:pPr>
            <w:r w:rsidRPr="00CE24D5">
              <w:rPr>
                <w:rFonts w:cs="Arial"/>
                <w:bCs/>
                <w:color w:val="000000"/>
                <w:szCs w:val="17"/>
                <w:lang w:val="en-US"/>
              </w:rPr>
              <w:t xml:space="preserve">VET </w:t>
            </w:r>
            <w:r>
              <w:rPr>
                <w:rFonts w:cs="Arial"/>
                <w:bCs/>
                <w:color w:val="000000"/>
                <w:szCs w:val="17"/>
                <w:lang w:val="en-US"/>
              </w:rPr>
              <w:t>award-holders</w:t>
            </w:r>
            <w:r w:rsidRPr="00CE24D5">
              <w:rPr>
                <w:rFonts w:cs="Arial"/>
                <w:bCs/>
                <w:color w:val="000000"/>
                <w:szCs w:val="17"/>
                <w:lang w:val="en-US"/>
              </w:rPr>
              <w:t xml:space="preserve"> as a proportion of total U/G commencements</w:t>
            </w:r>
          </w:p>
        </w:tc>
      </w:tr>
      <w:tr w:rsidR="000D2C23" w:rsidRPr="00322D4B" w:rsidTr="00AB725E">
        <w:trPr>
          <w:trHeight w:val="300"/>
        </w:trPr>
        <w:tc>
          <w:tcPr>
            <w:tcW w:w="3261" w:type="dxa"/>
            <w:tcBorders>
              <w:top w:val="nil"/>
              <w:left w:val="nil"/>
              <w:bottom w:val="single" w:sz="4" w:space="0" w:color="auto"/>
              <w:right w:val="nil"/>
            </w:tcBorders>
            <w:shd w:val="clear" w:color="auto" w:fill="auto"/>
            <w:noWrap/>
            <w:vAlign w:val="bottom"/>
            <w:hideMark/>
          </w:tcPr>
          <w:p w:rsidR="000D2C23" w:rsidRPr="00F71B20" w:rsidRDefault="000D2C23" w:rsidP="00AB725E">
            <w:pPr>
              <w:pStyle w:val="Tablehead2"/>
              <w:rPr>
                <w:rFonts w:asciiTheme="majorHAnsi" w:hAnsiTheme="majorHAnsi"/>
                <w:sz w:val="18"/>
                <w:szCs w:val="18"/>
                <w:lang w:val="en-US"/>
              </w:rPr>
            </w:pPr>
            <w:r>
              <w:rPr>
                <w:rFonts w:asciiTheme="majorHAnsi" w:hAnsiTheme="majorHAnsi"/>
                <w:sz w:val="18"/>
                <w:szCs w:val="18"/>
                <w:lang w:val="en-US"/>
              </w:rPr>
              <w:t xml:space="preserve">Narrow sub-field </w:t>
            </w:r>
          </w:p>
        </w:tc>
        <w:tc>
          <w:tcPr>
            <w:tcW w:w="863" w:type="dxa"/>
            <w:tcBorders>
              <w:top w:val="nil"/>
              <w:left w:val="nil"/>
              <w:bottom w:val="single" w:sz="4" w:space="0" w:color="auto"/>
              <w:right w:val="nil"/>
            </w:tcBorders>
            <w:shd w:val="clear" w:color="auto" w:fill="auto"/>
            <w:noWrap/>
            <w:vAlign w:val="bottom"/>
            <w:hideMark/>
          </w:tcPr>
          <w:p w:rsidR="000D2C23" w:rsidRPr="00F71B20" w:rsidRDefault="000D2C23"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Students</w:t>
            </w:r>
          </w:p>
        </w:tc>
        <w:tc>
          <w:tcPr>
            <w:tcW w:w="980" w:type="dxa"/>
            <w:tcBorders>
              <w:top w:val="nil"/>
              <w:left w:val="nil"/>
              <w:bottom w:val="single" w:sz="4" w:space="0" w:color="auto"/>
              <w:right w:val="nil"/>
            </w:tcBorders>
            <w:shd w:val="clear" w:color="auto" w:fill="auto"/>
            <w:noWrap/>
            <w:vAlign w:val="bottom"/>
            <w:hideMark/>
          </w:tcPr>
          <w:p w:rsidR="000D2C23" w:rsidRPr="00F71B20" w:rsidRDefault="000D2C23"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 total</w:t>
            </w:r>
          </w:p>
        </w:tc>
        <w:tc>
          <w:tcPr>
            <w:tcW w:w="863" w:type="dxa"/>
            <w:tcBorders>
              <w:top w:val="nil"/>
              <w:left w:val="nil"/>
              <w:bottom w:val="single" w:sz="4" w:space="0" w:color="auto"/>
              <w:right w:val="nil"/>
            </w:tcBorders>
            <w:vAlign w:val="bottom"/>
          </w:tcPr>
          <w:p w:rsidR="000D2C23" w:rsidRPr="00F71B20" w:rsidRDefault="000D2C23"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Students</w:t>
            </w:r>
          </w:p>
        </w:tc>
        <w:tc>
          <w:tcPr>
            <w:tcW w:w="1068" w:type="dxa"/>
            <w:tcBorders>
              <w:top w:val="nil"/>
              <w:left w:val="nil"/>
              <w:bottom w:val="single" w:sz="4" w:space="0" w:color="auto"/>
              <w:right w:val="nil"/>
            </w:tcBorders>
            <w:vAlign w:val="bottom"/>
          </w:tcPr>
          <w:p w:rsidR="000D2C23" w:rsidRPr="00F71B20" w:rsidRDefault="000D2C23" w:rsidP="00AB725E">
            <w:pPr>
              <w:pStyle w:val="Tablehead2"/>
              <w:jc w:val="right"/>
              <w:rPr>
                <w:rFonts w:asciiTheme="majorHAnsi" w:hAnsiTheme="majorHAnsi"/>
                <w:sz w:val="18"/>
                <w:szCs w:val="18"/>
                <w:lang w:val="en-US"/>
              </w:rPr>
            </w:pPr>
            <w:r w:rsidRPr="00F71B20">
              <w:rPr>
                <w:rFonts w:asciiTheme="majorHAnsi" w:hAnsiTheme="majorHAnsi"/>
                <w:sz w:val="18"/>
                <w:szCs w:val="18"/>
                <w:lang w:val="en-US"/>
              </w:rPr>
              <w:t>% total</w:t>
            </w:r>
          </w:p>
        </w:tc>
        <w:tc>
          <w:tcPr>
            <w:tcW w:w="1826" w:type="dxa"/>
            <w:tcBorders>
              <w:top w:val="nil"/>
              <w:left w:val="nil"/>
              <w:bottom w:val="single" w:sz="4" w:space="0" w:color="auto"/>
              <w:right w:val="nil"/>
            </w:tcBorders>
            <w:vAlign w:val="bottom"/>
          </w:tcPr>
          <w:p w:rsidR="000D2C23" w:rsidRPr="00F71B20" w:rsidRDefault="000D2C23" w:rsidP="00AB725E">
            <w:pPr>
              <w:pStyle w:val="Tablehead2"/>
              <w:jc w:val="right"/>
              <w:rPr>
                <w:rFonts w:asciiTheme="majorHAnsi" w:hAnsiTheme="majorHAnsi"/>
                <w:sz w:val="18"/>
                <w:szCs w:val="18"/>
                <w:lang w:val="en-US"/>
              </w:rPr>
            </w:pPr>
            <w:r>
              <w:rPr>
                <w:rFonts w:asciiTheme="majorHAnsi" w:hAnsiTheme="majorHAnsi"/>
                <w:sz w:val="18"/>
                <w:szCs w:val="18"/>
                <w:lang w:val="en-US"/>
              </w:rPr>
              <w:t>%</w:t>
            </w:r>
          </w:p>
        </w:tc>
      </w:tr>
      <w:tr w:rsidR="000D2C23" w:rsidRPr="00C6045A" w:rsidTr="00AB725E">
        <w:trPr>
          <w:trHeight w:val="300"/>
        </w:trPr>
        <w:tc>
          <w:tcPr>
            <w:tcW w:w="3261" w:type="dxa"/>
            <w:tcBorders>
              <w:top w:val="single" w:sz="4" w:space="0" w:color="auto"/>
              <w:left w:val="nil"/>
              <w:bottom w:val="nil"/>
              <w:right w:val="nil"/>
            </w:tcBorders>
            <w:shd w:val="clear" w:color="auto" w:fill="auto"/>
            <w:noWrap/>
            <w:hideMark/>
          </w:tcPr>
          <w:p w:rsidR="000D2C23" w:rsidRPr="00944C3B" w:rsidRDefault="000D2C23" w:rsidP="00AB725E">
            <w:pPr>
              <w:spacing w:before="60"/>
            </w:pPr>
            <w:r w:rsidRPr="00944C3B">
              <w:t>Agriculture (0501)</w:t>
            </w:r>
          </w:p>
        </w:tc>
        <w:tc>
          <w:tcPr>
            <w:tcW w:w="863" w:type="dxa"/>
            <w:tcBorders>
              <w:top w:val="single" w:sz="4" w:space="0" w:color="auto"/>
              <w:left w:val="nil"/>
              <w:bottom w:val="nil"/>
              <w:right w:val="nil"/>
            </w:tcBorders>
            <w:shd w:val="clear" w:color="auto" w:fill="auto"/>
            <w:noWrap/>
            <w:hideMark/>
          </w:tcPr>
          <w:p w:rsidR="000D2C23" w:rsidRPr="00944C3B" w:rsidRDefault="000D2C23" w:rsidP="00AB725E">
            <w:pPr>
              <w:spacing w:before="60"/>
              <w:jc w:val="right"/>
            </w:pPr>
            <w:r w:rsidRPr="00944C3B">
              <w:t>45</w:t>
            </w:r>
          </w:p>
        </w:tc>
        <w:tc>
          <w:tcPr>
            <w:tcW w:w="980" w:type="dxa"/>
            <w:tcBorders>
              <w:top w:val="single" w:sz="4" w:space="0" w:color="auto"/>
              <w:left w:val="nil"/>
              <w:bottom w:val="nil"/>
              <w:right w:val="nil"/>
            </w:tcBorders>
            <w:shd w:val="clear" w:color="auto" w:fill="auto"/>
            <w:noWrap/>
            <w:hideMark/>
          </w:tcPr>
          <w:p w:rsidR="000D2C23" w:rsidRPr="00944C3B" w:rsidRDefault="000D2C23" w:rsidP="00AB725E">
            <w:pPr>
              <w:spacing w:before="60"/>
              <w:jc w:val="right"/>
            </w:pPr>
            <w:r w:rsidRPr="00944C3B">
              <w:t>20.8</w:t>
            </w:r>
          </w:p>
        </w:tc>
        <w:tc>
          <w:tcPr>
            <w:tcW w:w="863" w:type="dxa"/>
            <w:tcBorders>
              <w:top w:val="single" w:sz="4" w:space="0" w:color="auto"/>
              <w:left w:val="nil"/>
              <w:bottom w:val="nil"/>
              <w:right w:val="nil"/>
            </w:tcBorders>
          </w:tcPr>
          <w:p w:rsidR="000D2C23" w:rsidRPr="00944C3B" w:rsidRDefault="000D2C23" w:rsidP="00AB725E">
            <w:pPr>
              <w:spacing w:before="60"/>
              <w:jc w:val="right"/>
            </w:pPr>
            <w:r w:rsidRPr="00944C3B">
              <w:t>461</w:t>
            </w:r>
          </w:p>
        </w:tc>
        <w:tc>
          <w:tcPr>
            <w:tcW w:w="1068" w:type="dxa"/>
            <w:tcBorders>
              <w:top w:val="single" w:sz="4" w:space="0" w:color="auto"/>
              <w:left w:val="nil"/>
              <w:bottom w:val="nil"/>
              <w:right w:val="nil"/>
            </w:tcBorders>
          </w:tcPr>
          <w:p w:rsidR="000D2C23" w:rsidRPr="00944C3B" w:rsidRDefault="000D2C23" w:rsidP="00AB725E">
            <w:pPr>
              <w:spacing w:before="60"/>
              <w:jc w:val="right"/>
            </w:pPr>
            <w:r w:rsidRPr="00944C3B">
              <w:t>12.2</w:t>
            </w:r>
          </w:p>
        </w:tc>
        <w:tc>
          <w:tcPr>
            <w:tcW w:w="1826" w:type="dxa"/>
            <w:tcBorders>
              <w:top w:val="single" w:sz="4" w:space="0" w:color="auto"/>
              <w:left w:val="nil"/>
              <w:bottom w:val="nil"/>
              <w:right w:val="nil"/>
            </w:tcBorders>
          </w:tcPr>
          <w:p w:rsidR="000D2C23" w:rsidRPr="00944C3B" w:rsidRDefault="000D2C23" w:rsidP="00AB725E">
            <w:pPr>
              <w:spacing w:before="60"/>
              <w:jc w:val="right"/>
            </w:pPr>
            <w:r w:rsidRPr="00944C3B">
              <w:t>9.9</w:t>
            </w:r>
          </w:p>
        </w:tc>
      </w:tr>
      <w:tr w:rsidR="000D2C23" w:rsidRPr="00C6045A" w:rsidTr="00AB725E">
        <w:trPr>
          <w:trHeight w:val="300"/>
        </w:trPr>
        <w:tc>
          <w:tcPr>
            <w:tcW w:w="3261" w:type="dxa"/>
            <w:tcBorders>
              <w:top w:val="nil"/>
              <w:left w:val="nil"/>
              <w:bottom w:val="nil"/>
              <w:right w:val="nil"/>
            </w:tcBorders>
            <w:shd w:val="clear" w:color="auto" w:fill="auto"/>
            <w:noWrap/>
            <w:hideMark/>
          </w:tcPr>
          <w:p w:rsidR="000D2C23" w:rsidRPr="00944C3B" w:rsidRDefault="000D2C23" w:rsidP="00AB725E">
            <w:pPr>
              <w:spacing w:before="60"/>
            </w:pPr>
            <w:r w:rsidRPr="00944C3B">
              <w:t>Horticulture and Viticulture (0503)</w:t>
            </w:r>
          </w:p>
        </w:tc>
        <w:tc>
          <w:tcPr>
            <w:tcW w:w="863" w:type="dxa"/>
            <w:tcBorders>
              <w:top w:val="nil"/>
              <w:left w:val="nil"/>
              <w:bottom w:val="nil"/>
              <w:right w:val="nil"/>
            </w:tcBorders>
            <w:shd w:val="clear" w:color="auto" w:fill="auto"/>
            <w:noWrap/>
            <w:hideMark/>
          </w:tcPr>
          <w:p w:rsidR="000D2C23" w:rsidRPr="00944C3B" w:rsidRDefault="000D2C23" w:rsidP="00AB725E">
            <w:pPr>
              <w:spacing w:before="60"/>
              <w:jc w:val="right"/>
            </w:pPr>
            <w:r w:rsidRPr="00944C3B">
              <w:t>17</w:t>
            </w:r>
          </w:p>
        </w:tc>
        <w:tc>
          <w:tcPr>
            <w:tcW w:w="980" w:type="dxa"/>
            <w:tcBorders>
              <w:top w:val="nil"/>
              <w:left w:val="nil"/>
              <w:bottom w:val="nil"/>
              <w:right w:val="nil"/>
            </w:tcBorders>
            <w:shd w:val="clear" w:color="auto" w:fill="auto"/>
            <w:noWrap/>
            <w:hideMark/>
          </w:tcPr>
          <w:p w:rsidR="000D2C23" w:rsidRPr="00944C3B" w:rsidRDefault="000D2C23" w:rsidP="00AB725E">
            <w:pPr>
              <w:spacing w:before="60"/>
              <w:jc w:val="right"/>
            </w:pPr>
            <w:r w:rsidRPr="00944C3B">
              <w:t>7.6</w:t>
            </w:r>
          </w:p>
        </w:tc>
        <w:tc>
          <w:tcPr>
            <w:tcW w:w="863" w:type="dxa"/>
            <w:tcBorders>
              <w:top w:val="nil"/>
              <w:left w:val="nil"/>
              <w:bottom w:val="nil"/>
              <w:right w:val="nil"/>
            </w:tcBorders>
          </w:tcPr>
          <w:p w:rsidR="000D2C23" w:rsidRPr="00944C3B" w:rsidRDefault="000D2C23" w:rsidP="00AB725E">
            <w:pPr>
              <w:spacing w:before="60"/>
              <w:jc w:val="right"/>
            </w:pPr>
            <w:r w:rsidRPr="00944C3B">
              <w:t>180</w:t>
            </w:r>
          </w:p>
        </w:tc>
        <w:tc>
          <w:tcPr>
            <w:tcW w:w="1068" w:type="dxa"/>
            <w:tcBorders>
              <w:top w:val="nil"/>
              <w:left w:val="nil"/>
              <w:bottom w:val="nil"/>
              <w:right w:val="nil"/>
            </w:tcBorders>
          </w:tcPr>
          <w:p w:rsidR="000D2C23" w:rsidRPr="00944C3B" w:rsidRDefault="000D2C23" w:rsidP="00AB725E">
            <w:pPr>
              <w:spacing w:before="60"/>
              <w:jc w:val="right"/>
            </w:pPr>
            <w:r w:rsidRPr="00944C3B">
              <w:t>4.8</w:t>
            </w:r>
          </w:p>
        </w:tc>
        <w:tc>
          <w:tcPr>
            <w:tcW w:w="1826" w:type="dxa"/>
            <w:tcBorders>
              <w:top w:val="nil"/>
              <w:left w:val="nil"/>
              <w:bottom w:val="nil"/>
              <w:right w:val="nil"/>
            </w:tcBorders>
          </w:tcPr>
          <w:p w:rsidR="000D2C23" w:rsidRPr="00944C3B" w:rsidRDefault="000D2C23" w:rsidP="00AB725E">
            <w:pPr>
              <w:spacing w:before="60"/>
              <w:jc w:val="right"/>
            </w:pPr>
            <w:r w:rsidRPr="00944C3B">
              <w:t>9.2</w:t>
            </w:r>
          </w:p>
        </w:tc>
      </w:tr>
      <w:tr w:rsidR="000D2C23" w:rsidRPr="00C6045A" w:rsidTr="00AB725E">
        <w:trPr>
          <w:trHeight w:val="300"/>
        </w:trPr>
        <w:tc>
          <w:tcPr>
            <w:tcW w:w="3261" w:type="dxa"/>
            <w:tcBorders>
              <w:top w:val="nil"/>
              <w:left w:val="nil"/>
              <w:bottom w:val="nil"/>
              <w:right w:val="nil"/>
            </w:tcBorders>
            <w:shd w:val="clear" w:color="auto" w:fill="auto"/>
            <w:noWrap/>
            <w:hideMark/>
          </w:tcPr>
          <w:p w:rsidR="000D2C23" w:rsidRPr="00944C3B" w:rsidRDefault="000D2C23" w:rsidP="00AB725E">
            <w:pPr>
              <w:spacing w:before="60"/>
            </w:pPr>
            <w:r w:rsidRPr="00944C3B">
              <w:t>Forestry Studies (0505)</w:t>
            </w:r>
          </w:p>
        </w:tc>
        <w:tc>
          <w:tcPr>
            <w:tcW w:w="863" w:type="dxa"/>
            <w:tcBorders>
              <w:top w:val="nil"/>
              <w:left w:val="nil"/>
              <w:bottom w:val="nil"/>
              <w:right w:val="nil"/>
            </w:tcBorders>
            <w:shd w:val="clear" w:color="auto" w:fill="auto"/>
            <w:noWrap/>
            <w:hideMark/>
          </w:tcPr>
          <w:p w:rsidR="000D2C23" w:rsidRPr="00944C3B" w:rsidRDefault="000D2C23" w:rsidP="00AB725E">
            <w:pPr>
              <w:spacing w:before="60"/>
              <w:jc w:val="right"/>
            </w:pPr>
            <w:r w:rsidRPr="00944C3B">
              <w:t>&lt;10</w:t>
            </w:r>
          </w:p>
        </w:tc>
        <w:tc>
          <w:tcPr>
            <w:tcW w:w="980" w:type="dxa"/>
            <w:tcBorders>
              <w:top w:val="nil"/>
              <w:left w:val="nil"/>
              <w:bottom w:val="nil"/>
              <w:right w:val="nil"/>
            </w:tcBorders>
            <w:shd w:val="clear" w:color="auto" w:fill="auto"/>
            <w:noWrap/>
            <w:hideMark/>
          </w:tcPr>
          <w:p w:rsidR="000D2C23" w:rsidRPr="00944C3B" w:rsidRDefault="000D2C23" w:rsidP="00AB725E">
            <w:pPr>
              <w:spacing w:before="60"/>
              <w:jc w:val="right"/>
            </w:pPr>
          </w:p>
        </w:tc>
        <w:tc>
          <w:tcPr>
            <w:tcW w:w="863" w:type="dxa"/>
            <w:tcBorders>
              <w:top w:val="nil"/>
              <w:left w:val="nil"/>
              <w:bottom w:val="nil"/>
              <w:right w:val="nil"/>
            </w:tcBorders>
          </w:tcPr>
          <w:p w:rsidR="000D2C23" w:rsidRPr="00944C3B" w:rsidRDefault="000D2C23" w:rsidP="00AB725E">
            <w:pPr>
              <w:spacing w:before="60"/>
              <w:jc w:val="right"/>
            </w:pPr>
            <w:r w:rsidRPr="00944C3B">
              <w:t>46</w:t>
            </w:r>
          </w:p>
        </w:tc>
        <w:tc>
          <w:tcPr>
            <w:tcW w:w="1068" w:type="dxa"/>
            <w:tcBorders>
              <w:top w:val="nil"/>
              <w:left w:val="nil"/>
              <w:bottom w:val="nil"/>
              <w:right w:val="nil"/>
            </w:tcBorders>
          </w:tcPr>
          <w:p w:rsidR="000D2C23" w:rsidRPr="00944C3B" w:rsidRDefault="000D2C23" w:rsidP="00AB725E">
            <w:pPr>
              <w:spacing w:before="60"/>
              <w:jc w:val="right"/>
            </w:pPr>
            <w:r w:rsidRPr="00944C3B">
              <w:t>1.2</w:t>
            </w:r>
          </w:p>
        </w:tc>
        <w:tc>
          <w:tcPr>
            <w:tcW w:w="1826" w:type="dxa"/>
            <w:tcBorders>
              <w:top w:val="nil"/>
              <w:left w:val="nil"/>
              <w:bottom w:val="nil"/>
              <w:right w:val="nil"/>
            </w:tcBorders>
          </w:tcPr>
          <w:p w:rsidR="000D2C23" w:rsidRPr="00944C3B" w:rsidRDefault="000D2C23" w:rsidP="00AB725E">
            <w:pPr>
              <w:spacing w:before="60"/>
              <w:jc w:val="right"/>
            </w:pPr>
            <w:r w:rsidRPr="00944C3B">
              <w:t>n.a</w:t>
            </w:r>
          </w:p>
        </w:tc>
      </w:tr>
      <w:tr w:rsidR="000D2C23" w:rsidRPr="00C6045A" w:rsidTr="00AB725E">
        <w:trPr>
          <w:trHeight w:val="300"/>
        </w:trPr>
        <w:tc>
          <w:tcPr>
            <w:tcW w:w="3261" w:type="dxa"/>
            <w:tcBorders>
              <w:top w:val="nil"/>
              <w:left w:val="nil"/>
              <w:bottom w:val="nil"/>
              <w:right w:val="nil"/>
            </w:tcBorders>
            <w:shd w:val="clear" w:color="auto" w:fill="auto"/>
            <w:noWrap/>
            <w:hideMark/>
          </w:tcPr>
          <w:p w:rsidR="000D2C23" w:rsidRPr="00944C3B" w:rsidRDefault="000D2C23" w:rsidP="00AB725E">
            <w:pPr>
              <w:spacing w:before="60"/>
            </w:pPr>
            <w:r w:rsidRPr="00944C3B">
              <w:t>Fisheries Studies (0507)</w:t>
            </w:r>
          </w:p>
        </w:tc>
        <w:tc>
          <w:tcPr>
            <w:tcW w:w="863" w:type="dxa"/>
            <w:tcBorders>
              <w:top w:val="nil"/>
              <w:left w:val="nil"/>
              <w:bottom w:val="nil"/>
              <w:right w:val="nil"/>
            </w:tcBorders>
            <w:shd w:val="clear" w:color="auto" w:fill="auto"/>
            <w:noWrap/>
            <w:hideMark/>
          </w:tcPr>
          <w:p w:rsidR="000D2C23" w:rsidRPr="00944C3B" w:rsidRDefault="000D2C23" w:rsidP="00AB725E">
            <w:pPr>
              <w:spacing w:before="60"/>
              <w:jc w:val="right"/>
            </w:pPr>
            <w:r w:rsidRPr="00944C3B">
              <w:t>&lt;10</w:t>
            </w:r>
          </w:p>
        </w:tc>
        <w:tc>
          <w:tcPr>
            <w:tcW w:w="980" w:type="dxa"/>
            <w:tcBorders>
              <w:top w:val="nil"/>
              <w:left w:val="nil"/>
              <w:bottom w:val="nil"/>
              <w:right w:val="nil"/>
            </w:tcBorders>
            <w:shd w:val="clear" w:color="auto" w:fill="auto"/>
            <w:noWrap/>
            <w:hideMark/>
          </w:tcPr>
          <w:p w:rsidR="000D2C23" w:rsidRPr="00944C3B" w:rsidRDefault="000D2C23" w:rsidP="00AB725E">
            <w:pPr>
              <w:spacing w:before="60"/>
              <w:jc w:val="right"/>
            </w:pPr>
          </w:p>
        </w:tc>
        <w:tc>
          <w:tcPr>
            <w:tcW w:w="863" w:type="dxa"/>
            <w:tcBorders>
              <w:top w:val="nil"/>
              <w:left w:val="nil"/>
              <w:bottom w:val="nil"/>
              <w:right w:val="nil"/>
            </w:tcBorders>
          </w:tcPr>
          <w:p w:rsidR="000D2C23" w:rsidRPr="00944C3B" w:rsidRDefault="000D2C23" w:rsidP="00AB725E">
            <w:pPr>
              <w:spacing w:before="60"/>
              <w:jc w:val="right"/>
            </w:pPr>
            <w:r w:rsidRPr="00944C3B">
              <w:t>32</w:t>
            </w:r>
          </w:p>
        </w:tc>
        <w:tc>
          <w:tcPr>
            <w:tcW w:w="1068" w:type="dxa"/>
            <w:tcBorders>
              <w:top w:val="nil"/>
              <w:left w:val="nil"/>
              <w:bottom w:val="nil"/>
              <w:right w:val="nil"/>
            </w:tcBorders>
          </w:tcPr>
          <w:p w:rsidR="000D2C23" w:rsidRPr="00944C3B" w:rsidRDefault="000D2C23" w:rsidP="00AB725E">
            <w:pPr>
              <w:spacing w:before="60"/>
              <w:jc w:val="right"/>
            </w:pPr>
            <w:r w:rsidRPr="00944C3B">
              <w:t>0.9</w:t>
            </w:r>
          </w:p>
        </w:tc>
        <w:tc>
          <w:tcPr>
            <w:tcW w:w="1826" w:type="dxa"/>
            <w:tcBorders>
              <w:top w:val="nil"/>
              <w:left w:val="nil"/>
              <w:bottom w:val="nil"/>
              <w:right w:val="nil"/>
            </w:tcBorders>
          </w:tcPr>
          <w:p w:rsidR="000D2C23" w:rsidRPr="00944C3B" w:rsidRDefault="000D2C23" w:rsidP="00AB725E">
            <w:pPr>
              <w:spacing w:before="60"/>
              <w:jc w:val="right"/>
            </w:pPr>
            <w:r w:rsidRPr="00944C3B">
              <w:t>n.a</w:t>
            </w:r>
          </w:p>
        </w:tc>
      </w:tr>
      <w:tr w:rsidR="000D2C23" w:rsidRPr="00C6045A" w:rsidTr="00AB725E">
        <w:trPr>
          <w:trHeight w:val="300"/>
        </w:trPr>
        <w:tc>
          <w:tcPr>
            <w:tcW w:w="3261" w:type="dxa"/>
            <w:tcBorders>
              <w:top w:val="nil"/>
              <w:left w:val="nil"/>
              <w:bottom w:val="nil"/>
              <w:right w:val="nil"/>
            </w:tcBorders>
            <w:shd w:val="clear" w:color="auto" w:fill="auto"/>
            <w:noWrap/>
            <w:hideMark/>
          </w:tcPr>
          <w:p w:rsidR="000D2C23" w:rsidRPr="00944C3B" w:rsidRDefault="000D2C23" w:rsidP="00AB725E">
            <w:pPr>
              <w:spacing w:before="60"/>
            </w:pPr>
            <w:r w:rsidRPr="00944C3B">
              <w:t>Environmental Studies (0509)</w:t>
            </w:r>
          </w:p>
        </w:tc>
        <w:tc>
          <w:tcPr>
            <w:tcW w:w="863" w:type="dxa"/>
            <w:tcBorders>
              <w:top w:val="nil"/>
              <w:left w:val="nil"/>
              <w:bottom w:val="nil"/>
              <w:right w:val="nil"/>
            </w:tcBorders>
            <w:shd w:val="clear" w:color="auto" w:fill="auto"/>
            <w:noWrap/>
            <w:hideMark/>
          </w:tcPr>
          <w:p w:rsidR="000D2C23" w:rsidRPr="00944C3B" w:rsidRDefault="000D2C23" w:rsidP="00AB725E">
            <w:pPr>
              <w:spacing w:before="60"/>
              <w:jc w:val="right"/>
            </w:pPr>
            <w:r w:rsidRPr="00944C3B">
              <w:t>144</w:t>
            </w:r>
          </w:p>
        </w:tc>
        <w:tc>
          <w:tcPr>
            <w:tcW w:w="980" w:type="dxa"/>
            <w:tcBorders>
              <w:top w:val="nil"/>
              <w:left w:val="nil"/>
              <w:bottom w:val="nil"/>
              <w:right w:val="nil"/>
            </w:tcBorders>
            <w:shd w:val="clear" w:color="auto" w:fill="auto"/>
            <w:noWrap/>
            <w:hideMark/>
          </w:tcPr>
          <w:p w:rsidR="000D2C23" w:rsidRPr="00944C3B" w:rsidRDefault="000D2C23" w:rsidP="00AB725E">
            <w:pPr>
              <w:spacing w:before="60"/>
              <w:jc w:val="right"/>
            </w:pPr>
            <w:r w:rsidRPr="00944C3B">
              <w:t>66.1</w:t>
            </w:r>
          </w:p>
        </w:tc>
        <w:tc>
          <w:tcPr>
            <w:tcW w:w="863" w:type="dxa"/>
            <w:tcBorders>
              <w:top w:val="nil"/>
              <w:left w:val="nil"/>
              <w:bottom w:val="nil"/>
              <w:right w:val="nil"/>
            </w:tcBorders>
          </w:tcPr>
          <w:p w:rsidR="000D2C23" w:rsidRPr="00944C3B" w:rsidRDefault="000D2C23" w:rsidP="00AB725E">
            <w:pPr>
              <w:spacing w:before="60"/>
              <w:jc w:val="right"/>
            </w:pPr>
            <w:r w:rsidRPr="00944C3B">
              <w:t>2</w:t>
            </w:r>
            <w:r>
              <w:t xml:space="preserve"> </w:t>
            </w:r>
            <w:r w:rsidRPr="00944C3B">
              <w:t>451</w:t>
            </w:r>
          </w:p>
        </w:tc>
        <w:tc>
          <w:tcPr>
            <w:tcW w:w="1068" w:type="dxa"/>
            <w:tcBorders>
              <w:top w:val="nil"/>
              <w:left w:val="nil"/>
              <w:bottom w:val="nil"/>
              <w:right w:val="nil"/>
            </w:tcBorders>
          </w:tcPr>
          <w:p w:rsidR="000D2C23" w:rsidRPr="00944C3B" w:rsidRDefault="000D2C23" w:rsidP="00AB725E">
            <w:pPr>
              <w:spacing w:before="60"/>
              <w:jc w:val="right"/>
            </w:pPr>
            <w:r w:rsidRPr="00944C3B">
              <w:t>64.8</w:t>
            </w:r>
          </w:p>
        </w:tc>
        <w:tc>
          <w:tcPr>
            <w:tcW w:w="1826" w:type="dxa"/>
            <w:tcBorders>
              <w:top w:val="nil"/>
              <w:left w:val="nil"/>
              <w:bottom w:val="nil"/>
              <w:right w:val="nil"/>
            </w:tcBorders>
          </w:tcPr>
          <w:p w:rsidR="000D2C23" w:rsidRPr="00944C3B" w:rsidRDefault="000D2C23" w:rsidP="00AB725E">
            <w:pPr>
              <w:spacing w:before="60"/>
              <w:jc w:val="right"/>
            </w:pPr>
            <w:r w:rsidRPr="00944C3B">
              <w:t>5.9</w:t>
            </w:r>
          </w:p>
        </w:tc>
      </w:tr>
      <w:tr w:rsidR="000D2C23" w:rsidRPr="00C6045A" w:rsidTr="00AB725E">
        <w:trPr>
          <w:trHeight w:val="300"/>
        </w:trPr>
        <w:tc>
          <w:tcPr>
            <w:tcW w:w="3261" w:type="dxa"/>
            <w:tcBorders>
              <w:top w:val="nil"/>
              <w:left w:val="nil"/>
              <w:right w:val="nil"/>
            </w:tcBorders>
            <w:shd w:val="clear" w:color="auto" w:fill="auto"/>
            <w:noWrap/>
            <w:hideMark/>
          </w:tcPr>
          <w:p w:rsidR="000D2C23" w:rsidRPr="00944C3B" w:rsidRDefault="000D2C23" w:rsidP="00AB725E">
            <w:pPr>
              <w:spacing w:before="60"/>
            </w:pPr>
            <w:r w:rsidRPr="00944C3B">
              <w:t>Other Agriculture, Environmental and Related Studies (0599)</w:t>
            </w:r>
          </w:p>
        </w:tc>
        <w:tc>
          <w:tcPr>
            <w:tcW w:w="863" w:type="dxa"/>
            <w:tcBorders>
              <w:top w:val="nil"/>
              <w:left w:val="nil"/>
              <w:right w:val="nil"/>
            </w:tcBorders>
            <w:shd w:val="clear" w:color="auto" w:fill="auto"/>
            <w:noWrap/>
            <w:hideMark/>
          </w:tcPr>
          <w:p w:rsidR="000D2C23" w:rsidRPr="00944C3B" w:rsidRDefault="000D2C23" w:rsidP="00AB725E">
            <w:pPr>
              <w:spacing w:before="60"/>
              <w:jc w:val="right"/>
            </w:pPr>
            <w:r w:rsidRPr="00944C3B">
              <w:t>13</w:t>
            </w:r>
          </w:p>
        </w:tc>
        <w:tc>
          <w:tcPr>
            <w:tcW w:w="980" w:type="dxa"/>
            <w:tcBorders>
              <w:top w:val="nil"/>
              <w:left w:val="nil"/>
              <w:right w:val="nil"/>
            </w:tcBorders>
            <w:shd w:val="clear" w:color="auto" w:fill="auto"/>
            <w:noWrap/>
            <w:hideMark/>
          </w:tcPr>
          <w:p w:rsidR="000D2C23" w:rsidRPr="00944C3B" w:rsidRDefault="000D2C23" w:rsidP="00AB725E">
            <w:pPr>
              <w:spacing w:before="60"/>
              <w:jc w:val="right"/>
            </w:pPr>
            <w:r w:rsidRPr="00944C3B">
              <w:t>5.9</w:t>
            </w:r>
          </w:p>
        </w:tc>
        <w:tc>
          <w:tcPr>
            <w:tcW w:w="863" w:type="dxa"/>
            <w:tcBorders>
              <w:top w:val="nil"/>
              <w:left w:val="nil"/>
              <w:right w:val="nil"/>
            </w:tcBorders>
          </w:tcPr>
          <w:p w:rsidR="000D2C23" w:rsidRPr="00944C3B" w:rsidRDefault="000D2C23" w:rsidP="00AB725E">
            <w:pPr>
              <w:spacing w:before="60"/>
              <w:jc w:val="right"/>
            </w:pPr>
            <w:r w:rsidRPr="00944C3B">
              <w:t>615</w:t>
            </w:r>
          </w:p>
        </w:tc>
        <w:tc>
          <w:tcPr>
            <w:tcW w:w="1068" w:type="dxa"/>
            <w:tcBorders>
              <w:top w:val="nil"/>
              <w:left w:val="nil"/>
              <w:right w:val="nil"/>
            </w:tcBorders>
          </w:tcPr>
          <w:p w:rsidR="000D2C23" w:rsidRPr="00944C3B" w:rsidRDefault="000D2C23" w:rsidP="00AB725E">
            <w:pPr>
              <w:spacing w:before="60"/>
              <w:jc w:val="right"/>
            </w:pPr>
            <w:r w:rsidRPr="00944C3B">
              <w:t>16.3</w:t>
            </w:r>
          </w:p>
        </w:tc>
        <w:tc>
          <w:tcPr>
            <w:tcW w:w="1826" w:type="dxa"/>
            <w:tcBorders>
              <w:top w:val="nil"/>
              <w:left w:val="nil"/>
              <w:right w:val="nil"/>
            </w:tcBorders>
          </w:tcPr>
          <w:p w:rsidR="000D2C23" w:rsidRPr="00944C3B" w:rsidRDefault="000D2C23" w:rsidP="00AB725E">
            <w:pPr>
              <w:spacing w:before="60"/>
              <w:jc w:val="right"/>
            </w:pPr>
            <w:r w:rsidRPr="00944C3B">
              <w:t>2.1</w:t>
            </w:r>
          </w:p>
        </w:tc>
      </w:tr>
      <w:tr w:rsidR="000D2C23" w:rsidRPr="003A0D16" w:rsidTr="00AB725E">
        <w:trPr>
          <w:trHeight w:val="300"/>
        </w:trPr>
        <w:tc>
          <w:tcPr>
            <w:tcW w:w="3261" w:type="dxa"/>
            <w:tcBorders>
              <w:top w:val="nil"/>
              <w:left w:val="nil"/>
              <w:bottom w:val="single" w:sz="4" w:space="0" w:color="auto"/>
              <w:right w:val="nil"/>
            </w:tcBorders>
            <w:shd w:val="clear" w:color="auto" w:fill="auto"/>
            <w:noWrap/>
            <w:hideMark/>
          </w:tcPr>
          <w:p w:rsidR="000D2C23" w:rsidRPr="003A0D16" w:rsidRDefault="000D2C23" w:rsidP="00AB725E">
            <w:pPr>
              <w:spacing w:before="60"/>
              <w:rPr>
                <w:b/>
              </w:rPr>
            </w:pPr>
            <w:r w:rsidRPr="003A0D16">
              <w:rPr>
                <w:b/>
              </w:rPr>
              <w:t xml:space="preserve">Total </w:t>
            </w:r>
          </w:p>
        </w:tc>
        <w:tc>
          <w:tcPr>
            <w:tcW w:w="863" w:type="dxa"/>
            <w:tcBorders>
              <w:top w:val="nil"/>
              <w:left w:val="nil"/>
              <w:bottom w:val="single" w:sz="4" w:space="0" w:color="auto"/>
              <w:right w:val="nil"/>
            </w:tcBorders>
            <w:shd w:val="clear" w:color="auto" w:fill="auto"/>
            <w:noWrap/>
            <w:hideMark/>
          </w:tcPr>
          <w:p w:rsidR="000D2C23" w:rsidRPr="003A0D16" w:rsidRDefault="000D2C23" w:rsidP="00AB725E">
            <w:pPr>
              <w:spacing w:before="60"/>
              <w:jc w:val="right"/>
              <w:rPr>
                <w:b/>
              </w:rPr>
            </w:pPr>
            <w:r w:rsidRPr="003A0D16">
              <w:rPr>
                <w:b/>
              </w:rPr>
              <w:t>218</w:t>
            </w:r>
          </w:p>
        </w:tc>
        <w:tc>
          <w:tcPr>
            <w:tcW w:w="980" w:type="dxa"/>
            <w:tcBorders>
              <w:top w:val="nil"/>
              <w:left w:val="nil"/>
              <w:bottom w:val="single" w:sz="4" w:space="0" w:color="auto"/>
              <w:right w:val="nil"/>
            </w:tcBorders>
            <w:shd w:val="clear" w:color="auto" w:fill="auto"/>
            <w:noWrap/>
            <w:hideMark/>
          </w:tcPr>
          <w:p w:rsidR="000D2C23" w:rsidRPr="003A0D16" w:rsidRDefault="000D2C23" w:rsidP="00AB725E">
            <w:pPr>
              <w:spacing w:before="60"/>
              <w:jc w:val="right"/>
              <w:rPr>
                <w:b/>
              </w:rPr>
            </w:pPr>
            <w:r w:rsidRPr="003A0D16">
              <w:rPr>
                <w:b/>
              </w:rPr>
              <w:t>100.0</w:t>
            </w:r>
          </w:p>
        </w:tc>
        <w:tc>
          <w:tcPr>
            <w:tcW w:w="863" w:type="dxa"/>
            <w:tcBorders>
              <w:top w:val="nil"/>
              <w:left w:val="nil"/>
              <w:bottom w:val="single" w:sz="4" w:space="0" w:color="auto"/>
              <w:right w:val="nil"/>
            </w:tcBorders>
          </w:tcPr>
          <w:p w:rsidR="000D2C23" w:rsidRPr="003A0D16" w:rsidRDefault="000D2C23" w:rsidP="00AB725E">
            <w:pPr>
              <w:spacing w:before="60"/>
              <w:jc w:val="right"/>
              <w:rPr>
                <w:b/>
              </w:rPr>
            </w:pPr>
            <w:r w:rsidRPr="003A0D16">
              <w:rPr>
                <w:b/>
              </w:rPr>
              <w:t>3781</w:t>
            </w:r>
          </w:p>
        </w:tc>
        <w:tc>
          <w:tcPr>
            <w:tcW w:w="1068" w:type="dxa"/>
            <w:tcBorders>
              <w:top w:val="nil"/>
              <w:left w:val="nil"/>
              <w:bottom w:val="single" w:sz="4" w:space="0" w:color="auto"/>
              <w:right w:val="nil"/>
            </w:tcBorders>
          </w:tcPr>
          <w:p w:rsidR="000D2C23" w:rsidRPr="003A0D16" w:rsidRDefault="000D2C23" w:rsidP="00AB725E">
            <w:pPr>
              <w:spacing w:before="60"/>
              <w:jc w:val="right"/>
              <w:rPr>
                <w:b/>
              </w:rPr>
            </w:pPr>
            <w:r w:rsidRPr="003A0D16">
              <w:rPr>
                <w:b/>
              </w:rPr>
              <w:t>100.0</w:t>
            </w:r>
          </w:p>
        </w:tc>
        <w:tc>
          <w:tcPr>
            <w:tcW w:w="1826" w:type="dxa"/>
            <w:tcBorders>
              <w:top w:val="nil"/>
              <w:left w:val="nil"/>
              <w:bottom w:val="single" w:sz="4" w:space="0" w:color="auto"/>
              <w:right w:val="nil"/>
            </w:tcBorders>
          </w:tcPr>
          <w:p w:rsidR="000D2C23" w:rsidRPr="003A0D16" w:rsidRDefault="000D2C23" w:rsidP="00AB725E">
            <w:pPr>
              <w:spacing w:before="60"/>
              <w:jc w:val="right"/>
              <w:rPr>
                <w:b/>
              </w:rPr>
            </w:pPr>
            <w:r w:rsidRPr="003A0D16">
              <w:rPr>
                <w:b/>
              </w:rPr>
              <w:t>5.8</w:t>
            </w:r>
          </w:p>
        </w:tc>
      </w:tr>
    </w:tbl>
    <w:p w:rsidR="000D2C23" w:rsidRDefault="000D2C23" w:rsidP="000D2C23">
      <w:pPr>
        <w:pStyle w:val="Source"/>
      </w:pPr>
      <w:r>
        <w:t>Source: DEEWR (2010) Higher Education Statistics Collection. Unpublished data</w:t>
      </w:r>
    </w:p>
    <w:p w:rsidR="000D2C23" w:rsidRDefault="000D2C23" w:rsidP="000D2C23">
      <w:pPr>
        <w:pStyle w:val="Source"/>
      </w:pPr>
      <w:r>
        <w:t>Notes: Due to the coding of some students in combined programs to two fields of education, the totals can be higher than the total number of students and the size of the difference varies between fields of education.  The sub-field of “Office Studies” is excluded and reported as “Other Management and Commerce”</w:t>
      </w:r>
    </w:p>
    <w:p w:rsidR="000D2C23" w:rsidRDefault="000D2C23" w:rsidP="000D2C23">
      <w:pPr>
        <w:pStyle w:val="Source"/>
      </w:pPr>
      <w:r>
        <w:t xml:space="preserve">.  </w:t>
      </w:r>
    </w:p>
    <w:p w:rsidR="000D2C23" w:rsidRDefault="000D2C23" w:rsidP="000D2C23">
      <w:pPr>
        <w:pStyle w:val="Text"/>
      </w:pPr>
      <w:r w:rsidRPr="003D726A">
        <w:t xml:space="preserve">As shown in </w:t>
      </w:r>
      <w:r w:rsidR="00B45EBA">
        <w:t xml:space="preserve">Table </w:t>
      </w:r>
      <w:r w:rsidR="00D718A6">
        <w:t>25</w:t>
      </w:r>
      <w:r w:rsidRPr="003D726A">
        <w:t>,</w:t>
      </w:r>
      <w:r>
        <w:t xml:space="preserve"> almost two-thirds of all commencing students in </w:t>
      </w:r>
      <w:r w:rsidRPr="00E24DB7">
        <w:t xml:space="preserve">Agriculture, Environment and Related Studies </w:t>
      </w:r>
      <w:r>
        <w:t>are in the sub-field of Environmental Studies, where 5.9 per cent of students are admitted on the basis of a VET award. The next largest sub-field (apart from “Other”) is Agriculture, where  VET award-holders represent 9.9 per cent of commencing students.</w:t>
      </w:r>
    </w:p>
    <w:p w:rsidR="000D2C23" w:rsidRDefault="000D2C23" w:rsidP="000D2C23">
      <w:pPr>
        <w:pStyle w:val="Heading3"/>
      </w:pPr>
      <w:r>
        <w:t>Variation between institutions</w:t>
      </w:r>
    </w:p>
    <w:p w:rsidR="000D2C23" w:rsidRDefault="000D2C23" w:rsidP="000D2C23">
      <w:pPr>
        <w:pStyle w:val="Text"/>
      </w:pPr>
      <w:r>
        <w:t xml:space="preserve">Twenty-two universities report undergraduate admissions in the field of </w:t>
      </w:r>
      <w:r w:rsidRPr="00A77055">
        <w:t>Agriculture, Environment and Related Studies</w:t>
      </w:r>
      <w:r>
        <w:t xml:space="preserve">, as shown in </w:t>
      </w:r>
      <w:r w:rsidR="00B45EBA">
        <w:t xml:space="preserve">Figure </w:t>
      </w:r>
      <w:r w:rsidR="00F25F02">
        <w:t>7</w:t>
      </w:r>
      <w:r>
        <w:t xml:space="preserve">. While the University of Melbourne accounts for 21 per cent of total enrolments in this field, Charles Sturt University accounts for 26 per cent of students admitted on the basis of a VET award. These patterns are illustrated in </w:t>
      </w:r>
      <w:r w:rsidR="00B45EBA">
        <w:t xml:space="preserve">Figure </w:t>
      </w:r>
      <w:r w:rsidR="00F25F02">
        <w:t>7</w:t>
      </w:r>
      <w:r>
        <w:t>.</w:t>
      </w:r>
    </w:p>
    <w:p w:rsidR="00B45EBA" w:rsidRDefault="00B45EBA" w:rsidP="000D2C23">
      <w:pPr>
        <w:pStyle w:val="Text"/>
      </w:pPr>
    </w:p>
    <w:p w:rsidR="00B45EBA" w:rsidRDefault="00B45EBA" w:rsidP="000D2C23">
      <w:pPr>
        <w:pStyle w:val="Text"/>
      </w:pPr>
    </w:p>
    <w:p w:rsidR="000D2C23" w:rsidRDefault="00B45EBA" w:rsidP="000D2C23">
      <w:pPr>
        <w:pStyle w:val="Figuretitle"/>
      </w:pPr>
      <w:bookmarkStart w:id="129" w:name="_Toc328329754"/>
      <w:bookmarkStart w:id="130" w:name="_Toc370995942"/>
      <w:r>
        <w:lastRenderedPageBreak/>
        <w:t xml:space="preserve">Figure </w:t>
      </w:r>
      <w:r w:rsidR="003E15EB">
        <w:t>7</w:t>
      </w:r>
      <w:r w:rsidR="000D2C23">
        <w:tab/>
        <w:t xml:space="preserve">Number of students commencing undergraduate studies in </w:t>
      </w:r>
      <w:r w:rsidR="000D2C23" w:rsidRPr="00E23C17">
        <w:t xml:space="preserve">Agriculture, Environmental and </w:t>
      </w:r>
      <w:r w:rsidR="000D2C23">
        <w:t>R</w:t>
      </w:r>
      <w:r w:rsidR="000D2C23" w:rsidRPr="00E23C17">
        <w:t xml:space="preserve">elated Studies </w:t>
      </w:r>
      <w:r w:rsidR="000D2C23">
        <w:t>by basis of admission by university, Australia 2010</w:t>
      </w:r>
      <w:bookmarkEnd w:id="129"/>
      <w:bookmarkEnd w:id="130"/>
    </w:p>
    <w:p w:rsidR="000D2C23" w:rsidRPr="00676C10" w:rsidRDefault="000D2C23" w:rsidP="000D2C23">
      <w:pPr>
        <w:pStyle w:val="Figuretitle"/>
      </w:pPr>
      <w:r w:rsidRPr="00A62983">
        <w:rPr>
          <w:noProof/>
          <w:lang w:eastAsia="en-AU"/>
        </w:rPr>
        <w:drawing>
          <wp:inline distT="0" distB="0" distL="0" distR="0">
            <wp:extent cx="5334000" cy="51435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334000" cy="5143500"/>
                    </a:xfrm>
                    <a:prstGeom prst="rect">
                      <a:avLst/>
                    </a:prstGeom>
                    <a:noFill/>
                    <a:ln w="9525">
                      <a:noFill/>
                      <a:miter lim="800000"/>
                      <a:headEnd/>
                      <a:tailEnd/>
                    </a:ln>
                  </pic:spPr>
                </pic:pic>
              </a:graphicData>
            </a:graphic>
          </wp:inline>
        </w:drawing>
      </w:r>
    </w:p>
    <w:p w:rsidR="000D2C23" w:rsidRDefault="000D2C23" w:rsidP="000D2C23">
      <w:pPr>
        <w:pStyle w:val="Source"/>
      </w:pPr>
      <w:r>
        <w:t>Source: DEEWR (2010) Higher Education Statistics Collection. Unpublished data</w:t>
      </w:r>
    </w:p>
    <w:p w:rsidR="000D2C23" w:rsidRDefault="000D2C23" w:rsidP="000D2C23">
      <w:pPr>
        <w:pStyle w:val="Source"/>
      </w:pPr>
      <w:r>
        <w:t>Notes</w:t>
      </w:r>
      <w:r w:rsidRPr="00EE0FA8">
        <w:t xml:space="preserve"> </w:t>
      </w:r>
      <w:r>
        <w:t xml:space="preserve">Due to the coding of some students in combined programs to two fields of education, the totals can be higher than the total number of students and the size of the difference varies between fields of education.  </w:t>
      </w:r>
    </w:p>
    <w:p w:rsidR="000D2C23" w:rsidRDefault="000D2C23" w:rsidP="000D2C23">
      <w:pPr>
        <w:pStyle w:val="Source"/>
      </w:pPr>
      <w:r>
        <w:t xml:space="preserve"> </w:t>
      </w:r>
    </w:p>
    <w:p w:rsidR="000D2C23" w:rsidRDefault="000D2C23" w:rsidP="000D2C23">
      <w:pPr>
        <w:pStyle w:val="Text"/>
      </w:pPr>
      <w:r>
        <w:t>Fourteen universities account for over 80 per cent of enrolments in this field. Although the largest provider, the University of Melbourne, only admits two per cent of students on the basis of a VET award, other large providers, such as Charles Sturt University and Southern Cross University admit VET award holders at rates of 11 – 17 per cent.</w:t>
      </w:r>
    </w:p>
    <w:p w:rsidR="000D2C23" w:rsidRDefault="000D2C23" w:rsidP="000D2C23">
      <w:pPr>
        <w:pStyle w:val="Heading2"/>
      </w:pPr>
      <w:bookmarkStart w:id="131" w:name="_Toc358384132"/>
      <w:bookmarkStart w:id="132" w:name="_Toc370995895"/>
      <w:r>
        <w:t>Differences between sub-fields</w:t>
      </w:r>
      <w:bookmarkEnd w:id="131"/>
      <w:bookmarkEnd w:id="132"/>
    </w:p>
    <w:p w:rsidR="000D2C23" w:rsidRDefault="000D2C23" w:rsidP="000D2C23">
      <w:pPr>
        <w:pStyle w:val="Text"/>
      </w:pPr>
      <w:r>
        <w:t xml:space="preserve">The sub-fields within the field of Agriculture, Environmental and Related Studies are quite small. Only 13 universities admit VET award-holders in numbers sufficiently high to be reported. </w:t>
      </w:r>
      <w:r w:rsidRPr="00C72CA7">
        <w:t>T</w:t>
      </w:r>
      <w:r>
        <w:t xml:space="preserve">wenty-two </w:t>
      </w:r>
      <w:r w:rsidRPr="00C72CA7">
        <w:t>universities report undergraduate commencements in th</w:t>
      </w:r>
      <w:r>
        <w:t>e field</w:t>
      </w:r>
      <w:r w:rsidRPr="00C72CA7">
        <w:t>, but 1</w:t>
      </w:r>
      <w:r>
        <w:t>4</w:t>
      </w:r>
      <w:r w:rsidRPr="00C72CA7">
        <w:t xml:space="preserve"> institutions account for 8</w:t>
      </w:r>
      <w:r>
        <w:t>3</w:t>
      </w:r>
      <w:r w:rsidRPr="00C72CA7">
        <w:t xml:space="preserve"> per cent of all enrolments and </w:t>
      </w:r>
      <w:r>
        <w:t xml:space="preserve">the distribution of total enrolments between these institutions is illustrated in </w:t>
      </w:r>
      <w:r w:rsidR="00B45EBA">
        <w:t xml:space="preserve">Table </w:t>
      </w:r>
      <w:r w:rsidR="00D718A6">
        <w:t>26</w:t>
      </w:r>
      <w:r>
        <w:t>.</w:t>
      </w:r>
    </w:p>
    <w:p w:rsidR="005F3AC0" w:rsidRDefault="005F3AC0">
      <w:pPr>
        <w:spacing w:before="0" w:line="240" w:lineRule="auto"/>
        <w:rPr>
          <w:rFonts w:ascii="Tahoma" w:hAnsi="Tahoma"/>
          <w:b/>
          <w:sz w:val="17"/>
        </w:rPr>
      </w:pPr>
      <w:bookmarkStart w:id="133" w:name="_Toc350786332"/>
      <w:r>
        <w:br w:type="page"/>
      </w:r>
    </w:p>
    <w:p w:rsidR="000D2C23" w:rsidRDefault="00E97D20" w:rsidP="000D2C23">
      <w:pPr>
        <w:pStyle w:val="tabletitle"/>
      </w:pPr>
      <w:bookmarkStart w:id="134" w:name="_Toc370995935"/>
      <w:r>
        <w:lastRenderedPageBreak/>
        <w:t xml:space="preserve">Table </w:t>
      </w:r>
      <w:r w:rsidR="006A154F">
        <w:t>26</w:t>
      </w:r>
      <w:r w:rsidR="000D2C23">
        <w:tab/>
        <w:t xml:space="preserve">Undergraduate commencements in </w:t>
      </w:r>
      <w:r w:rsidR="000D2C23" w:rsidRPr="005E59A6">
        <w:t>Agriculture, Environmental and Related Studies</w:t>
      </w:r>
      <w:r w:rsidR="000D2C23">
        <w:t>, by sub-field and the largest 15 HE providers Australia 2010</w:t>
      </w:r>
      <w:bookmarkEnd w:id="133"/>
      <w:bookmarkEnd w:id="134"/>
    </w:p>
    <w:tbl>
      <w:tblPr>
        <w:tblW w:w="9072" w:type="dxa"/>
        <w:tblInd w:w="108" w:type="dxa"/>
        <w:tblLayout w:type="fixed"/>
        <w:tblLook w:val="04A0"/>
      </w:tblPr>
      <w:tblGrid>
        <w:gridCol w:w="2977"/>
        <w:gridCol w:w="471"/>
        <w:gridCol w:w="380"/>
        <w:gridCol w:w="708"/>
        <w:gridCol w:w="709"/>
        <w:gridCol w:w="709"/>
        <w:gridCol w:w="709"/>
        <w:gridCol w:w="708"/>
        <w:gridCol w:w="851"/>
        <w:gridCol w:w="850"/>
      </w:tblGrid>
      <w:tr w:rsidR="000D2C23" w:rsidRPr="00CE24D5" w:rsidTr="00AB725E">
        <w:trPr>
          <w:trHeight w:val="300"/>
        </w:trPr>
        <w:tc>
          <w:tcPr>
            <w:tcW w:w="3448" w:type="dxa"/>
            <w:gridSpan w:val="2"/>
            <w:tcBorders>
              <w:top w:val="single" w:sz="4" w:space="0" w:color="auto"/>
              <w:left w:val="nil"/>
              <w:right w:val="nil"/>
            </w:tcBorders>
            <w:shd w:val="clear" w:color="auto" w:fill="auto"/>
            <w:noWrap/>
            <w:vAlign w:val="bottom"/>
            <w:hideMark/>
          </w:tcPr>
          <w:p w:rsidR="000D2C23" w:rsidRPr="00CE24D5" w:rsidRDefault="000D2C23" w:rsidP="00AB725E">
            <w:pPr>
              <w:pStyle w:val="Tablehead1"/>
              <w:rPr>
                <w:bCs/>
                <w:color w:val="000000"/>
                <w:lang w:val="en-US"/>
              </w:rPr>
            </w:pPr>
          </w:p>
        </w:tc>
        <w:tc>
          <w:tcPr>
            <w:tcW w:w="3923" w:type="dxa"/>
            <w:gridSpan w:val="6"/>
            <w:tcBorders>
              <w:top w:val="single" w:sz="4" w:space="0" w:color="auto"/>
              <w:left w:val="nil"/>
              <w:right w:val="nil"/>
            </w:tcBorders>
            <w:shd w:val="clear" w:color="auto" w:fill="auto"/>
            <w:noWrap/>
            <w:vAlign w:val="bottom"/>
            <w:hideMark/>
          </w:tcPr>
          <w:p w:rsidR="00F46AD4" w:rsidRDefault="000D2C23" w:rsidP="00F46AD4">
            <w:pPr>
              <w:pStyle w:val="Tablehead1"/>
              <w:jc w:val="right"/>
              <w:rPr>
                <w:rFonts w:cs="Arial"/>
                <w:bCs/>
                <w:color w:val="000000"/>
                <w:szCs w:val="17"/>
                <w:lang w:val="en-US"/>
              </w:rPr>
            </w:pPr>
            <w:r>
              <w:rPr>
                <w:rFonts w:cs="Arial"/>
                <w:bCs/>
                <w:color w:val="000000"/>
                <w:szCs w:val="17"/>
                <w:lang w:val="en-US"/>
              </w:rPr>
              <w:t>All undergraduate commencements</w:t>
            </w:r>
            <w:r w:rsidR="00F46AD4">
              <w:rPr>
                <w:rFonts w:cs="Arial"/>
                <w:bCs/>
                <w:color w:val="000000"/>
                <w:szCs w:val="17"/>
                <w:lang w:val="en-US"/>
              </w:rPr>
              <w:t xml:space="preserve"> </w:t>
            </w:r>
          </w:p>
          <w:p w:rsidR="000D2C23" w:rsidRPr="00CE24D5" w:rsidRDefault="00F46AD4" w:rsidP="00F46AD4">
            <w:pPr>
              <w:pStyle w:val="Tablehead1"/>
              <w:jc w:val="right"/>
              <w:rPr>
                <w:rFonts w:cs="Arial"/>
                <w:bCs/>
                <w:color w:val="000000"/>
                <w:szCs w:val="17"/>
                <w:lang w:val="en-US"/>
              </w:rPr>
            </w:pPr>
            <w:r>
              <w:rPr>
                <w:rFonts w:cs="Arial"/>
                <w:bCs/>
                <w:color w:val="000000"/>
                <w:szCs w:val="17"/>
                <w:lang w:val="en-US"/>
              </w:rPr>
              <w:t xml:space="preserve">by </w:t>
            </w:r>
            <w:r>
              <w:rPr>
                <w:rFonts w:asciiTheme="majorHAnsi" w:hAnsiTheme="majorHAnsi"/>
                <w:sz w:val="18"/>
                <w:szCs w:val="18"/>
                <w:lang w:val="en-US"/>
              </w:rPr>
              <w:t>Narrow Subfield (4-digit FOE)</w:t>
            </w:r>
            <w:r>
              <w:rPr>
                <w:rFonts w:cs="Arial"/>
                <w:bCs/>
                <w:color w:val="000000"/>
                <w:szCs w:val="17"/>
                <w:lang w:val="en-US"/>
              </w:rPr>
              <w:t xml:space="preserve"> </w:t>
            </w:r>
          </w:p>
        </w:tc>
        <w:tc>
          <w:tcPr>
            <w:tcW w:w="851" w:type="dxa"/>
            <w:tcBorders>
              <w:top w:val="single" w:sz="4" w:space="0" w:color="auto"/>
              <w:left w:val="nil"/>
              <w:right w:val="nil"/>
            </w:tcBorders>
          </w:tcPr>
          <w:p w:rsidR="000D2C23" w:rsidRDefault="000D2C23" w:rsidP="00AB725E">
            <w:pPr>
              <w:pStyle w:val="Tablehead1"/>
              <w:jc w:val="right"/>
              <w:rPr>
                <w:rFonts w:cs="Arial"/>
                <w:bCs/>
                <w:color w:val="000000"/>
                <w:szCs w:val="17"/>
                <w:lang w:val="en-US"/>
              </w:rPr>
            </w:pPr>
          </w:p>
        </w:tc>
        <w:tc>
          <w:tcPr>
            <w:tcW w:w="850" w:type="dxa"/>
            <w:tcBorders>
              <w:top w:val="single" w:sz="4" w:space="0" w:color="auto"/>
              <w:left w:val="nil"/>
              <w:right w:val="nil"/>
            </w:tcBorders>
          </w:tcPr>
          <w:p w:rsidR="000D2C23" w:rsidRDefault="000D2C23" w:rsidP="00AB725E">
            <w:pPr>
              <w:pStyle w:val="Tablehead1"/>
              <w:jc w:val="right"/>
              <w:rPr>
                <w:rFonts w:cs="Arial"/>
                <w:bCs/>
                <w:color w:val="000000"/>
                <w:szCs w:val="17"/>
                <w:lang w:val="en-US"/>
              </w:rPr>
            </w:pPr>
          </w:p>
        </w:tc>
      </w:tr>
      <w:tr w:rsidR="000D2C23" w:rsidRPr="00322D4B" w:rsidTr="00AB725E">
        <w:trPr>
          <w:trHeight w:val="300"/>
        </w:trPr>
        <w:tc>
          <w:tcPr>
            <w:tcW w:w="2977" w:type="dxa"/>
            <w:tcBorders>
              <w:top w:val="nil"/>
              <w:left w:val="nil"/>
              <w:bottom w:val="single" w:sz="4" w:space="0" w:color="auto"/>
              <w:right w:val="nil"/>
            </w:tcBorders>
            <w:shd w:val="clear" w:color="auto" w:fill="auto"/>
            <w:noWrap/>
            <w:vAlign w:val="bottom"/>
            <w:hideMark/>
          </w:tcPr>
          <w:p w:rsidR="000D2C23" w:rsidRPr="00F71B20" w:rsidRDefault="00F46AD4" w:rsidP="00AB725E">
            <w:pPr>
              <w:pStyle w:val="Tablehead2"/>
              <w:rPr>
                <w:rFonts w:asciiTheme="majorHAnsi" w:hAnsiTheme="majorHAnsi"/>
                <w:sz w:val="18"/>
                <w:szCs w:val="18"/>
                <w:lang w:val="en-US"/>
              </w:rPr>
            </w:pPr>
            <w:r>
              <w:rPr>
                <w:rFonts w:asciiTheme="majorHAnsi" w:hAnsiTheme="majorHAnsi"/>
                <w:sz w:val="18"/>
                <w:szCs w:val="18"/>
                <w:lang w:val="en-US"/>
              </w:rPr>
              <w:t>Institution (Cluster)</w:t>
            </w:r>
          </w:p>
        </w:tc>
        <w:tc>
          <w:tcPr>
            <w:tcW w:w="851" w:type="dxa"/>
            <w:gridSpan w:val="2"/>
            <w:tcBorders>
              <w:top w:val="nil"/>
              <w:left w:val="nil"/>
              <w:bottom w:val="single" w:sz="4" w:space="0" w:color="auto"/>
              <w:right w:val="nil"/>
            </w:tcBorders>
            <w:shd w:val="clear" w:color="auto" w:fill="auto"/>
            <w:noWrap/>
            <w:vAlign w:val="bottom"/>
            <w:hideMark/>
          </w:tcPr>
          <w:p w:rsidR="000D2C23" w:rsidRPr="00F71B20" w:rsidRDefault="000D2C23" w:rsidP="00AB725E">
            <w:pPr>
              <w:pStyle w:val="Tablehead2"/>
              <w:jc w:val="right"/>
              <w:rPr>
                <w:rFonts w:asciiTheme="majorHAnsi" w:hAnsiTheme="majorHAnsi"/>
                <w:sz w:val="18"/>
                <w:szCs w:val="18"/>
                <w:lang w:val="en-US"/>
              </w:rPr>
            </w:pPr>
            <w:r>
              <w:rPr>
                <w:rFonts w:asciiTheme="majorHAnsi" w:hAnsiTheme="majorHAnsi"/>
                <w:sz w:val="18"/>
                <w:szCs w:val="18"/>
                <w:lang w:val="en-US"/>
              </w:rPr>
              <w:t>0501</w:t>
            </w:r>
          </w:p>
        </w:tc>
        <w:tc>
          <w:tcPr>
            <w:tcW w:w="708" w:type="dxa"/>
            <w:tcBorders>
              <w:top w:val="nil"/>
              <w:left w:val="nil"/>
              <w:bottom w:val="single" w:sz="4" w:space="0" w:color="auto"/>
              <w:right w:val="nil"/>
            </w:tcBorders>
            <w:shd w:val="clear" w:color="auto" w:fill="auto"/>
            <w:noWrap/>
            <w:vAlign w:val="bottom"/>
            <w:hideMark/>
          </w:tcPr>
          <w:p w:rsidR="000D2C23" w:rsidRPr="00F71B20" w:rsidRDefault="000D2C23" w:rsidP="00AB725E">
            <w:pPr>
              <w:pStyle w:val="Tablehead2"/>
              <w:jc w:val="right"/>
              <w:rPr>
                <w:rFonts w:asciiTheme="majorHAnsi" w:hAnsiTheme="majorHAnsi"/>
                <w:sz w:val="18"/>
                <w:szCs w:val="18"/>
                <w:lang w:val="en-US"/>
              </w:rPr>
            </w:pPr>
            <w:r>
              <w:rPr>
                <w:rFonts w:asciiTheme="majorHAnsi" w:hAnsiTheme="majorHAnsi"/>
                <w:sz w:val="18"/>
                <w:szCs w:val="18"/>
                <w:lang w:val="en-US"/>
              </w:rPr>
              <w:t>0503</w:t>
            </w:r>
          </w:p>
        </w:tc>
        <w:tc>
          <w:tcPr>
            <w:tcW w:w="709" w:type="dxa"/>
            <w:tcBorders>
              <w:top w:val="nil"/>
              <w:left w:val="nil"/>
              <w:bottom w:val="single" w:sz="4" w:space="0" w:color="auto"/>
              <w:right w:val="nil"/>
            </w:tcBorders>
            <w:vAlign w:val="bottom"/>
          </w:tcPr>
          <w:p w:rsidR="000D2C23" w:rsidRPr="00F71B20" w:rsidRDefault="000D2C23" w:rsidP="00AB725E">
            <w:pPr>
              <w:pStyle w:val="Tablehead2"/>
              <w:jc w:val="right"/>
              <w:rPr>
                <w:rFonts w:asciiTheme="majorHAnsi" w:hAnsiTheme="majorHAnsi"/>
                <w:sz w:val="18"/>
                <w:szCs w:val="18"/>
                <w:lang w:val="en-US"/>
              </w:rPr>
            </w:pPr>
            <w:r>
              <w:rPr>
                <w:rFonts w:asciiTheme="majorHAnsi" w:hAnsiTheme="majorHAnsi"/>
                <w:sz w:val="18"/>
                <w:szCs w:val="18"/>
                <w:lang w:val="en-US"/>
              </w:rPr>
              <w:t>0505</w:t>
            </w:r>
          </w:p>
        </w:tc>
        <w:tc>
          <w:tcPr>
            <w:tcW w:w="709" w:type="dxa"/>
            <w:tcBorders>
              <w:top w:val="nil"/>
              <w:left w:val="nil"/>
              <w:bottom w:val="single" w:sz="4" w:space="0" w:color="auto"/>
              <w:right w:val="nil"/>
            </w:tcBorders>
            <w:vAlign w:val="bottom"/>
          </w:tcPr>
          <w:p w:rsidR="000D2C23" w:rsidRPr="00F71B20" w:rsidRDefault="000D2C23" w:rsidP="00AB725E">
            <w:pPr>
              <w:pStyle w:val="Tablehead2"/>
              <w:jc w:val="right"/>
              <w:rPr>
                <w:rFonts w:asciiTheme="majorHAnsi" w:hAnsiTheme="majorHAnsi"/>
                <w:sz w:val="18"/>
                <w:szCs w:val="18"/>
                <w:lang w:val="en-US"/>
              </w:rPr>
            </w:pPr>
            <w:r>
              <w:rPr>
                <w:rFonts w:asciiTheme="majorHAnsi" w:hAnsiTheme="majorHAnsi"/>
                <w:sz w:val="18"/>
                <w:szCs w:val="18"/>
                <w:lang w:val="en-US"/>
              </w:rPr>
              <w:t>0507</w:t>
            </w:r>
          </w:p>
        </w:tc>
        <w:tc>
          <w:tcPr>
            <w:tcW w:w="709" w:type="dxa"/>
            <w:tcBorders>
              <w:top w:val="nil"/>
              <w:left w:val="nil"/>
              <w:bottom w:val="single" w:sz="4" w:space="0" w:color="auto"/>
              <w:right w:val="nil"/>
            </w:tcBorders>
            <w:vAlign w:val="bottom"/>
          </w:tcPr>
          <w:p w:rsidR="000D2C23" w:rsidRPr="00F71B20" w:rsidRDefault="000D2C23" w:rsidP="00AB725E">
            <w:pPr>
              <w:pStyle w:val="Tablehead2"/>
              <w:jc w:val="right"/>
              <w:rPr>
                <w:rFonts w:asciiTheme="majorHAnsi" w:hAnsiTheme="majorHAnsi"/>
                <w:sz w:val="18"/>
                <w:szCs w:val="18"/>
                <w:lang w:val="en-US"/>
              </w:rPr>
            </w:pPr>
            <w:r>
              <w:rPr>
                <w:rFonts w:asciiTheme="majorHAnsi" w:hAnsiTheme="majorHAnsi"/>
                <w:sz w:val="18"/>
                <w:szCs w:val="18"/>
                <w:lang w:val="en-US"/>
              </w:rPr>
              <w:t>0509</w:t>
            </w:r>
          </w:p>
        </w:tc>
        <w:tc>
          <w:tcPr>
            <w:tcW w:w="708" w:type="dxa"/>
            <w:tcBorders>
              <w:top w:val="nil"/>
              <w:left w:val="nil"/>
              <w:bottom w:val="single" w:sz="4" w:space="0" w:color="auto"/>
              <w:right w:val="nil"/>
            </w:tcBorders>
            <w:vAlign w:val="bottom"/>
          </w:tcPr>
          <w:p w:rsidR="000D2C23" w:rsidRPr="00F71B20" w:rsidRDefault="000D2C23" w:rsidP="00AB725E">
            <w:pPr>
              <w:pStyle w:val="Tablehead2"/>
              <w:jc w:val="right"/>
              <w:rPr>
                <w:rFonts w:asciiTheme="majorHAnsi" w:hAnsiTheme="majorHAnsi"/>
                <w:sz w:val="18"/>
                <w:szCs w:val="18"/>
                <w:lang w:val="en-US"/>
              </w:rPr>
            </w:pPr>
            <w:r>
              <w:rPr>
                <w:rFonts w:asciiTheme="majorHAnsi" w:hAnsiTheme="majorHAnsi"/>
                <w:sz w:val="18"/>
                <w:szCs w:val="18"/>
                <w:lang w:val="en-US"/>
              </w:rPr>
              <w:t>0599</w:t>
            </w:r>
          </w:p>
        </w:tc>
        <w:tc>
          <w:tcPr>
            <w:tcW w:w="851" w:type="dxa"/>
            <w:tcBorders>
              <w:top w:val="nil"/>
              <w:left w:val="nil"/>
              <w:bottom w:val="single" w:sz="4" w:space="0" w:color="auto"/>
              <w:right w:val="nil"/>
            </w:tcBorders>
          </w:tcPr>
          <w:p w:rsidR="000D2C23" w:rsidRDefault="000D2C23" w:rsidP="00AB725E">
            <w:pPr>
              <w:pStyle w:val="Tablehead2"/>
              <w:jc w:val="right"/>
              <w:rPr>
                <w:rFonts w:asciiTheme="majorHAnsi" w:hAnsiTheme="majorHAnsi"/>
                <w:sz w:val="18"/>
                <w:szCs w:val="18"/>
                <w:lang w:val="en-US"/>
              </w:rPr>
            </w:pPr>
            <w:r>
              <w:rPr>
                <w:rFonts w:asciiTheme="majorHAnsi" w:hAnsiTheme="majorHAnsi"/>
                <w:sz w:val="18"/>
                <w:szCs w:val="18"/>
                <w:lang w:val="en-US"/>
              </w:rPr>
              <w:t>Total</w:t>
            </w:r>
          </w:p>
        </w:tc>
        <w:tc>
          <w:tcPr>
            <w:tcW w:w="850" w:type="dxa"/>
            <w:tcBorders>
              <w:top w:val="nil"/>
              <w:left w:val="nil"/>
              <w:bottom w:val="single" w:sz="4" w:space="0" w:color="auto"/>
              <w:right w:val="nil"/>
            </w:tcBorders>
          </w:tcPr>
          <w:p w:rsidR="000D2C23" w:rsidRDefault="000D2C23" w:rsidP="00AB725E">
            <w:pPr>
              <w:pStyle w:val="Tablehead2"/>
              <w:jc w:val="right"/>
              <w:rPr>
                <w:rFonts w:asciiTheme="majorHAnsi" w:hAnsiTheme="majorHAnsi"/>
                <w:sz w:val="18"/>
                <w:szCs w:val="18"/>
                <w:lang w:val="en-US"/>
              </w:rPr>
            </w:pPr>
            <w:r>
              <w:rPr>
                <w:rFonts w:asciiTheme="majorHAnsi" w:hAnsiTheme="majorHAnsi"/>
                <w:sz w:val="18"/>
                <w:szCs w:val="18"/>
                <w:lang w:val="en-US"/>
              </w:rPr>
              <w:t xml:space="preserve">% VET </w:t>
            </w:r>
          </w:p>
        </w:tc>
      </w:tr>
      <w:tr w:rsidR="000D2C23" w:rsidRPr="00440351" w:rsidTr="00AB725E">
        <w:trPr>
          <w:trHeight w:val="300"/>
        </w:trPr>
        <w:tc>
          <w:tcPr>
            <w:tcW w:w="2977" w:type="dxa"/>
            <w:tcBorders>
              <w:top w:val="single" w:sz="4" w:space="0" w:color="auto"/>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The University of Melbourne</w:t>
            </w:r>
            <w:r w:rsidR="00F46AD4">
              <w:rPr>
                <w:rFonts w:ascii="Arial" w:hAnsi="Arial" w:cs="Arial"/>
                <w:color w:val="000000"/>
                <w:sz w:val="16"/>
                <w:szCs w:val="16"/>
              </w:rPr>
              <w:t xml:space="preserve"> (3)</w:t>
            </w:r>
          </w:p>
        </w:tc>
        <w:tc>
          <w:tcPr>
            <w:tcW w:w="851" w:type="dxa"/>
            <w:gridSpan w:val="2"/>
            <w:tcBorders>
              <w:top w:val="single" w:sz="4" w:space="0" w:color="auto"/>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20</w:t>
            </w:r>
          </w:p>
        </w:tc>
        <w:tc>
          <w:tcPr>
            <w:tcW w:w="708" w:type="dxa"/>
            <w:tcBorders>
              <w:top w:val="single" w:sz="4" w:space="0" w:color="auto"/>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26</w:t>
            </w:r>
          </w:p>
        </w:tc>
        <w:tc>
          <w:tcPr>
            <w:tcW w:w="709" w:type="dxa"/>
            <w:tcBorders>
              <w:top w:val="single" w:sz="4" w:space="0" w:color="auto"/>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10</w:t>
            </w:r>
          </w:p>
        </w:tc>
        <w:tc>
          <w:tcPr>
            <w:tcW w:w="709" w:type="dxa"/>
            <w:tcBorders>
              <w:top w:val="single" w:sz="4" w:space="0" w:color="auto"/>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 </w:t>
            </w:r>
          </w:p>
        </w:tc>
        <w:tc>
          <w:tcPr>
            <w:tcW w:w="709" w:type="dxa"/>
            <w:tcBorders>
              <w:top w:val="single" w:sz="4" w:space="0" w:color="auto"/>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695</w:t>
            </w:r>
          </w:p>
        </w:tc>
        <w:tc>
          <w:tcPr>
            <w:tcW w:w="708" w:type="dxa"/>
            <w:tcBorders>
              <w:top w:val="single" w:sz="4" w:space="0" w:color="auto"/>
              <w:left w:val="nil"/>
              <w:bottom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 </w:t>
            </w:r>
          </w:p>
        </w:tc>
        <w:tc>
          <w:tcPr>
            <w:tcW w:w="851" w:type="dxa"/>
            <w:tcBorders>
              <w:top w:val="single" w:sz="4" w:space="0" w:color="auto"/>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751</w:t>
            </w:r>
          </w:p>
        </w:tc>
        <w:tc>
          <w:tcPr>
            <w:tcW w:w="850" w:type="dxa"/>
            <w:tcBorders>
              <w:top w:val="single" w:sz="4" w:space="0" w:color="auto"/>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2.0</w:t>
            </w:r>
          </w:p>
        </w:tc>
      </w:tr>
      <w:tr w:rsidR="000D2C23" w:rsidRPr="00440351" w:rsidTr="00AB725E">
        <w:trPr>
          <w:trHeight w:val="300"/>
        </w:trPr>
        <w:tc>
          <w:tcPr>
            <w:tcW w:w="2977"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Charles Sturt University</w:t>
            </w:r>
            <w:r w:rsidR="00F46AD4">
              <w:rPr>
                <w:rFonts w:ascii="Arial" w:hAnsi="Arial" w:cs="Arial"/>
                <w:color w:val="000000"/>
                <w:sz w:val="16"/>
                <w:szCs w:val="16"/>
              </w:rPr>
              <w:t xml:space="preserve"> (1)</w:t>
            </w:r>
          </w:p>
        </w:tc>
        <w:tc>
          <w:tcPr>
            <w:tcW w:w="851" w:type="dxa"/>
            <w:gridSpan w:val="2"/>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325</w:t>
            </w:r>
          </w:p>
        </w:tc>
        <w:tc>
          <w:tcPr>
            <w:tcW w:w="708"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37</w:t>
            </w: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176</w:t>
            </w:r>
          </w:p>
        </w:tc>
        <w:tc>
          <w:tcPr>
            <w:tcW w:w="708" w:type="dxa"/>
            <w:tcBorders>
              <w:top w:val="nil"/>
              <w:left w:val="nil"/>
              <w:bottom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851"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538</w:t>
            </w:r>
          </w:p>
        </w:tc>
        <w:tc>
          <w:tcPr>
            <w:tcW w:w="850"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17.1</w:t>
            </w:r>
          </w:p>
        </w:tc>
      </w:tr>
      <w:tr w:rsidR="000D2C23" w:rsidRPr="00440351" w:rsidTr="00AB725E">
        <w:trPr>
          <w:trHeight w:val="300"/>
        </w:trPr>
        <w:tc>
          <w:tcPr>
            <w:tcW w:w="2977"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The University of Adelaide</w:t>
            </w:r>
            <w:r w:rsidR="00F46AD4">
              <w:rPr>
                <w:rFonts w:ascii="Arial" w:hAnsi="Arial" w:cs="Arial"/>
                <w:color w:val="000000"/>
                <w:sz w:val="16"/>
                <w:szCs w:val="16"/>
              </w:rPr>
              <w:t xml:space="preserve"> (3)</w:t>
            </w:r>
          </w:p>
        </w:tc>
        <w:tc>
          <w:tcPr>
            <w:tcW w:w="851" w:type="dxa"/>
            <w:gridSpan w:val="2"/>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131</w:t>
            </w:r>
          </w:p>
        </w:tc>
        <w:tc>
          <w:tcPr>
            <w:tcW w:w="708"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98</w:t>
            </w: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49</w:t>
            </w:r>
          </w:p>
        </w:tc>
        <w:tc>
          <w:tcPr>
            <w:tcW w:w="708" w:type="dxa"/>
            <w:tcBorders>
              <w:top w:val="nil"/>
              <w:left w:val="nil"/>
              <w:bottom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851"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278</w:t>
            </w:r>
          </w:p>
        </w:tc>
        <w:tc>
          <w:tcPr>
            <w:tcW w:w="850"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6.9</w:t>
            </w:r>
          </w:p>
        </w:tc>
      </w:tr>
      <w:tr w:rsidR="000D2C23" w:rsidRPr="00440351" w:rsidTr="00AB725E">
        <w:trPr>
          <w:trHeight w:val="300"/>
        </w:trPr>
        <w:tc>
          <w:tcPr>
            <w:tcW w:w="2977"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Southern Cross University</w:t>
            </w:r>
            <w:r w:rsidR="00F46AD4">
              <w:rPr>
                <w:rFonts w:ascii="Arial" w:hAnsi="Arial" w:cs="Arial"/>
                <w:color w:val="000000"/>
                <w:sz w:val="16"/>
                <w:szCs w:val="16"/>
              </w:rPr>
              <w:t xml:space="preserve"> (2)</w:t>
            </w:r>
          </w:p>
        </w:tc>
        <w:tc>
          <w:tcPr>
            <w:tcW w:w="851" w:type="dxa"/>
            <w:gridSpan w:val="2"/>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8"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25</w:t>
            </w: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230</w:t>
            </w:r>
          </w:p>
        </w:tc>
        <w:tc>
          <w:tcPr>
            <w:tcW w:w="708" w:type="dxa"/>
            <w:tcBorders>
              <w:top w:val="nil"/>
              <w:left w:val="nil"/>
              <w:bottom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851"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255</w:t>
            </w:r>
          </w:p>
        </w:tc>
        <w:tc>
          <w:tcPr>
            <w:tcW w:w="850"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10.0</w:t>
            </w:r>
          </w:p>
        </w:tc>
      </w:tr>
      <w:tr w:rsidR="000D2C23" w:rsidRPr="00440351" w:rsidTr="00AB725E">
        <w:trPr>
          <w:trHeight w:val="300"/>
        </w:trPr>
        <w:tc>
          <w:tcPr>
            <w:tcW w:w="2977"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The University of Queensland</w:t>
            </w:r>
            <w:r w:rsidR="00F46AD4">
              <w:rPr>
                <w:rFonts w:ascii="Arial" w:hAnsi="Arial" w:cs="Arial"/>
                <w:color w:val="000000"/>
                <w:sz w:val="16"/>
                <w:szCs w:val="16"/>
              </w:rPr>
              <w:t xml:space="preserve"> (3)</w:t>
            </w:r>
          </w:p>
        </w:tc>
        <w:tc>
          <w:tcPr>
            <w:tcW w:w="851" w:type="dxa"/>
            <w:gridSpan w:val="2"/>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70</w:t>
            </w:r>
          </w:p>
        </w:tc>
        <w:tc>
          <w:tcPr>
            <w:tcW w:w="708"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15</w:t>
            </w: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15</w:t>
            </w:r>
          </w:p>
        </w:tc>
        <w:tc>
          <w:tcPr>
            <w:tcW w:w="709" w:type="dxa"/>
            <w:tcBorders>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150</w:t>
            </w:r>
          </w:p>
        </w:tc>
        <w:tc>
          <w:tcPr>
            <w:tcW w:w="708" w:type="dxa"/>
            <w:tcBorders>
              <w:top w:val="nil"/>
              <w:left w:val="nil"/>
              <w:bottom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449</w:t>
            </w:r>
          </w:p>
        </w:tc>
        <w:tc>
          <w:tcPr>
            <w:tcW w:w="851"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699</w:t>
            </w:r>
          </w:p>
        </w:tc>
        <w:tc>
          <w:tcPr>
            <w:tcW w:w="850"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3.2</w:t>
            </w:r>
          </w:p>
        </w:tc>
      </w:tr>
      <w:tr w:rsidR="000D2C23" w:rsidRPr="00440351" w:rsidTr="00AB725E">
        <w:trPr>
          <w:trHeight w:val="300"/>
        </w:trPr>
        <w:tc>
          <w:tcPr>
            <w:tcW w:w="2977"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The University of New England</w:t>
            </w:r>
            <w:r w:rsidR="00F46AD4">
              <w:rPr>
                <w:rFonts w:ascii="Arial" w:hAnsi="Arial" w:cs="Arial"/>
                <w:color w:val="000000"/>
                <w:sz w:val="16"/>
                <w:szCs w:val="16"/>
              </w:rPr>
              <w:t xml:space="preserve"> (2)</w:t>
            </w:r>
          </w:p>
        </w:tc>
        <w:tc>
          <w:tcPr>
            <w:tcW w:w="851" w:type="dxa"/>
            <w:gridSpan w:val="2"/>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104</w:t>
            </w:r>
          </w:p>
        </w:tc>
        <w:tc>
          <w:tcPr>
            <w:tcW w:w="708"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41</w:t>
            </w:r>
          </w:p>
        </w:tc>
        <w:tc>
          <w:tcPr>
            <w:tcW w:w="708" w:type="dxa"/>
            <w:tcBorders>
              <w:top w:val="nil"/>
              <w:left w:val="nil"/>
              <w:bottom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851"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145</w:t>
            </w:r>
          </w:p>
        </w:tc>
        <w:tc>
          <w:tcPr>
            <w:tcW w:w="850"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0.0</w:t>
            </w:r>
          </w:p>
        </w:tc>
      </w:tr>
      <w:tr w:rsidR="000D2C23" w:rsidRPr="00440351" w:rsidTr="00AB725E">
        <w:trPr>
          <w:trHeight w:val="300"/>
        </w:trPr>
        <w:tc>
          <w:tcPr>
            <w:tcW w:w="2977"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Griffith University</w:t>
            </w:r>
            <w:r w:rsidR="00F46AD4">
              <w:rPr>
                <w:rFonts w:ascii="Arial" w:hAnsi="Arial" w:cs="Arial"/>
                <w:color w:val="000000"/>
                <w:sz w:val="16"/>
                <w:szCs w:val="16"/>
              </w:rPr>
              <w:t xml:space="preserve"> (2)</w:t>
            </w:r>
          </w:p>
        </w:tc>
        <w:tc>
          <w:tcPr>
            <w:tcW w:w="851" w:type="dxa"/>
            <w:gridSpan w:val="2"/>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8"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119</w:t>
            </w:r>
          </w:p>
        </w:tc>
        <w:tc>
          <w:tcPr>
            <w:tcW w:w="708" w:type="dxa"/>
            <w:tcBorders>
              <w:top w:val="nil"/>
              <w:left w:val="nil"/>
              <w:bottom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851"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119</w:t>
            </w:r>
          </w:p>
        </w:tc>
        <w:tc>
          <w:tcPr>
            <w:tcW w:w="850"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0.0</w:t>
            </w:r>
          </w:p>
        </w:tc>
      </w:tr>
      <w:tr w:rsidR="000D2C23" w:rsidRPr="00440351" w:rsidTr="00AB725E">
        <w:trPr>
          <w:trHeight w:val="300"/>
        </w:trPr>
        <w:tc>
          <w:tcPr>
            <w:tcW w:w="2977"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The University of Newcastle</w:t>
            </w:r>
            <w:r w:rsidR="00F46AD4">
              <w:rPr>
                <w:rFonts w:ascii="Arial" w:hAnsi="Arial" w:cs="Arial"/>
                <w:color w:val="000000"/>
                <w:sz w:val="16"/>
                <w:szCs w:val="16"/>
              </w:rPr>
              <w:t xml:space="preserve"> (2)</w:t>
            </w:r>
          </w:p>
        </w:tc>
        <w:tc>
          <w:tcPr>
            <w:tcW w:w="851" w:type="dxa"/>
            <w:gridSpan w:val="2"/>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8"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110</w:t>
            </w:r>
          </w:p>
        </w:tc>
        <w:tc>
          <w:tcPr>
            <w:tcW w:w="708" w:type="dxa"/>
            <w:tcBorders>
              <w:top w:val="nil"/>
              <w:left w:val="nil"/>
              <w:bottom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851"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110</w:t>
            </w:r>
          </w:p>
        </w:tc>
        <w:tc>
          <w:tcPr>
            <w:tcW w:w="850"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0.0</w:t>
            </w:r>
          </w:p>
        </w:tc>
      </w:tr>
      <w:tr w:rsidR="000D2C23" w:rsidRPr="00440351" w:rsidTr="00AB725E">
        <w:trPr>
          <w:trHeight w:val="300"/>
        </w:trPr>
        <w:tc>
          <w:tcPr>
            <w:tcW w:w="2977" w:type="dxa"/>
            <w:tcBorders>
              <w:top w:val="nil"/>
              <w:left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Deakin University</w:t>
            </w:r>
            <w:r w:rsidR="00F46AD4">
              <w:rPr>
                <w:rFonts w:ascii="Arial" w:hAnsi="Arial" w:cs="Arial"/>
                <w:color w:val="000000"/>
                <w:sz w:val="16"/>
                <w:szCs w:val="16"/>
              </w:rPr>
              <w:t xml:space="preserve"> (1)</w:t>
            </w:r>
          </w:p>
        </w:tc>
        <w:tc>
          <w:tcPr>
            <w:tcW w:w="851" w:type="dxa"/>
            <w:gridSpan w:val="2"/>
            <w:tcBorders>
              <w:top w:val="nil"/>
              <w:left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8" w:type="dxa"/>
            <w:tcBorders>
              <w:top w:val="nil"/>
              <w:left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110</w:t>
            </w:r>
          </w:p>
        </w:tc>
        <w:tc>
          <w:tcPr>
            <w:tcW w:w="708" w:type="dxa"/>
            <w:tcBorders>
              <w:top w:val="nil"/>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851" w:type="dxa"/>
            <w:tcBorders>
              <w:top w:val="nil"/>
              <w:left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110</w:t>
            </w:r>
          </w:p>
        </w:tc>
        <w:tc>
          <w:tcPr>
            <w:tcW w:w="850" w:type="dxa"/>
            <w:tcBorders>
              <w:top w:val="nil"/>
              <w:left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14.3</w:t>
            </w:r>
          </w:p>
        </w:tc>
      </w:tr>
      <w:tr w:rsidR="000D2C23" w:rsidRPr="00440351" w:rsidTr="00AB725E">
        <w:trPr>
          <w:trHeight w:val="300"/>
        </w:trPr>
        <w:tc>
          <w:tcPr>
            <w:tcW w:w="2977" w:type="dxa"/>
            <w:tcBorders>
              <w:top w:val="nil"/>
              <w:left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The University of Western Australia</w:t>
            </w:r>
            <w:r w:rsidR="00F46AD4">
              <w:rPr>
                <w:rFonts w:ascii="Arial" w:hAnsi="Arial" w:cs="Arial"/>
                <w:color w:val="000000"/>
                <w:sz w:val="16"/>
                <w:szCs w:val="16"/>
              </w:rPr>
              <w:t xml:space="preserve"> (3)</w:t>
            </w:r>
          </w:p>
        </w:tc>
        <w:tc>
          <w:tcPr>
            <w:tcW w:w="851" w:type="dxa"/>
            <w:gridSpan w:val="2"/>
            <w:tcBorders>
              <w:top w:val="nil"/>
              <w:left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8" w:type="dxa"/>
            <w:tcBorders>
              <w:top w:val="nil"/>
              <w:left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p>
        </w:tc>
        <w:tc>
          <w:tcPr>
            <w:tcW w:w="708" w:type="dxa"/>
            <w:tcBorders>
              <w:top w:val="nil"/>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104</w:t>
            </w:r>
          </w:p>
        </w:tc>
        <w:tc>
          <w:tcPr>
            <w:tcW w:w="851" w:type="dxa"/>
            <w:tcBorders>
              <w:top w:val="nil"/>
              <w:left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104</w:t>
            </w:r>
          </w:p>
        </w:tc>
        <w:tc>
          <w:tcPr>
            <w:tcW w:w="850" w:type="dxa"/>
            <w:tcBorders>
              <w:top w:val="nil"/>
              <w:left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0.0</w:t>
            </w:r>
          </w:p>
        </w:tc>
      </w:tr>
      <w:tr w:rsidR="000D2C23" w:rsidRPr="00440351" w:rsidTr="00AB725E">
        <w:trPr>
          <w:trHeight w:val="300"/>
        </w:trPr>
        <w:tc>
          <w:tcPr>
            <w:tcW w:w="2977" w:type="dxa"/>
            <w:tcBorders>
              <w:top w:val="nil"/>
              <w:left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The University of Sydney</w:t>
            </w:r>
            <w:r w:rsidR="00F46AD4">
              <w:rPr>
                <w:rFonts w:ascii="Arial" w:hAnsi="Arial" w:cs="Arial"/>
                <w:color w:val="000000"/>
                <w:sz w:val="16"/>
                <w:szCs w:val="16"/>
              </w:rPr>
              <w:t xml:space="preserve"> (3)</w:t>
            </w:r>
          </w:p>
        </w:tc>
        <w:tc>
          <w:tcPr>
            <w:tcW w:w="851" w:type="dxa"/>
            <w:gridSpan w:val="2"/>
            <w:tcBorders>
              <w:top w:val="nil"/>
              <w:left w:val="nil"/>
              <w:right w:val="nil"/>
            </w:tcBorders>
            <w:shd w:val="clear" w:color="auto" w:fill="auto"/>
            <w:noWrap/>
            <w:vAlign w:val="bottom"/>
            <w:hideMark/>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69</w:t>
            </w:r>
          </w:p>
        </w:tc>
        <w:tc>
          <w:tcPr>
            <w:tcW w:w="708" w:type="dxa"/>
            <w:tcBorders>
              <w:top w:val="nil"/>
              <w:left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5</w:t>
            </w:r>
          </w:p>
        </w:tc>
        <w:tc>
          <w:tcPr>
            <w:tcW w:w="708" w:type="dxa"/>
            <w:tcBorders>
              <w:top w:val="nil"/>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27</w:t>
            </w:r>
          </w:p>
        </w:tc>
        <w:tc>
          <w:tcPr>
            <w:tcW w:w="851" w:type="dxa"/>
            <w:tcBorders>
              <w:top w:val="nil"/>
              <w:left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101</w:t>
            </w:r>
          </w:p>
        </w:tc>
        <w:tc>
          <w:tcPr>
            <w:tcW w:w="850" w:type="dxa"/>
            <w:tcBorders>
              <w:top w:val="nil"/>
              <w:left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0.0</w:t>
            </w:r>
          </w:p>
        </w:tc>
      </w:tr>
      <w:tr w:rsidR="000D2C23" w:rsidRPr="00440351" w:rsidTr="00AB725E">
        <w:trPr>
          <w:trHeight w:val="300"/>
        </w:trPr>
        <w:tc>
          <w:tcPr>
            <w:tcW w:w="2977"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Curtin University of Technology</w:t>
            </w:r>
            <w:r w:rsidR="00F46AD4">
              <w:rPr>
                <w:rFonts w:ascii="Arial" w:hAnsi="Arial" w:cs="Arial"/>
                <w:color w:val="000000"/>
                <w:sz w:val="16"/>
                <w:szCs w:val="16"/>
              </w:rPr>
              <w:t xml:space="preserve"> (3)</w:t>
            </w:r>
          </w:p>
        </w:tc>
        <w:tc>
          <w:tcPr>
            <w:tcW w:w="851" w:type="dxa"/>
            <w:gridSpan w:val="2"/>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10</w:t>
            </w:r>
          </w:p>
        </w:tc>
        <w:tc>
          <w:tcPr>
            <w:tcW w:w="708" w:type="dxa"/>
            <w:tcBorders>
              <w:top w:val="nil"/>
              <w:left w:val="nil"/>
              <w:bottom w:val="nil"/>
              <w:right w:val="nil"/>
            </w:tcBorders>
            <w:shd w:val="clear" w:color="auto" w:fill="auto"/>
            <w:noWrap/>
            <w:vAlign w:val="bottom"/>
            <w:hideMark/>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20</w:t>
            </w: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8" w:type="dxa"/>
            <w:tcBorders>
              <w:top w:val="nil"/>
              <w:left w:val="nil"/>
              <w:bottom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69</w:t>
            </w:r>
          </w:p>
        </w:tc>
        <w:tc>
          <w:tcPr>
            <w:tcW w:w="851"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99</w:t>
            </w:r>
          </w:p>
        </w:tc>
        <w:tc>
          <w:tcPr>
            <w:tcW w:w="850" w:type="dxa"/>
            <w:tcBorders>
              <w:top w:val="nil"/>
              <w:left w:val="nil"/>
              <w:bottom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0.0</w:t>
            </w:r>
          </w:p>
        </w:tc>
      </w:tr>
      <w:tr w:rsidR="000D2C23" w:rsidRPr="00440351" w:rsidTr="00AB725E">
        <w:trPr>
          <w:trHeight w:val="300"/>
        </w:trPr>
        <w:tc>
          <w:tcPr>
            <w:tcW w:w="2977" w:type="dxa"/>
            <w:tcBorders>
              <w:top w:val="nil"/>
              <w:left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RMIT University</w:t>
            </w:r>
            <w:r w:rsidR="00F46AD4">
              <w:rPr>
                <w:rFonts w:ascii="Arial" w:hAnsi="Arial" w:cs="Arial"/>
                <w:color w:val="000000"/>
                <w:sz w:val="16"/>
                <w:szCs w:val="16"/>
              </w:rPr>
              <w:t xml:space="preserve"> (1)</w:t>
            </w:r>
          </w:p>
        </w:tc>
        <w:tc>
          <w:tcPr>
            <w:tcW w:w="851" w:type="dxa"/>
            <w:gridSpan w:val="2"/>
            <w:tcBorders>
              <w:top w:val="nil"/>
              <w:left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8" w:type="dxa"/>
            <w:tcBorders>
              <w:top w:val="nil"/>
              <w:left w:val="nil"/>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86</w:t>
            </w:r>
          </w:p>
        </w:tc>
        <w:tc>
          <w:tcPr>
            <w:tcW w:w="708" w:type="dxa"/>
            <w:tcBorders>
              <w:top w:val="nil"/>
              <w:left w:val="nil"/>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851" w:type="dxa"/>
            <w:tcBorders>
              <w:top w:val="nil"/>
              <w:left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86</w:t>
            </w:r>
          </w:p>
        </w:tc>
        <w:tc>
          <w:tcPr>
            <w:tcW w:w="850" w:type="dxa"/>
            <w:tcBorders>
              <w:top w:val="nil"/>
              <w:left w:val="nil"/>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21.0</w:t>
            </w:r>
          </w:p>
        </w:tc>
      </w:tr>
      <w:tr w:rsidR="000D2C23" w:rsidRPr="00440351" w:rsidTr="00AB725E">
        <w:trPr>
          <w:trHeight w:val="300"/>
        </w:trPr>
        <w:tc>
          <w:tcPr>
            <w:tcW w:w="2977" w:type="dxa"/>
            <w:tcBorders>
              <w:top w:val="nil"/>
              <w:left w:val="nil"/>
              <w:bottom w:val="single" w:sz="4" w:space="0" w:color="auto"/>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r w:rsidRPr="00440351">
              <w:rPr>
                <w:rFonts w:ascii="Arial" w:hAnsi="Arial" w:cs="Arial"/>
                <w:color w:val="000000"/>
                <w:sz w:val="16"/>
                <w:szCs w:val="16"/>
              </w:rPr>
              <w:t>University of Tasmania</w:t>
            </w:r>
            <w:r w:rsidR="00F46AD4">
              <w:rPr>
                <w:rFonts w:ascii="Arial" w:hAnsi="Arial" w:cs="Arial"/>
                <w:color w:val="000000"/>
                <w:sz w:val="16"/>
                <w:szCs w:val="16"/>
              </w:rPr>
              <w:t xml:space="preserve"> (2)</w:t>
            </w:r>
          </w:p>
        </w:tc>
        <w:tc>
          <w:tcPr>
            <w:tcW w:w="851" w:type="dxa"/>
            <w:gridSpan w:val="2"/>
            <w:tcBorders>
              <w:top w:val="nil"/>
              <w:left w:val="nil"/>
              <w:bottom w:val="single" w:sz="4" w:space="0" w:color="auto"/>
              <w:right w:val="nil"/>
            </w:tcBorders>
            <w:shd w:val="clear" w:color="auto" w:fill="auto"/>
            <w:noWrap/>
            <w:vAlign w:val="bottom"/>
            <w:hideMark/>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29</w:t>
            </w:r>
          </w:p>
        </w:tc>
        <w:tc>
          <w:tcPr>
            <w:tcW w:w="708" w:type="dxa"/>
            <w:tcBorders>
              <w:top w:val="nil"/>
              <w:left w:val="nil"/>
              <w:bottom w:val="single" w:sz="4" w:space="0" w:color="auto"/>
              <w:right w:val="nil"/>
            </w:tcBorders>
            <w:shd w:val="clear" w:color="auto" w:fill="auto"/>
            <w:noWrap/>
            <w:vAlign w:val="bottom"/>
            <w:hideMark/>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bottom w:val="single" w:sz="4" w:space="0" w:color="auto"/>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10</w:t>
            </w:r>
          </w:p>
        </w:tc>
        <w:tc>
          <w:tcPr>
            <w:tcW w:w="709" w:type="dxa"/>
            <w:tcBorders>
              <w:left w:val="nil"/>
              <w:bottom w:val="single" w:sz="4" w:space="0" w:color="auto"/>
              <w:right w:val="nil"/>
            </w:tcBorders>
            <w:vAlign w:val="bottom"/>
          </w:tcPr>
          <w:p w:rsidR="000D2C23" w:rsidRPr="00440351" w:rsidRDefault="000D2C23" w:rsidP="00AB725E">
            <w:pPr>
              <w:spacing w:before="0" w:after="100" w:afterAutospacing="1" w:line="240" w:lineRule="auto"/>
              <w:rPr>
                <w:rFonts w:ascii="Arial" w:hAnsi="Arial" w:cs="Arial"/>
                <w:color w:val="000000"/>
                <w:sz w:val="16"/>
                <w:szCs w:val="16"/>
              </w:rPr>
            </w:pPr>
          </w:p>
        </w:tc>
        <w:tc>
          <w:tcPr>
            <w:tcW w:w="709" w:type="dxa"/>
            <w:tcBorders>
              <w:left w:val="nil"/>
              <w:bottom w:val="single" w:sz="4" w:space="0" w:color="auto"/>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25</w:t>
            </w:r>
          </w:p>
        </w:tc>
        <w:tc>
          <w:tcPr>
            <w:tcW w:w="708" w:type="dxa"/>
            <w:tcBorders>
              <w:top w:val="nil"/>
              <w:left w:val="nil"/>
              <w:bottom w:val="single" w:sz="4" w:space="0" w:color="auto"/>
              <w:right w:val="nil"/>
            </w:tcBorders>
            <w:vAlign w:val="bottom"/>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20</w:t>
            </w:r>
          </w:p>
        </w:tc>
        <w:tc>
          <w:tcPr>
            <w:tcW w:w="851" w:type="dxa"/>
            <w:tcBorders>
              <w:top w:val="nil"/>
              <w:left w:val="nil"/>
              <w:bottom w:val="single" w:sz="4" w:space="0" w:color="auto"/>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84</w:t>
            </w:r>
          </w:p>
        </w:tc>
        <w:tc>
          <w:tcPr>
            <w:tcW w:w="850" w:type="dxa"/>
            <w:tcBorders>
              <w:top w:val="nil"/>
              <w:left w:val="nil"/>
              <w:bottom w:val="single" w:sz="4" w:space="0" w:color="auto"/>
              <w:right w:val="nil"/>
            </w:tcBorders>
          </w:tcPr>
          <w:p w:rsidR="000D2C23" w:rsidRPr="00440351" w:rsidRDefault="000D2C23" w:rsidP="00AB725E">
            <w:pPr>
              <w:spacing w:before="0" w:after="100" w:afterAutospacing="1" w:line="240" w:lineRule="auto"/>
              <w:jc w:val="right"/>
              <w:rPr>
                <w:rFonts w:ascii="Arial" w:hAnsi="Arial" w:cs="Arial"/>
                <w:color w:val="000000"/>
                <w:sz w:val="16"/>
                <w:szCs w:val="16"/>
              </w:rPr>
            </w:pPr>
            <w:r w:rsidRPr="00440351">
              <w:rPr>
                <w:rFonts w:ascii="Arial" w:hAnsi="Arial" w:cs="Arial"/>
                <w:color w:val="000000"/>
                <w:sz w:val="16"/>
                <w:szCs w:val="16"/>
              </w:rPr>
              <w:t>22.4</w:t>
            </w:r>
          </w:p>
        </w:tc>
      </w:tr>
    </w:tbl>
    <w:p w:rsidR="000D2C23" w:rsidRDefault="000D2C23" w:rsidP="000D2C23">
      <w:pPr>
        <w:pStyle w:val="Source"/>
        <w:tabs>
          <w:tab w:val="left" w:pos="7416"/>
        </w:tabs>
      </w:pPr>
      <w:r>
        <w:t>Source: DEEWR (2010) Higher Education Statistics Collection. Unpublished data</w:t>
      </w:r>
      <w:r>
        <w:tab/>
      </w:r>
    </w:p>
    <w:p w:rsidR="000D2C23" w:rsidRDefault="000D2C23" w:rsidP="000D2C23">
      <w:pPr>
        <w:pStyle w:val="Source"/>
      </w:pPr>
      <w:r>
        <w:t xml:space="preserve">Notes: Due to the coding of some students in combined programs to two fields of education, the totals can be higher than the total number of students and the size of the difference varies between fields of education.  </w:t>
      </w:r>
    </w:p>
    <w:p w:rsidR="000D2C23" w:rsidRDefault="000D2C23" w:rsidP="000D2C23">
      <w:pPr>
        <w:pStyle w:val="Text"/>
      </w:pPr>
      <w:r>
        <w:t xml:space="preserve">As shown in </w:t>
      </w:r>
      <w:r w:rsidR="00E97D20">
        <w:t xml:space="preserve">Table </w:t>
      </w:r>
      <w:r w:rsidR="00D718A6">
        <w:t>26</w:t>
      </w:r>
      <w:r>
        <w:t>, most of the large providers admit relatively high proportions of students on the basis of a VET award. The exceptions are the University of Melbourne, the University of Adelaide, Griffith University, the University of Newcastle, and Curtin University all of which admit VET award-holders at below the rate of 6 per cent. As the University of Melbourne accounts for 20 per cent of total enrolments in this field, its low rate of admission of VET award-holders contributes to the relatively low rate for the field as a whole.</w:t>
      </w:r>
    </w:p>
    <w:p w:rsidR="000D2C23" w:rsidRDefault="000D2C23" w:rsidP="000D2C23">
      <w:pPr>
        <w:pStyle w:val="Heading2"/>
      </w:pPr>
      <w:bookmarkStart w:id="135" w:name="_Toc358384133"/>
      <w:bookmarkStart w:id="136" w:name="_Toc370995896"/>
      <w:r>
        <w:t>Summary</w:t>
      </w:r>
      <w:bookmarkEnd w:id="135"/>
      <w:bookmarkEnd w:id="136"/>
    </w:p>
    <w:p w:rsidR="000D2C23" w:rsidRDefault="000D2C23" w:rsidP="000D2C23">
      <w:pPr>
        <w:pStyle w:val="Text"/>
      </w:pPr>
      <w:r>
        <w:t>Although some 30 universities are providing courses in the field of Agriculture, Environmental and Related Studies, this field is dominated by major providers in the sub-field of Environmental Studies. However the field is relatively small overall, the impact of the largest provider – the University of Melbourne – is significant as it enrols 20 per cent of all students in this field of education, but admits the lowest proportion (2</w:t>
      </w:r>
      <w:r w:rsidR="00CA146B">
        <w:t>%</w:t>
      </w:r>
      <w:r>
        <w:t xml:space="preserve">) on the basis of a VET award. </w:t>
      </w:r>
    </w:p>
    <w:p w:rsidR="002D0A07" w:rsidRPr="005E3C2A" w:rsidRDefault="00096D36" w:rsidP="002D0A07">
      <w:pPr>
        <w:pStyle w:val="Heading1"/>
      </w:pPr>
      <w:r>
        <w:br w:type="page"/>
      </w:r>
      <w:bookmarkStart w:id="137" w:name="_Toc349839006"/>
      <w:bookmarkStart w:id="138" w:name="_Toc358384134"/>
      <w:bookmarkStart w:id="139" w:name="_Toc370995897"/>
      <w:r w:rsidR="002D0A07">
        <w:lastRenderedPageBreak/>
        <w:t xml:space="preserve">Institutional policies and practices for VET-HE </w:t>
      </w:r>
      <w:r w:rsidR="002D0A07" w:rsidRPr="005E3C2A">
        <w:t>pathways</w:t>
      </w:r>
      <w:bookmarkEnd w:id="137"/>
      <w:bookmarkEnd w:id="138"/>
      <w:bookmarkEnd w:id="139"/>
    </w:p>
    <w:p w:rsidR="002D0A07" w:rsidRDefault="002D0A07" w:rsidP="002D0A07">
      <w:pPr>
        <w:pStyle w:val="Text"/>
      </w:pPr>
      <w:r>
        <w:t xml:space="preserve">To discuss </w:t>
      </w:r>
      <w:r w:rsidRPr="00283841">
        <w:t xml:space="preserve">the </w:t>
      </w:r>
      <w:r>
        <w:t xml:space="preserve">policies and practices universities that employ in respect of attracting and supporting VET award-holders on VET-HE pathways, the research team undertook an analysis of institutional policies and practices. </w:t>
      </w:r>
    </w:p>
    <w:p w:rsidR="002D0A07" w:rsidRDefault="002D0A07" w:rsidP="002D0A07">
      <w:pPr>
        <w:pStyle w:val="Heading2"/>
      </w:pPr>
      <w:bookmarkStart w:id="140" w:name="_Toc349839007"/>
      <w:bookmarkStart w:id="141" w:name="_Toc358384135"/>
      <w:bookmarkStart w:id="142" w:name="_Toc370995898"/>
      <w:r>
        <w:t>Method</w:t>
      </w:r>
      <w:bookmarkEnd w:id="140"/>
      <w:bookmarkEnd w:id="141"/>
      <w:bookmarkEnd w:id="142"/>
    </w:p>
    <w:p w:rsidR="002D0A07" w:rsidRDefault="002D0A07" w:rsidP="002D0A07">
      <w:pPr>
        <w:pStyle w:val="Text"/>
      </w:pPr>
      <w:r>
        <w:t xml:space="preserve">Data on institutional policies and pathways were collected through a survey of universities and interviews with key personnel as well as the analysis of institutional documents and websites. </w:t>
      </w:r>
    </w:p>
    <w:p w:rsidR="002D0A07" w:rsidRDefault="002D0A07" w:rsidP="002D0A07">
      <w:pPr>
        <w:pStyle w:val="Text"/>
      </w:pPr>
      <w:r>
        <w:t xml:space="preserve">The survey of institutions was administered through an email sent to Vice Chancellors of all 37 of the Australian universities in this study (see Appendix A.3) in May – June 2012. The six questions focused on: institutional policies and institutional practices in relation to VET-HE pathways;, the support provided to students admitted on the basis of VET studies; and the monitoring of outcomes for these students. </w:t>
      </w:r>
    </w:p>
    <w:p w:rsidR="002D0A07" w:rsidRDefault="002D0A07" w:rsidP="002D0A07">
      <w:pPr>
        <w:pStyle w:val="Text"/>
      </w:pPr>
      <w:r>
        <w:t>A total of 20 universities (54</w:t>
      </w:r>
      <w:r w:rsidR="00CA146B">
        <w:t>%</w:t>
      </w:r>
      <w:r>
        <w:t>) provided answers to the survey questions: 18 by email and two by phone interview. This response was considered adequate because we received data from a representative number of institutions from each Cluster: three universities in Cluster 1; ten in Cluster 2; and seven universities in Cluster 3. Thus we had a response rate of 43, 62 and 50 per cent, respectively from each cluster. We chose not to follow up with institutions that did not respond as we were conscious of not over-burdening institutions with requests for data, and some institutions indicated that they needed to deal with other matters of a higher priority. For example, the three dual-sector universities in Victoria did not respond to the survey</w:t>
      </w:r>
      <w:r w:rsidR="00C469E4">
        <w:t xml:space="preserve"> and t</w:t>
      </w:r>
      <w:r>
        <w:t xml:space="preserve">he research team was advised by one Vice Chancellor that the Victorian dual-sector universities were not likely to be in a position to respond due to the operational upheaval resulting from recently announced state government funding decisions that impacted on the TAFE sector. </w:t>
      </w:r>
    </w:p>
    <w:p w:rsidR="002D0A07" w:rsidRDefault="002D0A07" w:rsidP="002D0A07">
      <w:pPr>
        <w:pStyle w:val="Text"/>
      </w:pPr>
      <w:r w:rsidRPr="00D01C20">
        <w:t xml:space="preserve">In most cases, </w:t>
      </w:r>
      <w:r>
        <w:t>university</w:t>
      </w:r>
      <w:r w:rsidRPr="00D01C20">
        <w:t xml:space="preserve"> responses </w:t>
      </w:r>
      <w:r>
        <w:t xml:space="preserve">to the survey </w:t>
      </w:r>
      <w:r w:rsidRPr="00D01C20">
        <w:t xml:space="preserve">were </w:t>
      </w:r>
      <w:r>
        <w:t xml:space="preserve">provided by either </w:t>
      </w:r>
      <w:r w:rsidRPr="00D01C20">
        <w:t>the offi</w:t>
      </w:r>
      <w:r>
        <w:t xml:space="preserve">ce of a Pro Vice-Chancellor or </w:t>
      </w:r>
      <w:r w:rsidRPr="00D01C20">
        <w:t>a member of staff whose role was to support VET-HE pathways</w:t>
      </w:r>
      <w:r w:rsidR="005C060A">
        <w:t>.</w:t>
      </w:r>
      <w:r w:rsidRPr="00D01C20">
        <w:t xml:space="preserve"> While some respondents noted that they were unable to convey all the activity in relation to VET-HE pathways within every faculty of the university, all responses conveyed a comprehensive corporate knowledge of their institution’s policies and practices in this area, which met the purpose of the survey.</w:t>
      </w:r>
      <w:r>
        <w:t xml:space="preserve"> Members of the research team also conducted interviews over the phone and in person with a small number of staff employed in universities in each of the three clusters. </w:t>
      </w:r>
    </w:p>
    <w:p w:rsidR="002D0A07" w:rsidRDefault="00CF2698" w:rsidP="002D0A07">
      <w:pPr>
        <w:pStyle w:val="Text"/>
      </w:pPr>
      <w:r>
        <w:t xml:space="preserve">A </w:t>
      </w:r>
      <w:r w:rsidR="002D0A07">
        <w:t xml:space="preserve">thematic analysis of the data </w:t>
      </w:r>
      <w:r>
        <w:t>is presented below</w:t>
      </w:r>
      <w:r w:rsidR="002D0A07">
        <w:t xml:space="preserve">. </w:t>
      </w:r>
    </w:p>
    <w:p w:rsidR="003B0360" w:rsidRDefault="003B0360" w:rsidP="003B0360">
      <w:pPr>
        <w:pStyle w:val="Heading2"/>
      </w:pPr>
      <w:bookmarkStart w:id="143" w:name="_Toc349839008"/>
      <w:bookmarkStart w:id="144" w:name="_Toc358384136"/>
      <w:bookmarkStart w:id="145" w:name="_Toc370995899"/>
      <w:r>
        <w:t>Pathway policies and targets</w:t>
      </w:r>
      <w:bookmarkEnd w:id="143"/>
      <w:bookmarkEnd w:id="144"/>
      <w:bookmarkEnd w:id="145"/>
    </w:p>
    <w:p w:rsidR="003B0360" w:rsidRDefault="003B0360" w:rsidP="003B0360">
      <w:pPr>
        <w:pStyle w:val="Text"/>
      </w:pPr>
      <w:r>
        <w:t xml:space="preserve">In the survey, institutions were asked about any specific policy objectives, including targets that they have regarding the proportion of students admitted to undergraduate programs on the basis of VET studies. While all respondents provided details on a range of relevant policies, only three institutions said that they had targets – one in Cluster 1 and two in Cluster 3. </w:t>
      </w:r>
    </w:p>
    <w:p w:rsidR="003B0360" w:rsidRDefault="003B0360" w:rsidP="003B0360">
      <w:pPr>
        <w:pStyle w:val="Text"/>
      </w:pPr>
      <w:r>
        <w:lastRenderedPageBreak/>
        <w:t xml:space="preserve">A more common response was to describe their university’s broad mission in regard to access and diversity as well as pathways for VET award-holders. This is consistent with PhillipsKPA’s (2006a) observation that, “Institutions with a strong commitment to credit transfer are likely to have missions that emphasise equity and access, student diversity, regional engagement and partnerships” (PhillipsKPA 2006a: iii). For several universities within Clusters 1 and 2, expanding VET admissions is clearly consistent with their established missions that emphasise lifelong learning, inclusiveness and student diversity. However, for other universities it seems that their interest in VET admissions and partnerships has been sparked by recent Federal Government’s policies. </w:t>
      </w:r>
    </w:p>
    <w:p w:rsidR="003B0360" w:rsidRDefault="003B0360" w:rsidP="003B0360">
      <w:pPr>
        <w:pStyle w:val="Heading3"/>
      </w:pPr>
      <w:r>
        <w:t>Influence of government policies</w:t>
      </w:r>
    </w:p>
    <w:p w:rsidR="003B0360" w:rsidRDefault="003B0360" w:rsidP="003B0360">
      <w:pPr>
        <w:pStyle w:val="Text"/>
        <w:ind w:right="0"/>
      </w:pPr>
      <w:r>
        <w:t xml:space="preserve">Institutions reported that their policies in regard to VET award holders had been influenced by Federal policy agendas, including its targets for increased participation of students from low SES and indigenous backgrounds and the availability of funding through the Government’s Higher Education Participation and Partnership Program participation (HEPPP).  </w:t>
      </w:r>
    </w:p>
    <w:p w:rsidR="003B0360" w:rsidRDefault="003B0360" w:rsidP="003B0360">
      <w:pPr>
        <w:spacing w:before="0" w:line="240" w:lineRule="auto"/>
      </w:pPr>
    </w:p>
    <w:p w:rsidR="003B0360" w:rsidRDefault="003B0360" w:rsidP="003B0360">
      <w:pPr>
        <w:pStyle w:val="Quote"/>
      </w:pPr>
      <w:r>
        <w:t xml:space="preserve">...[in a] project funded through the </w:t>
      </w:r>
      <w:r>
        <w:rPr>
          <w:i/>
        </w:rPr>
        <w:t>Higher Education Participation and Partnerships Program</w:t>
      </w:r>
      <w:r>
        <w:t>, [the University] is collaborating with its partner universities and three TAFE Institutes to improve and expand articulation arrangements and other pathways between TAFE and university. By targeting [city’s] most disadvantaged areas, the collaboration will expand opportunities to support key equity groups to engage in and progress along VET-higher education pathways. (Respondent, Cluster 2)</w:t>
      </w:r>
    </w:p>
    <w:p w:rsidR="003B0360" w:rsidRDefault="003B0360" w:rsidP="003B0360">
      <w:pPr>
        <w:spacing w:before="0" w:line="240" w:lineRule="auto"/>
        <w:rPr>
          <w:rFonts w:asciiTheme="minorHAnsi" w:hAnsiTheme="minorHAnsi" w:cstheme="minorHAnsi"/>
          <w:sz w:val="20"/>
        </w:rPr>
      </w:pPr>
    </w:p>
    <w:p w:rsidR="003B0360" w:rsidRDefault="003B0360" w:rsidP="003B0360">
      <w:pPr>
        <w:spacing w:line="300" w:lineRule="exact"/>
      </w:pPr>
      <w:r>
        <w:t xml:space="preserve">Several Cluster 3 institutions reported that they were now interested in VET admissions as a means of boosting their enrolments in equity areas and increasing the diversity of their undergraduate student populations. As one respondent said: </w:t>
      </w:r>
    </w:p>
    <w:p w:rsidR="003B0360" w:rsidRDefault="003B0360" w:rsidP="003B0360">
      <w:pPr>
        <w:pStyle w:val="Quote"/>
      </w:pPr>
      <w:r>
        <w:tab/>
        <w:t>...We have little TAFE. We are not dual sector...we haven’t been in a position where we need to seek students. But we are starting to look at what is possible....arrangements for pathways for indigenous and low SES students.... there is a change here. It’s motivated by funding. We are reacting to initiatives at the Government level. (Respondent, Cluster 3)</w:t>
      </w:r>
    </w:p>
    <w:p w:rsidR="003B0360" w:rsidRDefault="003B0360" w:rsidP="003B0360">
      <w:pPr>
        <w:spacing w:before="0" w:line="240" w:lineRule="auto"/>
        <w:rPr>
          <w:rFonts w:asciiTheme="minorHAnsi" w:hAnsiTheme="minorHAnsi" w:cstheme="minorHAnsi"/>
          <w:sz w:val="20"/>
        </w:rPr>
      </w:pPr>
    </w:p>
    <w:p w:rsidR="003B0360" w:rsidRDefault="003B0360" w:rsidP="003B0360">
      <w:pPr>
        <w:spacing w:line="300" w:lineRule="exact"/>
      </w:pPr>
      <w:r>
        <w:t xml:space="preserve">Many responses were similar in seeing VET-HE pathways as a diversity issue that will assist in increasing enrolments among students who are Indigenous and/or low-socio-economic status. Data from the NCVER (2010;7) report, </w:t>
      </w:r>
      <w:r>
        <w:rPr>
          <w:i/>
        </w:rPr>
        <w:t>Tertiary Education and Training In Australia,</w:t>
      </w:r>
      <w:r>
        <w:t xml:space="preserve"> indicates that there is a higher percentage of full-time Indigenous students in VET institutions compared to higher education (3.9% and 0.9%, respectively).</w:t>
      </w:r>
      <w:r>
        <w:rPr>
          <w:rStyle w:val="FootnoteReference"/>
        </w:rPr>
        <w:footnoteReference w:id="7"/>
      </w:r>
      <w:r>
        <w:t xml:space="preserve"> In addition, the percentage of domestic equivalent full-time students within the most disadvantaged quintile in the Index of Relative Socio-economic Disadvantage is higher for VET than higher education (14.5% and 9.8%, respectively).  A greater proportion of VET compared to higher education students are also from outer regional, remote or very remote regions (14.8% and 4.8%, respectively). </w:t>
      </w:r>
    </w:p>
    <w:p w:rsidR="003B0360" w:rsidRDefault="003B0360" w:rsidP="003B0360">
      <w:pPr>
        <w:spacing w:line="300" w:lineRule="exact"/>
      </w:pPr>
      <w:r>
        <w:t xml:space="preserve">Accordingly, institutions with traditionally low admissions on the basis of VET studies see the potential of VET-HE pathways in addressing issues of diversity and increasing enrolments of Indigenous and low-SES students, particularly through regional campuses. However, Wheelehan (2009) cautions that VET </w:t>
      </w:r>
      <w:r>
        <w:lastRenderedPageBreak/>
        <w:t xml:space="preserve">qualifications play a modest role in facilitating pathways into higher education for low SES students because low SES students are under-represented in the higher level VET qualifications (diplomas and advanced diplomas) that are more likely to give them access to higher education courses (Wheelahan 2009). On the other hand, as shown in this report, almost twice the number of Certificate-holders as Diploma-holders studyat university six months after graduating, due to the higher numbers of VET graduates with qualifications at the Certificate level </w:t>
      </w:r>
      <w:r w:rsidRPr="00DB385D">
        <w:t>(</w:t>
      </w:r>
      <w:r>
        <w:t xml:space="preserve">see Figure 3).  </w:t>
      </w:r>
    </w:p>
    <w:p w:rsidR="003B0360" w:rsidRDefault="003B0360" w:rsidP="003B0360">
      <w:pPr>
        <w:spacing w:line="300" w:lineRule="exact"/>
      </w:pPr>
      <w:r>
        <w:t xml:space="preserve">While many respondents expressed interest in increasing admissions on the basis of VET awards to increase student diversity and meet government participation targets, two universities noted additional benefits of VET-HE pathways: </w:t>
      </w:r>
    </w:p>
    <w:p w:rsidR="003B0360" w:rsidRDefault="003B0360" w:rsidP="003B0360">
      <w:pPr>
        <w:pStyle w:val="Quote"/>
      </w:pPr>
      <w:r>
        <w:t xml:space="preserve"> [University] believes the benefits to students and the university in increasing the number of students from VET ...include: for VET students..a mix of vocational and academic skills that provides greater depth to both and is valued by employers..for HE students..An appreciation of vocational training providing underlying knowledge to academic study. (Respondent, Cluster 3).</w:t>
      </w:r>
    </w:p>
    <w:p w:rsidR="003B0360" w:rsidRDefault="003B0360" w:rsidP="003B0360">
      <w:pPr>
        <w:pStyle w:val="Quote"/>
      </w:pPr>
      <w:r>
        <w:t>One of the four key objectives of...[our] Education Strategic Plan is to: ‘Reform and renew the curriculum to attract, challenge and retain outstanding and diverse students’. [Our} partnership with three TAFE institutes....contribute to the attainment of that objective. [Respondent, Cluster 3]</w:t>
      </w:r>
    </w:p>
    <w:p w:rsidR="003B0360" w:rsidRDefault="003B0360" w:rsidP="003B0360">
      <w:pPr>
        <w:spacing w:line="300" w:lineRule="exact"/>
      </w:pPr>
      <w:r>
        <w:t xml:space="preserve">Although only three institutions had specific targets, most universities provided evidence of taking some steps to increase their admissions on the basis of VET studies.  Few have specific policies about VET pathways but most said they were developing relationships with TAFE institutes. Some also said that increasing VET admissions would help fill a vacuum left by the reduced demand from school leavers for higher education and that pursuing pathways as a response to increased competition in the sector. </w:t>
      </w:r>
    </w:p>
    <w:p w:rsidR="003B0360" w:rsidRDefault="003B0360" w:rsidP="003B0360">
      <w:pPr>
        <w:spacing w:line="300" w:lineRule="exact"/>
      </w:pPr>
      <w:r>
        <w:t xml:space="preserve">Many universities which admit low proportions of students on the basis of a VET award articulated a commitment to VET pathways and partnerships in terms of their citizenship role in their local communities while also noting that increasing pathways for VET graduates was important means by which they can meet Federal Government targets for higher participation by low SES and Indigenous students. </w:t>
      </w:r>
    </w:p>
    <w:p w:rsidR="003B0360" w:rsidRDefault="003B0360" w:rsidP="003B0360">
      <w:pPr>
        <w:pStyle w:val="Heading2"/>
      </w:pPr>
      <w:bookmarkStart w:id="146" w:name="_Toc349839009"/>
      <w:bookmarkStart w:id="147" w:name="_Toc358384137"/>
      <w:bookmarkStart w:id="148" w:name="_Toc370995900"/>
      <w:r>
        <w:t>Institutional practices to support VET-HE pathways</w:t>
      </w:r>
      <w:bookmarkEnd w:id="146"/>
      <w:bookmarkEnd w:id="147"/>
      <w:bookmarkEnd w:id="148"/>
    </w:p>
    <w:p w:rsidR="003B0360" w:rsidRDefault="003B0360" w:rsidP="003B0360">
      <w:pPr>
        <w:pStyle w:val="Text"/>
      </w:pPr>
      <w:r>
        <w:t xml:space="preserve">The AQF (2009), </w:t>
      </w:r>
      <w:r>
        <w:rPr>
          <w:i/>
        </w:rPr>
        <w:t>AQF National Policy and Guidelines on Credit Arrangements</w:t>
      </w:r>
      <w:r>
        <w:t xml:space="preserve">, identified operational guidelines for credit policies and procedures. These guidelines have incorporated the MCEETYA good practice principles in relation to credit transfer and articulation and information provision previously used by universities to guide their development of practices for VET-HE pathways. Many universities mentioned that they were currently examining the ways in which they could meet the expectations of the AQF credit transfer policy and one university described itself as “AQF-compliant”. </w:t>
      </w:r>
    </w:p>
    <w:p w:rsidR="003B0360" w:rsidRDefault="003B0360" w:rsidP="003B0360">
      <w:pPr>
        <w:pStyle w:val="Heading3"/>
      </w:pPr>
      <w:r>
        <w:t>Central leadership and line management</w:t>
      </w:r>
    </w:p>
    <w:p w:rsidR="003B0360" w:rsidRDefault="003B0360" w:rsidP="003B0360">
      <w:pPr>
        <w:pStyle w:val="Text"/>
      </w:pPr>
      <w:r>
        <w:t xml:space="preserve">Having dedicated, central pathway officers, or their equivalent, signals the strength of an institution’s commitment to VET pathways to its faculties, potential students and TAFE partners. A central position or office also provides a focal point for faculties that require support and resources to develop their own initiatives. Central pathways staff can also help to ensure that coherent and cost-effective processes and systems are developed at a whole of institution level. </w:t>
      </w:r>
    </w:p>
    <w:p w:rsidR="003B0360" w:rsidRDefault="003B0360" w:rsidP="003B0360">
      <w:pPr>
        <w:pStyle w:val="Text"/>
      </w:pPr>
      <w:r>
        <w:lastRenderedPageBreak/>
        <w:t>All respondents from the Cluster 1 group of universities reported a high level of central leadership in regard to VET-HE pathways through a dedicated pathway officer/articulation coordinator (or equivalent title) situated in a central division often supported by pathway or credit for prior learning officers in each faculty. For example, one Cluster 1 institution reported having:</w:t>
      </w:r>
    </w:p>
    <w:p w:rsidR="003B0360" w:rsidRDefault="003B0360" w:rsidP="003B0360">
      <w:pPr>
        <w:pStyle w:val="Quote"/>
      </w:pPr>
      <w:r>
        <w:t>... a senior position, the Dean of Studies, whose portfolio includes oversight of TAFE cooperation and agreements; sub-Deans in each Faculty for TAFE pathways; dedicated officers in the Division of Marketing.  The Dean of Studies office includes a team of staff who manage [the University’s] agreements with TAFE Institutes. (Respondent, Cluster 1)</w:t>
      </w:r>
    </w:p>
    <w:p w:rsidR="003B0360" w:rsidRDefault="003B0360" w:rsidP="003B0360">
      <w:pPr>
        <w:pStyle w:val="Text"/>
      </w:pPr>
      <w:r>
        <w:t xml:space="preserve">The commitment of Cluster 1 universities to VET-HE pathways and to forging relationships that deliver them is evident in the number of central staff that these universities reported were involved in pathways and the lines of reporting associated with these positions. For responding universities in Cluster 1, central/dedicated pathway officers reported directly to positions such as the DVC (Academic); DVE (International and Regional Partnerships) and Head of Marketing. </w:t>
      </w:r>
    </w:p>
    <w:p w:rsidR="003B0360" w:rsidRDefault="003B0360" w:rsidP="003B0360">
      <w:pPr>
        <w:spacing w:line="300" w:lineRule="exact"/>
      </w:pPr>
      <w:r>
        <w:t>Among Cluster 2 and Cluster 3 institutions, a smaller percentage (38 and 21</w:t>
      </w:r>
      <w:r w:rsidR="00CA146B">
        <w:t>%</w:t>
      </w:r>
      <w:r>
        <w:t xml:space="preserve">) also reported having a central person or office responsible for pathways, VET partnerships or articulation arrangements. However the line management and reporting relationships were not as clearly defined.  </w:t>
      </w:r>
    </w:p>
    <w:p w:rsidR="003B0360" w:rsidRDefault="003B0360" w:rsidP="003B0360">
      <w:pPr>
        <w:pStyle w:val="Heading3"/>
      </w:pPr>
      <w:r>
        <w:t>Pathways agreements</w:t>
      </w:r>
    </w:p>
    <w:p w:rsidR="003B0360" w:rsidRDefault="003B0360" w:rsidP="003B0360">
      <w:pPr>
        <w:spacing w:line="300" w:lineRule="exact"/>
      </w:pPr>
      <w:r>
        <w:t>The survey of universities indicated considerable variation in the number and types of agreements that universities have with the VET sector, the forms of pathways they have developed, and their credit granting and admission practices. The latter in particular reflect different views within clusters of universities about the extent to which VET qualifications prepare students for success in higher education.</w:t>
      </w:r>
    </w:p>
    <w:p w:rsidR="003B0360" w:rsidRDefault="003B0360" w:rsidP="003B0360">
      <w:pPr>
        <w:spacing w:line="300" w:lineRule="exact"/>
      </w:pPr>
      <w:r>
        <w:t xml:space="preserve">A number of universities in both Cluster 1 and 2 reported a comprehensive range of agreements including:  state-wide agreements with institutions such as TAFE NSW, TAFE SA and TAFE QLD; international articulation pathway agreements and domestic agreements with various RTOs. In addition they may have pathways through their own RTOs, dual awards and guaranteed entry arrangements. </w:t>
      </w:r>
      <w:r>
        <w:rPr>
          <w:szCs w:val="19"/>
        </w:rPr>
        <w:t>Typically, those with their own RTOs had arrangements that enable students to exit with an associate degree or articulate into a Bachelor degree at the institution. In discussing their pathway practices, some survey respondents referred to relevant agreements. While it is not possible from the data to provide an in-depth comparison of the efficacy of these agreements, examples are provided below to illustrate the influence of these agreements at the operational level.</w:t>
      </w:r>
    </w:p>
    <w:p w:rsidR="003B0360" w:rsidRDefault="003B0360" w:rsidP="003B0360">
      <w:pPr>
        <w:pStyle w:val="Heading3"/>
      </w:pPr>
      <w:r>
        <w:t>Admissions policies and practices</w:t>
      </w:r>
    </w:p>
    <w:p w:rsidR="003B0360" w:rsidRDefault="003B0360" w:rsidP="003B0360">
      <w:pPr>
        <w:pStyle w:val="Text"/>
      </w:pPr>
      <w:r>
        <w:t xml:space="preserve">The Cluster 1 institutions who responded to the survey all have specific policies about VET admissions.  For example, one university responded that it had: </w:t>
      </w:r>
    </w:p>
    <w:p w:rsidR="003B0360" w:rsidRDefault="003B0360" w:rsidP="003B0360">
      <w:pPr>
        <w:pStyle w:val="Quote"/>
      </w:pPr>
      <w:r>
        <w:t>.... quantitative growth targets in relation to</w:t>
      </w:r>
      <w:r>
        <w:rPr>
          <w:rFonts w:asciiTheme="minorHAnsi" w:hAnsiTheme="minorHAnsi" w:cstheme="minorHAnsi"/>
          <w:sz w:val="20"/>
        </w:rPr>
        <w:t xml:space="preserve"> </w:t>
      </w:r>
      <w:r>
        <w:t>growing first round VTAC offers for TAFE pathway students; increasing enrolments from identified low SES regions via TAFE partners; growing domestic and international students coming via TAFE partners (Respondent, Cluster 1)</w:t>
      </w:r>
    </w:p>
    <w:p w:rsidR="003B0360" w:rsidRDefault="003B0360" w:rsidP="003B0360">
      <w:pPr>
        <w:spacing w:before="0" w:line="240" w:lineRule="auto"/>
        <w:rPr>
          <w:rFonts w:cstheme="minorHAnsi"/>
          <w:sz w:val="20"/>
        </w:rPr>
      </w:pPr>
    </w:p>
    <w:p w:rsidR="003B0360" w:rsidRDefault="003B0360" w:rsidP="003B0360">
      <w:pPr>
        <w:spacing w:before="0" w:line="300" w:lineRule="auto"/>
      </w:pPr>
      <w:r>
        <w:t xml:space="preserve">Similarly, several Cluster 2 universities had some policies around VET admissions and most had partnerships with VET institutions particularly in their local region: </w:t>
      </w:r>
    </w:p>
    <w:p w:rsidR="003B0360" w:rsidRDefault="003B0360" w:rsidP="003B0360">
      <w:pPr>
        <w:pStyle w:val="Quote"/>
      </w:pPr>
      <w:r>
        <w:t>Given our location in [region] we engage with VET providers to design pathways for Cert. IV and diploma students for all three campuses (Respondent, Cluster 2)</w:t>
      </w:r>
    </w:p>
    <w:p w:rsidR="003B0360" w:rsidRDefault="003B0360" w:rsidP="003B0360">
      <w:pPr>
        <w:spacing w:line="300" w:lineRule="exact"/>
        <w:rPr>
          <w:szCs w:val="19"/>
          <w:lang w:eastAsia="en-AU"/>
        </w:rPr>
      </w:pPr>
      <w:r>
        <w:rPr>
          <w:szCs w:val="19"/>
        </w:rPr>
        <w:lastRenderedPageBreak/>
        <w:t xml:space="preserve">One Cluster 1 institution reported guaranteed entry (with no credit granted) into many undergraduate programs on the basis of applicants having completed a Certificate IV at any TAFE, private provider or college. Another reported </w:t>
      </w:r>
      <w:r>
        <w:rPr>
          <w:szCs w:val="19"/>
          <w:lang w:eastAsia="en-AU"/>
        </w:rPr>
        <w:t xml:space="preserve">guaranteed entry for Diploma and Advanced Diploma TAFE graduates who have completed their TAFE qualification within the last 10 years. In both these cases, the VET qualifications did not have to be relevant to the field of education in which students seek admission. </w:t>
      </w:r>
    </w:p>
    <w:p w:rsidR="003B0360" w:rsidRDefault="003B0360" w:rsidP="003B0360">
      <w:pPr>
        <w:spacing w:line="300" w:lineRule="exact"/>
      </w:pPr>
      <w:r>
        <w:rPr>
          <w:lang w:eastAsia="en-AU"/>
        </w:rPr>
        <w:t>Most other institutions offered more limited g</w:t>
      </w:r>
      <w:r>
        <w:t xml:space="preserve">uaranteed entry provisions, to VET graduates with Certificate IV, Diploma or Advanced Diploma qualifications </w:t>
      </w:r>
      <w:r>
        <w:rPr>
          <w:i/>
        </w:rPr>
        <w:t>from any of their partnership institutions</w:t>
      </w:r>
      <w:r>
        <w:t xml:space="preserve">. Several also made the proviso that students needed to meet the pre-requisites for entry for any particular course. </w:t>
      </w:r>
    </w:p>
    <w:p w:rsidR="003B0360" w:rsidRDefault="003B0360" w:rsidP="003B0360">
      <w:pPr>
        <w:spacing w:line="300" w:lineRule="exact"/>
        <w:rPr>
          <w:rFonts w:cstheme="minorHAnsi"/>
          <w:szCs w:val="19"/>
        </w:rPr>
      </w:pPr>
      <w:r>
        <w:rPr>
          <w:rFonts w:cstheme="minorHAnsi"/>
          <w:szCs w:val="19"/>
        </w:rPr>
        <w:t>Some institutions in this investigation provided feedback explaining their admission policies that emphasised the link between admission and credit granting policies and students’ success in higher education. For example:</w:t>
      </w:r>
    </w:p>
    <w:p w:rsidR="003B0360" w:rsidRDefault="003B0360" w:rsidP="003B0360">
      <w:pPr>
        <w:pStyle w:val="Quote"/>
      </w:pPr>
      <w:r>
        <w:t>We have found, unsurprisingly, that students with higher level VET qualifications perform much better than those entering with a Certificate IV.  It is one of the reasons that our dual offer scheme is targeted to Diploma and Advanced Diploma qualifications. (Respondent, Cluster 3)</w:t>
      </w:r>
    </w:p>
    <w:p w:rsidR="003B0360" w:rsidRDefault="003B0360" w:rsidP="003B0360">
      <w:pPr>
        <w:pStyle w:val="Heading3"/>
      </w:pPr>
      <w:r>
        <w:t>Credit Transfer policies and practices</w:t>
      </w:r>
    </w:p>
    <w:p w:rsidR="003B0360" w:rsidRDefault="003B0360" w:rsidP="003B0360">
      <w:pPr>
        <w:spacing w:line="300" w:lineRule="exact"/>
        <w:rPr>
          <w:lang w:eastAsia="en-AU"/>
        </w:rPr>
      </w:pPr>
      <w:r>
        <w:rPr>
          <w:lang w:eastAsia="en-AU"/>
        </w:rPr>
        <w:t>The AQF (2009; 13) suggests general credit values for AQF qualifications which universities can use to guide their determination of how much credit to grant. For example, it suggests a minimum credit value of 50 per cent for an Advanced Diploma linked to a three year Bachelor (in the same education fields). However, universities can choose credit levels greater or less than the recommended level and most present their policies in the following terms:</w:t>
      </w:r>
    </w:p>
    <w:p w:rsidR="003B0360" w:rsidRDefault="003B0360" w:rsidP="003B0360">
      <w:pPr>
        <w:pStyle w:val="Quote"/>
        <w:rPr>
          <w:lang w:eastAsia="en-AU"/>
        </w:rPr>
      </w:pPr>
      <w:r>
        <w:rPr>
          <w:rFonts w:cstheme="minorHAnsi"/>
          <w:szCs w:val="19"/>
        </w:rPr>
        <w:t xml:space="preserve">[The University] </w:t>
      </w:r>
      <w:r>
        <w:rPr>
          <w:lang w:eastAsia="en-AU"/>
        </w:rPr>
        <w:t>has a formal articulation agreement with TAFE [State]. If you completed an Australian Qualifications Framework (AQF) Diploma or Advanced Diploma within the last five years, and are enrolled in a [University] program in the same or a directly relevant discipline area, you may be eligible to receive credit towards your program. [Internal university document, Cluster 3]</w:t>
      </w:r>
    </w:p>
    <w:p w:rsidR="003B0360" w:rsidRDefault="003B0360" w:rsidP="003B0360">
      <w:pPr>
        <w:spacing w:line="300" w:lineRule="exact"/>
      </w:pPr>
      <w:r>
        <w:t xml:space="preserve">Many universities, more typically those in Cluster 3, have a suite of even tighter conditions: neither admission nor credit is guaranteed; there is an expectation that the VET qualification was completed in a more recent time frame; and students must be enrolled in the same or a relevant discipline area. </w:t>
      </w:r>
      <w:r w:rsidRPr="009D3E88">
        <w:t xml:space="preserve"> The universities with more restrictive admissions policies typically have maximum entry ranks or ATARs that they calculate for AQF Certificate III through to AQF Diplomas, and many require the VET award-holder to have received a graded assessment for some or all of their VET studies.</w:t>
      </w:r>
      <w:r>
        <w:t xml:space="preserve"> T</w:t>
      </w:r>
      <w:r w:rsidRPr="00310BD1">
        <w:t>he justification for restrictive credit transfer policies is usually provided in terms of the expectations of the field of study and/or not wanting to “set (VET) students up to fail”.</w:t>
      </w:r>
    </w:p>
    <w:p w:rsidR="003B0360" w:rsidRDefault="003B0360" w:rsidP="003B0360">
      <w:pPr>
        <w:pStyle w:val="Quote"/>
      </w:pPr>
      <w:r>
        <w:t>Many bachelor level courses at [University] require a very specialised disciplinary focus from year one, e.g. Science, Engineering, Design. This makes it difficult to match content from a VET award with the [University] award and thus give credit recognition. (Respondent, Cluster 2).</w:t>
      </w:r>
    </w:p>
    <w:p w:rsidR="003B0360" w:rsidRDefault="003B0360" w:rsidP="003B0360">
      <w:pPr>
        <w:pStyle w:val="Quote"/>
      </w:pPr>
      <w:r>
        <w:t>...staff are very concerned about not disadvantaging students and setting them up to fail, so they need to be sure that if students are exempted from a subject at [University]  because of their VET qualification, they have acquired the knowledge in their VET studies to progress satisfactorily... (Respondent, Cluster 2)</w:t>
      </w:r>
    </w:p>
    <w:p w:rsidR="003B0360" w:rsidRDefault="003B0360" w:rsidP="003B0360">
      <w:pPr>
        <w:spacing w:line="300" w:lineRule="exact"/>
        <w:rPr>
          <w:color w:val="000000" w:themeColor="text1"/>
          <w:lang w:eastAsia="en-AU"/>
        </w:rPr>
      </w:pPr>
      <w:r>
        <w:lastRenderedPageBreak/>
        <w:t>Without access to</w:t>
      </w:r>
      <w:r w:rsidRPr="00310BD1">
        <w:t xml:space="preserve"> Commonwealth-held administrative data on student completions (a limitation of this study acknowledged in the Introduction to this report), the authors are unable to assess the extent to which more restrictive admission policies towards VET award-holders contribute to improved graduation rates</w:t>
      </w:r>
      <w:r>
        <w:t xml:space="preserve">. However the justification for restrictive credit transfer policies in terms of the expectations of the field of study and/or not wanting to “set (VET) students up to fail” suggest that some universities still have little or no understanding of the ways in which VET-HE pathways can address such issues. Articulated programs and dual awards, for example, were mentioned by respondents from Clusters 1 and 2 in very positive terms. Dual awards (or dual offers) are arrangements whereby students receive an offer that </w:t>
      </w:r>
      <w:r>
        <w:rPr>
          <w:color w:val="000000" w:themeColor="text1"/>
          <w:lang w:eastAsia="en-AU"/>
        </w:rPr>
        <w:t xml:space="preserve">provides a place in both of the partnership institutions’ programs, and upon successful completion of the VET award, the student is guaranteed direct entry into the University’s undergraduate program. </w:t>
      </w:r>
    </w:p>
    <w:p w:rsidR="003B0360" w:rsidRDefault="003B0360" w:rsidP="003B0360">
      <w:pPr>
        <w:spacing w:line="300" w:lineRule="exact"/>
      </w:pPr>
      <w:r>
        <w:t>In the absence of structured VET-HE pathways, the default position for universities is to invite VET award-holders to apply for admission to a university on the basis of their completed VET qualification (Certificate IV and above) and to apply for credit points. This process requires some understanding of the applicant’s previous studies and can involve a resource intensive mapping of VET subjects to university courses. For the applicant, the granting of credit is not normally guaranteed and is determined on a case by case basis:</w:t>
      </w:r>
    </w:p>
    <w:p w:rsidR="003B0360" w:rsidRDefault="003B0360" w:rsidP="003B0360">
      <w:pPr>
        <w:pStyle w:val="Quote"/>
      </w:pPr>
      <w:r>
        <w:t>However, unless there is a specific agreement in place with the VET provider or with an identified award, each applicant is subject to scrutiny on a case by case basis to ensure that the applicant's achievements match up with knowledge embedded in core units. (Respondent, Cluster 3)</w:t>
      </w:r>
    </w:p>
    <w:p w:rsidR="003B0360" w:rsidRDefault="003B0360" w:rsidP="003B0360">
      <w:pPr>
        <w:spacing w:line="300" w:lineRule="exact"/>
      </w:pPr>
      <w:r>
        <w:t xml:space="preserve">In summary, universities in Cluster 1 (non dual sector in particular) and some in Cluster 2 tend to have comprehensive set of Memoranda of Understanding (MOU) with numerous VET institutions that specify a range of articulated VET-HE pathways. Those in Cluster 3 tend to have only a few active articulation pathways although some are well-established and deliver considerable number of students in particular fields of education. There is considerable variation in the levels of VET award used in admission and the stringency of entry requirements for individual courses. </w:t>
      </w:r>
    </w:p>
    <w:p w:rsidR="003B0360" w:rsidRDefault="003B0360" w:rsidP="003B0360">
      <w:pPr>
        <w:pStyle w:val="Heading3"/>
      </w:pPr>
      <w:r>
        <w:t xml:space="preserve">Information provision </w:t>
      </w:r>
    </w:p>
    <w:p w:rsidR="003B0360" w:rsidRDefault="003B0360" w:rsidP="003B0360">
      <w:pPr>
        <w:spacing w:line="300" w:lineRule="exact"/>
      </w:pPr>
      <w:r>
        <w:t xml:space="preserve">The AQF (2009) guidelines state that universities should promote their current credit arrangements to potential students and other stakeholders. The guidelines list the key attributes of effective information provision and credit systems, such as accessibility, transparency, comprehensiveness and currency. While information provision can take several forms and be delivered through different forums, University websites are critical in communicating with students about pathways and credit arrangements and procedures. As PhillipsKPA (2006b, iv) states:  </w:t>
      </w:r>
    </w:p>
    <w:p w:rsidR="003B0360" w:rsidRDefault="003B0360" w:rsidP="003B0360">
      <w:pPr>
        <w:pStyle w:val="Quote"/>
      </w:pPr>
      <w:r>
        <w:t>Websites play a key role in promotion and information provision to prospective students, and credit transfer arrangements need to be displayed prominently on the part of institutional websites directed towards prospective students. Web-based information about credit transfer arrangements must be supplemented by prominent and up-to-date information in all other forms of promotional material." (PhillipsKPA, 2006b, iv)</w:t>
      </w:r>
    </w:p>
    <w:p w:rsidR="003B0360" w:rsidRDefault="003B0360" w:rsidP="003B0360">
      <w:pPr>
        <w:spacing w:line="300" w:lineRule="exact"/>
      </w:pPr>
      <w:r>
        <w:t>Drawing on PhillipsKPA (2006b), effective websites for communicating about VET-HE pathways and credit arrangements can be summarised as having eight key features. Effective websites are:</w:t>
      </w:r>
    </w:p>
    <w:p w:rsidR="003B0360" w:rsidRDefault="003B0360" w:rsidP="003B0360">
      <w:pPr>
        <w:pStyle w:val="ListParagraph"/>
        <w:numPr>
          <w:ilvl w:val="0"/>
          <w:numId w:val="44"/>
        </w:numPr>
        <w:spacing w:line="300" w:lineRule="exact"/>
        <w:ind w:left="1434" w:hanging="357"/>
      </w:pPr>
      <w:r>
        <w:t>readily accessible from the webpage specifically for prospective students, which in turn is accessible from the institution home page</w:t>
      </w:r>
    </w:p>
    <w:p w:rsidR="003B0360" w:rsidRDefault="003B0360" w:rsidP="003B0360">
      <w:pPr>
        <w:pStyle w:val="ListParagraph"/>
        <w:numPr>
          <w:ilvl w:val="0"/>
          <w:numId w:val="44"/>
        </w:numPr>
        <w:spacing w:line="300" w:lineRule="exact"/>
      </w:pPr>
      <w:r>
        <w:t>designed to be attractive and user-friendly to students</w:t>
      </w:r>
    </w:p>
    <w:p w:rsidR="003B0360" w:rsidRDefault="003B0360" w:rsidP="003B0360">
      <w:pPr>
        <w:pStyle w:val="ListParagraph"/>
        <w:numPr>
          <w:ilvl w:val="0"/>
          <w:numId w:val="44"/>
        </w:numPr>
        <w:spacing w:line="300" w:lineRule="exact"/>
      </w:pPr>
      <w:r>
        <w:lastRenderedPageBreak/>
        <w:t>free of jargon, with clear definitions and consistent use of terminology</w:t>
      </w:r>
    </w:p>
    <w:p w:rsidR="003B0360" w:rsidRDefault="003B0360" w:rsidP="003B0360">
      <w:pPr>
        <w:pStyle w:val="ListParagraph"/>
        <w:numPr>
          <w:ilvl w:val="0"/>
          <w:numId w:val="44"/>
        </w:numPr>
        <w:spacing w:line="300" w:lineRule="exact"/>
      </w:pPr>
      <w:r>
        <w:t>clear about the nature of credit which will be granted for various courses based on a range of VTE qualifications</w:t>
      </w:r>
    </w:p>
    <w:p w:rsidR="003B0360" w:rsidRDefault="003B0360" w:rsidP="003B0360">
      <w:pPr>
        <w:pStyle w:val="ListParagraph"/>
        <w:numPr>
          <w:ilvl w:val="0"/>
          <w:numId w:val="44"/>
        </w:numPr>
        <w:spacing w:line="300" w:lineRule="exact"/>
      </w:pPr>
      <w:r>
        <w:t>searchable using either a VTE course or higher education course or discipline as a starting point</w:t>
      </w:r>
    </w:p>
    <w:p w:rsidR="003B0360" w:rsidRDefault="003B0360" w:rsidP="003B0360">
      <w:pPr>
        <w:pStyle w:val="ListParagraph"/>
        <w:numPr>
          <w:ilvl w:val="0"/>
          <w:numId w:val="44"/>
        </w:numPr>
        <w:spacing w:line="300" w:lineRule="exact"/>
      </w:pPr>
      <w:r>
        <w:t>linked to application forms and details of application and admission procedures</w:t>
      </w:r>
    </w:p>
    <w:p w:rsidR="003B0360" w:rsidRDefault="003B0360" w:rsidP="003B0360">
      <w:pPr>
        <w:pStyle w:val="ListParagraph"/>
        <w:numPr>
          <w:ilvl w:val="0"/>
          <w:numId w:val="44"/>
        </w:numPr>
        <w:spacing w:line="300" w:lineRule="exact"/>
      </w:pPr>
      <w:r>
        <w:t>specific about a single contact point for further information and assistance</w:t>
      </w:r>
    </w:p>
    <w:p w:rsidR="003B0360" w:rsidRDefault="003B0360" w:rsidP="003B0360">
      <w:pPr>
        <w:pStyle w:val="ListParagraph"/>
        <w:numPr>
          <w:ilvl w:val="0"/>
          <w:numId w:val="44"/>
        </w:numPr>
        <w:spacing w:line="300" w:lineRule="exact"/>
      </w:pPr>
      <w:r>
        <w:t>current, with an explicit mechanism to maintain the website</w:t>
      </w:r>
    </w:p>
    <w:p w:rsidR="003B0360" w:rsidRDefault="003B0360" w:rsidP="003B0360">
      <w:pPr>
        <w:pStyle w:val="ListParagraph"/>
        <w:ind w:left="360"/>
      </w:pPr>
    </w:p>
    <w:p w:rsidR="003B0360" w:rsidRDefault="003B0360" w:rsidP="003B0360">
      <w:pPr>
        <w:spacing w:line="300" w:lineRule="exact"/>
      </w:pPr>
      <w:r>
        <w:t xml:space="preserve">From a scan of institutional websites, we note that most universities comply with the above criteria in making credit information available through their websites and providing information to students about application and appeals processes. However, universities in Cluster 1 tend to have websites that include more advanced features such as a searchable ‘credit precedent’ data base, online application forms, online inquiry forms and links to specific support and information for potential students for admission on the basis of VET. </w:t>
      </w:r>
      <w:r>
        <w:rPr>
          <w:shd w:val="clear" w:color="auto" w:fill="FFFFFF" w:themeFill="background1"/>
        </w:rPr>
        <w:t>Further, reference to TAFE students</w:t>
      </w:r>
      <w:r>
        <w:rPr>
          <w:rStyle w:val="FootnoteReference"/>
          <w:shd w:val="clear" w:color="auto" w:fill="FFFFFF" w:themeFill="background1"/>
        </w:rPr>
        <w:footnoteReference w:id="8"/>
      </w:r>
      <w:r>
        <w:rPr>
          <w:shd w:val="clear" w:color="auto" w:fill="FFFFFF" w:themeFill="background1"/>
        </w:rPr>
        <w:t xml:space="preserve"> is easily found on the home page of the university’s website and further information in one or two links from the home page.</w:t>
      </w:r>
      <w:r>
        <w:t xml:space="preserve"> As an example, the structure of the Charles Sturt University website is outlined in Figure </w:t>
      </w:r>
      <w:r w:rsidR="00F25F02">
        <w:t>8</w:t>
      </w:r>
      <w:r>
        <w:t>.</w:t>
      </w:r>
    </w:p>
    <w:p w:rsidR="003B0360" w:rsidRDefault="003B0360" w:rsidP="003B0360">
      <w:pPr>
        <w:pStyle w:val="Figuretitle"/>
      </w:pPr>
      <w:bookmarkStart w:id="149" w:name="_Toc349839118"/>
      <w:bookmarkStart w:id="150" w:name="_Toc370995943"/>
      <w:r>
        <w:t xml:space="preserve">Figure </w:t>
      </w:r>
      <w:r w:rsidR="003E15EB">
        <w:t>8</w:t>
      </w:r>
      <w:r>
        <w:tab/>
        <w:t>Structure of Charles Sturt University Website</w:t>
      </w:r>
      <w:bookmarkEnd w:id="149"/>
      <w:bookmarkEnd w:id="150"/>
    </w:p>
    <w:p w:rsidR="003B0360" w:rsidRDefault="004F3869" w:rsidP="003B0360">
      <w:r>
        <w:pict>
          <v:shape id="_x0000_s1049" type="#_x0000_t202" style="position:absolute;margin-left:7.95pt;margin-top:15.4pt;width:112.2pt;height:33.6pt;z-index:251662336">
            <v:textbox style="mso-next-textbox:#_x0000_s1049">
              <w:txbxContent>
                <w:p w:rsidR="005F3AC0" w:rsidRDefault="005F3AC0" w:rsidP="003B0360">
                  <w:pPr>
                    <w:spacing w:before="120"/>
                    <w:jc w:val="center"/>
                    <w:rPr>
                      <w:sz w:val="20"/>
                    </w:rPr>
                  </w:pPr>
                  <w:r>
                    <w:rPr>
                      <w:sz w:val="20"/>
                    </w:rPr>
                    <w:t>Home Page</w:t>
                  </w:r>
                </w:p>
                <w:p w:rsidR="005F3AC0" w:rsidRDefault="005F3AC0" w:rsidP="003B0360"/>
              </w:txbxContent>
            </v:textbox>
          </v:shape>
        </w:pict>
      </w: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margin-left:128.55pt;margin-top:19.9pt;width:36.6pt;height:21.6pt;z-index:251663360"/>
        </w:pict>
      </w:r>
      <w:r>
        <w:pict>
          <v:shape id="_x0000_s1051" type="#_x0000_t202" style="position:absolute;margin-left:172.35pt;margin-top:58.9pt;width:124.8pt;height:168.6pt;z-index:251664384">
            <v:textbox style="mso-next-textbox:#_x0000_s1051">
              <w:txbxContent>
                <w:p w:rsidR="005F3AC0" w:rsidRDefault="005F3AC0" w:rsidP="003B0360">
                  <w:pPr>
                    <w:pStyle w:val="ListParagraph"/>
                    <w:numPr>
                      <w:ilvl w:val="0"/>
                      <w:numId w:val="45"/>
                    </w:numPr>
                    <w:spacing w:before="80"/>
                    <w:ind w:left="142" w:hanging="142"/>
                    <w:rPr>
                      <w:sz w:val="16"/>
                      <w:szCs w:val="16"/>
                    </w:rPr>
                  </w:pPr>
                  <w:r>
                    <w:rPr>
                      <w:sz w:val="16"/>
                      <w:szCs w:val="16"/>
                    </w:rPr>
                    <w:t xml:space="preserve">CS@CSU </w:t>
                  </w:r>
                </w:p>
                <w:p w:rsidR="005F3AC0" w:rsidRDefault="005F3AC0" w:rsidP="003B0360">
                  <w:pPr>
                    <w:pStyle w:val="ListParagraph"/>
                    <w:numPr>
                      <w:ilvl w:val="0"/>
                      <w:numId w:val="45"/>
                    </w:numPr>
                    <w:ind w:left="142" w:hanging="142"/>
                    <w:rPr>
                      <w:sz w:val="16"/>
                      <w:szCs w:val="16"/>
                    </w:rPr>
                  </w:pPr>
                  <w:r>
                    <w:rPr>
                      <w:sz w:val="16"/>
                      <w:szCs w:val="16"/>
                    </w:rPr>
                    <w:t>Credit and guaranteed entry</w:t>
                  </w:r>
                </w:p>
                <w:p w:rsidR="005F3AC0" w:rsidRDefault="005F3AC0" w:rsidP="003B0360">
                  <w:pPr>
                    <w:pStyle w:val="ListParagraph"/>
                    <w:numPr>
                      <w:ilvl w:val="0"/>
                      <w:numId w:val="45"/>
                    </w:numPr>
                    <w:ind w:left="142" w:hanging="142"/>
                    <w:rPr>
                      <w:sz w:val="16"/>
                      <w:szCs w:val="16"/>
                    </w:rPr>
                  </w:pPr>
                  <w:r>
                    <w:rPr>
                      <w:sz w:val="16"/>
                      <w:szCs w:val="16"/>
                    </w:rPr>
                    <w:t>Pathway programs and courses</w:t>
                  </w:r>
                </w:p>
                <w:p w:rsidR="005F3AC0" w:rsidRDefault="005F3AC0" w:rsidP="003B0360">
                  <w:pPr>
                    <w:pStyle w:val="ListParagraph"/>
                    <w:numPr>
                      <w:ilvl w:val="0"/>
                      <w:numId w:val="45"/>
                    </w:numPr>
                    <w:ind w:left="142" w:hanging="142"/>
                    <w:rPr>
                      <w:sz w:val="16"/>
                      <w:szCs w:val="16"/>
                    </w:rPr>
                  </w:pPr>
                  <w:r>
                    <w:rPr>
                      <w:sz w:val="16"/>
                      <w:szCs w:val="16"/>
                    </w:rPr>
                    <w:t>Events</w:t>
                  </w:r>
                </w:p>
                <w:p w:rsidR="005F3AC0" w:rsidRDefault="005F3AC0" w:rsidP="003B0360">
                  <w:pPr>
                    <w:pStyle w:val="ListParagraph"/>
                    <w:numPr>
                      <w:ilvl w:val="0"/>
                      <w:numId w:val="45"/>
                    </w:numPr>
                    <w:ind w:left="142" w:hanging="142"/>
                    <w:rPr>
                      <w:sz w:val="16"/>
                      <w:szCs w:val="16"/>
                    </w:rPr>
                  </w:pPr>
                  <w:r>
                    <w:rPr>
                      <w:sz w:val="16"/>
                      <w:szCs w:val="16"/>
                    </w:rPr>
                    <w:t>Scholarships</w:t>
                  </w:r>
                </w:p>
                <w:p w:rsidR="005F3AC0" w:rsidRDefault="005F3AC0" w:rsidP="003B0360">
                  <w:pPr>
                    <w:pStyle w:val="ListParagraph"/>
                    <w:numPr>
                      <w:ilvl w:val="0"/>
                      <w:numId w:val="45"/>
                    </w:numPr>
                    <w:ind w:left="142" w:hanging="142"/>
                    <w:rPr>
                      <w:sz w:val="16"/>
                      <w:szCs w:val="16"/>
                    </w:rPr>
                  </w:pPr>
                  <w:r>
                    <w:rPr>
                      <w:sz w:val="16"/>
                      <w:szCs w:val="16"/>
                    </w:rPr>
                    <w:t>International students from TAFE</w:t>
                  </w:r>
                </w:p>
                <w:p w:rsidR="005F3AC0" w:rsidRDefault="005F3AC0" w:rsidP="003B0360">
                  <w:pPr>
                    <w:pStyle w:val="ListParagraph"/>
                    <w:numPr>
                      <w:ilvl w:val="0"/>
                      <w:numId w:val="45"/>
                    </w:numPr>
                    <w:ind w:left="142" w:hanging="142"/>
                    <w:rPr>
                      <w:sz w:val="16"/>
                      <w:szCs w:val="16"/>
                    </w:rPr>
                  </w:pPr>
                  <w:r>
                    <w:rPr>
                      <w:sz w:val="16"/>
                      <w:szCs w:val="16"/>
                    </w:rPr>
                    <w:t>TAFE partners and supporters</w:t>
                  </w:r>
                </w:p>
                <w:p w:rsidR="005F3AC0" w:rsidRDefault="005F3AC0" w:rsidP="003B0360">
                  <w:pPr>
                    <w:pStyle w:val="ListParagraph"/>
                    <w:numPr>
                      <w:ilvl w:val="0"/>
                      <w:numId w:val="45"/>
                    </w:numPr>
                    <w:ind w:left="142" w:hanging="142"/>
                    <w:rPr>
                      <w:sz w:val="16"/>
                      <w:szCs w:val="16"/>
                    </w:rPr>
                  </w:pPr>
                  <w:r>
                    <w:rPr>
                      <w:sz w:val="16"/>
                      <w:szCs w:val="16"/>
                    </w:rPr>
                    <w:t>FAQs</w:t>
                  </w:r>
                </w:p>
                <w:p w:rsidR="005F3AC0" w:rsidRDefault="005F3AC0" w:rsidP="003B0360">
                  <w:pPr>
                    <w:pStyle w:val="ListParagraph"/>
                    <w:numPr>
                      <w:ilvl w:val="0"/>
                      <w:numId w:val="45"/>
                    </w:numPr>
                    <w:ind w:left="142" w:hanging="142"/>
                    <w:rPr>
                      <w:sz w:val="16"/>
                      <w:szCs w:val="16"/>
                    </w:rPr>
                  </w:pPr>
                  <w:r>
                    <w:rPr>
                      <w:sz w:val="16"/>
                      <w:szCs w:val="16"/>
                    </w:rPr>
                    <w:t>Enquiry</w:t>
                  </w:r>
                </w:p>
              </w:txbxContent>
            </v:textbox>
          </v:shape>
        </w:pict>
      </w:r>
      <w:r>
        <w:pict>
          <v:shape id="_x0000_s1052" type="#_x0000_t202" style="position:absolute;margin-left:7.95pt;margin-top:58.9pt;width:112.2pt;height:168.6pt;z-index:251665408">
            <v:textbox>
              <w:txbxContent>
                <w:p w:rsidR="005F3AC0" w:rsidRDefault="005F3AC0" w:rsidP="003B0360">
                  <w:pPr>
                    <w:spacing w:before="80"/>
                    <w:rPr>
                      <w:sz w:val="16"/>
                      <w:szCs w:val="16"/>
                    </w:rPr>
                  </w:pPr>
                  <w:r>
                    <w:rPr>
                      <w:sz w:val="16"/>
                      <w:szCs w:val="16"/>
                    </w:rPr>
                    <w:t>Information for:</w:t>
                  </w:r>
                </w:p>
                <w:p w:rsidR="005F3AC0" w:rsidRDefault="005F3AC0" w:rsidP="003B0360">
                  <w:pPr>
                    <w:pStyle w:val="ListParagraph"/>
                    <w:numPr>
                      <w:ilvl w:val="0"/>
                      <w:numId w:val="46"/>
                    </w:numPr>
                    <w:ind w:left="142" w:hanging="142"/>
                    <w:rPr>
                      <w:sz w:val="16"/>
                      <w:szCs w:val="16"/>
                    </w:rPr>
                  </w:pPr>
                  <w:r>
                    <w:rPr>
                      <w:sz w:val="16"/>
                      <w:szCs w:val="16"/>
                    </w:rPr>
                    <w:t>Future students</w:t>
                  </w:r>
                </w:p>
                <w:p w:rsidR="005F3AC0" w:rsidRDefault="005F3AC0" w:rsidP="003B0360">
                  <w:pPr>
                    <w:pStyle w:val="ListParagraph"/>
                    <w:numPr>
                      <w:ilvl w:val="0"/>
                      <w:numId w:val="46"/>
                    </w:numPr>
                    <w:ind w:left="142" w:hanging="142"/>
                    <w:rPr>
                      <w:sz w:val="16"/>
                      <w:szCs w:val="16"/>
                    </w:rPr>
                  </w:pPr>
                  <w:r>
                    <w:rPr>
                      <w:sz w:val="16"/>
                      <w:szCs w:val="16"/>
                    </w:rPr>
                    <w:t>New students</w:t>
                  </w:r>
                </w:p>
                <w:p w:rsidR="005F3AC0" w:rsidRDefault="005F3AC0" w:rsidP="003B0360">
                  <w:pPr>
                    <w:pStyle w:val="ListParagraph"/>
                    <w:numPr>
                      <w:ilvl w:val="0"/>
                      <w:numId w:val="46"/>
                    </w:numPr>
                    <w:shd w:val="clear" w:color="auto" w:fill="EEECE1" w:themeFill="background2"/>
                    <w:ind w:left="142" w:hanging="142"/>
                    <w:rPr>
                      <w:sz w:val="16"/>
                      <w:szCs w:val="16"/>
                    </w:rPr>
                  </w:pPr>
                  <w:r>
                    <w:rPr>
                      <w:sz w:val="16"/>
                      <w:szCs w:val="16"/>
                    </w:rPr>
                    <w:t>TAFE students</w:t>
                  </w:r>
                </w:p>
                <w:p w:rsidR="005F3AC0" w:rsidRDefault="005F3AC0" w:rsidP="003B0360">
                  <w:pPr>
                    <w:pStyle w:val="ListParagraph"/>
                    <w:numPr>
                      <w:ilvl w:val="0"/>
                      <w:numId w:val="46"/>
                    </w:numPr>
                    <w:shd w:val="clear" w:color="auto" w:fill="EEECE1" w:themeFill="background2"/>
                    <w:ind w:left="142" w:hanging="142"/>
                    <w:rPr>
                      <w:sz w:val="16"/>
                      <w:szCs w:val="16"/>
                    </w:rPr>
                  </w:pPr>
                  <w:r>
                    <w:rPr>
                      <w:sz w:val="16"/>
                      <w:szCs w:val="16"/>
                    </w:rPr>
                    <w:t>Pathway students</w:t>
                  </w:r>
                </w:p>
                <w:p w:rsidR="005F3AC0" w:rsidRDefault="005F3AC0" w:rsidP="003B0360">
                  <w:pPr>
                    <w:pStyle w:val="ListParagraph"/>
                    <w:numPr>
                      <w:ilvl w:val="0"/>
                      <w:numId w:val="46"/>
                    </w:numPr>
                    <w:ind w:left="142" w:hanging="142"/>
                    <w:rPr>
                      <w:sz w:val="16"/>
                      <w:szCs w:val="16"/>
                    </w:rPr>
                  </w:pPr>
                  <w:r>
                    <w:rPr>
                      <w:sz w:val="16"/>
                      <w:szCs w:val="16"/>
                    </w:rPr>
                    <w:t>Parents</w:t>
                  </w:r>
                </w:p>
                <w:p w:rsidR="005F3AC0" w:rsidRDefault="005F3AC0" w:rsidP="003B0360">
                  <w:pPr>
                    <w:pStyle w:val="ListParagraph"/>
                    <w:numPr>
                      <w:ilvl w:val="0"/>
                      <w:numId w:val="46"/>
                    </w:numPr>
                    <w:ind w:left="142" w:hanging="142"/>
                    <w:rPr>
                      <w:sz w:val="16"/>
                      <w:szCs w:val="16"/>
                    </w:rPr>
                  </w:pPr>
                  <w:r>
                    <w:rPr>
                      <w:sz w:val="16"/>
                      <w:szCs w:val="16"/>
                    </w:rPr>
                    <w:t>Career Advisors</w:t>
                  </w:r>
                </w:p>
                <w:p w:rsidR="005F3AC0" w:rsidRDefault="005F3AC0" w:rsidP="003B0360">
                  <w:pPr>
                    <w:pStyle w:val="ListParagraph"/>
                    <w:numPr>
                      <w:ilvl w:val="0"/>
                      <w:numId w:val="46"/>
                    </w:numPr>
                    <w:ind w:left="142" w:hanging="142"/>
                    <w:rPr>
                      <w:sz w:val="16"/>
                      <w:szCs w:val="16"/>
                    </w:rPr>
                  </w:pPr>
                  <w:r>
                    <w:rPr>
                      <w:sz w:val="16"/>
                      <w:szCs w:val="16"/>
                    </w:rPr>
                    <w:t>Visitors and Community</w:t>
                  </w:r>
                </w:p>
                <w:p w:rsidR="005F3AC0" w:rsidRDefault="005F3AC0" w:rsidP="003B0360">
                  <w:pPr>
                    <w:pStyle w:val="ListParagraph"/>
                    <w:numPr>
                      <w:ilvl w:val="0"/>
                      <w:numId w:val="46"/>
                    </w:numPr>
                    <w:ind w:left="142" w:hanging="142"/>
                    <w:rPr>
                      <w:sz w:val="16"/>
                      <w:szCs w:val="16"/>
                    </w:rPr>
                  </w:pPr>
                  <w:r>
                    <w:rPr>
                      <w:sz w:val="16"/>
                      <w:szCs w:val="16"/>
                    </w:rPr>
                    <w:t>Alumni</w:t>
                  </w:r>
                </w:p>
                <w:p w:rsidR="005F3AC0" w:rsidRDefault="005F3AC0" w:rsidP="003B0360">
                  <w:pPr>
                    <w:pStyle w:val="ListParagraph"/>
                    <w:numPr>
                      <w:ilvl w:val="0"/>
                      <w:numId w:val="46"/>
                    </w:numPr>
                    <w:ind w:left="142" w:hanging="142"/>
                    <w:rPr>
                      <w:sz w:val="16"/>
                      <w:szCs w:val="16"/>
                    </w:rPr>
                  </w:pPr>
                  <w:r>
                    <w:rPr>
                      <w:sz w:val="16"/>
                      <w:szCs w:val="16"/>
                    </w:rPr>
                    <w:t>Indigenous students</w:t>
                  </w:r>
                </w:p>
                <w:p w:rsidR="005F3AC0" w:rsidRDefault="005F3AC0" w:rsidP="003B0360">
                  <w:pPr>
                    <w:pStyle w:val="ListParagraph"/>
                    <w:numPr>
                      <w:ilvl w:val="0"/>
                      <w:numId w:val="46"/>
                    </w:numPr>
                    <w:ind w:left="142" w:hanging="142"/>
                    <w:rPr>
                      <w:sz w:val="16"/>
                      <w:szCs w:val="16"/>
                    </w:rPr>
                  </w:pPr>
                  <w:r>
                    <w:rPr>
                      <w:sz w:val="16"/>
                      <w:szCs w:val="16"/>
                    </w:rPr>
                    <w:t>Media</w:t>
                  </w:r>
                </w:p>
                <w:p w:rsidR="005F3AC0" w:rsidRDefault="005F3AC0" w:rsidP="003B0360"/>
              </w:txbxContent>
            </v:textbox>
          </v:shape>
        </w:pict>
      </w:r>
      <w:r>
        <w:pict>
          <v:shape id="_x0000_s1053" type="#_x0000_t202" style="position:absolute;margin-left:172.35pt;margin-top:15.4pt;width:124.8pt;height:36.6pt;z-index:251666432">
            <v:textbox style="mso-next-textbox:#_x0000_s1053">
              <w:txbxContent>
                <w:p w:rsidR="005F3AC0" w:rsidRDefault="005F3AC0" w:rsidP="003B0360">
                  <w:pPr>
                    <w:spacing w:before="60"/>
                    <w:jc w:val="center"/>
                    <w:rPr>
                      <w:sz w:val="20"/>
                    </w:rPr>
                  </w:pPr>
                  <w:r>
                    <w:rPr>
                      <w:sz w:val="20"/>
                    </w:rPr>
                    <w:t>TAFE students and Graduates</w:t>
                  </w:r>
                </w:p>
              </w:txbxContent>
            </v:textbox>
          </v:shape>
        </w:pict>
      </w:r>
    </w:p>
    <w:p w:rsidR="003B0360" w:rsidRDefault="003B0360" w:rsidP="003B0360"/>
    <w:p w:rsidR="003B0360" w:rsidRDefault="003B0360" w:rsidP="003B0360">
      <w:pPr>
        <w:pStyle w:val="Heading2"/>
      </w:pPr>
    </w:p>
    <w:p w:rsidR="003B0360" w:rsidRDefault="003B0360" w:rsidP="003B0360">
      <w:pPr>
        <w:pStyle w:val="Heading2"/>
      </w:pPr>
    </w:p>
    <w:p w:rsidR="003B0360" w:rsidRDefault="003B0360" w:rsidP="003B0360">
      <w:pPr>
        <w:pStyle w:val="Heading2"/>
      </w:pPr>
    </w:p>
    <w:p w:rsidR="003B0360" w:rsidRDefault="003B0360" w:rsidP="003B0360">
      <w:pPr>
        <w:pStyle w:val="Heading2"/>
      </w:pPr>
    </w:p>
    <w:p w:rsidR="003B0360" w:rsidRDefault="003B0360" w:rsidP="003B0360">
      <w:pPr>
        <w:spacing w:before="100" w:beforeAutospacing="1" w:after="100" w:afterAutospacing="1" w:line="240" w:lineRule="auto"/>
        <w:ind w:left="360" w:right="5811"/>
      </w:pPr>
    </w:p>
    <w:p w:rsidR="003B0360" w:rsidRDefault="003B0360" w:rsidP="003B0360">
      <w:pPr>
        <w:spacing w:before="100" w:beforeAutospacing="1" w:after="100" w:afterAutospacing="1" w:line="240" w:lineRule="auto"/>
        <w:ind w:left="360" w:right="5811"/>
      </w:pPr>
    </w:p>
    <w:p w:rsidR="003B0360" w:rsidRDefault="003B0360" w:rsidP="003B0360">
      <w:pPr>
        <w:pStyle w:val="Text"/>
      </w:pPr>
      <w:r>
        <w:t xml:space="preserve">In contrast to the clear and accessible style of the Charles Sturt University website illustrated in Figure </w:t>
      </w:r>
      <w:r w:rsidR="00F25F02">
        <w:t>8</w:t>
      </w:r>
      <w:r>
        <w:t xml:space="preserve">, some universities use the term ‘mature-aged’ as an entry point for all non-school leavers. This assumes that students seeking admission on the basis of a VET award will understand the definition of ‘mature-aged’ and see themselves in this category, which is unlikely. </w:t>
      </w:r>
    </w:p>
    <w:p w:rsidR="003B0360" w:rsidRDefault="003B0360" w:rsidP="003B0360">
      <w:pPr>
        <w:pStyle w:val="Text"/>
      </w:pPr>
      <w:r>
        <w:t xml:space="preserve">While some universities responded that they were ‘AQF compliant’ in terms of information provision, many responded that they needed to make improvements in the way they make credit information available to students and that their websites are ‘works in progress’. For example, one Cluster 2 university reported that it was moving to a new central website where potential students can find out </w:t>
      </w:r>
      <w:r>
        <w:lastRenderedPageBreak/>
        <w:t xml:space="preserve">about credit recognition. A scan of its website indicated that, currently, prospective students can find this information only by searching individual Faculty and Course sites. </w:t>
      </w:r>
    </w:p>
    <w:p w:rsidR="003B0360" w:rsidRDefault="003B0360" w:rsidP="003B0360">
      <w:pPr>
        <w:pStyle w:val="Heading2"/>
      </w:pPr>
      <w:bookmarkStart w:id="151" w:name="_Toc349839010"/>
      <w:bookmarkStart w:id="152" w:name="_Toc358384138"/>
      <w:bookmarkStart w:id="153" w:name="_Toc370995901"/>
      <w:r>
        <w:t>Support for VET pathway students</w:t>
      </w:r>
      <w:bookmarkEnd w:id="151"/>
      <w:bookmarkEnd w:id="152"/>
      <w:bookmarkEnd w:id="153"/>
    </w:p>
    <w:p w:rsidR="003B0360" w:rsidRDefault="003B0360" w:rsidP="003B0360">
      <w:pPr>
        <w:pStyle w:val="Text"/>
      </w:pPr>
      <w:r>
        <w:t xml:space="preserve">Research over the past decade has documented the experience of VET award-holders in higher education courses. The success of a VET-HE pathway appears to be influenced by the degree of support provided by universities to transitioning students. Academic support, careers counselling, mentoring and pastoral care are all recognised components of effective VET – HE pathways. In addition, fully articulated courses such as dual-sector awards and sequential programs of study appear to be more effective than unstructured credit transfer arrangements (Cram and Watson 2008; PhillipsKPA 2006). </w:t>
      </w:r>
    </w:p>
    <w:p w:rsidR="003B0360" w:rsidRDefault="003B0360" w:rsidP="003B0360">
      <w:pPr>
        <w:pStyle w:val="Text"/>
      </w:pPr>
      <w:r>
        <w:t xml:space="preserve">Students transitioning from VET may require support because they are moving into a new learning environment with forms of teaching with which they may be unfamiliar (PhillipsKPA 2006b). They also face markedly different forms of assessment and must transition from competency-based learning focused primarily on skill development, to assessment that emphasises cognitive processes and knowledge acquisition (Smith and Bush 2006). The differences in curriculum models and learning cultures between the VET and HE sectors have a significant impact on the transition experiences of students (Wheelahan 2008). VET award-holders may become anxious and uncertain of what they need to do to meet academic standards and expectations – especially if they are returning to formal study after some time (Abbott-Chapman 2006). </w:t>
      </w:r>
    </w:p>
    <w:p w:rsidR="003B0360" w:rsidRDefault="003B0360" w:rsidP="003B0360">
      <w:pPr>
        <w:pStyle w:val="Text"/>
      </w:pPr>
      <w:r>
        <w:t>The characteristics of students admitted on the basis of a VET award may also constrain their access to resources and forms of support provided by universities, particularly if they are studying part-time. Challenges faced by students navigating a VET – HE pathway include financial issues, family responsibilities, work commitments and transportation issues (Harris et al. 2006). Competence in academic literacy and numeracy also affects the level of personal self-efficacy among students engaged in VET and higher education studies (Watson 2006; 2008). Many students navigating a VET – HE pathway are not aware of the services available to assist them with academic literacy (Harris et al. 2006) or do not have the capacity to access such services due to other factors in their lives (Watson 2006).</w:t>
      </w:r>
    </w:p>
    <w:p w:rsidR="003B0360" w:rsidRDefault="003B0360" w:rsidP="003B0360">
      <w:pPr>
        <w:pStyle w:val="Text"/>
      </w:pPr>
      <w:r>
        <w:t>A recent project at the Charles Sturt University and University of Western Sydney, funded by the Australian Learning and Teaching Council (ALTC) found that articulating VET students can experience considerable stress in finding heavier than expected study loads in higher education, having to balance study and work demands, learning academic conventions and negotiating new administrative processes and online learning systems (Catterall &amp; Davis, 2012). This ALTC project identified four areas of support required for these students: academic literacy; numeracy; familiarisation with the learning environment of higher education; and general pastoral care (Catterall &amp; Davis, 2012).</w:t>
      </w:r>
    </w:p>
    <w:p w:rsidR="003B0360" w:rsidRDefault="003B0360" w:rsidP="003B0360">
      <w:pPr>
        <w:pStyle w:val="Text"/>
      </w:pPr>
      <w:r w:rsidRPr="00366E5B">
        <w:t>Universities need to address these issues through institutional policies and practices that focus on how the VET-HE pathway is constructed, as well as provide extensive academic and pastoral support for VET award-holders, particularly during their first year of study.</w:t>
      </w:r>
      <w:r>
        <w:t xml:space="preserve"> </w:t>
      </w:r>
      <w:r w:rsidRPr="00366E5B">
        <w:t xml:space="preserve">Universities which take responsibility for addressing these issues </w:t>
      </w:r>
      <w:r>
        <w:t>may be more successful in supporting</w:t>
      </w:r>
      <w:r w:rsidRPr="00366E5B">
        <w:t xml:space="preserve"> </w:t>
      </w:r>
      <w:r>
        <w:t>VET award-holders through to completion of a degree</w:t>
      </w:r>
      <w:r>
        <w:rPr>
          <w:rStyle w:val="FootnoteReference"/>
        </w:rPr>
        <w:footnoteReference w:id="9"/>
      </w:r>
      <w:r w:rsidRPr="00366E5B">
        <w:t>.</w:t>
      </w:r>
    </w:p>
    <w:p w:rsidR="003B0360" w:rsidRDefault="003B0360" w:rsidP="003B0360">
      <w:pPr>
        <w:pStyle w:val="Heading3"/>
      </w:pPr>
      <w:r>
        <w:lastRenderedPageBreak/>
        <w:t xml:space="preserve">Targeted support </w:t>
      </w:r>
    </w:p>
    <w:p w:rsidR="003B0360" w:rsidRDefault="003B0360" w:rsidP="003B0360">
      <w:pPr>
        <w:pStyle w:val="Text"/>
      </w:pPr>
      <w:r>
        <w:t xml:space="preserve">All respondents from Cluster 1 universities identified well-developed systems to support of students, with an emphasis on structured pathways and specific transition programs for all VET award-holders as well as articulating students. </w:t>
      </w:r>
    </w:p>
    <w:p w:rsidR="003B0360" w:rsidRDefault="003B0360" w:rsidP="003B0360">
      <w:pPr>
        <w:pStyle w:val="Text"/>
      </w:pPr>
      <w:r>
        <w:t xml:space="preserve">In contrast, respondents from universities in Clusters 2 and 3 were less likely to be able to identify institutional policies or practices designed specifically to support students admitted on the basis of a VET award. Typical responses from these universities emphasised VET graduates having access to the support services available to all students:  </w:t>
      </w:r>
    </w:p>
    <w:p w:rsidR="003B0360" w:rsidRDefault="003B0360" w:rsidP="003B0360">
      <w:pPr>
        <w:pStyle w:val="Quote"/>
      </w:pPr>
      <w:r>
        <w:t xml:space="preserve"> [University] does not have any specific strategies to support students who have undertaken VET studies. All student cohorts have access to a wide range of support and engagement initiatives however, and these are widely promoted. [University] has no specific learning support for a VET graduate, aside from the usual services provided to all students through Campus Wellbeing, The First Year Experience, Study Skills and Student Mentors. (Respondent, Cluster 3)</w:t>
      </w:r>
    </w:p>
    <w:p w:rsidR="003B0360" w:rsidRDefault="003B0360" w:rsidP="003B0360">
      <w:pPr>
        <w:pStyle w:val="Text"/>
      </w:pPr>
      <w:r>
        <w:t xml:space="preserve">However, some Cluster 2 and 3 universities identified discipline-specific support programs offered in faculties or for particular courses in which a substantial number of VET students are admitted, for example: </w:t>
      </w:r>
    </w:p>
    <w:p w:rsidR="003B0360" w:rsidRDefault="003B0360" w:rsidP="003B0360">
      <w:pPr>
        <w:pStyle w:val="Quote"/>
      </w:pPr>
      <w:r>
        <w:t>Some faculties have specific transition programs for VET students, for example Nursing provides preparation classes delivered by the Library’s Learning Support Advisors. (Respondent, Cluster 3)</w:t>
      </w:r>
    </w:p>
    <w:p w:rsidR="003B0360" w:rsidRDefault="003B0360" w:rsidP="003B0360">
      <w:pPr>
        <w:pStyle w:val="Quote"/>
      </w:pPr>
      <w:r>
        <w:t>Specific programs such as the Associate Degree in the Faculty of Science is designed to address the needs of articulating students. (Respondent, Cluster 3)</w:t>
      </w:r>
    </w:p>
    <w:p w:rsidR="003B0360" w:rsidRDefault="003B0360" w:rsidP="003B0360">
      <w:pPr>
        <w:pStyle w:val="Text"/>
      </w:pPr>
      <w:r>
        <w:t>It is costly for universities to resource special support for those admitted on the basis of a VET award (or for other cohorts such as Low SES and Indigenous). However, as discussed above, VET award-holders may require additional support because of the different learning environment from which they have come. In addition, VET students are likely to be part-time students while working full-time. They may require access to university support services after hours. Many standard services may be designed with school leavers in mind and not suit the needs of many VET admissions. Further, as Abbott-Chapman (2006) found in a study of mature-aged students in UTAS, some feel uncomfortable using services such as learning development skills alongside younger students. These needs were acknowledged by one respondent from a Cluster 2 university (in reference to ‘mature age’ students):</w:t>
      </w:r>
    </w:p>
    <w:p w:rsidR="003B0360" w:rsidRDefault="003B0360" w:rsidP="003B0360">
      <w:pPr>
        <w:pStyle w:val="Quote"/>
      </w:pPr>
      <w:r>
        <w:t>Other projects specifically targeting mature age students are underway or under development at faculty level. For example, the Faculty of Engineering and Information Technology has undertaken consultation to identify the particular needs of mature age students including: difficulties associated with working full-time and having limited time on campus; timetabling (lack of flexibility); lack of social connection and sense of cohort; difficulties relating to maths competency requiring VET students to undertake the Foundation Maths course. In response to the findings from this consultation the Faculty has implemented a range of activities to provide support and integration into the university such as mentoring, academic support, and a TAFE Facebook site for IT and Engineering students run by students. (Respondent, Cluster 2)</w:t>
      </w:r>
    </w:p>
    <w:p w:rsidR="003B0360" w:rsidRDefault="003B0360" w:rsidP="003B0360">
      <w:pPr>
        <w:pStyle w:val="Heading3"/>
      </w:pPr>
      <w:r>
        <w:t>Impact of granting credit</w:t>
      </w:r>
    </w:p>
    <w:p w:rsidR="003B0360" w:rsidRDefault="003B0360" w:rsidP="003B0360">
      <w:pPr>
        <w:pStyle w:val="Text"/>
      </w:pPr>
      <w:r>
        <w:t>The way in which credit is granted can help or hinder a VET award-holder’s transition to higher education (PhillipsKPA (2006b). There was evidence of an appreciation of these issues in one response to the survey:</w:t>
      </w:r>
    </w:p>
    <w:p w:rsidR="003B0360" w:rsidRDefault="003B0360" w:rsidP="003B0360">
      <w:pPr>
        <w:pStyle w:val="Quote"/>
      </w:pPr>
      <w:r>
        <w:lastRenderedPageBreak/>
        <w:t>Academic staff in faculties report that because of the 'competencies' emphasis in VET, students coming from VET may not have the more generic skills and abilities focused upon in the first year of a [University] program, e.g. academic literacies, critical thinking, essay-writing, reflective practice. If students are given credit recognition for first year subjects when articulating from VET they can miss this generic skills focus at [University]. (Respondent, Cluster 2)</w:t>
      </w:r>
    </w:p>
    <w:p w:rsidR="003B0360" w:rsidRDefault="003B0360" w:rsidP="003B0360">
      <w:pPr>
        <w:pStyle w:val="Text"/>
      </w:pPr>
      <w:r>
        <w:t xml:space="preserve">Other responses revealed a more highly developed understanding of these issues and indicated the university’s approach to addressing them: </w:t>
      </w:r>
    </w:p>
    <w:p w:rsidR="003B0360" w:rsidRDefault="003B0360" w:rsidP="003B0360">
      <w:pPr>
        <w:pStyle w:val="Quote"/>
      </w:pPr>
      <w:r>
        <w:t>The majority of [University’s] articulation arrangements include a combination of first year core and unspecified free choice electives.  As a result VET students entering [University] will be enrolled in some first year classes combined with second year classes in their first year of study at University. Therefore [University’s] VET students, to some extent, are helped to settle into life at University with the same support as all other first year students from First Year Advisors who direct students to all kinds of support services and assist with the development of strategies to solve academic problems. (Respondent, Cluster 2)</w:t>
      </w:r>
    </w:p>
    <w:p w:rsidR="003B0360" w:rsidRDefault="003B0360" w:rsidP="003B0360">
      <w:pPr>
        <w:pStyle w:val="Heading3"/>
      </w:pPr>
      <w:r>
        <w:t>Customised courses</w:t>
      </w:r>
    </w:p>
    <w:p w:rsidR="003B0360" w:rsidRDefault="003B0360" w:rsidP="003B0360">
      <w:pPr>
        <w:pStyle w:val="Text"/>
      </w:pPr>
      <w:r>
        <w:t>Where VET award-holders are enrolled in sufficient numbers in particular fields of education, students may be able to progress through their HE studies within a customised course for VET award-holders only, either for the whole course or just the first year of study. In such models, all forms of support, such as academic literacy; numeracy; familiarisation with the learning environment of higher education; and general pastoral care can be provided as part of the curriculum. Thus by customising a course to meet the specific needs of VET award-holders, the need to provide students with access to other forms of support is greatly reduced. One such course identified in an interview for this study is currently offered in Early Childhood Education at Monash University.</w:t>
      </w:r>
      <w:r>
        <w:rPr>
          <w:rStyle w:val="FootnoteReference"/>
        </w:rPr>
        <w:footnoteReference w:id="10"/>
      </w:r>
      <w:r>
        <w:t xml:space="preserve"> </w:t>
      </w:r>
    </w:p>
    <w:p w:rsidR="003B0360" w:rsidRDefault="003B0360" w:rsidP="003B0360">
      <w:pPr>
        <w:pStyle w:val="Heading3"/>
      </w:pPr>
      <w:r>
        <w:t>Early intervention for students ‘at risk’</w:t>
      </w:r>
    </w:p>
    <w:p w:rsidR="003B0360" w:rsidRDefault="003B0360" w:rsidP="003B0360">
      <w:pPr>
        <w:pStyle w:val="Text"/>
      </w:pPr>
      <w:r>
        <w:t xml:space="preserve">Survey responses indicated that universities appreciated the challenges of admitting an increasingly diverse, undergraduate student body. In addition to traditional school leavers are those who may be international students, or indigenous Australians, mature-aged, or from low SES, rural or remote backgrounds and VET graduates. Many universities are recognising the diversity of their student population by offering an increasing array of support services, many of which will assist VET award-holders who are struggling to make a successful transition: </w:t>
      </w:r>
    </w:p>
    <w:p w:rsidR="003B0360" w:rsidRDefault="003B0360" w:rsidP="003B0360">
      <w:pPr>
        <w:pStyle w:val="Quote"/>
      </w:pPr>
      <w:r>
        <w:t>There are no specific programs targeted to support VET students; however, the University has a system that flags students who are struggling with their academic work. [The University] also offers students free bridging courses at the beginning of each semester and online diagnostic tools so that students can test their level of competency in key areas such as English and maths. Academic support is available to all students through the Centre for Teaching and Learning and a range of additional support services and programs can be accessed. (Respondent, Cluster 2)</w:t>
      </w:r>
    </w:p>
    <w:p w:rsidR="003B0360" w:rsidRDefault="003B0360" w:rsidP="003B0360">
      <w:pPr>
        <w:pStyle w:val="Heading2"/>
      </w:pPr>
      <w:bookmarkStart w:id="154" w:name="_Toc349839011"/>
      <w:bookmarkStart w:id="155" w:name="_Toc358384139"/>
      <w:bookmarkStart w:id="156" w:name="_Toc370995902"/>
      <w:r>
        <w:lastRenderedPageBreak/>
        <w:t>Monitoring student progression and achievement</w:t>
      </w:r>
      <w:bookmarkEnd w:id="154"/>
      <w:bookmarkEnd w:id="155"/>
      <w:bookmarkEnd w:id="156"/>
    </w:p>
    <w:p w:rsidR="003B0360" w:rsidRDefault="003B0360" w:rsidP="003B0360">
      <w:pPr>
        <w:pStyle w:val="Text"/>
      </w:pPr>
      <w:r>
        <w:t xml:space="preserve">While PhillipsKPA (2006a) found that, in most instances, institutions largely complied with the MCEETYA principles, it identified one gap in performance – that of the evaluation of credit transfer arrangements. These were found to be in the ‘early stages’ of development due to difficulties in obtaining systems-level data and a lack of agreement on evaluation measures (PhillipsKPA 2006a, Final Report, 22). </w:t>
      </w:r>
    </w:p>
    <w:p w:rsidR="003B0360" w:rsidRDefault="003B0360" w:rsidP="003B0360">
      <w:pPr>
        <w:pStyle w:val="Text"/>
      </w:pPr>
      <w:r>
        <w:t xml:space="preserve">While the surveys conducted for this report did not specifically focus on credit transfer issues, universities reported several challenges in terms of their capacity to monitor the progression and achievement of undergraduates admitted on the basis of a VET award. </w:t>
      </w:r>
    </w:p>
    <w:p w:rsidR="003B0360" w:rsidRDefault="003B0360" w:rsidP="003B0360">
      <w:pPr>
        <w:pStyle w:val="Text"/>
      </w:pPr>
      <w:r>
        <w:t xml:space="preserve">The majority of universities in all clusters reported that they had systems for monitoring the performance and progression of students and were able to identify those who are admitted on the basis of VET studies. Respondents with access to such data reported that the performance of students admitted on the basis of VET is largely comparable with school leavers. </w:t>
      </w:r>
    </w:p>
    <w:p w:rsidR="003B0360" w:rsidRDefault="003B0360" w:rsidP="003B0360">
      <w:pPr>
        <w:pStyle w:val="Text"/>
      </w:pPr>
      <w:r>
        <w:t>However, several institutions in Cluster 3 reported that they performed little or no monitoring:</w:t>
      </w:r>
    </w:p>
    <w:p w:rsidR="003B0360" w:rsidRDefault="003B0360" w:rsidP="003B0360">
      <w:pPr>
        <w:pStyle w:val="Quote"/>
      </w:pPr>
      <w:r>
        <w:t>There has been no central monitoring. (Respondent, Cluster 2)</w:t>
      </w:r>
    </w:p>
    <w:p w:rsidR="003B0360" w:rsidRDefault="003B0360" w:rsidP="003B0360">
      <w:pPr>
        <w:pStyle w:val="Quote"/>
      </w:pPr>
      <w:r>
        <w:t xml:space="preserve">No. We are just moving into it now. We simply don’t know enough about attrition and retention. (Respondent, Cluster 3); </w:t>
      </w:r>
    </w:p>
    <w:p w:rsidR="003B0360" w:rsidRDefault="003B0360" w:rsidP="003B0360">
      <w:pPr>
        <w:pStyle w:val="Quote"/>
      </w:pPr>
      <w:r>
        <w:t>There is no formal monitoring of these students. To date, they have not been identified as a cohort at risk and there have been no recurring indicators at the Academic Progress Committee. (Respondent, Cluster 3)</w:t>
      </w:r>
    </w:p>
    <w:p w:rsidR="003B0360" w:rsidRDefault="003B0360" w:rsidP="003B0360">
      <w:pPr>
        <w:pStyle w:val="Text"/>
      </w:pPr>
      <w:r>
        <w:t xml:space="preserve">Resource constraints were identified by several institutions as limiting the development of more effective monitoring systems for VET pathways. However, for others, their systems were conceived as ‘work in progress’ with improvements being driven not only by the growth in VET admissions and articulation arrangements but also by the need to demonstrate their institutions’ contribution to the Government’s broader participation and performance goals for the sector.  </w:t>
      </w:r>
    </w:p>
    <w:p w:rsidR="003B0360" w:rsidRDefault="003B0360" w:rsidP="003B0360">
      <w:pPr>
        <w:pStyle w:val="Heading3"/>
      </w:pPr>
      <w:r>
        <w:t>Limitations and constraints</w:t>
      </w:r>
    </w:p>
    <w:p w:rsidR="003B0360" w:rsidRDefault="003B0360" w:rsidP="003B0360">
      <w:pPr>
        <w:pStyle w:val="Text"/>
      </w:pPr>
      <w:r>
        <w:t>Several respondents were very articulate about the limitations of their existing systems in terms of effectively monitoring student pathways and evaluating the impact of particular credit transfer and articulation arrangements.  These institutions were clearly interested in investigating the cost effectiveness of different approaches and therefore needed a more sophisticated data set than one which simply flags students admitted on the basis of a VET award. A key issue identified by many respondents was the difficulty in obtaining more specific details about the VET award holder’s prior learning and in particular, the name of the feeder institution. This difficulty is expressed in several responses to the survey question about monitoring:</w:t>
      </w:r>
    </w:p>
    <w:p w:rsidR="003B0360" w:rsidRDefault="003B0360" w:rsidP="003B0360">
      <w:pPr>
        <w:pStyle w:val="Quote"/>
      </w:pPr>
      <w:r>
        <w:t>The university is currently working on a program that will provide more in-depth data that will assist with monitoring of different student cohorts and track the impacts of credit transfer, transition support etc. (Respondent, Cluster 1)</w:t>
      </w:r>
    </w:p>
    <w:p w:rsidR="003B0360" w:rsidRDefault="003B0360" w:rsidP="003B0360">
      <w:pPr>
        <w:pStyle w:val="Quote"/>
      </w:pPr>
      <w:r>
        <w:t>The VET basis of admission does not easily allow for identification of different VET providers i.e. TAFE therefore it is necessary for us to undertake lower level analysis and data recording to specifically highlight TAFE statistics. (Respondent, Cluster 2)</w:t>
      </w:r>
    </w:p>
    <w:p w:rsidR="003B0360" w:rsidRDefault="003B0360" w:rsidP="003B0360">
      <w:r>
        <w:lastRenderedPageBreak/>
        <w:t>As reported by universities in more than one state, there are limitations imposed on universities wishing to monitor and evaluate the success of different VET-HE pathways due to the way state admissions bodies record the VET institution of enrolment:</w:t>
      </w:r>
    </w:p>
    <w:p w:rsidR="003B0360" w:rsidRDefault="003B0360" w:rsidP="003B0360">
      <w:pPr>
        <w:pStyle w:val="Quote"/>
      </w:pPr>
      <w:r>
        <w:t>The major challenge in monitoring VET articulation is inconsistent recording of the VET institution of enrolment. VET institution details are not captured in VTAC applications and only recorded in the [University] system if the student enters them. This impairs [the University’s] ability to monitor the performance of students from different TAFE Institutes or Registered Training Organisations. [The University] has requested that VTAC include VET institution in the VTAC file provided to universities... (Respondent, Cluster 3)</w:t>
      </w:r>
    </w:p>
    <w:p w:rsidR="003B0360" w:rsidRDefault="003B0360" w:rsidP="003B0360">
      <w:r>
        <w:t>A similar issue was identified by a university in Queensland:</w:t>
      </w:r>
    </w:p>
    <w:p w:rsidR="003B0360" w:rsidRDefault="003B0360" w:rsidP="003B0360">
      <w:pPr>
        <w:pStyle w:val="Quote"/>
        <w:rPr>
          <w:rFonts w:asciiTheme="minorHAnsi" w:hAnsiTheme="minorHAnsi" w:cstheme="minorHAnsi"/>
          <w:color w:val="000000" w:themeColor="text1"/>
          <w:sz w:val="20"/>
        </w:rPr>
      </w:pPr>
      <w:r>
        <w:t>The institution for which the student is articulating from is only captured at application stage, and is subject to the information entered by the student.   This leads to a large part of the data to be disaggregated and not specific to a VET provider.  This leads to difficulty providing feedback to individual VET organisations on which programs are effective in providing pathways for students or where there are gaps in knowledge delivery where students may be struggling academically</w:t>
      </w:r>
      <w:r>
        <w:rPr>
          <w:rFonts w:asciiTheme="minorHAnsi" w:hAnsiTheme="minorHAnsi" w:cstheme="minorHAnsi"/>
          <w:color w:val="000000" w:themeColor="text1"/>
          <w:sz w:val="20"/>
        </w:rPr>
        <w:t xml:space="preserve">. </w:t>
      </w:r>
      <w:r>
        <w:t>(Respondent, Cluster 3)</w:t>
      </w:r>
    </w:p>
    <w:p w:rsidR="003B0360" w:rsidRDefault="003B0360" w:rsidP="003B0360">
      <w:pPr>
        <w:spacing w:line="300" w:lineRule="exact"/>
      </w:pPr>
      <w:r>
        <w:t>One respondent highlighted the need for a unique student identifier to track students moving between VET and higher education sectors. This respondent pointed out that a unique student code would not only enable universities to better monitor students and evaluate the effectiveness of different VET-HE pathways</w:t>
      </w:r>
      <w:r w:rsidR="00AA53D0">
        <w:t xml:space="preserve">: </w:t>
      </w:r>
      <w:r>
        <w:t xml:space="preserve">it will also assist in developing reverse pathways to improve student outcomes. </w:t>
      </w:r>
    </w:p>
    <w:p w:rsidR="003B0360" w:rsidRDefault="003B0360" w:rsidP="003B0360">
      <w:pPr>
        <w:pStyle w:val="Quote"/>
      </w:pPr>
      <w:r>
        <w:t>This will also enable us to track students moving from university to TAFE and to identify which TAFE courses they undertake. We can use this information to offer relevant VET units as elective subjects within our degrees to assist students achieve vocational skills more quickly. (Respondent, Cluster 3)</w:t>
      </w:r>
    </w:p>
    <w:p w:rsidR="003B0360" w:rsidRDefault="003B0360" w:rsidP="003B0360">
      <w:pPr>
        <w:pStyle w:val="Text"/>
      </w:pPr>
      <w:r>
        <w:t>The ability of universities to monitor the outcomes of VET-HE pathways is critical to the improvement and extension of pathways – in both directions. Further, without a sophisticated capability to monitor outcomes, institutions can find it difficult to persuade its internal stakeholders that pathways should be developed or that it is worthwhile admitting VET award students. As one respondent commented:</w:t>
      </w:r>
    </w:p>
    <w:p w:rsidR="003B0360" w:rsidRDefault="003B0360" w:rsidP="003B0360">
      <w:pPr>
        <w:pStyle w:val="Quote"/>
      </w:pPr>
      <w:r>
        <w:t>We generate reports annually on the progress of those admitted on the basis of VET qualifications.  These reports measure performance (grade point average), grade distributions, progress and attrition rates for those admitted on the basis of VET studies compared to those admitted through other criteria.</w:t>
      </w:r>
    </w:p>
    <w:p w:rsidR="003B0360" w:rsidRDefault="003B0360" w:rsidP="003B0360">
      <w:pPr>
        <w:pStyle w:val="Quote"/>
      </w:pPr>
      <w:r>
        <w:t>Given that overall performance by those admitted on the basis of VET is comparable to those admitted with an ATAR of 70+, this evidence has been useful in generating cultural change within Faculties to be more supportive of students entering through this pathway.  (Respondent, Cluster 3)</w:t>
      </w:r>
    </w:p>
    <w:p w:rsidR="00CF2698" w:rsidRDefault="00CF2698">
      <w:pPr>
        <w:spacing w:before="0" w:line="240" w:lineRule="auto"/>
        <w:rPr>
          <w:rFonts w:ascii="Tahoma" w:hAnsi="Tahoma" w:cs="Tahoma"/>
          <w:sz w:val="28"/>
        </w:rPr>
      </w:pPr>
      <w:bookmarkStart w:id="157" w:name="_Toc349839013"/>
      <w:bookmarkStart w:id="158" w:name="_Toc349839014"/>
      <w:bookmarkStart w:id="159" w:name="_Toc349839018"/>
      <w:r>
        <w:br w:type="page"/>
      </w:r>
    </w:p>
    <w:p w:rsidR="00EA50E9" w:rsidRDefault="00EA50E9" w:rsidP="00CF2698">
      <w:pPr>
        <w:pStyle w:val="Heading1"/>
      </w:pPr>
      <w:bookmarkStart w:id="160" w:name="_Toc358384140"/>
      <w:bookmarkStart w:id="161" w:name="_Toc370995903"/>
      <w:r>
        <w:lastRenderedPageBreak/>
        <w:t>References</w:t>
      </w:r>
      <w:bookmarkEnd w:id="157"/>
      <w:bookmarkEnd w:id="160"/>
      <w:bookmarkEnd w:id="161"/>
    </w:p>
    <w:p w:rsidR="00EA50E9" w:rsidRDefault="00EA50E9" w:rsidP="00EA50E9"/>
    <w:p w:rsidR="00EA50E9" w:rsidRPr="003647FB" w:rsidRDefault="00EA50E9" w:rsidP="00EA50E9">
      <w:pPr>
        <w:pStyle w:val="References"/>
        <w:rPr>
          <w:szCs w:val="18"/>
        </w:rPr>
      </w:pPr>
      <w:r w:rsidRPr="003647FB">
        <w:rPr>
          <w:szCs w:val="18"/>
        </w:rPr>
        <w:t>Abbott-Chapman, J 2006, ‘Moving from technical and further education to university: an Australian study of mature students, Journal of Vocational Education &amp; Training, vol.58, no.1, pp. 1-17.</w:t>
      </w:r>
    </w:p>
    <w:p w:rsidR="00EA50E9" w:rsidRPr="003647FB" w:rsidRDefault="00EA50E9" w:rsidP="00EA50E9">
      <w:pPr>
        <w:pStyle w:val="References"/>
        <w:rPr>
          <w:i/>
          <w:szCs w:val="18"/>
        </w:rPr>
      </w:pPr>
      <w:r w:rsidRPr="003647FB">
        <w:rPr>
          <w:szCs w:val="18"/>
        </w:rPr>
        <w:t xml:space="preserve">Australian Government (2011), </w:t>
      </w:r>
      <w:r w:rsidRPr="003647FB">
        <w:rPr>
          <w:i/>
          <w:szCs w:val="18"/>
        </w:rPr>
        <w:t>VET Fee-Help Information Booklet. 2011 Edition</w:t>
      </w:r>
    </w:p>
    <w:p w:rsidR="00EA50E9" w:rsidRPr="003647FB" w:rsidRDefault="00EA50E9" w:rsidP="00EA50E9">
      <w:pPr>
        <w:spacing w:before="80" w:line="240" w:lineRule="auto"/>
        <w:ind w:left="284" w:hanging="284"/>
        <w:rPr>
          <w:sz w:val="18"/>
          <w:szCs w:val="18"/>
        </w:rPr>
      </w:pPr>
      <w:r w:rsidRPr="003647FB">
        <w:rPr>
          <w:sz w:val="18"/>
          <w:szCs w:val="18"/>
        </w:rPr>
        <w:t xml:space="preserve">Australian Qualifications Framework (AQF) Council, 2009, </w:t>
      </w:r>
      <w:r w:rsidRPr="003647FB">
        <w:rPr>
          <w:i/>
          <w:sz w:val="18"/>
          <w:szCs w:val="18"/>
        </w:rPr>
        <w:t>AQF National Policy and Guidelines on Credit Arrangements</w:t>
      </w:r>
      <w:r w:rsidRPr="003647FB">
        <w:rPr>
          <w:sz w:val="18"/>
          <w:szCs w:val="18"/>
        </w:rPr>
        <w:t>, Final Draft, May.</w:t>
      </w:r>
    </w:p>
    <w:p w:rsidR="00EA50E9" w:rsidRPr="003647FB" w:rsidRDefault="00EA50E9" w:rsidP="00EA50E9">
      <w:pPr>
        <w:spacing w:before="80" w:line="240" w:lineRule="auto"/>
        <w:ind w:left="284" w:hanging="284"/>
        <w:rPr>
          <w:sz w:val="18"/>
          <w:szCs w:val="18"/>
        </w:rPr>
      </w:pPr>
      <w:r w:rsidRPr="003647FB">
        <w:rPr>
          <w:sz w:val="18"/>
          <w:szCs w:val="18"/>
        </w:rPr>
        <w:t xml:space="preserve">Australian Qualifications Framework (AQF) Council, 2011, </w:t>
      </w:r>
      <w:r w:rsidRPr="003647FB">
        <w:rPr>
          <w:i/>
          <w:sz w:val="18"/>
          <w:szCs w:val="18"/>
        </w:rPr>
        <w:t>Australian Qualifications Framework</w:t>
      </w:r>
      <w:r w:rsidRPr="003647FB">
        <w:rPr>
          <w:sz w:val="18"/>
          <w:szCs w:val="18"/>
        </w:rPr>
        <w:t xml:space="preserve">, 2011, First Edition, July. </w:t>
      </w:r>
    </w:p>
    <w:p w:rsidR="00EA50E9" w:rsidRPr="003647FB" w:rsidRDefault="00EA50E9" w:rsidP="00EA50E9">
      <w:pPr>
        <w:spacing w:before="80" w:line="240" w:lineRule="auto"/>
        <w:ind w:left="284" w:hanging="284"/>
        <w:rPr>
          <w:sz w:val="18"/>
          <w:szCs w:val="18"/>
        </w:rPr>
      </w:pPr>
      <w:r w:rsidRPr="003647FB">
        <w:rPr>
          <w:sz w:val="18"/>
          <w:szCs w:val="18"/>
        </w:rPr>
        <w:t xml:space="preserve">Bradley, D, Noonan, P, Nugent, H. &amp; Scales, B 2008, </w:t>
      </w:r>
      <w:r w:rsidRPr="003647FB">
        <w:rPr>
          <w:i/>
          <w:sz w:val="18"/>
          <w:szCs w:val="18"/>
        </w:rPr>
        <w:t>Review of Australian Higher Education. Final Report</w:t>
      </w:r>
      <w:r w:rsidRPr="003647FB">
        <w:rPr>
          <w:sz w:val="18"/>
          <w:szCs w:val="18"/>
        </w:rPr>
        <w:t>. December. http://www.deewr.gov.au/HigherEducation/Review/Documents/PDF/Higher%20Education%20Review_one%20document_02.pdf</w:t>
      </w:r>
    </w:p>
    <w:p w:rsidR="00EA50E9" w:rsidRPr="003647FB" w:rsidRDefault="00EA50E9" w:rsidP="00EA50E9">
      <w:pPr>
        <w:pStyle w:val="References"/>
        <w:rPr>
          <w:szCs w:val="18"/>
        </w:rPr>
      </w:pPr>
      <w:r w:rsidRPr="003647FB">
        <w:rPr>
          <w:szCs w:val="18"/>
        </w:rPr>
        <w:t xml:space="preserve">Catterall, J &amp; Davis, J  2012, </w:t>
      </w:r>
      <w:r w:rsidRPr="003647FB">
        <w:rPr>
          <w:i/>
          <w:szCs w:val="18"/>
        </w:rPr>
        <w:t>Enhancing the student experience: transition from vocational education and training to higher education</w:t>
      </w:r>
      <w:r w:rsidRPr="003647FB">
        <w:rPr>
          <w:szCs w:val="18"/>
        </w:rPr>
        <w:t>, Final Report, Australian Teaching and Learning Council (ALTC).</w:t>
      </w:r>
    </w:p>
    <w:p w:rsidR="00EA50E9" w:rsidRDefault="00EA50E9" w:rsidP="00EA50E9">
      <w:pPr>
        <w:pStyle w:val="References"/>
        <w:rPr>
          <w:szCs w:val="18"/>
        </w:rPr>
      </w:pPr>
      <w:r>
        <w:rPr>
          <w:szCs w:val="18"/>
        </w:rPr>
        <w:t xml:space="preserve">Centre for Research on Education Systems (CRES) 2011, </w:t>
      </w:r>
      <w:r w:rsidRPr="00D263CF">
        <w:rPr>
          <w:i/>
          <w:szCs w:val="18"/>
        </w:rPr>
        <w:t>Preparation for Practice; A report on the effectiveness of courses leading to an early childhood qualification in preparing and developing the early childhood education and care workforce,</w:t>
      </w:r>
      <w:r>
        <w:rPr>
          <w:szCs w:val="18"/>
        </w:rPr>
        <w:t xml:space="preserve"> report prepared for the </w:t>
      </w:r>
      <w:r w:rsidRPr="00D263CF">
        <w:rPr>
          <w:szCs w:val="18"/>
        </w:rPr>
        <w:t>Victorian Department of Education and Early Childhood Development</w:t>
      </w:r>
      <w:r>
        <w:rPr>
          <w:szCs w:val="18"/>
        </w:rPr>
        <w:t xml:space="preserve">, August. </w:t>
      </w:r>
    </w:p>
    <w:p w:rsidR="00EA50E9" w:rsidRPr="003647FB" w:rsidRDefault="00EA50E9" w:rsidP="00EA50E9">
      <w:pPr>
        <w:pStyle w:val="References"/>
        <w:rPr>
          <w:szCs w:val="18"/>
        </w:rPr>
      </w:pPr>
      <w:r w:rsidRPr="003647FB">
        <w:rPr>
          <w:szCs w:val="18"/>
        </w:rPr>
        <w:t xml:space="preserve">Cram, B and Watson, L, 2008 ‘Managing Credit Transfer from TAFE to university: the case for cross-sectoral collaboration’. Paper presented to the Eleventh AVETRA Conference. Adelaide. </w:t>
      </w:r>
    </w:p>
    <w:p w:rsidR="00EA50E9" w:rsidRDefault="00EA50E9" w:rsidP="00EA50E9">
      <w:pPr>
        <w:pStyle w:val="References"/>
        <w:rPr>
          <w:szCs w:val="18"/>
        </w:rPr>
      </w:pPr>
      <w:r w:rsidRPr="008128D1">
        <w:rPr>
          <w:szCs w:val="18"/>
        </w:rPr>
        <w:t>Dowling</w:t>
      </w:r>
      <w:r>
        <w:rPr>
          <w:szCs w:val="18"/>
        </w:rPr>
        <w:t>, D</w:t>
      </w:r>
      <w:r w:rsidRPr="008128D1">
        <w:rPr>
          <w:szCs w:val="18"/>
        </w:rPr>
        <w:t xml:space="preserve"> 2010, </w:t>
      </w:r>
      <w:r>
        <w:rPr>
          <w:szCs w:val="18"/>
        </w:rPr>
        <w:t xml:space="preserve">‘A review of para-professional engineering education in Australia: exploring the VET-HE divide’. </w:t>
      </w:r>
      <w:r w:rsidRPr="008128D1">
        <w:rPr>
          <w:i/>
          <w:szCs w:val="18"/>
        </w:rPr>
        <w:t>Proceedings of the 2010 AaeE Conference</w:t>
      </w:r>
      <w:r>
        <w:rPr>
          <w:szCs w:val="18"/>
        </w:rPr>
        <w:t xml:space="preserve">, Sydney. </w:t>
      </w:r>
    </w:p>
    <w:p w:rsidR="00EA50E9" w:rsidRPr="003647FB" w:rsidRDefault="00EA50E9" w:rsidP="00EA50E9">
      <w:pPr>
        <w:pStyle w:val="References"/>
        <w:rPr>
          <w:szCs w:val="18"/>
        </w:rPr>
      </w:pPr>
      <w:r w:rsidRPr="003647FB">
        <w:rPr>
          <w:szCs w:val="18"/>
        </w:rPr>
        <w:t xml:space="preserve">Everitt, BS, Landau, B &amp; Leese, M 2001, </w:t>
      </w:r>
      <w:r w:rsidRPr="003647FB">
        <w:rPr>
          <w:i/>
          <w:szCs w:val="18"/>
        </w:rPr>
        <w:t>Cluster Analysis,</w:t>
      </w:r>
      <w:r w:rsidRPr="003647FB">
        <w:rPr>
          <w:szCs w:val="18"/>
        </w:rPr>
        <w:t xml:space="preserve"> Oxford University Press, London.</w:t>
      </w:r>
    </w:p>
    <w:p w:rsidR="00EA50E9" w:rsidRPr="003647FB" w:rsidRDefault="00EA50E9" w:rsidP="00EA50E9">
      <w:pPr>
        <w:pStyle w:val="References"/>
        <w:rPr>
          <w:szCs w:val="18"/>
        </w:rPr>
      </w:pPr>
      <w:r w:rsidRPr="003647FB">
        <w:rPr>
          <w:szCs w:val="18"/>
        </w:rPr>
        <w:t xml:space="preserve">Hair, JF, Anderson, RE, Tatham, RL &amp; Black, WC 1998, </w:t>
      </w:r>
      <w:r w:rsidRPr="003647FB">
        <w:rPr>
          <w:i/>
          <w:szCs w:val="18"/>
        </w:rPr>
        <w:t>Multivariate Data Analysis,</w:t>
      </w:r>
      <w:r w:rsidRPr="003647FB">
        <w:rPr>
          <w:szCs w:val="18"/>
        </w:rPr>
        <w:t xml:space="preserve"> 5th Edition, Prentice Hall, Upper Saddle River.</w:t>
      </w:r>
    </w:p>
    <w:p w:rsidR="00EA50E9" w:rsidRPr="003647FB" w:rsidRDefault="00EA50E9" w:rsidP="00EA50E9">
      <w:pPr>
        <w:pStyle w:val="References"/>
        <w:rPr>
          <w:szCs w:val="18"/>
        </w:rPr>
      </w:pPr>
      <w:r w:rsidRPr="003647FB">
        <w:rPr>
          <w:szCs w:val="18"/>
        </w:rPr>
        <w:t xml:space="preserve">Harris, R, Rainey, L, and Sumner, R, 2006, </w:t>
      </w:r>
      <w:r w:rsidRPr="003647FB">
        <w:rPr>
          <w:i/>
          <w:szCs w:val="18"/>
        </w:rPr>
        <w:t>Crazy Paving or Stepping Stones? Learning Pathways within and between vocational education and training and higher education,</w:t>
      </w:r>
      <w:r w:rsidRPr="003647FB">
        <w:rPr>
          <w:szCs w:val="18"/>
        </w:rPr>
        <w:t xml:space="preserve"> NCVER, Adelaide.</w:t>
      </w:r>
    </w:p>
    <w:p w:rsidR="00EA50E9" w:rsidRPr="003647FB" w:rsidRDefault="00EA50E9" w:rsidP="00EA50E9">
      <w:pPr>
        <w:pStyle w:val="References"/>
        <w:rPr>
          <w:szCs w:val="18"/>
        </w:rPr>
      </w:pPr>
      <w:r w:rsidRPr="003647FB">
        <w:rPr>
          <w:szCs w:val="18"/>
        </w:rPr>
        <w:t>Harris, R, Sumner, R, and Rainey, L, 2005,</w:t>
      </w:r>
      <w:r w:rsidRPr="003647FB">
        <w:rPr>
          <w:i/>
          <w:szCs w:val="18"/>
        </w:rPr>
        <w:t>Student Traffic: Two-way movement between vocational education and training and higher education</w:t>
      </w:r>
      <w:r w:rsidRPr="003647FB">
        <w:rPr>
          <w:szCs w:val="18"/>
        </w:rPr>
        <w:t>, NCVER, Adelaide.</w:t>
      </w:r>
    </w:p>
    <w:p w:rsidR="00EA50E9" w:rsidRPr="003647FB" w:rsidRDefault="00EA50E9" w:rsidP="00EA50E9">
      <w:pPr>
        <w:pStyle w:val="References"/>
        <w:rPr>
          <w:szCs w:val="18"/>
        </w:rPr>
      </w:pPr>
      <w:r w:rsidRPr="003647FB">
        <w:rPr>
          <w:szCs w:val="18"/>
        </w:rPr>
        <w:t>Karmel, T,</w:t>
      </w:r>
      <w:r>
        <w:rPr>
          <w:szCs w:val="18"/>
        </w:rPr>
        <w:t xml:space="preserve"> </w:t>
      </w:r>
      <w:r w:rsidRPr="003647FB">
        <w:rPr>
          <w:szCs w:val="18"/>
        </w:rPr>
        <w:t xml:space="preserve">2008, </w:t>
      </w:r>
      <w:r w:rsidRPr="003647FB">
        <w:rPr>
          <w:i/>
          <w:szCs w:val="18"/>
        </w:rPr>
        <w:t>Reflections on the tertiary education sector in Australia</w:t>
      </w:r>
      <w:r w:rsidRPr="003647FB">
        <w:rPr>
          <w:szCs w:val="18"/>
        </w:rPr>
        <w:t>. Paper presented to the LH Martin Institute for Higher education Leadership and Management: Charting new terrain: creating and maintaining a diversified tertiary education sector in Australia conference, Melbourne. November. NCVER Conference Paper</w:t>
      </w:r>
    </w:p>
    <w:p w:rsidR="00EA50E9" w:rsidRPr="003647FB" w:rsidRDefault="00EA50E9" w:rsidP="00EA50E9">
      <w:pPr>
        <w:pStyle w:val="References"/>
        <w:rPr>
          <w:szCs w:val="18"/>
        </w:rPr>
      </w:pPr>
      <w:r w:rsidRPr="004F5F54">
        <w:rPr>
          <w:szCs w:val="18"/>
        </w:rPr>
        <w:t>King, R, Dowling, D, and Godfrey, E, 2011,</w:t>
      </w:r>
      <w:r w:rsidRPr="004F5F54">
        <w:rPr>
          <w:i/>
          <w:szCs w:val="18"/>
        </w:rPr>
        <w:t>Pathways from VET awards to engineering degrees: a higher education perspective</w:t>
      </w:r>
      <w:r>
        <w:rPr>
          <w:szCs w:val="18"/>
        </w:rPr>
        <w:t xml:space="preserve">. Australian Council of Engineering Deans. April </w:t>
      </w:r>
    </w:p>
    <w:p w:rsidR="00EA50E9" w:rsidRPr="003647FB" w:rsidRDefault="00EA50E9" w:rsidP="00EA50E9">
      <w:pPr>
        <w:pStyle w:val="References"/>
        <w:rPr>
          <w:szCs w:val="18"/>
        </w:rPr>
      </w:pPr>
      <w:r w:rsidRPr="003647FB">
        <w:rPr>
          <w:szCs w:val="18"/>
        </w:rPr>
        <w:t>Long, M, Ferrier, F, Heagney, M, 2006, Stay, play or give it away? Students continuing, changing or leaving university study in first year, Monash University, Centre for the economics of education and training, October.</w:t>
      </w:r>
    </w:p>
    <w:p w:rsidR="00EA50E9" w:rsidRPr="003647FB" w:rsidRDefault="00EA50E9" w:rsidP="00EA50E9">
      <w:pPr>
        <w:pStyle w:val="References"/>
        <w:rPr>
          <w:szCs w:val="18"/>
        </w:rPr>
      </w:pPr>
      <w:r w:rsidRPr="003647FB">
        <w:rPr>
          <w:szCs w:val="18"/>
        </w:rPr>
        <w:t>Mazzachi, R</w:t>
      </w:r>
      <w:r>
        <w:rPr>
          <w:szCs w:val="18"/>
        </w:rPr>
        <w:t>, 2009</w:t>
      </w:r>
      <w:r w:rsidRPr="003647FB">
        <w:rPr>
          <w:szCs w:val="18"/>
        </w:rPr>
        <w:t xml:space="preserve"> </w:t>
      </w:r>
      <w:r w:rsidRPr="00AC0B29">
        <w:rPr>
          <w:i/>
          <w:szCs w:val="18"/>
        </w:rPr>
        <w:t>Student Pathways: aspects of data collection. A report prepared for the Pathways Project. National</w:t>
      </w:r>
      <w:r w:rsidRPr="003647FB">
        <w:rPr>
          <w:szCs w:val="18"/>
        </w:rPr>
        <w:t xml:space="preserve"> Centre for Vocational Education Research. Adelaide. October</w:t>
      </w:r>
    </w:p>
    <w:p w:rsidR="00EA50E9" w:rsidRPr="003647FB" w:rsidRDefault="00EA50E9" w:rsidP="00EA50E9">
      <w:pPr>
        <w:pStyle w:val="References"/>
        <w:rPr>
          <w:i/>
          <w:szCs w:val="18"/>
        </w:rPr>
      </w:pPr>
      <w:r w:rsidRPr="003647FB">
        <w:rPr>
          <w:szCs w:val="18"/>
        </w:rPr>
        <w:t xml:space="preserve">Ministerial Council on Education, Employment, Training and Youth Affairs, (MCEETYA), 2006, </w:t>
      </w:r>
      <w:r w:rsidRPr="003647FB">
        <w:rPr>
          <w:i/>
          <w:szCs w:val="18"/>
        </w:rPr>
        <w:t xml:space="preserve">Principles for good practice information provision on credit transfer and articulation from Vocational Training and Education to Higher Education. </w:t>
      </w:r>
    </w:p>
    <w:p w:rsidR="00EA50E9" w:rsidRPr="003647FB" w:rsidRDefault="00EA50E9" w:rsidP="00EA50E9">
      <w:pPr>
        <w:pStyle w:val="References"/>
        <w:rPr>
          <w:szCs w:val="18"/>
        </w:rPr>
      </w:pPr>
      <w:r w:rsidRPr="003647FB">
        <w:rPr>
          <w:szCs w:val="18"/>
        </w:rPr>
        <w:t xml:space="preserve">NCVER, 2010, </w:t>
      </w:r>
      <w:r w:rsidRPr="003647FB">
        <w:rPr>
          <w:i/>
          <w:szCs w:val="18"/>
        </w:rPr>
        <w:t>Tertiary Education and Training in Australia</w:t>
      </w:r>
      <w:r w:rsidRPr="003647FB">
        <w:rPr>
          <w:szCs w:val="18"/>
        </w:rPr>
        <w:t>, 2010</w:t>
      </w:r>
      <w:r>
        <w:rPr>
          <w:szCs w:val="18"/>
        </w:rPr>
        <w:t xml:space="preserve">, </w:t>
      </w:r>
      <w:r w:rsidRPr="003647FB">
        <w:rPr>
          <w:szCs w:val="18"/>
        </w:rPr>
        <w:t>Department of Industry Innovation, Science, Research and Tertiary Eduction.</w:t>
      </w:r>
    </w:p>
    <w:p w:rsidR="00EA50E9" w:rsidRPr="003647FB" w:rsidRDefault="00EA50E9" w:rsidP="00EA50E9">
      <w:pPr>
        <w:pStyle w:val="References"/>
        <w:rPr>
          <w:szCs w:val="18"/>
        </w:rPr>
      </w:pPr>
      <w:r w:rsidRPr="003647FB">
        <w:rPr>
          <w:szCs w:val="18"/>
        </w:rPr>
        <w:t xml:space="preserve">PhillipsKPA, 2006a, </w:t>
      </w:r>
      <w:r w:rsidRPr="003647FB">
        <w:rPr>
          <w:i/>
          <w:szCs w:val="18"/>
        </w:rPr>
        <w:t>Giving Credit Where Credit is Due. A National Study to Improve Outcomes in Credit Transfer and Articulation from Vocational and Technical Education to Higher Education</w:t>
      </w:r>
      <w:r w:rsidRPr="003647FB">
        <w:rPr>
          <w:szCs w:val="18"/>
        </w:rPr>
        <w:t>, Final Report, Department of Education, Science and Training, June.</w:t>
      </w:r>
    </w:p>
    <w:p w:rsidR="00EA50E9" w:rsidRPr="003647FB" w:rsidRDefault="00EA50E9" w:rsidP="00EA50E9">
      <w:pPr>
        <w:pStyle w:val="References"/>
        <w:rPr>
          <w:szCs w:val="18"/>
        </w:rPr>
      </w:pPr>
      <w:r w:rsidRPr="003647FB">
        <w:rPr>
          <w:szCs w:val="18"/>
        </w:rPr>
        <w:t xml:space="preserve">PhillipsKPA, 2006b, </w:t>
      </w:r>
      <w:r w:rsidRPr="003647FB">
        <w:rPr>
          <w:i/>
          <w:szCs w:val="18"/>
        </w:rPr>
        <w:t>National Study to Improve Outcomes in Credit Transfer and Articulation from Vocational and Technical Education to Higher Education</w:t>
      </w:r>
      <w:r w:rsidRPr="003647FB">
        <w:rPr>
          <w:szCs w:val="18"/>
        </w:rPr>
        <w:t>, Stage 1 Report, Department of Education, Science and Training  February.</w:t>
      </w:r>
    </w:p>
    <w:p w:rsidR="00EA50E9" w:rsidRPr="003647FB" w:rsidRDefault="00EA50E9" w:rsidP="00EA50E9">
      <w:pPr>
        <w:pStyle w:val="References"/>
        <w:rPr>
          <w:szCs w:val="18"/>
        </w:rPr>
      </w:pPr>
      <w:r w:rsidRPr="003647FB">
        <w:rPr>
          <w:szCs w:val="18"/>
        </w:rPr>
        <w:t xml:space="preserve">Smith, E &amp; Bush, T  2006, ‘The delicate dance: the assessment implications of awarding students vocational qualifications within university degrees, </w:t>
      </w:r>
      <w:r w:rsidRPr="003647FB">
        <w:rPr>
          <w:i/>
          <w:szCs w:val="18"/>
        </w:rPr>
        <w:t>Higher Education Research &amp; Development</w:t>
      </w:r>
      <w:r w:rsidRPr="003647FB">
        <w:rPr>
          <w:szCs w:val="18"/>
        </w:rPr>
        <w:t>, vol.25, no.4, pp.387-402.</w:t>
      </w:r>
    </w:p>
    <w:p w:rsidR="00EA50E9" w:rsidRPr="003647FB" w:rsidRDefault="00EA50E9" w:rsidP="00EA50E9">
      <w:pPr>
        <w:pStyle w:val="References"/>
        <w:rPr>
          <w:szCs w:val="18"/>
        </w:rPr>
      </w:pPr>
      <w:r w:rsidRPr="003647FB">
        <w:rPr>
          <w:szCs w:val="18"/>
        </w:rPr>
        <w:lastRenderedPageBreak/>
        <w:t xml:space="preserve">Urban, M, Jones, E, Smith, G, Evans, C, Maclachan, M, and Karmel, T, 1999, </w:t>
      </w:r>
      <w:r w:rsidRPr="003647FB">
        <w:rPr>
          <w:i/>
          <w:szCs w:val="18"/>
        </w:rPr>
        <w:t xml:space="preserve">Completions, undergraduate academic outcomes for 1992 commencing students, </w:t>
      </w:r>
      <w:r w:rsidRPr="003647FB">
        <w:rPr>
          <w:szCs w:val="18"/>
        </w:rPr>
        <w:t>Higher Education Division, Department of Education, Training and Youth Affairs, Occasional Paper Series No. 99-G, August.</w:t>
      </w:r>
    </w:p>
    <w:p w:rsidR="00EA50E9" w:rsidRPr="003647FB" w:rsidRDefault="00EA50E9" w:rsidP="00EA50E9">
      <w:pPr>
        <w:pStyle w:val="References"/>
        <w:rPr>
          <w:szCs w:val="18"/>
        </w:rPr>
      </w:pPr>
      <w:r w:rsidRPr="003647FB">
        <w:rPr>
          <w:szCs w:val="18"/>
        </w:rPr>
        <w:t xml:space="preserve">Walls, S and Pardy, J 2010, </w:t>
      </w:r>
      <w:r w:rsidRPr="003647FB">
        <w:rPr>
          <w:i/>
          <w:szCs w:val="18"/>
        </w:rPr>
        <w:t>Crediting vocational education and training for learner mobility</w:t>
      </w:r>
      <w:r w:rsidRPr="003647FB">
        <w:rPr>
          <w:szCs w:val="18"/>
        </w:rPr>
        <w:t>. NCVER.</w:t>
      </w:r>
    </w:p>
    <w:p w:rsidR="00EA50E9" w:rsidRPr="003647FB" w:rsidRDefault="00EA50E9" w:rsidP="00EA50E9">
      <w:pPr>
        <w:pStyle w:val="References"/>
        <w:rPr>
          <w:szCs w:val="18"/>
        </w:rPr>
      </w:pPr>
      <w:r w:rsidRPr="003647FB">
        <w:rPr>
          <w:szCs w:val="18"/>
        </w:rPr>
        <w:t xml:space="preserve">Watson L 2006, </w:t>
      </w:r>
      <w:r w:rsidRPr="003647FB">
        <w:rPr>
          <w:i/>
          <w:szCs w:val="18"/>
        </w:rPr>
        <w:t>Barriers to successful transitions from Vet to HE – a case study of student pathways in early childhood education and care.</w:t>
      </w:r>
      <w:r w:rsidRPr="003647FB">
        <w:rPr>
          <w:szCs w:val="18"/>
        </w:rPr>
        <w:t xml:space="preserve"> Paper presented to Ninth AVETRA Conference. Wollongong  </w:t>
      </w:r>
    </w:p>
    <w:p w:rsidR="00EA50E9" w:rsidRPr="003647FB" w:rsidRDefault="00EA50E9" w:rsidP="00EA50E9">
      <w:pPr>
        <w:pStyle w:val="References"/>
        <w:rPr>
          <w:szCs w:val="18"/>
        </w:rPr>
      </w:pPr>
      <w:r w:rsidRPr="003647FB">
        <w:rPr>
          <w:szCs w:val="18"/>
        </w:rPr>
        <w:t xml:space="preserve">Watson, L </w:t>
      </w:r>
      <w:r>
        <w:rPr>
          <w:szCs w:val="18"/>
        </w:rPr>
        <w:t xml:space="preserve">and </w:t>
      </w:r>
      <w:r w:rsidRPr="003647FB">
        <w:rPr>
          <w:szCs w:val="18"/>
        </w:rPr>
        <w:t>McIntyre, J</w:t>
      </w:r>
      <w:r>
        <w:rPr>
          <w:szCs w:val="18"/>
        </w:rPr>
        <w:t>,</w:t>
      </w:r>
      <w:r w:rsidRPr="003647FB">
        <w:rPr>
          <w:szCs w:val="18"/>
        </w:rPr>
        <w:t xml:space="preserve"> 2011, </w:t>
      </w:r>
      <w:r w:rsidRPr="00773B29">
        <w:rPr>
          <w:i/>
          <w:szCs w:val="18"/>
        </w:rPr>
        <w:t>Scaling Up: Building engineering workforce capacity through education and training</w:t>
      </w:r>
      <w:r w:rsidRPr="003647FB">
        <w:rPr>
          <w:szCs w:val="18"/>
        </w:rPr>
        <w:t>, Australian National Engineering Taskforce. April.</w:t>
      </w:r>
    </w:p>
    <w:p w:rsidR="00EA50E9" w:rsidRPr="003647FB" w:rsidRDefault="00EA50E9" w:rsidP="00EA50E9">
      <w:pPr>
        <w:pStyle w:val="References"/>
        <w:rPr>
          <w:szCs w:val="18"/>
        </w:rPr>
      </w:pPr>
      <w:r w:rsidRPr="003647FB">
        <w:rPr>
          <w:szCs w:val="18"/>
        </w:rPr>
        <w:t>Watson, L</w:t>
      </w:r>
      <w:r>
        <w:rPr>
          <w:szCs w:val="18"/>
        </w:rPr>
        <w:t xml:space="preserve">, </w:t>
      </w:r>
      <w:r w:rsidRPr="003647FB">
        <w:rPr>
          <w:szCs w:val="18"/>
        </w:rPr>
        <w:t xml:space="preserve">2008, ‘Improving the experience of TAFE award-holders in higher education,’ in </w:t>
      </w:r>
      <w:r w:rsidRPr="00773B29">
        <w:rPr>
          <w:i/>
          <w:szCs w:val="18"/>
        </w:rPr>
        <w:t>International J</w:t>
      </w:r>
      <w:r w:rsidRPr="003647FB">
        <w:rPr>
          <w:i/>
          <w:szCs w:val="18"/>
        </w:rPr>
        <w:t>ournal of Training Research</w:t>
      </w:r>
      <w:r w:rsidRPr="003647FB">
        <w:rPr>
          <w:szCs w:val="18"/>
        </w:rPr>
        <w:t>, vol.6, no.2, pp. 40-53.</w:t>
      </w:r>
    </w:p>
    <w:p w:rsidR="00EA50E9" w:rsidRPr="003647FB" w:rsidRDefault="00EA50E9" w:rsidP="00EA50E9">
      <w:pPr>
        <w:pStyle w:val="References"/>
        <w:rPr>
          <w:szCs w:val="18"/>
        </w:rPr>
      </w:pPr>
      <w:r w:rsidRPr="003647FB">
        <w:rPr>
          <w:szCs w:val="18"/>
        </w:rPr>
        <w:t xml:space="preserve">Wheelahan, L 2009, ‘Do educational pathways contribute to equity in tertiary education in Australia?  Critical </w:t>
      </w:r>
      <w:r w:rsidRPr="003647FB">
        <w:rPr>
          <w:i/>
          <w:szCs w:val="18"/>
        </w:rPr>
        <w:t>Studies in education</w:t>
      </w:r>
      <w:r w:rsidRPr="003647FB">
        <w:rPr>
          <w:szCs w:val="18"/>
        </w:rPr>
        <w:t xml:space="preserve">, vol. 50, no. 3, pp.261-275. </w:t>
      </w:r>
    </w:p>
    <w:p w:rsidR="00EA50E9" w:rsidRPr="003647FB" w:rsidRDefault="00EA50E9" w:rsidP="00EA50E9">
      <w:pPr>
        <w:pStyle w:val="References"/>
        <w:rPr>
          <w:szCs w:val="18"/>
        </w:rPr>
      </w:pPr>
      <w:r w:rsidRPr="003647FB">
        <w:rPr>
          <w:szCs w:val="18"/>
        </w:rPr>
        <w:t xml:space="preserve">Wheelahan, L, 2000, </w:t>
      </w:r>
      <w:r w:rsidRPr="003647FB">
        <w:rPr>
          <w:i/>
          <w:szCs w:val="18"/>
        </w:rPr>
        <w:t>Bridging the Divide: developing the institutional structures that most effectively deliver cross-sectoral education and training,</w:t>
      </w:r>
      <w:r w:rsidRPr="003647FB">
        <w:rPr>
          <w:szCs w:val="18"/>
        </w:rPr>
        <w:t xml:space="preserve"> Adelaide, SA: National Centre for Vocational Education Research.</w:t>
      </w:r>
    </w:p>
    <w:p w:rsidR="00EA50E9" w:rsidRPr="003647FB" w:rsidRDefault="00EA50E9" w:rsidP="00EA50E9">
      <w:pPr>
        <w:pStyle w:val="References"/>
        <w:rPr>
          <w:szCs w:val="18"/>
        </w:rPr>
      </w:pPr>
      <w:r w:rsidRPr="003647FB">
        <w:rPr>
          <w:szCs w:val="18"/>
        </w:rPr>
        <w:t>Wheelahan, L</w:t>
      </w:r>
      <w:r>
        <w:rPr>
          <w:szCs w:val="18"/>
        </w:rPr>
        <w:t>,</w:t>
      </w:r>
      <w:r w:rsidRPr="003647FB">
        <w:rPr>
          <w:szCs w:val="18"/>
        </w:rPr>
        <w:t xml:space="preserve"> 2008, </w:t>
      </w:r>
      <w:r w:rsidRPr="003647FB">
        <w:rPr>
          <w:i/>
          <w:szCs w:val="18"/>
        </w:rPr>
        <w:t>Can learning outcomes be divorced from processes of learning? Or why training packages make very bad curriculum</w:t>
      </w:r>
      <w:r w:rsidRPr="003647FB">
        <w:rPr>
          <w:szCs w:val="18"/>
        </w:rPr>
        <w:t>. Paper presented at the 11</w:t>
      </w:r>
      <w:r w:rsidRPr="003647FB">
        <w:rPr>
          <w:szCs w:val="18"/>
          <w:vertAlign w:val="superscript"/>
        </w:rPr>
        <w:t>th</w:t>
      </w:r>
      <w:r w:rsidRPr="003647FB">
        <w:rPr>
          <w:szCs w:val="18"/>
        </w:rPr>
        <w:t xml:space="preserve"> Annual Australian Vocational Education and Training Research Association Conference, 3-4 April, 2008.</w:t>
      </w:r>
    </w:p>
    <w:p w:rsidR="00EA50E9" w:rsidRDefault="00EA50E9" w:rsidP="00EA50E9">
      <w:pPr>
        <w:pStyle w:val="References"/>
        <w:rPr>
          <w:szCs w:val="18"/>
        </w:rPr>
      </w:pPr>
      <w:r w:rsidRPr="003647FB">
        <w:rPr>
          <w:szCs w:val="18"/>
        </w:rPr>
        <w:t>Young, I 2007</w:t>
      </w:r>
      <w:r>
        <w:rPr>
          <w:szCs w:val="18"/>
        </w:rPr>
        <w:t>,</w:t>
      </w:r>
      <w:r w:rsidRPr="003647FB">
        <w:rPr>
          <w:szCs w:val="18"/>
        </w:rPr>
        <w:t xml:space="preserve"> </w:t>
      </w:r>
      <w:r w:rsidRPr="00773B29">
        <w:rPr>
          <w:i/>
          <w:szCs w:val="18"/>
        </w:rPr>
        <w:t>Building Better Pathways to Higher Education,</w:t>
      </w:r>
      <w:r w:rsidRPr="003647FB">
        <w:rPr>
          <w:szCs w:val="18"/>
        </w:rPr>
        <w:t xml:space="preserve"> Paper presented to the AFR Higher Education Summit, Melbourne 3-4 April 2007.</w:t>
      </w:r>
    </w:p>
    <w:p w:rsidR="00CF2698" w:rsidRDefault="00CF2698">
      <w:pPr>
        <w:spacing w:before="0" w:line="240" w:lineRule="auto"/>
        <w:rPr>
          <w:rFonts w:ascii="Tahoma" w:hAnsi="Tahoma" w:cs="Tahoma"/>
          <w:sz w:val="28"/>
          <w:lang w:val="en-US"/>
        </w:rPr>
      </w:pPr>
      <w:r>
        <w:rPr>
          <w:lang w:val="en-US"/>
        </w:rPr>
        <w:br w:type="page"/>
      </w:r>
    </w:p>
    <w:p w:rsidR="002760F4" w:rsidRDefault="002760F4" w:rsidP="00CE004A">
      <w:pPr>
        <w:pStyle w:val="Heading2"/>
        <w:rPr>
          <w:lang w:val="en-US"/>
        </w:rPr>
      </w:pPr>
      <w:bookmarkStart w:id="162" w:name="_Toc358384141"/>
      <w:bookmarkStart w:id="163" w:name="_Toc370995904"/>
      <w:r w:rsidRPr="002F3F49">
        <w:rPr>
          <w:lang w:val="en-US"/>
        </w:rPr>
        <w:lastRenderedPageBreak/>
        <w:t>A</w:t>
      </w:r>
      <w:r>
        <w:rPr>
          <w:lang w:val="en-US"/>
        </w:rPr>
        <w:t>.1:</w:t>
      </w:r>
      <w:r w:rsidRPr="002F3F49">
        <w:rPr>
          <w:lang w:val="en-US"/>
        </w:rPr>
        <w:t xml:space="preserve"> </w:t>
      </w:r>
      <w:r>
        <w:rPr>
          <w:lang w:val="en-US"/>
        </w:rPr>
        <w:t>University a</w:t>
      </w:r>
      <w:r w:rsidRPr="002F3F49">
        <w:rPr>
          <w:lang w:val="en-US"/>
        </w:rPr>
        <w:t>dmissions on the</w:t>
      </w:r>
      <w:r>
        <w:rPr>
          <w:lang w:val="en-US"/>
        </w:rPr>
        <w:t xml:space="preserve"> basis of a VET award by broad F</w:t>
      </w:r>
      <w:r w:rsidRPr="002F3F49">
        <w:rPr>
          <w:lang w:val="en-US"/>
        </w:rPr>
        <w:t>ield of Education</w:t>
      </w:r>
      <w:r>
        <w:rPr>
          <w:lang w:val="en-US"/>
        </w:rPr>
        <w:t xml:space="preserve"> - 2010</w:t>
      </w:r>
      <w:bookmarkEnd w:id="158"/>
      <w:bookmarkEnd w:id="162"/>
      <w:bookmarkEnd w:id="163"/>
    </w:p>
    <w:tbl>
      <w:tblPr>
        <w:tblW w:w="5404" w:type="pct"/>
        <w:tblCellMar>
          <w:left w:w="0" w:type="dxa"/>
          <w:right w:w="0" w:type="dxa"/>
        </w:tblCellMar>
        <w:tblLook w:val="04A0"/>
      </w:tblPr>
      <w:tblGrid>
        <w:gridCol w:w="2945"/>
        <w:gridCol w:w="596"/>
        <w:gridCol w:w="596"/>
        <w:gridCol w:w="596"/>
        <w:gridCol w:w="595"/>
        <w:gridCol w:w="596"/>
        <w:gridCol w:w="596"/>
        <w:gridCol w:w="596"/>
        <w:gridCol w:w="595"/>
        <w:gridCol w:w="596"/>
        <w:gridCol w:w="596"/>
        <w:gridCol w:w="595"/>
      </w:tblGrid>
      <w:tr w:rsidR="00CE004A" w:rsidRPr="00CB2D0F" w:rsidTr="00CE004A">
        <w:trPr>
          <w:trHeight w:val="297"/>
        </w:trPr>
        <w:tc>
          <w:tcPr>
            <w:tcW w:w="1550" w:type="pct"/>
            <w:tcBorders>
              <w:top w:val="single" w:sz="4" w:space="0" w:color="auto"/>
              <w:left w:val="nil"/>
              <w:bottom w:val="single" w:sz="4" w:space="0" w:color="auto"/>
              <w:right w:val="nil"/>
            </w:tcBorders>
            <w:shd w:val="clear" w:color="auto" w:fill="auto"/>
            <w:noWrap/>
            <w:vAlign w:val="bottom"/>
            <w:hideMark/>
          </w:tcPr>
          <w:p w:rsidR="002760F4" w:rsidRPr="00CB2D0F" w:rsidRDefault="002760F4" w:rsidP="00CE004A">
            <w:pPr>
              <w:pStyle w:val="Tabletext"/>
              <w:rPr>
                <w:b/>
                <w:lang w:val="en-US"/>
              </w:rPr>
            </w:pPr>
          </w:p>
        </w:tc>
        <w:tc>
          <w:tcPr>
            <w:tcW w:w="313" w:type="pct"/>
            <w:tcBorders>
              <w:top w:val="single" w:sz="4" w:space="0" w:color="auto"/>
              <w:left w:val="nil"/>
              <w:bottom w:val="single" w:sz="4" w:space="0" w:color="auto"/>
              <w:right w:val="nil"/>
            </w:tcBorders>
            <w:shd w:val="clear" w:color="auto" w:fill="auto"/>
            <w:noWrap/>
            <w:vAlign w:val="bottom"/>
            <w:hideMark/>
          </w:tcPr>
          <w:p w:rsidR="002760F4" w:rsidRPr="00CB2D0F" w:rsidRDefault="002760F4" w:rsidP="00CE004A">
            <w:pPr>
              <w:pStyle w:val="Tabletext"/>
              <w:rPr>
                <w:b/>
                <w:lang w:val="en-US"/>
              </w:rPr>
            </w:pPr>
            <w:r w:rsidRPr="00CB2D0F">
              <w:rPr>
                <w:b/>
                <w:lang w:val="en-US"/>
              </w:rPr>
              <w:t>01</w:t>
            </w:r>
          </w:p>
        </w:tc>
        <w:tc>
          <w:tcPr>
            <w:tcW w:w="314" w:type="pct"/>
            <w:tcBorders>
              <w:top w:val="single" w:sz="4" w:space="0" w:color="auto"/>
              <w:left w:val="nil"/>
              <w:bottom w:val="single" w:sz="4" w:space="0" w:color="auto"/>
              <w:right w:val="nil"/>
            </w:tcBorders>
            <w:shd w:val="clear" w:color="auto" w:fill="auto"/>
            <w:noWrap/>
            <w:vAlign w:val="bottom"/>
            <w:hideMark/>
          </w:tcPr>
          <w:p w:rsidR="002760F4" w:rsidRPr="00CB2D0F" w:rsidRDefault="002760F4" w:rsidP="00CE004A">
            <w:pPr>
              <w:pStyle w:val="Tabletext"/>
              <w:rPr>
                <w:b/>
                <w:lang w:val="en-US"/>
              </w:rPr>
            </w:pPr>
            <w:r w:rsidRPr="00CB2D0F">
              <w:rPr>
                <w:b/>
                <w:lang w:val="en-US"/>
              </w:rPr>
              <w:t>02</w:t>
            </w:r>
          </w:p>
        </w:tc>
        <w:tc>
          <w:tcPr>
            <w:tcW w:w="314" w:type="pct"/>
            <w:tcBorders>
              <w:top w:val="single" w:sz="4" w:space="0" w:color="auto"/>
              <w:left w:val="nil"/>
              <w:bottom w:val="single" w:sz="4" w:space="0" w:color="auto"/>
              <w:right w:val="nil"/>
            </w:tcBorders>
            <w:shd w:val="clear" w:color="auto" w:fill="auto"/>
            <w:noWrap/>
            <w:vAlign w:val="bottom"/>
            <w:hideMark/>
          </w:tcPr>
          <w:p w:rsidR="002760F4" w:rsidRPr="00CB2D0F" w:rsidRDefault="002760F4" w:rsidP="00CE004A">
            <w:pPr>
              <w:pStyle w:val="Tabletext"/>
              <w:rPr>
                <w:b/>
                <w:lang w:val="en-US"/>
              </w:rPr>
            </w:pPr>
            <w:r w:rsidRPr="00CB2D0F">
              <w:rPr>
                <w:b/>
                <w:lang w:val="en-US"/>
              </w:rPr>
              <w:t>03</w:t>
            </w:r>
          </w:p>
        </w:tc>
        <w:tc>
          <w:tcPr>
            <w:tcW w:w="313" w:type="pct"/>
            <w:tcBorders>
              <w:top w:val="single" w:sz="4" w:space="0" w:color="auto"/>
              <w:left w:val="nil"/>
              <w:bottom w:val="single" w:sz="4" w:space="0" w:color="auto"/>
              <w:right w:val="nil"/>
            </w:tcBorders>
            <w:shd w:val="clear" w:color="auto" w:fill="auto"/>
            <w:noWrap/>
            <w:vAlign w:val="bottom"/>
            <w:hideMark/>
          </w:tcPr>
          <w:p w:rsidR="002760F4" w:rsidRPr="00CB2D0F" w:rsidRDefault="002760F4" w:rsidP="00CE004A">
            <w:pPr>
              <w:pStyle w:val="Tabletext"/>
              <w:rPr>
                <w:b/>
                <w:lang w:val="en-US"/>
              </w:rPr>
            </w:pPr>
            <w:r w:rsidRPr="00CB2D0F">
              <w:rPr>
                <w:b/>
                <w:lang w:val="en-US"/>
              </w:rPr>
              <w:t>04</w:t>
            </w:r>
          </w:p>
        </w:tc>
        <w:tc>
          <w:tcPr>
            <w:tcW w:w="314" w:type="pct"/>
            <w:tcBorders>
              <w:top w:val="single" w:sz="4" w:space="0" w:color="auto"/>
              <w:left w:val="nil"/>
              <w:bottom w:val="single" w:sz="4" w:space="0" w:color="auto"/>
              <w:right w:val="nil"/>
            </w:tcBorders>
            <w:shd w:val="clear" w:color="auto" w:fill="auto"/>
            <w:noWrap/>
            <w:vAlign w:val="bottom"/>
            <w:hideMark/>
          </w:tcPr>
          <w:p w:rsidR="002760F4" w:rsidRPr="00CB2D0F" w:rsidRDefault="002760F4" w:rsidP="00CE004A">
            <w:pPr>
              <w:pStyle w:val="Tabletext"/>
              <w:rPr>
                <w:b/>
                <w:lang w:val="en-US"/>
              </w:rPr>
            </w:pPr>
            <w:r w:rsidRPr="00CB2D0F">
              <w:rPr>
                <w:b/>
                <w:lang w:val="en-US"/>
              </w:rPr>
              <w:t>05</w:t>
            </w:r>
          </w:p>
        </w:tc>
        <w:tc>
          <w:tcPr>
            <w:tcW w:w="314" w:type="pct"/>
            <w:tcBorders>
              <w:top w:val="single" w:sz="4" w:space="0" w:color="auto"/>
              <w:left w:val="nil"/>
              <w:bottom w:val="single" w:sz="4" w:space="0" w:color="auto"/>
              <w:right w:val="nil"/>
            </w:tcBorders>
            <w:shd w:val="clear" w:color="auto" w:fill="auto"/>
            <w:noWrap/>
            <w:vAlign w:val="bottom"/>
            <w:hideMark/>
          </w:tcPr>
          <w:p w:rsidR="002760F4" w:rsidRPr="00CB2D0F" w:rsidRDefault="002760F4" w:rsidP="00CE004A">
            <w:pPr>
              <w:pStyle w:val="Tabletext"/>
              <w:rPr>
                <w:b/>
                <w:lang w:val="en-US"/>
              </w:rPr>
            </w:pPr>
            <w:r w:rsidRPr="00CB2D0F">
              <w:rPr>
                <w:b/>
                <w:lang w:val="en-US"/>
              </w:rPr>
              <w:t>06</w:t>
            </w:r>
          </w:p>
        </w:tc>
        <w:tc>
          <w:tcPr>
            <w:tcW w:w="314" w:type="pct"/>
            <w:tcBorders>
              <w:top w:val="single" w:sz="4" w:space="0" w:color="auto"/>
              <w:left w:val="nil"/>
              <w:bottom w:val="single" w:sz="4" w:space="0" w:color="auto"/>
              <w:right w:val="nil"/>
            </w:tcBorders>
            <w:shd w:val="clear" w:color="auto" w:fill="auto"/>
            <w:noWrap/>
            <w:vAlign w:val="bottom"/>
            <w:hideMark/>
          </w:tcPr>
          <w:p w:rsidR="002760F4" w:rsidRPr="00CB2D0F" w:rsidRDefault="002760F4" w:rsidP="00CE004A">
            <w:pPr>
              <w:pStyle w:val="Tabletext"/>
              <w:rPr>
                <w:b/>
                <w:lang w:val="en-US"/>
              </w:rPr>
            </w:pPr>
            <w:r w:rsidRPr="00CB2D0F">
              <w:rPr>
                <w:b/>
                <w:lang w:val="en-US"/>
              </w:rPr>
              <w:t>07</w:t>
            </w:r>
          </w:p>
        </w:tc>
        <w:tc>
          <w:tcPr>
            <w:tcW w:w="313" w:type="pct"/>
            <w:tcBorders>
              <w:top w:val="single" w:sz="4" w:space="0" w:color="auto"/>
              <w:left w:val="nil"/>
              <w:bottom w:val="single" w:sz="4" w:space="0" w:color="auto"/>
              <w:right w:val="nil"/>
            </w:tcBorders>
            <w:shd w:val="clear" w:color="auto" w:fill="auto"/>
            <w:noWrap/>
            <w:vAlign w:val="bottom"/>
            <w:hideMark/>
          </w:tcPr>
          <w:p w:rsidR="002760F4" w:rsidRPr="00CB2D0F" w:rsidRDefault="002760F4" w:rsidP="00CE004A">
            <w:pPr>
              <w:pStyle w:val="Tabletext"/>
              <w:rPr>
                <w:b/>
                <w:lang w:val="en-US"/>
              </w:rPr>
            </w:pPr>
            <w:r w:rsidRPr="00CB2D0F">
              <w:rPr>
                <w:b/>
                <w:lang w:val="en-US"/>
              </w:rPr>
              <w:t>08</w:t>
            </w:r>
          </w:p>
        </w:tc>
        <w:tc>
          <w:tcPr>
            <w:tcW w:w="314" w:type="pct"/>
            <w:tcBorders>
              <w:top w:val="single" w:sz="4" w:space="0" w:color="auto"/>
              <w:left w:val="nil"/>
              <w:bottom w:val="single" w:sz="4" w:space="0" w:color="auto"/>
              <w:right w:val="nil"/>
            </w:tcBorders>
            <w:shd w:val="clear" w:color="auto" w:fill="auto"/>
            <w:noWrap/>
            <w:vAlign w:val="bottom"/>
            <w:hideMark/>
          </w:tcPr>
          <w:p w:rsidR="002760F4" w:rsidRPr="00CB2D0F" w:rsidRDefault="002760F4" w:rsidP="00CE004A">
            <w:pPr>
              <w:pStyle w:val="Tabletext"/>
              <w:rPr>
                <w:b/>
                <w:lang w:val="en-US"/>
              </w:rPr>
            </w:pPr>
            <w:r w:rsidRPr="00CB2D0F">
              <w:rPr>
                <w:b/>
                <w:lang w:val="en-US"/>
              </w:rPr>
              <w:t>09</w:t>
            </w:r>
          </w:p>
        </w:tc>
        <w:tc>
          <w:tcPr>
            <w:tcW w:w="314" w:type="pct"/>
            <w:tcBorders>
              <w:top w:val="single" w:sz="4" w:space="0" w:color="auto"/>
              <w:left w:val="nil"/>
              <w:bottom w:val="single" w:sz="4" w:space="0" w:color="auto"/>
              <w:right w:val="nil"/>
            </w:tcBorders>
            <w:shd w:val="clear" w:color="auto" w:fill="auto"/>
            <w:noWrap/>
            <w:vAlign w:val="bottom"/>
            <w:hideMark/>
          </w:tcPr>
          <w:p w:rsidR="002760F4" w:rsidRPr="00CB2D0F" w:rsidRDefault="002760F4" w:rsidP="00CE004A">
            <w:pPr>
              <w:pStyle w:val="Tabletext"/>
              <w:rPr>
                <w:b/>
                <w:lang w:val="en-US"/>
              </w:rPr>
            </w:pPr>
            <w:r w:rsidRPr="00CB2D0F">
              <w:rPr>
                <w:b/>
                <w:lang w:val="en-US"/>
              </w:rPr>
              <w:t>10</w:t>
            </w:r>
          </w:p>
        </w:tc>
        <w:tc>
          <w:tcPr>
            <w:tcW w:w="314" w:type="pct"/>
            <w:tcBorders>
              <w:top w:val="single" w:sz="4" w:space="0" w:color="auto"/>
              <w:left w:val="nil"/>
              <w:bottom w:val="single" w:sz="4" w:space="0" w:color="auto"/>
              <w:right w:val="nil"/>
            </w:tcBorders>
            <w:shd w:val="clear" w:color="auto" w:fill="auto"/>
            <w:noWrap/>
            <w:vAlign w:val="bottom"/>
            <w:hideMark/>
          </w:tcPr>
          <w:p w:rsidR="002760F4" w:rsidRPr="00CB2D0F" w:rsidRDefault="002760F4" w:rsidP="00CE004A">
            <w:pPr>
              <w:pStyle w:val="Tabletext"/>
              <w:rPr>
                <w:b/>
                <w:lang w:val="en-US"/>
              </w:rPr>
            </w:pPr>
            <w:r w:rsidRPr="00CB2D0F">
              <w:rPr>
                <w:b/>
                <w:lang w:val="en-US"/>
              </w:rPr>
              <w:t>All</w:t>
            </w:r>
          </w:p>
        </w:tc>
      </w:tr>
      <w:tr w:rsidR="00CE004A" w:rsidRPr="003435E2" w:rsidTr="00CE004A">
        <w:trPr>
          <w:trHeight w:val="297"/>
        </w:trPr>
        <w:tc>
          <w:tcPr>
            <w:tcW w:w="1550" w:type="pct"/>
            <w:tcBorders>
              <w:top w:val="single" w:sz="4" w:space="0" w:color="auto"/>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Charles Sturt University</w:t>
            </w:r>
          </w:p>
        </w:tc>
        <w:tc>
          <w:tcPr>
            <w:tcW w:w="313" w:type="pct"/>
            <w:tcBorders>
              <w:top w:val="single" w:sz="4" w:space="0" w:color="auto"/>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16%</w:t>
            </w:r>
          </w:p>
        </w:tc>
        <w:tc>
          <w:tcPr>
            <w:tcW w:w="314" w:type="pct"/>
            <w:tcBorders>
              <w:top w:val="single" w:sz="4" w:space="0" w:color="auto"/>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62%</w:t>
            </w:r>
          </w:p>
        </w:tc>
        <w:tc>
          <w:tcPr>
            <w:tcW w:w="314" w:type="pct"/>
            <w:tcBorders>
              <w:top w:val="single" w:sz="4" w:space="0" w:color="auto"/>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3" w:type="pct"/>
            <w:tcBorders>
              <w:top w:val="single" w:sz="4" w:space="0" w:color="auto"/>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single" w:sz="4" w:space="0" w:color="auto"/>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17%</w:t>
            </w:r>
          </w:p>
        </w:tc>
        <w:tc>
          <w:tcPr>
            <w:tcW w:w="314" w:type="pct"/>
            <w:tcBorders>
              <w:top w:val="single" w:sz="4" w:space="0" w:color="auto"/>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16%</w:t>
            </w:r>
          </w:p>
        </w:tc>
        <w:tc>
          <w:tcPr>
            <w:tcW w:w="314" w:type="pct"/>
            <w:tcBorders>
              <w:top w:val="single" w:sz="4" w:space="0" w:color="auto"/>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21%</w:t>
            </w:r>
          </w:p>
        </w:tc>
        <w:tc>
          <w:tcPr>
            <w:tcW w:w="313" w:type="pct"/>
            <w:tcBorders>
              <w:top w:val="single" w:sz="4" w:space="0" w:color="auto"/>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32%</w:t>
            </w:r>
          </w:p>
        </w:tc>
        <w:tc>
          <w:tcPr>
            <w:tcW w:w="314" w:type="pct"/>
            <w:tcBorders>
              <w:top w:val="single" w:sz="4" w:space="0" w:color="auto"/>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38%</w:t>
            </w:r>
          </w:p>
        </w:tc>
        <w:tc>
          <w:tcPr>
            <w:tcW w:w="314" w:type="pct"/>
            <w:tcBorders>
              <w:top w:val="single" w:sz="4" w:space="0" w:color="auto"/>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c>
          <w:tcPr>
            <w:tcW w:w="314" w:type="pct"/>
            <w:tcBorders>
              <w:top w:val="single" w:sz="4" w:space="0" w:color="auto"/>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26%</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Macquarie University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Southern Cross University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The University of New England</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17%</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9%</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The University of New South Wales</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The University of Newcastle</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17%</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10%</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The University of Sydney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University of Technology, Sydney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University of Western Sydney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15%</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17%</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University of Wollongong</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9%</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17%</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Deakin University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28%</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16%</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La Trobe University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19%</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15%</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Monash University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24%</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RMIT University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22%</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21%</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Swinburne University of Technology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54%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20%</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The University of Melbourne</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University of Ballarat</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Victoria University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13%</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24%</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16%</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Central Queensland University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12%</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Griffith University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6%</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17%</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James Cook University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15%</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Queensland University of Technology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The University of Queensland</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University of Southern Queensland</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14%</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12%</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6%</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University of the Sunshine Coast</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Curtin University of Technology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Edith Cowan University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14%</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13%</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16%</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Murdoch University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16%</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23%</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10%</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The University of Western Australia</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The Flinders University of South Australia</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5%</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The University of Adelaide</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University of South Australia</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10%</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6%</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12%</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University of Tasmania</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4%</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13%</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13%</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22%</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17%</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28%</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8%</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9%</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Charles Darwin University</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18%</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31%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12%</w:t>
            </w:r>
          </w:p>
        </w:tc>
        <w:tc>
          <w:tcPr>
            <w:tcW w:w="313"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15%</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11%</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0%</w:t>
            </w:r>
          </w:p>
        </w:tc>
        <w:tc>
          <w:tcPr>
            <w:tcW w:w="314" w:type="pct"/>
            <w:tcBorders>
              <w:top w:val="nil"/>
              <w:left w:val="nil"/>
              <w:bottom w:val="nil"/>
              <w:right w:val="nil"/>
            </w:tcBorders>
            <w:shd w:val="clear" w:color="auto" w:fill="auto"/>
            <w:noWrap/>
            <w:vAlign w:val="bottom"/>
            <w:hideMark/>
          </w:tcPr>
          <w:p w:rsidR="002760F4" w:rsidRPr="003435E2" w:rsidRDefault="002760F4" w:rsidP="00CE004A">
            <w:pPr>
              <w:pStyle w:val="Tabletext"/>
              <w:rPr>
                <w:lang w:val="en-US"/>
              </w:rPr>
            </w:pPr>
            <w:r w:rsidRPr="003435E2">
              <w:rPr>
                <w:lang w:val="en-US"/>
              </w:rPr>
              <w:t>12%</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The Australian National University</w:t>
            </w:r>
          </w:p>
        </w:tc>
        <w:tc>
          <w:tcPr>
            <w:tcW w:w="313"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5%</w:t>
            </w: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0%</w:t>
            </w: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5%</w:t>
            </w:r>
          </w:p>
        </w:tc>
        <w:tc>
          <w:tcPr>
            <w:tcW w:w="313"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0%</w:t>
            </w: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p>
        </w:tc>
        <w:tc>
          <w:tcPr>
            <w:tcW w:w="313"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11%</w:t>
            </w: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5%</w:t>
            </w: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0%</w:t>
            </w: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5%</w:t>
            </w:r>
          </w:p>
        </w:tc>
      </w:tr>
      <w:tr w:rsidR="00CE004A" w:rsidRPr="003435E2" w:rsidTr="00CE004A">
        <w:trPr>
          <w:trHeight w:val="297"/>
        </w:trPr>
        <w:tc>
          <w:tcPr>
            <w:tcW w:w="1550"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University of Canberra</w:t>
            </w:r>
          </w:p>
        </w:tc>
        <w:tc>
          <w:tcPr>
            <w:tcW w:w="313"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7%</w:t>
            </w: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19%</w:t>
            </w: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p>
        </w:tc>
        <w:tc>
          <w:tcPr>
            <w:tcW w:w="313"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21%</w:t>
            </w: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0%</w:t>
            </w: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21%</w:t>
            </w: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15%</w:t>
            </w:r>
          </w:p>
        </w:tc>
        <w:tc>
          <w:tcPr>
            <w:tcW w:w="313"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19%</w:t>
            </w: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7%</w:t>
            </w: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13%</w:t>
            </w:r>
          </w:p>
        </w:tc>
        <w:tc>
          <w:tcPr>
            <w:tcW w:w="314" w:type="pct"/>
            <w:tcBorders>
              <w:top w:val="nil"/>
              <w:left w:val="nil"/>
              <w:bottom w:val="nil"/>
              <w:right w:val="nil"/>
            </w:tcBorders>
            <w:shd w:val="clear" w:color="auto" w:fill="auto"/>
            <w:noWrap/>
            <w:vAlign w:val="bottom"/>
            <w:hideMark/>
          </w:tcPr>
          <w:p w:rsidR="002760F4" w:rsidRPr="001E69EE" w:rsidRDefault="002760F4" w:rsidP="00CE004A">
            <w:pPr>
              <w:pStyle w:val="Tabletext"/>
              <w:rPr>
                <w:rFonts w:cs="Arial"/>
                <w:szCs w:val="16"/>
                <w:lang w:val="en-US"/>
              </w:rPr>
            </w:pPr>
            <w:r w:rsidRPr="001E69EE">
              <w:rPr>
                <w:rFonts w:cs="Arial"/>
                <w:szCs w:val="16"/>
                <w:lang w:val="en-US"/>
              </w:rPr>
              <w:t>13%</w:t>
            </w:r>
          </w:p>
        </w:tc>
      </w:tr>
      <w:tr w:rsidR="00CE004A" w:rsidRPr="003435E2" w:rsidTr="00CE004A">
        <w:trPr>
          <w:trHeight w:val="297"/>
        </w:trPr>
        <w:tc>
          <w:tcPr>
            <w:tcW w:w="1550" w:type="pct"/>
            <w:tcBorders>
              <w:top w:val="nil"/>
              <w:left w:val="nil"/>
              <w:right w:val="nil"/>
            </w:tcBorders>
            <w:shd w:val="clear" w:color="auto" w:fill="auto"/>
            <w:noWrap/>
            <w:vAlign w:val="bottom"/>
            <w:hideMark/>
          </w:tcPr>
          <w:p w:rsidR="002760F4" w:rsidRPr="001E69EE" w:rsidRDefault="002760F4" w:rsidP="00CE004A">
            <w:pPr>
              <w:spacing w:before="0" w:line="240" w:lineRule="auto"/>
              <w:rPr>
                <w:rFonts w:ascii="Arial" w:hAnsi="Arial" w:cs="Arial"/>
                <w:color w:val="000000"/>
                <w:sz w:val="16"/>
                <w:szCs w:val="16"/>
                <w:lang w:val="en-US"/>
              </w:rPr>
            </w:pPr>
            <w:r w:rsidRPr="001E69EE">
              <w:rPr>
                <w:rFonts w:ascii="Arial" w:hAnsi="Arial" w:cs="Arial"/>
                <w:color w:val="000000"/>
                <w:sz w:val="16"/>
                <w:szCs w:val="16"/>
                <w:lang w:val="en-US"/>
              </w:rPr>
              <w:t>Australian Catholic University</w:t>
            </w:r>
          </w:p>
        </w:tc>
        <w:tc>
          <w:tcPr>
            <w:tcW w:w="313" w:type="pct"/>
            <w:tcBorders>
              <w:top w:val="nil"/>
              <w:left w:val="nil"/>
              <w:right w:val="nil"/>
            </w:tcBorders>
            <w:shd w:val="clear" w:color="auto" w:fill="auto"/>
            <w:noWrap/>
            <w:vAlign w:val="bottom"/>
            <w:hideMark/>
          </w:tcPr>
          <w:p w:rsidR="002760F4" w:rsidRPr="001E69EE" w:rsidRDefault="002760F4" w:rsidP="00CE004A">
            <w:pPr>
              <w:spacing w:before="0" w:line="240" w:lineRule="auto"/>
              <w:rPr>
                <w:rFonts w:ascii="Arial" w:hAnsi="Arial" w:cs="Arial"/>
                <w:color w:val="000000"/>
                <w:sz w:val="16"/>
                <w:szCs w:val="16"/>
                <w:lang w:val="en-US"/>
              </w:rPr>
            </w:pPr>
          </w:p>
        </w:tc>
        <w:tc>
          <w:tcPr>
            <w:tcW w:w="314" w:type="pct"/>
            <w:tcBorders>
              <w:top w:val="nil"/>
              <w:left w:val="nil"/>
              <w:right w:val="nil"/>
            </w:tcBorders>
            <w:shd w:val="clear" w:color="auto" w:fill="auto"/>
            <w:noWrap/>
            <w:vAlign w:val="bottom"/>
            <w:hideMark/>
          </w:tcPr>
          <w:p w:rsidR="002760F4" w:rsidRPr="001E69EE" w:rsidRDefault="002760F4" w:rsidP="00CE004A">
            <w:pPr>
              <w:spacing w:before="0" w:line="240" w:lineRule="auto"/>
              <w:rPr>
                <w:rFonts w:ascii="Arial" w:hAnsi="Arial" w:cs="Arial"/>
                <w:color w:val="000000"/>
                <w:sz w:val="16"/>
                <w:szCs w:val="16"/>
                <w:lang w:val="en-US"/>
              </w:rPr>
            </w:pPr>
          </w:p>
        </w:tc>
        <w:tc>
          <w:tcPr>
            <w:tcW w:w="314" w:type="pct"/>
            <w:tcBorders>
              <w:top w:val="nil"/>
              <w:left w:val="nil"/>
              <w:right w:val="nil"/>
            </w:tcBorders>
            <w:shd w:val="clear" w:color="auto" w:fill="auto"/>
            <w:noWrap/>
            <w:vAlign w:val="bottom"/>
            <w:hideMark/>
          </w:tcPr>
          <w:p w:rsidR="002760F4" w:rsidRPr="001E69EE" w:rsidRDefault="002760F4" w:rsidP="00CE004A">
            <w:pPr>
              <w:spacing w:before="0" w:line="240" w:lineRule="auto"/>
              <w:rPr>
                <w:rFonts w:ascii="Arial" w:hAnsi="Arial" w:cs="Arial"/>
                <w:color w:val="000000"/>
                <w:sz w:val="16"/>
                <w:szCs w:val="16"/>
                <w:lang w:val="en-US"/>
              </w:rPr>
            </w:pPr>
          </w:p>
        </w:tc>
        <w:tc>
          <w:tcPr>
            <w:tcW w:w="313" w:type="pct"/>
            <w:tcBorders>
              <w:top w:val="nil"/>
              <w:left w:val="nil"/>
              <w:right w:val="nil"/>
            </w:tcBorders>
            <w:shd w:val="clear" w:color="auto" w:fill="auto"/>
            <w:noWrap/>
            <w:vAlign w:val="bottom"/>
            <w:hideMark/>
          </w:tcPr>
          <w:p w:rsidR="002760F4" w:rsidRPr="001E69EE" w:rsidRDefault="002760F4" w:rsidP="00CE004A">
            <w:pPr>
              <w:spacing w:before="0" w:line="240" w:lineRule="auto"/>
              <w:rPr>
                <w:rFonts w:ascii="Arial" w:hAnsi="Arial" w:cs="Arial"/>
                <w:color w:val="000000"/>
                <w:sz w:val="16"/>
                <w:szCs w:val="16"/>
                <w:lang w:val="en-US"/>
              </w:rPr>
            </w:pPr>
            <w:r w:rsidRPr="001E69EE">
              <w:rPr>
                <w:rFonts w:ascii="Arial" w:hAnsi="Arial" w:cs="Arial"/>
                <w:color w:val="000000"/>
                <w:sz w:val="16"/>
                <w:szCs w:val="16"/>
                <w:lang w:val="en-US"/>
              </w:rPr>
              <w:t>0%</w:t>
            </w:r>
          </w:p>
        </w:tc>
        <w:tc>
          <w:tcPr>
            <w:tcW w:w="314" w:type="pct"/>
            <w:tcBorders>
              <w:top w:val="nil"/>
              <w:left w:val="nil"/>
              <w:right w:val="nil"/>
            </w:tcBorders>
            <w:shd w:val="clear" w:color="auto" w:fill="auto"/>
            <w:noWrap/>
            <w:vAlign w:val="bottom"/>
            <w:hideMark/>
          </w:tcPr>
          <w:p w:rsidR="002760F4" w:rsidRPr="001E69EE" w:rsidRDefault="002760F4" w:rsidP="00CE004A">
            <w:pPr>
              <w:spacing w:before="0" w:line="240" w:lineRule="auto"/>
              <w:rPr>
                <w:rFonts w:ascii="Arial" w:hAnsi="Arial" w:cs="Arial"/>
                <w:color w:val="000000"/>
                <w:sz w:val="16"/>
                <w:szCs w:val="16"/>
                <w:lang w:val="en-US"/>
              </w:rPr>
            </w:pPr>
          </w:p>
        </w:tc>
        <w:tc>
          <w:tcPr>
            <w:tcW w:w="314" w:type="pct"/>
            <w:tcBorders>
              <w:top w:val="nil"/>
              <w:left w:val="nil"/>
              <w:right w:val="nil"/>
            </w:tcBorders>
            <w:shd w:val="clear" w:color="auto" w:fill="auto"/>
            <w:noWrap/>
            <w:vAlign w:val="bottom"/>
            <w:hideMark/>
          </w:tcPr>
          <w:p w:rsidR="002760F4" w:rsidRPr="001E69EE" w:rsidRDefault="002760F4" w:rsidP="00CE004A">
            <w:pPr>
              <w:spacing w:before="0" w:line="240" w:lineRule="auto"/>
              <w:rPr>
                <w:rFonts w:ascii="Arial" w:hAnsi="Arial" w:cs="Arial"/>
                <w:color w:val="000000"/>
                <w:sz w:val="16"/>
                <w:szCs w:val="16"/>
                <w:lang w:val="en-US"/>
              </w:rPr>
            </w:pPr>
            <w:r w:rsidRPr="001E69EE">
              <w:rPr>
                <w:rFonts w:ascii="Arial" w:hAnsi="Arial" w:cs="Arial"/>
                <w:color w:val="000000"/>
                <w:sz w:val="16"/>
                <w:szCs w:val="16"/>
                <w:lang w:val="en-US"/>
              </w:rPr>
              <w:t>11%</w:t>
            </w:r>
          </w:p>
        </w:tc>
        <w:tc>
          <w:tcPr>
            <w:tcW w:w="314" w:type="pct"/>
            <w:tcBorders>
              <w:top w:val="nil"/>
              <w:left w:val="nil"/>
              <w:right w:val="nil"/>
            </w:tcBorders>
            <w:shd w:val="clear" w:color="auto" w:fill="auto"/>
            <w:noWrap/>
            <w:vAlign w:val="bottom"/>
            <w:hideMark/>
          </w:tcPr>
          <w:p w:rsidR="002760F4" w:rsidRPr="001E69EE" w:rsidRDefault="002760F4" w:rsidP="00CE004A">
            <w:pPr>
              <w:spacing w:before="0" w:line="240" w:lineRule="auto"/>
              <w:rPr>
                <w:rFonts w:ascii="Arial" w:hAnsi="Arial" w:cs="Arial"/>
                <w:color w:val="000000"/>
                <w:sz w:val="16"/>
                <w:szCs w:val="16"/>
                <w:lang w:val="en-US"/>
              </w:rPr>
            </w:pPr>
            <w:r w:rsidRPr="001E69EE">
              <w:rPr>
                <w:rFonts w:ascii="Arial" w:hAnsi="Arial" w:cs="Arial"/>
                <w:color w:val="000000"/>
                <w:sz w:val="16"/>
                <w:szCs w:val="16"/>
                <w:lang w:val="en-US"/>
              </w:rPr>
              <w:t>13%</w:t>
            </w:r>
          </w:p>
        </w:tc>
        <w:tc>
          <w:tcPr>
            <w:tcW w:w="313" w:type="pct"/>
            <w:tcBorders>
              <w:top w:val="nil"/>
              <w:left w:val="nil"/>
              <w:right w:val="nil"/>
            </w:tcBorders>
            <w:shd w:val="clear" w:color="auto" w:fill="auto"/>
            <w:noWrap/>
            <w:vAlign w:val="bottom"/>
            <w:hideMark/>
          </w:tcPr>
          <w:p w:rsidR="002760F4" w:rsidRPr="001E69EE" w:rsidRDefault="002760F4" w:rsidP="00CE004A">
            <w:pPr>
              <w:spacing w:before="0" w:line="240" w:lineRule="auto"/>
              <w:rPr>
                <w:rFonts w:ascii="Arial" w:hAnsi="Arial" w:cs="Arial"/>
                <w:color w:val="000000"/>
                <w:sz w:val="16"/>
                <w:szCs w:val="16"/>
                <w:lang w:val="en-US"/>
              </w:rPr>
            </w:pPr>
            <w:r w:rsidRPr="001E69EE">
              <w:rPr>
                <w:rFonts w:ascii="Arial" w:hAnsi="Arial" w:cs="Arial"/>
                <w:color w:val="000000"/>
                <w:sz w:val="16"/>
                <w:szCs w:val="16"/>
                <w:lang w:val="en-US"/>
              </w:rPr>
              <w:t>12%</w:t>
            </w:r>
          </w:p>
        </w:tc>
        <w:tc>
          <w:tcPr>
            <w:tcW w:w="314" w:type="pct"/>
            <w:tcBorders>
              <w:top w:val="nil"/>
              <w:left w:val="nil"/>
              <w:right w:val="nil"/>
            </w:tcBorders>
            <w:shd w:val="clear" w:color="auto" w:fill="auto"/>
            <w:noWrap/>
            <w:vAlign w:val="bottom"/>
            <w:hideMark/>
          </w:tcPr>
          <w:p w:rsidR="002760F4" w:rsidRPr="001E69EE" w:rsidRDefault="002760F4" w:rsidP="00CE004A">
            <w:pPr>
              <w:spacing w:before="0" w:line="240" w:lineRule="auto"/>
              <w:rPr>
                <w:rFonts w:ascii="Arial" w:hAnsi="Arial" w:cs="Arial"/>
                <w:color w:val="000000"/>
                <w:sz w:val="16"/>
                <w:szCs w:val="16"/>
                <w:lang w:val="en-US"/>
              </w:rPr>
            </w:pPr>
            <w:r w:rsidRPr="001E69EE">
              <w:rPr>
                <w:rFonts w:ascii="Arial" w:hAnsi="Arial" w:cs="Arial"/>
                <w:color w:val="000000"/>
                <w:sz w:val="16"/>
                <w:szCs w:val="16"/>
                <w:lang w:val="en-US"/>
              </w:rPr>
              <w:t>8%</w:t>
            </w:r>
          </w:p>
        </w:tc>
        <w:tc>
          <w:tcPr>
            <w:tcW w:w="314" w:type="pct"/>
            <w:tcBorders>
              <w:top w:val="nil"/>
              <w:left w:val="nil"/>
              <w:right w:val="nil"/>
            </w:tcBorders>
            <w:shd w:val="clear" w:color="auto" w:fill="auto"/>
            <w:noWrap/>
            <w:vAlign w:val="bottom"/>
            <w:hideMark/>
          </w:tcPr>
          <w:p w:rsidR="002760F4" w:rsidRPr="001E69EE" w:rsidRDefault="002760F4" w:rsidP="00CE004A">
            <w:pPr>
              <w:spacing w:before="0" w:line="240" w:lineRule="auto"/>
              <w:rPr>
                <w:rFonts w:ascii="Arial" w:hAnsi="Arial" w:cs="Arial"/>
                <w:color w:val="000000"/>
                <w:sz w:val="16"/>
                <w:szCs w:val="16"/>
                <w:lang w:val="en-US"/>
              </w:rPr>
            </w:pPr>
            <w:r w:rsidRPr="001E69EE">
              <w:rPr>
                <w:rFonts w:ascii="Arial" w:hAnsi="Arial" w:cs="Arial"/>
                <w:color w:val="000000"/>
                <w:sz w:val="16"/>
                <w:szCs w:val="16"/>
                <w:lang w:val="en-US"/>
              </w:rPr>
              <w:t>11%</w:t>
            </w:r>
          </w:p>
        </w:tc>
        <w:tc>
          <w:tcPr>
            <w:tcW w:w="314" w:type="pct"/>
            <w:tcBorders>
              <w:top w:val="nil"/>
              <w:left w:val="nil"/>
              <w:right w:val="nil"/>
            </w:tcBorders>
            <w:shd w:val="clear" w:color="auto" w:fill="auto"/>
            <w:noWrap/>
            <w:vAlign w:val="bottom"/>
            <w:hideMark/>
          </w:tcPr>
          <w:p w:rsidR="002760F4" w:rsidRPr="001E69EE" w:rsidRDefault="002760F4" w:rsidP="00CE004A">
            <w:pPr>
              <w:spacing w:before="0" w:line="240" w:lineRule="auto"/>
              <w:rPr>
                <w:rFonts w:ascii="Arial" w:hAnsi="Arial" w:cs="Arial"/>
                <w:color w:val="000000"/>
                <w:sz w:val="16"/>
                <w:szCs w:val="16"/>
                <w:lang w:val="en-US"/>
              </w:rPr>
            </w:pPr>
            <w:r w:rsidRPr="001E69EE">
              <w:rPr>
                <w:rFonts w:ascii="Arial" w:hAnsi="Arial" w:cs="Arial"/>
                <w:color w:val="000000"/>
                <w:sz w:val="16"/>
                <w:szCs w:val="16"/>
                <w:lang w:val="en-US"/>
              </w:rPr>
              <w:t>10%</w:t>
            </w:r>
          </w:p>
        </w:tc>
      </w:tr>
      <w:tr w:rsidR="00CE004A" w:rsidRPr="00CB2D0F" w:rsidTr="00CE004A">
        <w:trPr>
          <w:trHeight w:val="297"/>
        </w:trPr>
        <w:tc>
          <w:tcPr>
            <w:tcW w:w="1550" w:type="pct"/>
            <w:tcBorders>
              <w:top w:val="nil"/>
              <w:left w:val="nil"/>
              <w:bottom w:val="single" w:sz="4" w:space="0" w:color="auto"/>
              <w:right w:val="nil"/>
            </w:tcBorders>
            <w:shd w:val="clear" w:color="auto" w:fill="auto"/>
            <w:noWrap/>
            <w:vAlign w:val="bottom"/>
            <w:hideMark/>
          </w:tcPr>
          <w:p w:rsidR="002760F4" w:rsidRPr="00CB2D0F" w:rsidRDefault="002760F4" w:rsidP="00CE004A">
            <w:pPr>
              <w:spacing w:before="0" w:line="240" w:lineRule="auto"/>
              <w:rPr>
                <w:rFonts w:ascii="Arial" w:hAnsi="Arial" w:cs="Arial"/>
                <w:b/>
                <w:color w:val="000000"/>
                <w:sz w:val="16"/>
                <w:szCs w:val="16"/>
                <w:lang w:val="en-US"/>
              </w:rPr>
            </w:pPr>
            <w:r w:rsidRPr="00CB2D0F">
              <w:rPr>
                <w:rFonts w:ascii="Arial" w:hAnsi="Arial" w:cs="Arial"/>
                <w:b/>
                <w:color w:val="000000"/>
                <w:sz w:val="16"/>
                <w:szCs w:val="16"/>
                <w:lang w:val="en-US"/>
              </w:rPr>
              <w:t xml:space="preserve">Australia </w:t>
            </w:r>
          </w:p>
        </w:tc>
        <w:tc>
          <w:tcPr>
            <w:tcW w:w="313" w:type="pct"/>
            <w:tcBorders>
              <w:top w:val="nil"/>
              <w:left w:val="nil"/>
              <w:bottom w:val="single" w:sz="4" w:space="0" w:color="auto"/>
              <w:right w:val="nil"/>
            </w:tcBorders>
            <w:shd w:val="clear" w:color="auto" w:fill="auto"/>
            <w:noWrap/>
            <w:vAlign w:val="bottom"/>
            <w:hideMark/>
          </w:tcPr>
          <w:p w:rsidR="002760F4" w:rsidRPr="00CB2D0F" w:rsidRDefault="002760F4" w:rsidP="00CE004A">
            <w:pPr>
              <w:spacing w:before="0" w:line="240" w:lineRule="auto"/>
              <w:rPr>
                <w:rFonts w:ascii="Arial" w:hAnsi="Arial" w:cs="Arial"/>
                <w:b/>
                <w:color w:val="000000"/>
                <w:sz w:val="16"/>
                <w:szCs w:val="16"/>
                <w:lang w:val="en-US"/>
              </w:rPr>
            </w:pPr>
            <w:r w:rsidRPr="00CB2D0F">
              <w:rPr>
                <w:rFonts w:ascii="Arial" w:hAnsi="Arial" w:cs="Arial"/>
                <w:b/>
                <w:color w:val="000000"/>
                <w:sz w:val="16"/>
                <w:szCs w:val="16"/>
                <w:lang w:val="en-US"/>
              </w:rPr>
              <w:t>4%</w:t>
            </w:r>
          </w:p>
        </w:tc>
        <w:tc>
          <w:tcPr>
            <w:tcW w:w="314" w:type="pct"/>
            <w:tcBorders>
              <w:top w:val="nil"/>
              <w:left w:val="nil"/>
              <w:bottom w:val="single" w:sz="4" w:space="0" w:color="auto"/>
              <w:right w:val="nil"/>
            </w:tcBorders>
            <w:shd w:val="clear" w:color="auto" w:fill="auto"/>
            <w:noWrap/>
            <w:vAlign w:val="bottom"/>
            <w:hideMark/>
          </w:tcPr>
          <w:p w:rsidR="002760F4" w:rsidRPr="00CB2D0F" w:rsidRDefault="002760F4" w:rsidP="00CE004A">
            <w:pPr>
              <w:spacing w:before="0" w:line="240" w:lineRule="auto"/>
              <w:rPr>
                <w:rFonts w:ascii="Arial" w:hAnsi="Arial" w:cs="Arial"/>
                <w:b/>
                <w:color w:val="000000"/>
                <w:sz w:val="16"/>
                <w:szCs w:val="16"/>
                <w:lang w:val="en-US"/>
              </w:rPr>
            </w:pPr>
            <w:r w:rsidRPr="00CB2D0F">
              <w:rPr>
                <w:rFonts w:ascii="Arial" w:hAnsi="Arial" w:cs="Arial"/>
                <w:b/>
                <w:color w:val="000000"/>
                <w:sz w:val="16"/>
                <w:szCs w:val="16"/>
                <w:lang w:val="en-US"/>
              </w:rPr>
              <w:t>14%</w:t>
            </w:r>
          </w:p>
        </w:tc>
        <w:tc>
          <w:tcPr>
            <w:tcW w:w="314" w:type="pct"/>
            <w:tcBorders>
              <w:top w:val="nil"/>
              <w:left w:val="nil"/>
              <w:bottom w:val="single" w:sz="4" w:space="0" w:color="auto"/>
              <w:right w:val="nil"/>
            </w:tcBorders>
            <w:shd w:val="clear" w:color="auto" w:fill="auto"/>
            <w:noWrap/>
            <w:vAlign w:val="bottom"/>
            <w:hideMark/>
          </w:tcPr>
          <w:p w:rsidR="002760F4" w:rsidRPr="00CB2D0F" w:rsidRDefault="002760F4" w:rsidP="00CE004A">
            <w:pPr>
              <w:spacing w:before="0" w:line="240" w:lineRule="auto"/>
              <w:rPr>
                <w:rFonts w:ascii="Arial" w:hAnsi="Arial" w:cs="Arial"/>
                <w:b/>
                <w:color w:val="000000"/>
                <w:sz w:val="16"/>
                <w:szCs w:val="16"/>
                <w:lang w:val="en-US"/>
              </w:rPr>
            </w:pPr>
            <w:r w:rsidRPr="00CB2D0F">
              <w:rPr>
                <w:rFonts w:ascii="Arial" w:hAnsi="Arial" w:cs="Arial"/>
                <w:b/>
                <w:color w:val="000000"/>
                <w:sz w:val="16"/>
                <w:szCs w:val="16"/>
                <w:lang w:val="en-US"/>
              </w:rPr>
              <w:t>7%</w:t>
            </w:r>
          </w:p>
        </w:tc>
        <w:tc>
          <w:tcPr>
            <w:tcW w:w="313" w:type="pct"/>
            <w:tcBorders>
              <w:top w:val="nil"/>
              <w:left w:val="nil"/>
              <w:bottom w:val="single" w:sz="4" w:space="0" w:color="auto"/>
              <w:right w:val="nil"/>
            </w:tcBorders>
            <w:shd w:val="clear" w:color="auto" w:fill="auto"/>
            <w:noWrap/>
            <w:vAlign w:val="bottom"/>
            <w:hideMark/>
          </w:tcPr>
          <w:p w:rsidR="002760F4" w:rsidRPr="00CB2D0F" w:rsidRDefault="002760F4" w:rsidP="00CE004A">
            <w:pPr>
              <w:spacing w:before="0" w:line="240" w:lineRule="auto"/>
              <w:rPr>
                <w:rFonts w:ascii="Arial" w:hAnsi="Arial" w:cs="Arial"/>
                <w:b/>
                <w:color w:val="000000"/>
                <w:sz w:val="16"/>
                <w:szCs w:val="16"/>
                <w:lang w:val="en-US"/>
              </w:rPr>
            </w:pPr>
            <w:r w:rsidRPr="00CB2D0F">
              <w:rPr>
                <w:rFonts w:ascii="Arial" w:hAnsi="Arial" w:cs="Arial"/>
                <w:b/>
                <w:color w:val="000000"/>
                <w:sz w:val="16"/>
                <w:szCs w:val="16"/>
                <w:lang w:val="en-US"/>
              </w:rPr>
              <w:t>10%</w:t>
            </w:r>
          </w:p>
        </w:tc>
        <w:tc>
          <w:tcPr>
            <w:tcW w:w="314" w:type="pct"/>
            <w:tcBorders>
              <w:top w:val="nil"/>
              <w:left w:val="nil"/>
              <w:bottom w:val="single" w:sz="4" w:space="0" w:color="auto"/>
              <w:right w:val="nil"/>
            </w:tcBorders>
            <w:shd w:val="clear" w:color="auto" w:fill="auto"/>
            <w:noWrap/>
            <w:vAlign w:val="bottom"/>
            <w:hideMark/>
          </w:tcPr>
          <w:p w:rsidR="002760F4" w:rsidRPr="00CB2D0F" w:rsidRDefault="002760F4" w:rsidP="00CE004A">
            <w:pPr>
              <w:spacing w:before="0" w:line="240" w:lineRule="auto"/>
              <w:rPr>
                <w:rFonts w:ascii="Arial" w:hAnsi="Arial" w:cs="Arial"/>
                <w:b/>
                <w:color w:val="000000"/>
                <w:sz w:val="16"/>
                <w:szCs w:val="16"/>
                <w:lang w:val="en-US"/>
              </w:rPr>
            </w:pPr>
            <w:r w:rsidRPr="00CB2D0F">
              <w:rPr>
                <w:rFonts w:ascii="Arial" w:hAnsi="Arial" w:cs="Arial"/>
                <w:b/>
                <w:color w:val="000000"/>
                <w:sz w:val="16"/>
                <w:szCs w:val="16"/>
                <w:lang w:val="en-US"/>
              </w:rPr>
              <w:t>6%</w:t>
            </w:r>
          </w:p>
        </w:tc>
        <w:tc>
          <w:tcPr>
            <w:tcW w:w="314" w:type="pct"/>
            <w:tcBorders>
              <w:top w:val="nil"/>
              <w:left w:val="nil"/>
              <w:bottom w:val="single" w:sz="4" w:space="0" w:color="auto"/>
              <w:right w:val="nil"/>
            </w:tcBorders>
            <w:shd w:val="clear" w:color="auto" w:fill="auto"/>
            <w:noWrap/>
            <w:vAlign w:val="bottom"/>
            <w:hideMark/>
          </w:tcPr>
          <w:p w:rsidR="002760F4" w:rsidRPr="00CB2D0F" w:rsidRDefault="002760F4" w:rsidP="00CE004A">
            <w:pPr>
              <w:spacing w:before="0" w:line="240" w:lineRule="auto"/>
              <w:rPr>
                <w:rFonts w:ascii="Arial" w:hAnsi="Arial" w:cs="Arial"/>
                <w:b/>
                <w:color w:val="000000"/>
                <w:sz w:val="16"/>
                <w:szCs w:val="16"/>
                <w:lang w:val="en-US"/>
              </w:rPr>
            </w:pPr>
            <w:r w:rsidRPr="00CB2D0F">
              <w:rPr>
                <w:rFonts w:ascii="Arial" w:hAnsi="Arial" w:cs="Arial"/>
                <w:b/>
                <w:color w:val="000000"/>
                <w:sz w:val="16"/>
                <w:szCs w:val="16"/>
                <w:lang w:val="en-US"/>
              </w:rPr>
              <w:t>12%</w:t>
            </w:r>
          </w:p>
        </w:tc>
        <w:tc>
          <w:tcPr>
            <w:tcW w:w="314" w:type="pct"/>
            <w:tcBorders>
              <w:top w:val="nil"/>
              <w:left w:val="nil"/>
              <w:bottom w:val="single" w:sz="4" w:space="0" w:color="auto"/>
              <w:right w:val="nil"/>
            </w:tcBorders>
            <w:shd w:val="clear" w:color="auto" w:fill="auto"/>
            <w:noWrap/>
            <w:vAlign w:val="bottom"/>
            <w:hideMark/>
          </w:tcPr>
          <w:p w:rsidR="002760F4" w:rsidRPr="00CB2D0F" w:rsidRDefault="002760F4" w:rsidP="00CE004A">
            <w:pPr>
              <w:spacing w:before="0" w:line="240" w:lineRule="auto"/>
              <w:rPr>
                <w:rFonts w:ascii="Arial" w:hAnsi="Arial" w:cs="Arial"/>
                <w:b/>
                <w:color w:val="000000"/>
                <w:sz w:val="16"/>
                <w:szCs w:val="16"/>
                <w:lang w:val="en-US"/>
              </w:rPr>
            </w:pPr>
            <w:r w:rsidRPr="00CB2D0F">
              <w:rPr>
                <w:rFonts w:ascii="Arial" w:hAnsi="Arial" w:cs="Arial"/>
                <w:b/>
                <w:color w:val="000000"/>
                <w:sz w:val="16"/>
                <w:szCs w:val="16"/>
                <w:lang w:val="en-US"/>
              </w:rPr>
              <w:t>15%</w:t>
            </w:r>
          </w:p>
        </w:tc>
        <w:tc>
          <w:tcPr>
            <w:tcW w:w="313" w:type="pct"/>
            <w:tcBorders>
              <w:top w:val="nil"/>
              <w:left w:val="nil"/>
              <w:bottom w:val="single" w:sz="4" w:space="0" w:color="auto"/>
              <w:right w:val="nil"/>
            </w:tcBorders>
            <w:shd w:val="clear" w:color="auto" w:fill="auto"/>
            <w:noWrap/>
            <w:vAlign w:val="bottom"/>
            <w:hideMark/>
          </w:tcPr>
          <w:p w:rsidR="002760F4" w:rsidRPr="00CB2D0F" w:rsidRDefault="002760F4" w:rsidP="00CE004A">
            <w:pPr>
              <w:spacing w:before="0" w:line="240" w:lineRule="auto"/>
              <w:rPr>
                <w:rFonts w:ascii="Arial" w:hAnsi="Arial" w:cs="Arial"/>
                <w:b/>
                <w:color w:val="000000"/>
                <w:sz w:val="16"/>
                <w:szCs w:val="16"/>
                <w:lang w:val="en-US"/>
              </w:rPr>
            </w:pPr>
            <w:r w:rsidRPr="00CB2D0F">
              <w:rPr>
                <w:rFonts w:ascii="Arial" w:hAnsi="Arial" w:cs="Arial"/>
                <w:b/>
                <w:color w:val="000000"/>
                <w:sz w:val="16"/>
                <w:szCs w:val="16"/>
                <w:lang w:val="en-US"/>
              </w:rPr>
              <w:t>13%</w:t>
            </w:r>
          </w:p>
        </w:tc>
        <w:tc>
          <w:tcPr>
            <w:tcW w:w="314" w:type="pct"/>
            <w:tcBorders>
              <w:top w:val="nil"/>
              <w:left w:val="nil"/>
              <w:bottom w:val="single" w:sz="4" w:space="0" w:color="auto"/>
              <w:right w:val="nil"/>
            </w:tcBorders>
            <w:shd w:val="clear" w:color="auto" w:fill="auto"/>
            <w:noWrap/>
            <w:vAlign w:val="bottom"/>
            <w:hideMark/>
          </w:tcPr>
          <w:p w:rsidR="002760F4" w:rsidRPr="00CB2D0F" w:rsidRDefault="002760F4" w:rsidP="00CE004A">
            <w:pPr>
              <w:spacing w:before="0" w:line="240" w:lineRule="auto"/>
              <w:rPr>
                <w:rFonts w:ascii="Arial" w:hAnsi="Arial" w:cs="Arial"/>
                <w:b/>
                <w:color w:val="000000"/>
                <w:sz w:val="16"/>
                <w:szCs w:val="16"/>
                <w:lang w:val="en-US"/>
              </w:rPr>
            </w:pPr>
            <w:r w:rsidRPr="00CB2D0F">
              <w:rPr>
                <w:rFonts w:ascii="Arial" w:hAnsi="Arial" w:cs="Arial"/>
                <w:b/>
                <w:color w:val="000000"/>
                <w:sz w:val="16"/>
                <w:szCs w:val="16"/>
                <w:lang w:val="en-US"/>
              </w:rPr>
              <w:t>8%</w:t>
            </w:r>
          </w:p>
        </w:tc>
        <w:tc>
          <w:tcPr>
            <w:tcW w:w="314" w:type="pct"/>
            <w:tcBorders>
              <w:top w:val="nil"/>
              <w:left w:val="nil"/>
              <w:bottom w:val="single" w:sz="4" w:space="0" w:color="auto"/>
              <w:right w:val="nil"/>
            </w:tcBorders>
            <w:shd w:val="clear" w:color="auto" w:fill="auto"/>
            <w:noWrap/>
            <w:vAlign w:val="bottom"/>
            <w:hideMark/>
          </w:tcPr>
          <w:p w:rsidR="002760F4" w:rsidRPr="00CB2D0F" w:rsidRDefault="002760F4" w:rsidP="00CE004A">
            <w:pPr>
              <w:spacing w:before="0" w:line="240" w:lineRule="auto"/>
              <w:rPr>
                <w:rFonts w:ascii="Arial" w:hAnsi="Arial" w:cs="Arial"/>
                <w:b/>
                <w:color w:val="000000"/>
                <w:sz w:val="16"/>
                <w:szCs w:val="16"/>
                <w:lang w:val="en-US"/>
              </w:rPr>
            </w:pPr>
            <w:r w:rsidRPr="00CB2D0F">
              <w:rPr>
                <w:rFonts w:ascii="Arial" w:hAnsi="Arial" w:cs="Arial"/>
                <w:b/>
                <w:color w:val="000000"/>
                <w:sz w:val="16"/>
                <w:szCs w:val="16"/>
                <w:lang w:val="en-US"/>
              </w:rPr>
              <w:t>8%</w:t>
            </w:r>
          </w:p>
        </w:tc>
        <w:tc>
          <w:tcPr>
            <w:tcW w:w="314" w:type="pct"/>
            <w:tcBorders>
              <w:top w:val="nil"/>
              <w:left w:val="nil"/>
              <w:bottom w:val="single" w:sz="4" w:space="0" w:color="auto"/>
              <w:right w:val="nil"/>
            </w:tcBorders>
            <w:shd w:val="clear" w:color="auto" w:fill="auto"/>
            <w:noWrap/>
            <w:vAlign w:val="bottom"/>
            <w:hideMark/>
          </w:tcPr>
          <w:p w:rsidR="002760F4" w:rsidRPr="00CB2D0F" w:rsidRDefault="002760F4" w:rsidP="00CE004A">
            <w:pPr>
              <w:spacing w:before="0" w:line="240" w:lineRule="auto"/>
              <w:rPr>
                <w:rFonts w:ascii="Arial" w:hAnsi="Arial" w:cs="Arial"/>
                <w:b/>
                <w:color w:val="000000"/>
                <w:sz w:val="16"/>
                <w:szCs w:val="16"/>
                <w:lang w:val="en-US"/>
              </w:rPr>
            </w:pPr>
            <w:r w:rsidRPr="00CB2D0F">
              <w:rPr>
                <w:rFonts w:ascii="Arial" w:hAnsi="Arial" w:cs="Arial"/>
                <w:b/>
                <w:color w:val="000000"/>
                <w:sz w:val="16"/>
                <w:szCs w:val="16"/>
                <w:lang w:val="en-US"/>
              </w:rPr>
              <w:t>10%</w:t>
            </w:r>
          </w:p>
        </w:tc>
      </w:tr>
    </w:tbl>
    <w:p w:rsidR="002760F4" w:rsidRPr="00257235" w:rsidRDefault="002760F4" w:rsidP="002760F4">
      <w:pPr>
        <w:spacing w:before="0" w:line="240" w:lineRule="auto"/>
        <w:rPr>
          <w:sz w:val="16"/>
          <w:szCs w:val="16"/>
          <w:lang w:val="en-US"/>
        </w:rPr>
      </w:pPr>
      <w:r w:rsidRPr="00257235">
        <w:rPr>
          <w:sz w:val="16"/>
          <w:szCs w:val="16"/>
          <w:lang w:val="en-US"/>
        </w:rPr>
        <w:t>Notes: Blank cells mean that no activity is reported in this field of education. Calculations based on data provided on undergraduate student commencements where numbers lower than 10 were not specified, therefore “0%” can indicate that the number was lower than 10. Table excludes non-award and mixed field admissions</w:t>
      </w:r>
    </w:p>
    <w:p w:rsidR="002760F4" w:rsidRDefault="002760F4" w:rsidP="00CE004A">
      <w:pPr>
        <w:pStyle w:val="Source"/>
        <w:rPr>
          <w:lang w:val="en-US"/>
        </w:rPr>
      </w:pPr>
      <w:r w:rsidRPr="00257235">
        <w:rPr>
          <w:lang w:val="en-US"/>
        </w:rPr>
        <w:t>Source: Higher Education Statistics Collection (unpublished data)</w:t>
      </w:r>
      <w:r>
        <w:rPr>
          <w:lang w:val="en-US"/>
        </w:rPr>
        <w:br w:type="page"/>
      </w:r>
    </w:p>
    <w:p w:rsidR="002760F4" w:rsidRPr="002F13AD" w:rsidRDefault="002760F4" w:rsidP="002760F4">
      <w:pPr>
        <w:pStyle w:val="Heading2"/>
        <w:rPr>
          <w:rFonts w:ascii="Times New Roman" w:hAnsi="Times New Roman"/>
          <w:b/>
          <w:sz w:val="18"/>
          <w:szCs w:val="18"/>
        </w:rPr>
      </w:pPr>
      <w:bookmarkStart w:id="164" w:name="_Toc349839015"/>
      <w:bookmarkStart w:id="165" w:name="_Toc358384142"/>
      <w:bookmarkStart w:id="166" w:name="_Toc370995905"/>
      <w:r w:rsidRPr="002F3F49">
        <w:rPr>
          <w:lang w:val="en-US"/>
        </w:rPr>
        <w:lastRenderedPageBreak/>
        <w:t>A</w:t>
      </w:r>
      <w:r>
        <w:rPr>
          <w:lang w:val="en-US"/>
        </w:rPr>
        <w:t>.2:</w:t>
      </w:r>
      <w:r w:rsidRPr="002F3F49">
        <w:rPr>
          <w:lang w:val="en-US"/>
        </w:rPr>
        <w:t xml:space="preserve"> </w:t>
      </w:r>
      <w:r>
        <w:rPr>
          <w:lang w:val="en-US"/>
        </w:rPr>
        <w:t>University a</w:t>
      </w:r>
      <w:r w:rsidRPr="002F3F49">
        <w:rPr>
          <w:lang w:val="en-US"/>
        </w:rPr>
        <w:t>dmissions on the</w:t>
      </w:r>
      <w:r>
        <w:rPr>
          <w:lang w:val="en-US"/>
        </w:rPr>
        <w:t xml:space="preserve"> basis of a VET Award - institutional and broad field of education clusters</w:t>
      </w:r>
      <w:bookmarkEnd w:id="164"/>
      <w:bookmarkEnd w:id="165"/>
      <w:bookmarkEnd w:id="166"/>
      <w:r>
        <w:rPr>
          <w:lang w:val="en-US"/>
        </w:rPr>
        <w:t xml:space="preserve"> </w:t>
      </w:r>
    </w:p>
    <w:p w:rsidR="002760F4" w:rsidRDefault="002760F4" w:rsidP="002760F4">
      <w:pPr>
        <w:tabs>
          <w:tab w:val="left" w:pos="5812"/>
        </w:tabs>
        <w:spacing w:before="0" w:line="240" w:lineRule="auto"/>
      </w:pPr>
    </w:p>
    <w:p w:rsidR="002760F4" w:rsidRDefault="002760F4" w:rsidP="002760F4">
      <w:pPr>
        <w:spacing w:before="0" w:line="240" w:lineRule="auto"/>
        <w:rPr>
          <w:sz w:val="16"/>
          <w:szCs w:val="16"/>
        </w:rPr>
      </w:pPr>
      <w:r>
        <w:object w:dxaOrig="9477" w:dyaOrig="13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8pt;height:9in" o:ole="">
            <v:imagedata r:id="rId19" o:title=""/>
          </v:shape>
          <o:OLEObject Type="Embed" ProgID="Excel.Sheet.12" ShapeID="_x0000_i1025" DrawAspect="Content" ObjectID="_1445334323" r:id="rId20"/>
        </w:object>
      </w:r>
      <w:r w:rsidRPr="00F9341E">
        <w:rPr>
          <w:sz w:val="16"/>
          <w:szCs w:val="16"/>
        </w:rPr>
        <w:t xml:space="preserve">Shaded areas denote instances where the percentage admission is above the sector average. Blank cells indicate the university </w:t>
      </w:r>
      <w:r>
        <w:rPr>
          <w:sz w:val="16"/>
          <w:szCs w:val="16"/>
        </w:rPr>
        <w:t>reported</w:t>
      </w:r>
      <w:r w:rsidRPr="00F9341E">
        <w:rPr>
          <w:sz w:val="16"/>
          <w:szCs w:val="16"/>
        </w:rPr>
        <w:t xml:space="preserve"> no </w:t>
      </w:r>
      <w:r>
        <w:rPr>
          <w:sz w:val="16"/>
          <w:szCs w:val="16"/>
        </w:rPr>
        <w:t xml:space="preserve">enrolments </w:t>
      </w:r>
      <w:r w:rsidRPr="00F9341E">
        <w:rPr>
          <w:sz w:val="16"/>
          <w:szCs w:val="16"/>
        </w:rPr>
        <w:t>in this FOE</w:t>
      </w:r>
      <w:r>
        <w:rPr>
          <w:sz w:val="16"/>
          <w:szCs w:val="16"/>
        </w:rPr>
        <w:t>. Table excludes non-award and mixed field admissions</w:t>
      </w:r>
    </w:p>
    <w:p w:rsidR="002760F4" w:rsidRDefault="002760F4" w:rsidP="002760F4">
      <w:pPr>
        <w:pStyle w:val="Heading2"/>
      </w:pPr>
      <w:bookmarkStart w:id="167" w:name="_Toc349839016"/>
      <w:bookmarkStart w:id="168" w:name="_Toc358384143"/>
      <w:bookmarkStart w:id="169" w:name="_Toc370995906"/>
      <w:r w:rsidRPr="00257235">
        <w:lastRenderedPageBreak/>
        <w:t>A.</w:t>
      </w:r>
      <w:r>
        <w:t>3</w:t>
      </w:r>
      <w:r w:rsidRPr="00257235">
        <w:t xml:space="preserve">: </w:t>
      </w:r>
      <w:r>
        <w:t>Survey Questions</w:t>
      </w:r>
      <w:bookmarkEnd w:id="167"/>
      <w:bookmarkEnd w:id="168"/>
      <w:bookmarkEnd w:id="169"/>
    </w:p>
    <w:p w:rsidR="002760F4" w:rsidRDefault="002760F4" w:rsidP="002760F4">
      <w:pPr>
        <w:pStyle w:val="Text"/>
      </w:pPr>
      <w:r w:rsidRPr="00257235">
        <w:t>Question 1: Does your institution have any specific policy objectives (eg. targets) regarding the proportion of students admitted to undergraduate programs on the basis of VET studies? If so, please specify?</w:t>
      </w:r>
    </w:p>
    <w:p w:rsidR="002760F4" w:rsidRDefault="002760F4" w:rsidP="002760F4">
      <w:pPr>
        <w:pStyle w:val="Text"/>
      </w:pPr>
      <w:r w:rsidRPr="00257235">
        <w:t>Question 2: What central processes and practices, if any, do you have in place to encourage the admission of VET students to undergraduate programs (e.g. dedicated pathway officers, heads of agreement, marketing initiatives etc.)? Please provide details.</w:t>
      </w:r>
    </w:p>
    <w:p w:rsidR="002760F4" w:rsidRDefault="002760F4" w:rsidP="002760F4">
      <w:pPr>
        <w:pStyle w:val="Text"/>
      </w:pPr>
      <w:r w:rsidRPr="00FD0621">
        <w:t>Question 3: What policies or programs do you have to support students admitted to your undergraduate programs on the basis of VET studies?</w:t>
      </w:r>
    </w:p>
    <w:p w:rsidR="002760F4" w:rsidRDefault="002760F4" w:rsidP="002760F4">
      <w:pPr>
        <w:pStyle w:val="Text"/>
      </w:pPr>
      <w:r w:rsidRPr="00FD0621">
        <w:t>Question 4: How does your institution monitor the enrolment and/or progression rates of students admitted on the basis of VET studies?</w:t>
      </w:r>
    </w:p>
    <w:p w:rsidR="002760F4" w:rsidRDefault="002760F4" w:rsidP="002760F4">
      <w:pPr>
        <w:pStyle w:val="Text"/>
      </w:pPr>
      <w:r w:rsidRPr="00FD0621">
        <w:t>Question 5: What issues or difficulties, if any, does your institution face in monitoring the admission and progression of students admitted on the basis of VET studies?</w:t>
      </w:r>
    </w:p>
    <w:p w:rsidR="002760F4" w:rsidRDefault="002760F4" w:rsidP="002760F4">
      <w:pPr>
        <w:pStyle w:val="Text"/>
      </w:pPr>
      <w:r w:rsidRPr="00FD0621">
        <w:t>Question 6: Is there anything else you would like to say about your institution’s experience in regard to VET-HE Pathways (eg. challenge, benefits, costs)?</w:t>
      </w:r>
    </w:p>
    <w:p w:rsidR="002760F4" w:rsidRDefault="002760F4" w:rsidP="002760F4">
      <w:pPr>
        <w:pStyle w:val="Heading2"/>
      </w:pPr>
      <w:r>
        <w:br w:type="page"/>
      </w:r>
    </w:p>
    <w:p w:rsidR="002760F4" w:rsidRDefault="002760F4" w:rsidP="002760F4">
      <w:pPr>
        <w:pStyle w:val="Heading2"/>
      </w:pPr>
      <w:bookmarkStart w:id="170" w:name="_Toc349839017"/>
      <w:bookmarkStart w:id="171" w:name="_Toc358384144"/>
      <w:bookmarkStart w:id="172" w:name="_Toc370995907"/>
      <w:r w:rsidRPr="00257235">
        <w:lastRenderedPageBreak/>
        <w:t>A.</w:t>
      </w:r>
      <w:r>
        <w:t>4</w:t>
      </w:r>
      <w:r w:rsidRPr="00257235">
        <w:t xml:space="preserve">: </w:t>
      </w:r>
      <w:r>
        <w:t xml:space="preserve">Clusters of broad Fields of </w:t>
      </w:r>
      <w:r w:rsidR="00CF2698">
        <w:t>Educat</w:t>
      </w:r>
      <w:r w:rsidR="003E15EB">
        <w:t>io</w:t>
      </w:r>
      <w:r w:rsidR="00CF2698">
        <w:t xml:space="preserve">n </w:t>
      </w:r>
      <w:r>
        <w:t>(FOEs) Dendrogram</w:t>
      </w:r>
      <w:bookmarkEnd w:id="170"/>
      <w:bookmarkEnd w:id="171"/>
      <w:bookmarkEnd w:id="172"/>
    </w:p>
    <w:p w:rsidR="002760F4" w:rsidRPr="00C0141B" w:rsidRDefault="002760F4" w:rsidP="002760F4">
      <w:pPr>
        <w:spacing w:before="0" w:line="240" w:lineRule="auto"/>
      </w:pPr>
    </w:p>
    <w:p w:rsidR="002760F4" w:rsidRPr="00C0141B" w:rsidRDefault="002760F4" w:rsidP="002760F4">
      <w:pPr>
        <w:spacing w:before="0" w:line="240" w:lineRule="auto"/>
      </w:pPr>
      <w:r w:rsidRPr="00C0141B">
        <w:rPr>
          <w:noProof/>
          <w:lang w:eastAsia="en-AU"/>
        </w:rPr>
        <w:drawing>
          <wp:inline distT="0" distB="0" distL="0" distR="0">
            <wp:extent cx="4703245" cy="3429000"/>
            <wp:effectExtent l="19050" t="0" r="2105" b="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4707222" cy="3431900"/>
                    </a:xfrm>
                    <a:prstGeom prst="rect">
                      <a:avLst/>
                    </a:prstGeom>
                    <a:noFill/>
                    <a:ln w="9525">
                      <a:noFill/>
                      <a:miter lim="800000"/>
                      <a:headEnd/>
                      <a:tailEnd/>
                    </a:ln>
                  </pic:spPr>
                </pic:pic>
              </a:graphicData>
            </a:graphic>
          </wp:inline>
        </w:drawing>
      </w:r>
    </w:p>
    <w:p w:rsidR="002760F4" w:rsidRPr="00C0141B" w:rsidRDefault="002760F4" w:rsidP="002760F4">
      <w:pPr>
        <w:spacing w:before="0" w:line="240" w:lineRule="auto"/>
      </w:pPr>
    </w:p>
    <w:p w:rsidR="002760F4" w:rsidRPr="00C0141B" w:rsidRDefault="002760F4" w:rsidP="002760F4">
      <w:pPr>
        <w:spacing w:before="0" w:line="240" w:lineRule="auto"/>
      </w:pPr>
    </w:p>
    <w:p w:rsidR="002760F4" w:rsidRPr="00C0141B" w:rsidRDefault="002760F4" w:rsidP="002760F4">
      <w:pPr>
        <w:spacing w:before="0" w:line="240" w:lineRule="auto"/>
      </w:pPr>
    </w:p>
    <w:p w:rsidR="002760F4" w:rsidRPr="00AD376E" w:rsidRDefault="002760F4" w:rsidP="002760F4">
      <w:pPr>
        <w:spacing w:before="0" w:line="240" w:lineRule="auto"/>
      </w:pPr>
    </w:p>
    <w:p w:rsidR="002760F4" w:rsidRDefault="002760F4" w:rsidP="002760F4">
      <w:pPr>
        <w:spacing w:before="0" w:line="240" w:lineRule="auto"/>
        <w:rPr>
          <w:lang w:val="en-US"/>
        </w:rPr>
      </w:pPr>
      <w:r>
        <w:rPr>
          <w:lang w:val="en-US"/>
        </w:rPr>
        <w:br w:type="page"/>
      </w:r>
    </w:p>
    <w:p w:rsidR="009E7F75" w:rsidRDefault="009E7F75" w:rsidP="009E7F75">
      <w:pPr>
        <w:pStyle w:val="Heading2"/>
      </w:pPr>
      <w:bookmarkStart w:id="173" w:name="_Toc358384145"/>
      <w:bookmarkStart w:id="174" w:name="_Toc370995908"/>
      <w:r>
        <w:lastRenderedPageBreak/>
        <w:t xml:space="preserve">A.5 </w:t>
      </w:r>
      <w:r w:rsidRPr="00F43625">
        <w:t>Proportion of undergraduate commenc</w:t>
      </w:r>
      <w:r>
        <w:t>ing students</w:t>
      </w:r>
      <w:r w:rsidRPr="00F43625">
        <w:t xml:space="preserve"> admitted on the basis of a VET award and on an "Other basis”, by HE institution, Australia 2010</w:t>
      </w:r>
      <w:bookmarkEnd w:id="159"/>
      <w:bookmarkEnd w:id="173"/>
      <w:bookmarkEnd w:id="174"/>
    </w:p>
    <w:p w:rsidR="009E7F75" w:rsidRPr="00F43625" w:rsidRDefault="009E7F75" w:rsidP="009E7F75">
      <w:pPr>
        <w:pStyle w:val="Text"/>
      </w:pPr>
    </w:p>
    <w:p w:rsidR="009E7F75" w:rsidRDefault="009E7F75" w:rsidP="009E7F75">
      <w:pPr>
        <w:spacing w:before="0" w:line="240" w:lineRule="auto"/>
      </w:pPr>
      <w:r w:rsidRPr="00F43625">
        <w:rPr>
          <w:noProof/>
          <w:lang w:eastAsia="en-AU"/>
        </w:rPr>
        <w:drawing>
          <wp:inline distT="0" distB="0" distL="0" distR="0">
            <wp:extent cx="5580380" cy="7112110"/>
            <wp:effectExtent l="19050" t="0" r="127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580380" cy="7112110"/>
                    </a:xfrm>
                    <a:prstGeom prst="rect">
                      <a:avLst/>
                    </a:prstGeom>
                    <a:noFill/>
                    <a:ln w="9525">
                      <a:noFill/>
                      <a:miter lim="800000"/>
                      <a:headEnd/>
                      <a:tailEnd/>
                    </a:ln>
                  </pic:spPr>
                </pic:pic>
              </a:graphicData>
            </a:graphic>
          </wp:inline>
        </w:drawing>
      </w:r>
    </w:p>
    <w:p w:rsidR="009E7F75" w:rsidRDefault="009E7F75" w:rsidP="009E7F75">
      <w:pPr>
        <w:spacing w:before="0" w:line="240" w:lineRule="auto"/>
      </w:pPr>
      <w:r>
        <w:t>Source: DEEWR (2010) Higher Education Statistics Collection. Unpublished data</w:t>
      </w:r>
    </w:p>
    <w:p w:rsidR="009E7F75" w:rsidRDefault="009E7F75" w:rsidP="009E7F75">
      <w:pPr>
        <w:spacing w:before="0" w:line="240" w:lineRule="auto"/>
      </w:pPr>
      <w:r>
        <w:br w:type="page"/>
      </w:r>
    </w:p>
    <w:p w:rsidR="009E7F75" w:rsidRDefault="009E7F75" w:rsidP="009E7F75">
      <w:pPr>
        <w:pStyle w:val="Heading2"/>
      </w:pPr>
      <w:bookmarkStart w:id="175" w:name="_Toc349839019"/>
      <w:bookmarkStart w:id="176" w:name="_Toc358384146"/>
      <w:bookmarkStart w:id="177" w:name="_Toc370995909"/>
      <w:r>
        <w:lastRenderedPageBreak/>
        <w:t xml:space="preserve">A.6 </w:t>
      </w:r>
      <w:r w:rsidRPr="00F43625">
        <w:t>Proportion of undergraduate commenc</w:t>
      </w:r>
      <w:r>
        <w:t>ing students</w:t>
      </w:r>
      <w:r w:rsidRPr="00F43625">
        <w:t xml:space="preserve"> admitted on the basis of </w:t>
      </w:r>
      <w:r>
        <w:t xml:space="preserve">Secondary School completion and </w:t>
      </w:r>
      <w:r w:rsidRPr="00F43625">
        <w:t>a VET award</w:t>
      </w:r>
      <w:r>
        <w:t>,</w:t>
      </w:r>
      <w:r w:rsidRPr="00F43625">
        <w:t xml:space="preserve"> by HE institution, Australia 2010</w:t>
      </w:r>
      <w:bookmarkEnd w:id="175"/>
      <w:bookmarkEnd w:id="176"/>
      <w:bookmarkEnd w:id="177"/>
    </w:p>
    <w:p w:rsidR="009E7F75" w:rsidRPr="00D97798" w:rsidRDefault="009E7F75" w:rsidP="009E7F75">
      <w:pPr>
        <w:pStyle w:val="Text"/>
      </w:pPr>
    </w:p>
    <w:p w:rsidR="009E7F75" w:rsidRDefault="009E7F75" w:rsidP="009E7F75">
      <w:pPr>
        <w:spacing w:before="0" w:line="240" w:lineRule="auto"/>
      </w:pPr>
      <w:r w:rsidRPr="00FB7787">
        <w:rPr>
          <w:noProof/>
          <w:lang w:eastAsia="en-AU"/>
        </w:rPr>
        <w:drawing>
          <wp:inline distT="0" distB="0" distL="0" distR="0">
            <wp:extent cx="5580380" cy="6605834"/>
            <wp:effectExtent l="0" t="0" r="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E7F75" w:rsidRDefault="009E7F75" w:rsidP="009E7F75">
      <w:pPr>
        <w:spacing w:before="0" w:line="240" w:lineRule="auto"/>
      </w:pPr>
    </w:p>
    <w:p w:rsidR="009E7F75" w:rsidRDefault="009E7F75" w:rsidP="009E7F75">
      <w:pPr>
        <w:spacing w:before="0" w:line="240" w:lineRule="auto"/>
      </w:pPr>
    </w:p>
    <w:p w:rsidR="009E7F75" w:rsidRDefault="009E7F75" w:rsidP="009E7F75">
      <w:pPr>
        <w:spacing w:before="0" w:line="240" w:lineRule="auto"/>
      </w:pPr>
      <w:r>
        <w:t>Source: DEEWR (2010) Higher Education Statistics Collection. Unpublished data</w:t>
      </w:r>
    </w:p>
    <w:p w:rsidR="008D335E" w:rsidRDefault="008D335E" w:rsidP="008D335E">
      <w:pPr>
        <w:pStyle w:val="References"/>
      </w:pPr>
    </w:p>
    <w:sectPr w:rsidR="008D335E" w:rsidSect="00F82B97">
      <w:footerReference w:type="even" r:id="rId24"/>
      <w:footerReference w:type="default" r:id="rId25"/>
      <w:pgSz w:w="11907" w:h="16840" w:code="9"/>
      <w:pgMar w:top="1276" w:right="1701" w:bottom="1276" w:left="1418" w:header="709" w:footer="556" w:gutter="0"/>
      <w:cols w:space="708" w:equalWidth="0">
        <w:col w:w="87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AC0" w:rsidRDefault="005F3AC0">
      <w:r>
        <w:separator/>
      </w:r>
    </w:p>
  </w:endnote>
  <w:endnote w:type="continuationSeparator" w:id="0">
    <w:p w:rsidR="005F3AC0" w:rsidRDefault="005F3A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C0" w:rsidRPr="008C0A74" w:rsidRDefault="004F3869" w:rsidP="00FF5931">
    <w:pPr>
      <w:pStyle w:val="Footer"/>
      <w:tabs>
        <w:tab w:val="clear" w:pos="8505"/>
        <w:tab w:val="right" w:pos="8789"/>
      </w:tabs>
      <w:rPr>
        <w:b/>
      </w:rPr>
    </w:pPr>
    <w:r w:rsidRPr="004F3869">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5F3AC0" w:rsidRPr="008C0A74">
      <w:rPr>
        <w:b/>
        <w:color w:val="FFFFFF" w:themeColor="background1"/>
      </w:rPr>
      <w:instrText xml:space="preserve"> PAGE </w:instrText>
    </w:r>
    <w:r w:rsidRPr="008C0A74">
      <w:rPr>
        <w:b/>
        <w:color w:val="FFFFFF" w:themeColor="background1"/>
      </w:rPr>
      <w:fldChar w:fldCharType="separate"/>
    </w:r>
    <w:r w:rsidR="008C0312">
      <w:rPr>
        <w:b/>
        <w:noProof/>
        <w:color w:val="FFFFFF" w:themeColor="background1"/>
      </w:rPr>
      <w:t>70</w:t>
    </w:r>
    <w:r w:rsidRPr="008C0A74">
      <w:rPr>
        <w:b/>
        <w:color w:val="FFFFFF" w:themeColor="background1"/>
      </w:rPr>
      <w:fldChar w:fldCharType="end"/>
    </w:r>
    <w:r w:rsidR="005F3AC0" w:rsidRPr="008C0A74">
      <w:rPr>
        <w:b/>
        <w:color w:val="FFFFFF" w:themeColor="background1"/>
      </w:rPr>
      <w:tab/>
    </w:r>
    <w:r w:rsidR="0072654A">
      <w:rPr>
        <w:b/>
      </w:rPr>
      <w:t>A</w:t>
    </w:r>
    <w:r w:rsidR="00B75DEF">
      <w:rPr>
        <w:b/>
      </w:rPr>
      <w:t xml:space="preserve"> half-open door: support document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C0" w:rsidRPr="009775C7" w:rsidRDefault="004F3869" w:rsidP="008C0A74">
    <w:pPr>
      <w:pStyle w:val="Footer"/>
      <w:tabs>
        <w:tab w:val="clear" w:pos="8505"/>
        <w:tab w:val="right" w:pos="8789"/>
      </w:tabs>
      <w:rPr>
        <w:color w:val="FFFFFF" w:themeColor="background1"/>
      </w:rPr>
    </w:pPr>
    <w:r w:rsidRPr="004F3869">
      <w:rPr>
        <w:b/>
        <w:noProof/>
        <w:lang w:eastAsia="en-AU"/>
      </w:rPr>
      <w:pict>
        <v:rect id="_x0000_s2052" style="position:absolute;margin-left:425.6pt;margin-top:-2.45pt;width:99pt;height:18.75pt;z-index:-251653120" fillcolor="black [3213]" stroked="f" strokecolor="#bfbfbf [2412]"/>
      </w:pict>
    </w:r>
    <w:r w:rsidR="005F3AC0">
      <w:rPr>
        <w:b/>
      </w:rPr>
      <w:t>The Education Institute</w:t>
    </w:r>
    <w:r w:rsidR="005F3AC0" w:rsidRPr="009775C7">
      <w:tab/>
    </w:r>
    <w:r w:rsidRPr="009775C7">
      <w:rPr>
        <w:rStyle w:val="PageNumber"/>
        <w:rFonts w:cs="Tahoma"/>
        <w:b/>
        <w:color w:val="FFFFFF" w:themeColor="background1"/>
        <w:sz w:val="17"/>
      </w:rPr>
      <w:fldChar w:fldCharType="begin"/>
    </w:r>
    <w:r w:rsidR="005F3AC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8C0312">
      <w:rPr>
        <w:rStyle w:val="PageNumber"/>
        <w:rFonts w:cs="Tahoma"/>
        <w:b/>
        <w:noProof/>
        <w:color w:val="FFFFFF" w:themeColor="background1"/>
        <w:sz w:val="17"/>
      </w:rPr>
      <w:t>71</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AC0" w:rsidRDefault="005F3AC0">
      <w:r>
        <w:separator/>
      </w:r>
    </w:p>
  </w:footnote>
  <w:footnote w:type="continuationSeparator" w:id="0">
    <w:p w:rsidR="005F3AC0" w:rsidRDefault="005F3AC0">
      <w:r>
        <w:continuationSeparator/>
      </w:r>
    </w:p>
  </w:footnote>
  <w:footnote w:id="1">
    <w:p w:rsidR="004631F6" w:rsidRDefault="004631F6" w:rsidP="00377870">
      <w:pPr>
        <w:pStyle w:val="FootnoteText"/>
      </w:pPr>
      <w:r>
        <w:rPr>
          <w:rStyle w:val="FootnoteReference"/>
        </w:rPr>
        <w:footnoteRef/>
      </w:r>
      <w:r>
        <w:t xml:space="preserve"> This study excludes Batchelor Institute of Indigenous Tertiary Education  which admits no VET award-holders</w:t>
      </w:r>
    </w:p>
  </w:footnote>
  <w:footnote w:id="2">
    <w:p w:rsidR="004631F6" w:rsidRPr="00E87634" w:rsidRDefault="004631F6" w:rsidP="00377870">
      <w:pPr>
        <w:pStyle w:val="FootnoteText"/>
        <w:rPr>
          <w:lang w:val="en-US"/>
        </w:rPr>
      </w:pPr>
      <w:r>
        <w:rPr>
          <w:rStyle w:val="FootnoteReference"/>
        </w:rPr>
        <w:footnoteRef/>
      </w:r>
      <w:r>
        <w:t xml:space="preserve"> </w:t>
      </w:r>
      <w:r>
        <w:rPr>
          <w:lang w:val="en-US"/>
        </w:rPr>
        <w:t>The twelve universities are: Charles Sturt University;  RMIT University; University of Western Sydney; Griffith University; Deakin University: Edith Cowan University; La Trobe University; Swinburne University: Victoria University; University of South Australia; University of Newcastle; and University of Tasmania</w:t>
      </w:r>
    </w:p>
  </w:footnote>
  <w:footnote w:id="3">
    <w:p w:rsidR="004631F6" w:rsidRDefault="004631F6" w:rsidP="00A76AFD">
      <w:pPr>
        <w:pStyle w:val="FootnoteText"/>
      </w:pPr>
      <w:r>
        <w:rPr>
          <w:rStyle w:val="FootnoteReference"/>
        </w:rPr>
        <w:footnoteRef/>
      </w:r>
      <w:r>
        <w:t xml:space="preserve"> For a list of the ASCED Broad Fields of Education (FOEs), see Table 2.</w:t>
      </w:r>
    </w:p>
  </w:footnote>
  <w:footnote w:id="4">
    <w:p w:rsidR="004631F6" w:rsidRDefault="004631F6" w:rsidP="00A76AFD">
      <w:pPr>
        <w:pStyle w:val="FootnoteText"/>
      </w:pPr>
      <w:r>
        <w:rPr>
          <w:rStyle w:val="FootnoteReference"/>
        </w:rPr>
        <w:footnoteRef/>
      </w:r>
      <w:r>
        <w:t xml:space="preserve">  This university reported that o</w:t>
      </w:r>
      <w:r w:rsidRPr="006E7895">
        <w:t xml:space="preserve">n other measures, </w:t>
      </w:r>
      <w:r>
        <w:t xml:space="preserve">such as achievement, </w:t>
      </w:r>
      <w:r w:rsidRPr="006E7895">
        <w:t>students “admitted on the basis of TAFE diplomas perform as well as school leavers with ATARs between 80 and 85” (Respondent C)</w:t>
      </w:r>
    </w:p>
  </w:footnote>
  <w:footnote w:id="5">
    <w:p w:rsidR="004631F6" w:rsidRDefault="004631F6" w:rsidP="00210540">
      <w:pPr>
        <w:pStyle w:val="FootnoteText"/>
      </w:pPr>
      <w:r>
        <w:rPr>
          <w:rStyle w:val="FootnoteReference"/>
        </w:rPr>
        <w:footnoteRef/>
      </w:r>
      <w:r>
        <w:t xml:space="preserve"> </w:t>
      </w:r>
      <w:r w:rsidRPr="006A6D83">
        <w:t>The Australian Standard Classification of Education (ASCED) 2001, issued by the Australian Bureau of Statistics defines twelve broad fields of education. The Commonwealth higher education collection uses ASCED definitions to classify student enrolments as well as a further category called “non-award courses”.</w:t>
      </w:r>
    </w:p>
  </w:footnote>
  <w:footnote w:id="6">
    <w:p w:rsidR="005F3AC0" w:rsidRPr="0073173B" w:rsidRDefault="005F3AC0" w:rsidP="004B5099">
      <w:pPr>
        <w:pStyle w:val="FootnoteText"/>
      </w:pPr>
      <w:r>
        <w:rPr>
          <w:rStyle w:val="FootnoteReference"/>
        </w:rPr>
        <w:footnoteRef/>
      </w:r>
      <w:r>
        <w:t xml:space="preserve"> </w:t>
      </w:r>
      <w:r w:rsidRPr="00467AD7">
        <w:t>The dendrogram produced through the clustering proced</w:t>
      </w:r>
      <w:r>
        <w:t>ure is provided in Appendix A.4 of the support document.</w:t>
      </w:r>
    </w:p>
  </w:footnote>
  <w:footnote w:id="7">
    <w:p w:rsidR="005F3AC0" w:rsidRDefault="005F3AC0" w:rsidP="003B0360">
      <w:pPr>
        <w:pStyle w:val="FootnoteText"/>
      </w:pPr>
      <w:r>
        <w:rPr>
          <w:rStyle w:val="FootnoteReference"/>
        </w:rPr>
        <w:footnoteRef/>
      </w:r>
      <w:r>
        <w:t xml:space="preserve"> However as discussed in Section 1, Indigenous students are under-represented among VET award-holders admitted to Australian universities.</w:t>
      </w:r>
    </w:p>
  </w:footnote>
  <w:footnote w:id="8">
    <w:p w:rsidR="005F3AC0" w:rsidRDefault="005F3AC0" w:rsidP="003B0360">
      <w:pPr>
        <w:pStyle w:val="FootnoteText"/>
      </w:pPr>
      <w:r>
        <w:rPr>
          <w:rStyle w:val="FootnoteReference"/>
        </w:rPr>
        <w:footnoteRef/>
      </w:r>
      <w:r>
        <w:t xml:space="preserve"> Illustrating the university’s understanding that  VET graduates are more likely to identify themselves in these terms.</w:t>
      </w:r>
    </w:p>
  </w:footnote>
  <w:footnote w:id="9">
    <w:p w:rsidR="005F3AC0" w:rsidRDefault="005F3AC0" w:rsidP="003B0360">
      <w:pPr>
        <w:pStyle w:val="FootnoteText"/>
      </w:pPr>
      <w:r>
        <w:rPr>
          <w:rStyle w:val="FootnoteReference"/>
        </w:rPr>
        <w:footnoteRef/>
      </w:r>
      <w:r>
        <w:t xml:space="preserve"> The authors note that without access to Commonwealth-held data on higher education student completions, it is impossible to establish what types of support policies and programs are most successful. </w:t>
      </w:r>
    </w:p>
  </w:footnote>
  <w:footnote w:id="10">
    <w:p w:rsidR="005F3AC0" w:rsidRDefault="005F3AC0" w:rsidP="003B0360">
      <w:pPr>
        <w:pStyle w:val="FootnoteText"/>
      </w:pPr>
      <w:r>
        <w:rPr>
          <w:rStyle w:val="FootnoteReference"/>
        </w:rPr>
        <w:footnoteRef/>
      </w:r>
      <w:r>
        <w:t xml:space="preserve"> The Bachelor of Early Childhood Studies caters specifically for VET award-holders in full-time employment and/or living in non-metropolitan areas. The course is delivered on-line with one intensive teaching weekend per unit, per semester held at the Monash City campus so that students from regional areas can attend more easily. The student retention and completion rates are comparable to similar programs taught in conventional modes on campus.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6637923"/>
    <w:multiLevelType w:val="hybridMultilevel"/>
    <w:tmpl w:val="2D2433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DA95B5D"/>
    <w:multiLevelType w:val="hybridMultilevel"/>
    <w:tmpl w:val="928ED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1061F1"/>
    <w:multiLevelType w:val="hybridMultilevel"/>
    <w:tmpl w:val="6C9C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5D5141"/>
    <w:multiLevelType w:val="hybridMultilevel"/>
    <w:tmpl w:val="E64A36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1A646D1"/>
    <w:multiLevelType w:val="hybridMultilevel"/>
    <w:tmpl w:val="3B2C69A0"/>
    <w:lvl w:ilvl="0" w:tplc="455AF7F0">
      <w:start w:val="10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8EF32CB"/>
    <w:multiLevelType w:val="hybridMultilevel"/>
    <w:tmpl w:val="9A3E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AC77F38"/>
    <w:multiLevelType w:val="hybridMultilevel"/>
    <w:tmpl w:val="A3AE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0BE56D6"/>
    <w:multiLevelType w:val="hybridMultilevel"/>
    <w:tmpl w:val="22A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nsid w:val="58B149DB"/>
    <w:multiLevelType w:val="hybridMultilevel"/>
    <w:tmpl w:val="68701146"/>
    <w:lvl w:ilvl="0" w:tplc="51A81DCC">
      <w:start w:val="12"/>
      <w:numFmt w:val="bullet"/>
      <w:lvlText w:val="-"/>
      <w:lvlJc w:val="left"/>
      <w:pPr>
        <w:ind w:left="2226" w:hanging="360"/>
      </w:pPr>
      <w:rPr>
        <w:rFonts w:ascii="Tahoma" w:eastAsia="Times New Roman" w:hAnsi="Tahoma" w:cs="Tahoma"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32">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F260E11"/>
    <w:multiLevelType w:val="hybridMultilevel"/>
    <w:tmpl w:val="D69E1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nsid w:val="63CB2284"/>
    <w:multiLevelType w:val="hybridMultilevel"/>
    <w:tmpl w:val="D7EC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DE1850"/>
    <w:multiLevelType w:val="hybridMultilevel"/>
    <w:tmpl w:val="EC7E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8F703B"/>
    <w:multiLevelType w:val="hybridMultilevel"/>
    <w:tmpl w:val="9304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8D71DA8"/>
    <w:multiLevelType w:val="hybridMultilevel"/>
    <w:tmpl w:val="EF02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23"/>
  </w:num>
  <w:num w:numId="5">
    <w:abstractNumId w:val="12"/>
  </w:num>
  <w:num w:numId="6">
    <w:abstractNumId w:val="30"/>
  </w:num>
  <w:num w:numId="7">
    <w:abstractNumId w:val="33"/>
  </w:num>
  <w:num w:numId="8">
    <w:abstractNumId w:val="32"/>
  </w:num>
  <w:num w:numId="9">
    <w:abstractNumId w:val="40"/>
  </w:num>
  <w:num w:numId="10">
    <w:abstractNumId w:val="24"/>
  </w:num>
  <w:num w:numId="11">
    <w:abstractNumId w:val="20"/>
  </w:num>
  <w:num w:numId="12">
    <w:abstractNumId w:val="26"/>
  </w:num>
  <w:num w:numId="13">
    <w:abstractNumId w:val="28"/>
  </w:num>
  <w:num w:numId="14">
    <w:abstractNumId w:val="15"/>
  </w:num>
  <w:num w:numId="15">
    <w:abstractNumId w:val="21"/>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4"/>
  </w:num>
  <w:num w:numId="24">
    <w:abstractNumId w:val="11"/>
  </w:num>
  <w:num w:numId="25">
    <w:abstractNumId w:val="14"/>
  </w:num>
  <w:num w:numId="26">
    <w:abstractNumId w:val="41"/>
  </w:num>
  <w:num w:numId="27">
    <w:abstractNumId w:val="3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9"/>
  </w:num>
  <w:num w:numId="35">
    <w:abstractNumId w:val="19"/>
  </w:num>
  <w:num w:numId="36">
    <w:abstractNumId w:val="27"/>
  </w:num>
  <w:num w:numId="37">
    <w:abstractNumId w:val="35"/>
  </w:num>
  <w:num w:numId="38">
    <w:abstractNumId w:val="25"/>
  </w:num>
  <w:num w:numId="39">
    <w:abstractNumId w:val="38"/>
  </w:num>
  <w:num w:numId="40">
    <w:abstractNumId w:val="37"/>
  </w:num>
  <w:num w:numId="41">
    <w:abstractNumId w:val="22"/>
  </w:num>
  <w:num w:numId="42">
    <w:abstractNumId w:val="42"/>
  </w:num>
  <w:num w:numId="43">
    <w:abstractNumId w:val="31"/>
  </w:num>
  <w:num w:numId="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8"/>
  <w:stylePaneSortMethod w:val="0000"/>
  <w:defaultTabStop w:val="720"/>
  <w:doNotHyphenateCaps/>
  <w:clickAndTypeStyle w:val="Text"/>
  <w:evenAndOddHeaders/>
  <w:drawingGridHorizontalSpacing w:val="95"/>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D01749"/>
    <w:rsid w:val="000108B2"/>
    <w:rsid w:val="00013265"/>
    <w:rsid w:val="00016A9C"/>
    <w:rsid w:val="00016C35"/>
    <w:rsid w:val="00021FBC"/>
    <w:rsid w:val="00022290"/>
    <w:rsid w:val="00023630"/>
    <w:rsid w:val="00031019"/>
    <w:rsid w:val="000315D7"/>
    <w:rsid w:val="00032950"/>
    <w:rsid w:val="00036D0D"/>
    <w:rsid w:val="000400CF"/>
    <w:rsid w:val="0004650B"/>
    <w:rsid w:val="000549EE"/>
    <w:rsid w:val="0006125F"/>
    <w:rsid w:val="00074BD4"/>
    <w:rsid w:val="00085A95"/>
    <w:rsid w:val="00090651"/>
    <w:rsid w:val="00090C98"/>
    <w:rsid w:val="00096D36"/>
    <w:rsid w:val="000A235B"/>
    <w:rsid w:val="000A41F4"/>
    <w:rsid w:val="000C1642"/>
    <w:rsid w:val="000C297F"/>
    <w:rsid w:val="000C3B42"/>
    <w:rsid w:val="000C67C4"/>
    <w:rsid w:val="000D2C23"/>
    <w:rsid w:val="000D424E"/>
    <w:rsid w:val="000D6F37"/>
    <w:rsid w:val="000D7BCF"/>
    <w:rsid w:val="000E2609"/>
    <w:rsid w:val="000E3C6E"/>
    <w:rsid w:val="000F641C"/>
    <w:rsid w:val="0010545F"/>
    <w:rsid w:val="0010761A"/>
    <w:rsid w:val="001217FF"/>
    <w:rsid w:val="00123B5C"/>
    <w:rsid w:val="0012781A"/>
    <w:rsid w:val="001325F8"/>
    <w:rsid w:val="00135C75"/>
    <w:rsid w:val="00143730"/>
    <w:rsid w:val="00150874"/>
    <w:rsid w:val="001509F3"/>
    <w:rsid w:val="00151AF3"/>
    <w:rsid w:val="00151C3C"/>
    <w:rsid w:val="00154B8A"/>
    <w:rsid w:val="00155839"/>
    <w:rsid w:val="00166281"/>
    <w:rsid w:val="001679DF"/>
    <w:rsid w:val="0017044B"/>
    <w:rsid w:val="00174DEB"/>
    <w:rsid w:val="00177827"/>
    <w:rsid w:val="00177DE5"/>
    <w:rsid w:val="00184504"/>
    <w:rsid w:val="0019042E"/>
    <w:rsid w:val="0019591A"/>
    <w:rsid w:val="001B1918"/>
    <w:rsid w:val="001B1F79"/>
    <w:rsid w:val="001B43CF"/>
    <w:rsid w:val="001C62A9"/>
    <w:rsid w:val="001C6C68"/>
    <w:rsid w:val="001D7FF4"/>
    <w:rsid w:val="001F5355"/>
    <w:rsid w:val="001F7D84"/>
    <w:rsid w:val="00203DC0"/>
    <w:rsid w:val="00210540"/>
    <w:rsid w:val="00214797"/>
    <w:rsid w:val="00220AF1"/>
    <w:rsid w:val="00225653"/>
    <w:rsid w:val="002277A9"/>
    <w:rsid w:val="00230346"/>
    <w:rsid w:val="00230EEC"/>
    <w:rsid w:val="00233BFA"/>
    <w:rsid w:val="00233C8D"/>
    <w:rsid w:val="00234265"/>
    <w:rsid w:val="002460D3"/>
    <w:rsid w:val="0024700E"/>
    <w:rsid w:val="0025295B"/>
    <w:rsid w:val="00253E74"/>
    <w:rsid w:val="00256E72"/>
    <w:rsid w:val="002623F4"/>
    <w:rsid w:val="0026565B"/>
    <w:rsid w:val="00267C2C"/>
    <w:rsid w:val="002760F4"/>
    <w:rsid w:val="00277568"/>
    <w:rsid w:val="0028309E"/>
    <w:rsid w:val="00284FCB"/>
    <w:rsid w:val="00287B0C"/>
    <w:rsid w:val="00290050"/>
    <w:rsid w:val="00297019"/>
    <w:rsid w:val="00297B2F"/>
    <w:rsid w:val="002A21BF"/>
    <w:rsid w:val="002A38BE"/>
    <w:rsid w:val="002A5EAF"/>
    <w:rsid w:val="002A70FF"/>
    <w:rsid w:val="002B130D"/>
    <w:rsid w:val="002D0947"/>
    <w:rsid w:val="002D0A07"/>
    <w:rsid w:val="002D6143"/>
    <w:rsid w:val="002E196B"/>
    <w:rsid w:val="002F1D4E"/>
    <w:rsid w:val="002F5482"/>
    <w:rsid w:val="002F68DF"/>
    <w:rsid w:val="002F7D56"/>
    <w:rsid w:val="00300041"/>
    <w:rsid w:val="00303B34"/>
    <w:rsid w:val="00303CA3"/>
    <w:rsid w:val="00311121"/>
    <w:rsid w:val="00313B19"/>
    <w:rsid w:val="003173C8"/>
    <w:rsid w:val="003321BE"/>
    <w:rsid w:val="00334CE3"/>
    <w:rsid w:val="00340B4D"/>
    <w:rsid w:val="003504A8"/>
    <w:rsid w:val="003622A7"/>
    <w:rsid w:val="00364207"/>
    <w:rsid w:val="003645D7"/>
    <w:rsid w:val="00370EAD"/>
    <w:rsid w:val="00371167"/>
    <w:rsid w:val="00377870"/>
    <w:rsid w:val="003917BA"/>
    <w:rsid w:val="003929E4"/>
    <w:rsid w:val="00393473"/>
    <w:rsid w:val="003A2A66"/>
    <w:rsid w:val="003A39A2"/>
    <w:rsid w:val="003B0360"/>
    <w:rsid w:val="003B16DA"/>
    <w:rsid w:val="003B483E"/>
    <w:rsid w:val="003B4E60"/>
    <w:rsid w:val="003C0CF7"/>
    <w:rsid w:val="003D2661"/>
    <w:rsid w:val="003D31D5"/>
    <w:rsid w:val="003E15EB"/>
    <w:rsid w:val="003E5792"/>
    <w:rsid w:val="003E67CB"/>
    <w:rsid w:val="003F1E93"/>
    <w:rsid w:val="003F3C6D"/>
    <w:rsid w:val="003F52DC"/>
    <w:rsid w:val="00400B16"/>
    <w:rsid w:val="004062D4"/>
    <w:rsid w:val="00412667"/>
    <w:rsid w:val="0041482B"/>
    <w:rsid w:val="00422A02"/>
    <w:rsid w:val="00422B27"/>
    <w:rsid w:val="00423C04"/>
    <w:rsid w:val="00425FCD"/>
    <w:rsid w:val="0042606F"/>
    <w:rsid w:val="00435B92"/>
    <w:rsid w:val="00440717"/>
    <w:rsid w:val="004425DC"/>
    <w:rsid w:val="00447B49"/>
    <w:rsid w:val="00457198"/>
    <w:rsid w:val="004631F6"/>
    <w:rsid w:val="00463ACE"/>
    <w:rsid w:val="0047396B"/>
    <w:rsid w:val="00477DF9"/>
    <w:rsid w:val="00477F0B"/>
    <w:rsid w:val="00480354"/>
    <w:rsid w:val="0048643A"/>
    <w:rsid w:val="004875CC"/>
    <w:rsid w:val="00490529"/>
    <w:rsid w:val="0049453B"/>
    <w:rsid w:val="00494E7C"/>
    <w:rsid w:val="00497604"/>
    <w:rsid w:val="004A1A99"/>
    <w:rsid w:val="004A5FAB"/>
    <w:rsid w:val="004A76A3"/>
    <w:rsid w:val="004B21E8"/>
    <w:rsid w:val="004B5099"/>
    <w:rsid w:val="004B65F3"/>
    <w:rsid w:val="004C08CB"/>
    <w:rsid w:val="004C4063"/>
    <w:rsid w:val="004D4802"/>
    <w:rsid w:val="004D6C37"/>
    <w:rsid w:val="004E7227"/>
    <w:rsid w:val="004F1772"/>
    <w:rsid w:val="004F3869"/>
    <w:rsid w:val="005037D3"/>
    <w:rsid w:val="00504CB1"/>
    <w:rsid w:val="00507515"/>
    <w:rsid w:val="00510FFD"/>
    <w:rsid w:val="00511363"/>
    <w:rsid w:val="00511BBB"/>
    <w:rsid w:val="00513286"/>
    <w:rsid w:val="00516658"/>
    <w:rsid w:val="00520315"/>
    <w:rsid w:val="005204C7"/>
    <w:rsid w:val="005210F1"/>
    <w:rsid w:val="0052276C"/>
    <w:rsid w:val="00523A0B"/>
    <w:rsid w:val="0053250C"/>
    <w:rsid w:val="005508C7"/>
    <w:rsid w:val="0055220D"/>
    <w:rsid w:val="0055667C"/>
    <w:rsid w:val="005567F6"/>
    <w:rsid w:val="005630EC"/>
    <w:rsid w:val="00570758"/>
    <w:rsid w:val="00571B96"/>
    <w:rsid w:val="0057400C"/>
    <w:rsid w:val="00577945"/>
    <w:rsid w:val="00581546"/>
    <w:rsid w:val="00581A2F"/>
    <w:rsid w:val="0058289B"/>
    <w:rsid w:val="00596FD5"/>
    <w:rsid w:val="005A04CB"/>
    <w:rsid w:val="005A629C"/>
    <w:rsid w:val="005C0204"/>
    <w:rsid w:val="005C060A"/>
    <w:rsid w:val="005C277E"/>
    <w:rsid w:val="005C61F8"/>
    <w:rsid w:val="005D46EF"/>
    <w:rsid w:val="005D5913"/>
    <w:rsid w:val="005D72AD"/>
    <w:rsid w:val="005E048A"/>
    <w:rsid w:val="005E4764"/>
    <w:rsid w:val="005F3AC0"/>
    <w:rsid w:val="00602388"/>
    <w:rsid w:val="00611727"/>
    <w:rsid w:val="006179F3"/>
    <w:rsid w:val="0063553E"/>
    <w:rsid w:val="00641D39"/>
    <w:rsid w:val="00647E98"/>
    <w:rsid w:val="00652973"/>
    <w:rsid w:val="00653493"/>
    <w:rsid w:val="006534AF"/>
    <w:rsid w:val="00656679"/>
    <w:rsid w:val="00657F34"/>
    <w:rsid w:val="00667592"/>
    <w:rsid w:val="0067712D"/>
    <w:rsid w:val="006921BA"/>
    <w:rsid w:val="00696A48"/>
    <w:rsid w:val="006A154F"/>
    <w:rsid w:val="006A2B13"/>
    <w:rsid w:val="006A65FA"/>
    <w:rsid w:val="006A702B"/>
    <w:rsid w:val="006B0296"/>
    <w:rsid w:val="006B2D00"/>
    <w:rsid w:val="006C367D"/>
    <w:rsid w:val="006C5DA9"/>
    <w:rsid w:val="006D0080"/>
    <w:rsid w:val="006D0A32"/>
    <w:rsid w:val="006D26C5"/>
    <w:rsid w:val="006E233E"/>
    <w:rsid w:val="006F20C0"/>
    <w:rsid w:val="006F4E5D"/>
    <w:rsid w:val="00700882"/>
    <w:rsid w:val="007037A4"/>
    <w:rsid w:val="0070433B"/>
    <w:rsid w:val="0071009F"/>
    <w:rsid w:val="00710DB3"/>
    <w:rsid w:val="00715C77"/>
    <w:rsid w:val="007207B5"/>
    <w:rsid w:val="0072251E"/>
    <w:rsid w:val="007231F0"/>
    <w:rsid w:val="00723D72"/>
    <w:rsid w:val="00725973"/>
    <w:rsid w:val="0072654A"/>
    <w:rsid w:val="00730D7B"/>
    <w:rsid w:val="00731EC8"/>
    <w:rsid w:val="00736BB8"/>
    <w:rsid w:val="0076085E"/>
    <w:rsid w:val="00770423"/>
    <w:rsid w:val="00771BB4"/>
    <w:rsid w:val="00771C0B"/>
    <w:rsid w:val="00774CB9"/>
    <w:rsid w:val="00783F44"/>
    <w:rsid w:val="00785B90"/>
    <w:rsid w:val="0079020B"/>
    <w:rsid w:val="007A2079"/>
    <w:rsid w:val="007A2BAD"/>
    <w:rsid w:val="007A729A"/>
    <w:rsid w:val="007B452B"/>
    <w:rsid w:val="007B6A9F"/>
    <w:rsid w:val="007C2689"/>
    <w:rsid w:val="007C3281"/>
    <w:rsid w:val="007C50A7"/>
    <w:rsid w:val="007C5335"/>
    <w:rsid w:val="007C641D"/>
    <w:rsid w:val="007E2D8C"/>
    <w:rsid w:val="007F698C"/>
    <w:rsid w:val="008007B0"/>
    <w:rsid w:val="00800A2B"/>
    <w:rsid w:val="00802ADD"/>
    <w:rsid w:val="00802CF9"/>
    <w:rsid w:val="008061FC"/>
    <w:rsid w:val="00806C1C"/>
    <w:rsid w:val="00811206"/>
    <w:rsid w:val="00812014"/>
    <w:rsid w:val="00813283"/>
    <w:rsid w:val="00816666"/>
    <w:rsid w:val="00824954"/>
    <w:rsid w:val="0082618E"/>
    <w:rsid w:val="00826757"/>
    <w:rsid w:val="00843C6D"/>
    <w:rsid w:val="00845086"/>
    <w:rsid w:val="00863432"/>
    <w:rsid w:val="008639DE"/>
    <w:rsid w:val="00873564"/>
    <w:rsid w:val="00874C9D"/>
    <w:rsid w:val="00874DA5"/>
    <w:rsid w:val="0087770B"/>
    <w:rsid w:val="00877B56"/>
    <w:rsid w:val="008923B6"/>
    <w:rsid w:val="0089301B"/>
    <w:rsid w:val="00894271"/>
    <w:rsid w:val="008A5F64"/>
    <w:rsid w:val="008A7216"/>
    <w:rsid w:val="008A7710"/>
    <w:rsid w:val="008B761A"/>
    <w:rsid w:val="008C0312"/>
    <w:rsid w:val="008C0A74"/>
    <w:rsid w:val="008D2A43"/>
    <w:rsid w:val="008D335E"/>
    <w:rsid w:val="008D71E9"/>
    <w:rsid w:val="008E069B"/>
    <w:rsid w:val="008F20BA"/>
    <w:rsid w:val="008F3C55"/>
    <w:rsid w:val="008F5E34"/>
    <w:rsid w:val="008F62FC"/>
    <w:rsid w:val="008F73ED"/>
    <w:rsid w:val="00900CCF"/>
    <w:rsid w:val="00903D03"/>
    <w:rsid w:val="009058B5"/>
    <w:rsid w:val="00905A7D"/>
    <w:rsid w:val="00911703"/>
    <w:rsid w:val="00917FB3"/>
    <w:rsid w:val="00933317"/>
    <w:rsid w:val="009447EE"/>
    <w:rsid w:val="0094609A"/>
    <w:rsid w:val="009461ED"/>
    <w:rsid w:val="00952A92"/>
    <w:rsid w:val="009538E6"/>
    <w:rsid w:val="00956495"/>
    <w:rsid w:val="009704E4"/>
    <w:rsid w:val="009708D1"/>
    <w:rsid w:val="00971369"/>
    <w:rsid w:val="00974DD3"/>
    <w:rsid w:val="009775C7"/>
    <w:rsid w:val="0099077B"/>
    <w:rsid w:val="009908C7"/>
    <w:rsid w:val="00994745"/>
    <w:rsid w:val="00995E10"/>
    <w:rsid w:val="009A2349"/>
    <w:rsid w:val="009A7713"/>
    <w:rsid w:val="009B567D"/>
    <w:rsid w:val="009C22BE"/>
    <w:rsid w:val="009E17EF"/>
    <w:rsid w:val="009E231A"/>
    <w:rsid w:val="009E2F64"/>
    <w:rsid w:val="009E7F75"/>
    <w:rsid w:val="009F0DC5"/>
    <w:rsid w:val="009F2767"/>
    <w:rsid w:val="009F5510"/>
    <w:rsid w:val="009F739A"/>
    <w:rsid w:val="00A01DE8"/>
    <w:rsid w:val="00A06DAF"/>
    <w:rsid w:val="00A0715D"/>
    <w:rsid w:val="00A10A6B"/>
    <w:rsid w:val="00A10E2B"/>
    <w:rsid w:val="00A20EBB"/>
    <w:rsid w:val="00A30084"/>
    <w:rsid w:val="00A30406"/>
    <w:rsid w:val="00A372CA"/>
    <w:rsid w:val="00A50895"/>
    <w:rsid w:val="00A51DB7"/>
    <w:rsid w:val="00A566CC"/>
    <w:rsid w:val="00A6206D"/>
    <w:rsid w:val="00A73318"/>
    <w:rsid w:val="00A76AFD"/>
    <w:rsid w:val="00A8173B"/>
    <w:rsid w:val="00A83AD1"/>
    <w:rsid w:val="00A9334E"/>
    <w:rsid w:val="00A93867"/>
    <w:rsid w:val="00A94488"/>
    <w:rsid w:val="00A947B2"/>
    <w:rsid w:val="00A96F8F"/>
    <w:rsid w:val="00A9787A"/>
    <w:rsid w:val="00AA44D4"/>
    <w:rsid w:val="00AA53D0"/>
    <w:rsid w:val="00AA6C1E"/>
    <w:rsid w:val="00AB2F07"/>
    <w:rsid w:val="00AB4906"/>
    <w:rsid w:val="00AB4D28"/>
    <w:rsid w:val="00AB5094"/>
    <w:rsid w:val="00AB58E5"/>
    <w:rsid w:val="00AB6E2C"/>
    <w:rsid w:val="00AB725E"/>
    <w:rsid w:val="00AD1328"/>
    <w:rsid w:val="00AD5004"/>
    <w:rsid w:val="00AE766A"/>
    <w:rsid w:val="00AF1005"/>
    <w:rsid w:val="00AF24CD"/>
    <w:rsid w:val="00AF666E"/>
    <w:rsid w:val="00AF755E"/>
    <w:rsid w:val="00B05F5C"/>
    <w:rsid w:val="00B118B0"/>
    <w:rsid w:val="00B211F9"/>
    <w:rsid w:val="00B22C42"/>
    <w:rsid w:val="00B40F20"/>
    <w:rsid w:val="00B41272"/>
    <w:rsid w:val="00B426FE"/>
    <w:rsid w:val="00B45EBA"/>
    <w:rsid w:val="00B52AA0"/>
    <w:rsid w:val="00B57CC9"/>
    <w:rsid w:val="00B61F87"/>
    <w:rsid w:val="00B6791D"/>
    <w:rsid w:val="00B73DD0"/>
    <w:rsid w:val="00B75DEF"/>
    <w:rsid w:val="00B77043"/>
    <w:rsid w:val="00B81D5E"/>
    <w:rsid w:val="00B82343"/>
    <w:rsid w:val="00B844B3"/>
    <w:rsid w:val="00B855BC"/>
    <w:rsid w:val="00B86D06"/>
    <w:rsid w:val="00B95142"/>
    <w:rsid w:val="00BB113D"/>
    <w:rsid w:val="00BB1B6E"/>
    <w:rsid w:val="00BC265D"/>
    <w:rsid w:val="00BC48FB"/>
    <w:rsid w:val="00BC4A17"/>
    <w:rsid w:val="00BC6CAC"/>
    <w:rsid w:val="00BC770A"/>
    <w:rsid w:val="00BC7C47"/>
    <w:rsid w:val="00BD17D2"/>
    <w:rsid w:val="00BD18F6"/>
    <w:rsid w:val="00BF690E"/>
    <w:rsid w:val="00BF788F"/>
    <w:rsid w:val="00C02B79"/>
    <w:rsid w:val="00C053D5"/>
    <w:rsid w:val="00C05971"/>
    <w:rsid w:val="00C20D54"/>
    <w:rsid w:val="00C25BDC"/>
    <w:rsid w:val="00C326BC"/>
    <w:rsid w:val="00C469E4"/>
    <w:rsid w:val="00C54125"/>
    <w:rsid w:val="00C562B5"/>
    <w:rsid w:val="00C57933"/>
    <w:rsid w:val="00C60FFF"/>
    <w:rsid w:val="00C6122C"/>
    <w:rsid w:val="00C63294"/>
    <w:rsid w:val="00C70C68"/>
    <w:rsid w:val="00C739BA"/>
    <w:rsid w:val="00C73DD9"/>
    <w:rsid w:val="00C77DC6"/>
    <w:rsid w:val="00C801DA"/>
    <w:rsid w:val="00C811B9"/>
    <w:rsid w:val="00C82304"/>
    <w:rsid w:val="00C86361"/>
    <w:rsid w:val="00C926F0"/>
    <w:rsid w:val="00C9656D"/>
    <w:rsid w:val="00CA146B"/>
    <w:rsid w:val="00CA4AFC"/>
    <w:rsid w:val="00CB21CE"/>
    <w:rsid w:val="00CB224D"/>
    <w:rsid w:val="00CB48B4"/>
    <w:rsid w:val="00CD0495"/>
    <w:rsid w:val="00CD5F32"/>
    <w:rsid w:val="00CE004A"/>
    <w:rsid w:val="00CE1020"/>
    <w:rsid w:val="00CE5740"/>
    <w:rsid w:val="00CE6BC5"/>
    <w:rsid w:val="00CF2698"/>
    <w:rsid w:val="00D01749"/>
    <w:rsid w:val="00D03FB2"/>
    <w:rsid w:val="00D076F0"/>
    <w:rsid w:val="00D12971"/>
    <w:rsid w:val="00D26D99"/>
    <w:rsid w:val="00D31B44"/>
    <w:rsid w:val="00D43B5F"/>
    <w:rsid w:val="00D5000E"/>
    <w:rsid w:val="00D55586"/>
    <w:rsid w:val="00D6022B"/>
    <w:rsid w:val="00D61ADF"/>
    <w:rsid w:val="00D718A6"/>
    <w:rsid w:val="00D84332"/>
    <w:rsid w:val="00D937DD"/>
    <w:rsid w:val="00DB599C"/>
    <w:rsid w:val="00DC1D87"/>
    <w:rsid w:val="00DC5F5C"/>
    <w:rsid w:val="00DD4FCA"/>
    <w:rsid w:val="00DE0D49"/>
    <w:rsid w:val="00DE6092"/>
    <w:rsid w:val="00DF1771"/>
    <w:rsid w:val="00E06B95"/>
    <w:rsid w:val="00E07704"/>
    <w:rsid w:val="00E10CF7"/>
    <w:rsid w:val="00E1220A"/>
    <w:rsid w:val="00E123CB"/>
    <w:rsid w:val="00E13A6E"/>
    <w:rsid w:val="00E140A4"/>
    <w:rsid w:val="00E14FA9"/>
    <w:rsid w:val="00E22023"/>
    <w:rsid w:val="00E236D0"/>
    <w:rsid w:val="00E24597"/>
    <w:rsid w:val="00E30433"/>
    <w:rsid w:val="00E35695"/>
    <w:rsid w:val="00E365F8"/>
    <w:rsid w:val="00E40147"/>
    <w:rsid w:val="00E4348C"/>
    <w:rsid w:val="00E52313"/>
    <w:rsid w:val="00E544F2"/>
    <w:rsid w:val="00E553A1"/>
    <w:rsid w:val="00E56EC1"/>
    <w:rsid w:val="00E61195"/>
    <w:rsid w:val="00E67C25"/>
    <w:rsid w:val="00E81A91"/>
    <w:rsid w:val="00E84ECA"/>
    <w:rsid w:val="00E92B8B"/>
    <w:rsid w:val="00E95812"/>
    <w:rsid w:val="00E95948"/>
    <w:rsid w:val="00E97D20"/>
    <w:rsid w:val="00EA1AE7"/>
    <w:rsid w:val="00EA50E9"/>
    <w:rsid w:val="00EB42C3"/>
    <w:rsid w:val="00EC02F4"/>
    <w:rsid w:val="00EC2604"/>
    <w:rsid w:val="00EC53DD"/>
    <w:rsid w:val="00ED1AA3"/>
    <w:rsid w:val="00ED3F87"/>
    <w:rsid w:val="00ED4D6D"/>
    <w:rsid w:val="00ED70C6"/>
    <w:rsid w:val="00EE1355"/>
    <w:rsid w:val="00EE42D9"/>
    <w:rsid w:val="00EE67B3"/>
    <w:rsid w:val="00EF35A5"/>
    <w:rsid w:val="00EF745F"/>
    <w:rsid w:val="00F00F8D"/>
    <w:rsid w:val="00F02E5F"/>
    <w:rsid w:val="00F0531C"/>
    <w:rsid w:val="00F07497"/>
    <w:rsid w:val="00F1024D"/>
    <w:rsid w:val="00F102D4"/>
    <w:rsid w:val="00F12F0C"/>
    <w:rsid w:val="00F133F3"/>
    <w:rsid w:val="00F13513"/>
    <w:rsid w:val="00F1698D"/>
    <w:rsid w:val="00F24F2D"/>
    <w:rsid w:val="00F25F02"/>
    <w:rsid w:val="00F26DFF"/>
    <w:rsid w:val="00F36F29"/>
    <w:rsid w:val="00F4569F"/>
    <w:rsid w:val="00F45C60"/>
    <w:rsid w:val="00F46AD4"/>
    <w:rsid w:val="00F6466A"/>
    <w:rsid w:val="00F807AA"/>
    <w:rsid w:val="00F82B97"/>
    <w:rsid w:val="00F86F03"/>
    <w:rsid w:val="00F93048"/>
    <w:rsid w:val="00FA7628"/>
    <w:rsid w:val="00FA79F7"/>
    <w:rsid w:val="00FB066B"/>
    <w:rsid w:val="00FB21CD"/>
    <w:rsid w:val="00FD5E4F"/>
    <w:rsid w:val="00FE3F74"/>
    <w:rsid w:val="00FE4A2D"/>
    <w:rsid w:val="00FE77BD"/>
    <w:rsid w:val="00FE79A0"/>
    <w:rsid w:val="00FF5931"/>
    <w:rsid w:val="00FF7364"/>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qFormat/>
    <w:rsid w:val="00774CB9"/>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1Char">
    <w:name w:val="Heading 1 Char"/>
    <w:basedOn w:val="DefaultParagraphFont"/>
    <w:link w:val="Heading1"/>
    <w:rsid w:val="00816666"/>
    <w:rPr>
      <w:rFonts w:ascii="Tahoma" w:hAnsi="Tahoma" w:cs="Tahoma"/>
      <w:color w:val="000000"/>
      <w:kern w:val="28"/>
      <w:sz w:val="56"/>
      <w:szCs w:val="56"/>
      <w:lang w:val="en-AU"/>
    </w:rPr>
  </w:style>
  <w:style w:type="character" w:customStyle="1" w:styleId="Heading2Char">
    <w:name w:val="Heading 2 Char"/>
    <w:basedOn w:val="DefaultParagraphFont"/>
    <w:link w:val="Heading2"/>
    <w:rsid w:val="00816666"/>
    <w:rPr>
      <w:rFonts w:ascii="Tahoma" w:hAnsi="Tahoma" w:cs="Tahoma"/>
      <w:sz w:val="28"/>
      <w:lang w:val="en-AU"/>
    </w:rPr>
  </w:style>
  <w:style w:type="character" w:styleId="CommentReference">
    <w:name w:val="annotation reference"/>
    <w:basedOn w:val="DefaultParagraphFont"/>
    <w:uiPriority w:val="99"/>
    <w:semiHidden/>
    <w:rsid w:val="00816666"/>
    <w:rPr>
      <w:sz w:val="16"/>
      <w:szCs w:val="16"/>
    </w:rPr>
  </w:style>
  <w:style w:type="paragraph" w:styleId="CommentText">
    <w:name w:val="annotation text"/>
    <w:basedOn w:val="Normal"/>
    <w:link w:val="CommentTextChar"/>
    <w:uiPriority w:val="99"/>
    <w:semiHidden/>
    <w:rsid w:val="00816666"/>
    <w:pPr>
      <w:spacing w:line="240" w:lineRule="auto"/>
    </w:pPr>
    <w:rPr>
      <w:sz w:val="20"/>
    </w:rPr>
  </w:style>
  <w:style w:type="character" w:customStyle="1" w:styleId="CommentTextChar">
    <w:name w:val="Comment Text Char"/>
    <w:basedOn w:val="DefaultParagraphFont"/>
    <w:link w:val="CommentText"/>
    <w:uiPriority w:val="99"/>
    <w:semiHidden/>
    <w:rsid w:val="00816666"/>
    <w:rPr>
      <w:rFonts w:ascii="Trebuchet MS" w:hAnsi="Trebuchet MS"/>
      <w:lang w:val="en-AU"/>
    </w:rPr>
  </w:style>
  <w:style w:type="character" w:styleId="FootnoteReference">
    <w:name w:val="footnote reference"/>
    <w:basedOn w:val="DefaultParagraphFont"/>
    <w:uiPriority w:val="99"/>
    <w:semiHidden/>
    <w:rsid w:val="00225653"/>
    <w:rPr>
      <w:vertAlign w:val="superscript"/>
    </w:rPr>
  </w:style>
  <w:style w:type="paragraph" w:styleId="Caption">
    <w:name w:val="caption"/>
    <w:basedOn w:val="Normal"/>
    <w:next w:val="Normal"/>
    <w:uiPriority w:val="35"/>
    <w:semiHidden/>
    <w:qFormat/>
    <w:rsid w:val="00225653"/>
    <w:pPr>
      <w:spacing w:before="0" w:after="200" w:line="240" w:lineRule="auto"/>
    </w:pPr>
    <w:rPr>
      <w:b/>
      <w:bCs/>
      <w:color w:val="4F81BD" w:themeColor="accent1"/>
      <w:sz w:val="18"/>
      <w:szCs w:val="18"/>
    </w:rPr>
  </w:style>
  <w:style w:type="paragraph" w:styleId="CommentSubject">
    <w:name w:val="annotation subject"/>
    <w:basedOn w:val="CommentText"/>
    <w:next w:val="CommentText"/>
    <w:link w:val="CommentSubjectChar"/>
    <w:uiPriority w:val="99"/>
    <w:semiHidden/>
    <w:rsid w:val="00225653"/>
    <w:rPr>
      <w:b/>
      <w:bCs/>
    </w:rPr>
  </w:style>
  <w:style w:type="character" w:customStyle="1" w:styleId="CommentSubjectChar">
    <w:name w:val="Comment Subject Char"/>
    <w:basedOn w:val="CommentTextChar"/>
    <w:link w:val="CommentSubject"/>
    <w:uiPriority w:val="99"/>
    <w:semiHidden/>
    <w:rsid w:val="00225653"/>
    <w:rPr>
      <w:b/>
      <w:bCs/>
    </w:rPr>
  </w:style>
  <w:style w:type="character" w:customStyle="1" w:styleId="FootnoteTextChar">
    <w:name w:val="Footnote Text Char"/>
    <w:basedOn w:val="DefaultParagraphFont"/>
    <w:link w:val="FootnoteText"/>
    <w:uiPriority w:val="99"/>
    <w:rsid w:val="00377870"/>
    <w:rPr>
      <w:rFonts w:ascii="Trebuchet MS" w:hAnsi="Trebuchet MS"/>
      <w:sz w:val="16"/>
      <w:lang w:val="en-AU"/>
    </w:rPr>
  </w:style>
  <w:style w:type="character" w:customStyle="1" w:styleId="QuoteChar">
    <w:name w:val="Quote Char"/>
    <w:basedOn w:val="DefaultParagraphFont"/>
    <w:link w:val="Quote"/>
    <w:rsid w:val="003B0360"/>
    <w:rPr>
      <w:rFonts w:ascii="Trebuchet MS" w:hAnsi="Trebuchet MS"/>
      <w:sz w:val="17"/>
      <w:lang w:val="en-AU"/>
    </w:rPr>
  </w:style>
</w:styles>
</file>

<file path=word/webSettings.xml><?xml version="1.0" encoding="utf-8"?>
<w:webSettings xmlns:r="http://schemas.openxmlformats.org/officeDocument/2006/relationships" xmlns:w="http://schemas.openxmlformats.org/wordprocessingml/2006/main">
  <w:divs>
    <w:div w:id="869992651">
      <w:bodyDiv w:val="1"/>
      <w:marLeft w:val="0"/>
      <w:marRight w:val="0"/>
      <w:marTop w:val="0"/>
      <w:marBottom w:val="0"/>
      <w:divBdr>
        <w:top w:val="none" w:sz="0" w:space="0" w:color="auto"/>
        <w:left w:val="none" w:sz="0" w:space="0" w:color="auto"/>
        <w:bottom w:val="none" w:sz="0" w:space="0" w:color="auto"/>
        <w:right w:val="none" w:sz="0" w:space="0" w:color="auto"/>
      </w:divBdr>
    </w:div>
    <w:div w:id="103018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ver.edu.au/pubs.htm" TargetMode="External"/><Relationship Id="rId13" Type="http://schemas.openxmlformats.org/officeDocument/2006/relationships/image" Target="media/image2.wmf"/><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ver.edu.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hart" Target="charts/chart3.xml"/><Relationship Id="rId10" Type="http://schemas.openxmlformats.org/officeDocument/2006/relationships/hyperlink" Target="mailto:ncver@ncver.edu.au"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hart" Target="charts/chart2.xml"/><Relationship Id="rId22" Type="http://schemas.openxmlformats.org/officeDocument/2006/relationships/image" Target="media/image9.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2013%202%20February\NVETRE%20Commecing_undergraduate-Louise's%20data%20analysis%20INSTITUTIONAL%20STUFF.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laptop\Desktop\TEMP%20-%20NVETRE\NVETRE%20Commecing_undergraduate-Sendout-ANALYSIS%20FOE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Y%20DOCUMENTS%202012\NVETRE%20Pathways%20study\Melb%202012-NVETRE%20Study\NVETRE%20Commecing_undergraduate-Sendout-ANALYSIS%20FOES%20LA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style val="18"/>
  <c:chart>
    <c:plotArea>
      <c:layout>
        <c:manualLayout>
          <c:layoutTarget val="inner"/>
          <c:xMode val="edge"/>
          <c:yMode val="edge"/>
          <c:x val="9.1666666666668103E-2"/>
          <c:y val="4.8611111111111133E-2"/>
          <c:w val="0.5791666666666665"/>
          <c:h val="0.8298611111111116"/>
        </c:manualLayout>
      </c:layout>
      <c:barChart>
        <c:barDir val="col"/>
        <c:grouping val="clustered"/>
        <c:ser>
          <c:idx val="0"/>
          <c:order val="0"/>
          <c:tx>
            <c:strRef>
              <c:f>'fig A'!$C$13</c:f>
              <c:strCache>
                <c:ptCount val="1"/>
                <c:pt idx="0">
                  <c:v>%VET-award holders</c:v>
                </c:pt>
              </c:strCache>
            </c:strRef>
          </c:tx>
          <c:cat>
            <c:strRef>
              <c:f>'fig A'!$B$14:$B$22</c:f>
              <c:strCache>
                <c:ptCount val="9"/>
                <c:pt idx="0">
                  <c:v>NSW</c:v>
                </c:pt>
                <c:pt idx="1">
                  <c:v>VIC</c:v>
                </c:pt>
                <c:pt idx="2">
                  <c:v>QLD</c:v>
                </c:pt>
                <c:pt idx="3">
                  <c:v>WA</c:v>
                </c:pt>
                <c:pt idx="4">
                  <c:v>SA</c:v>
                </c:pt>
                <c:pt idx="5">
                  <c:v>TAS</c:v>
                </c:pt>
                <c:pt idx="6">
                  <c:v>NT</c:v>
                </c:pt>
                <c:pt idx="7">
                  <c:v>ACT</c:v>
                </c:pt>
                <c:pt idx="8">
                  <c:v>ACU</c:v>
                </c:pt>
              </c:strCache>
            </c:strRef>
          </c:cat>
          <c:val>
            <c:numRef>
              <c:f>'fig A'!$C$14:$C$22</c:f>
              <c:numCache>
                <c:formatCode>0%</c:formatCode>
                <c:ptCount val="9"/>
                <c:pt idx="0">
                  <c:v>0.31611742361134282</c:v>
                </c:pt>
                <c:pt idx="1">
                  <c:v>0.31761687381294218</c:v>
                </c:pt>
                <c:pt idx="2">
                  <c:v>0.13698310619439769</c:v>
                </c:pt>
                <c:pt idx="3">
                  <c:v>8.177001766019118E-2</c:v>
                </c:pt>
                <c:pt idx="4">
                  <c:v>5.1980940321881976E-2</c:v>
                </c:pt>
                <c:pt idx="5">
                  <c:v>3.1455133117857095E-2</c:v>
                </c:pt>
                <c:pt idx="6">
                  <c:v>1.2295491653060583E-2</c:v>
                </c:pt>
                <c:pt idx="7">
                  <c:v>2.8589517177035291E-2</c:v>
                </c:pt>
                <c:pt idx="8">
                  <c:v>2.319149645130119E-2</c:v>
                </c:pt>
              </c:numCache>
            </c:numRef>
          </c:val>
        </c:ser>
        <c:ser>
          <c:idx val="1"/>
          <c:order val="1"/>
          <c:tx>
            <c:strRef>
              <c:f>'fig A'!$D$13</c:f>
              <c:strCache>
                <c:ptCount val="1"/>
                <c:pt idx="0">
                  <c:v>% All students</c:v>
                </c:pt>
              </c:strCache>
            </c:strRef>
          </c:tx>
          <c:cat>
            <c:strRef>
              <c:f>'fig A'!$B$14:$B$22</c:f>
              <c:strCache>
                <c:ptCount val="9"/>
                <c:pt idx="0">
                  <c:v>NSW</c:v>
                </c:pt>
                <c:pt idx="1">
                  <c:v>VIC</c:v>
                </c:pt>
                <c:pt idx="2">
                  <c:v>QLD</c:v>
                </c:pt>
                <c:pt idx="3">
                  <c:v>WA</c:v>
                </c:pt>
                <c:pt idx="4">
                  <c:v>SA</c:v>
                </c:pt>
                <c:pt idx="5">
                  <c:v>TAS</c:v>
                </c:pt>
                <c:pt idx="6">
                  <c:v>NT</c:v>
                </c:pt>
                <c:pt idx="7">
                  <c:v>ACT</c:v>
                </c:pt>
                <c:pt idx="8">
                  <c:v>ACU</c:v>
                </c:pt>
              </c:strCache>
            </c:strRef>
          </c:cat>
          <c:val>
            <c:numRef>
              <c:f>'fig A'!$D$14:$D$22</c:f>
              <c:numCache>
                <c:formatCode>0%</c:formatCode>
                <c:ptCount val="9"/>
                <c:pt idx="0">
                  <c:v>0.30384788419298064</c:v>
                </c:pt>
                <c:pt idx="1">
                  <c:v>0.23884867811681271</c:v>
                </c:pt>
                <c:pt idx="2">
                  <c:v>0.19948659591923223</c:v>
                </c:pt>
                <c:pt idx="3">
                  <c:v>0.1070043930452272</c:v>
                </c:pt>
                <c:pt idx="4">
                  <c:v>6.4589012094106432E-2</c:v>
                </c:pt>
                <c:pt idx="5">
                  <c:v>2.7592161325323779E-2</c:v>
                </c:pt>
                <c:pt idx="6">
                  <c:v>9.5535501627544549E-3</c:v>
                </c:pt>
                <c:pt idx="7">
                  <c:v>2.695702225633155E-2</c:v>
                </c:pt>
                <c:pt idx="8">
                  <c:v>2.1568264217852667E-2</c:v>
                </c:pt>
              </c:numCache>
            </c:numRef>
          </c:val>
        </c:ser>
        <c:axId val="158721536"/>
        <c:axId val="158723072"/>
      </c:barChart>
      <c:catAx>
        <c:axId val="158721536"/>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8723072"/>
        <c:crosses val="autoZero"/>
        <c:auto val="1"/>
        <c:lblAlgn val="ctr"/>
        <c:lblOffset val="100"/>
      </c:catAx>
      <c:valAx>
        <c:axId val="158723072"/>
        <c:scaling>
          <c:orientation val="minMax"/>
        </c:scaling>
        <c:axPos val="l"/>
        <c:majorGridlines/>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8721536"/>
        <c:crosses val="autoZero"/>
        <c:crossBetween val="between"/>
      </c:valAx>
    </c:plotArea>
    <c:legend>
      <c:legendPos val="r"/>
      <c:txPr>
        <a:bodyPr/>
        <a:lstStyle/>
        <a:p>
          <a:pPr>
            <a:defRPr sz="920" b="0" i="0" u="none" strike="noStrike" baseline="0">
              <a:solidFill>
                <a:srgbClr val="000000"/>
              </a:solidFill>
              <a:latin typeface="Calibri"/>
              <a:ea typeface="Calibri"/>
              <a:cs typeface="Calibri"/>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31701857897844993"/>
          <c:y val="2.5108774154908468E-2"/>
          <c:w val="0.63861610794585633"/>
          <c:h val="0.91433778411925748"/>
        </c:manualLayout>
      </c:layout>
      <c:barChart>
        <c:barDir val="bar"/>
        <c:grouping val="stacked"/>
        <c:ser>
          <c:idx val="0"/>
          <c:order val="0"/>
          <c:tx>
            <c:strRef>
              <c:f>'08Man'!$C$110</c:f>
              <c:strCache>
                <c:ptCount val="1"/>
                <c:pt idx="0">
                  <c:v>Students admitted on a basis other than a VET award</c:v>
                </c:pt>
              </c:strCache>
            </c:strRef>
          </c:tx>
          <c:spPr>
            <a:solidFill>
              <a:schemeClr val="tx1"/>
            </a:solidFill>
          </c:spPr>
          <c:cat>
            <c:strRef>
              <c:f>'08Man'!$B$111:$B$148</c:f>
              <c:strCache>
                <c:ptCount val="38"/>
                <c:pt idx="0">
                  <c:v>RMIT University</c:v>
                </c:pt>
                <c:pt idx="1">
                  <c:v>Monash University</c:v>
                </c:pt>
                <c:pt idx="2">
                  <c:v>Curtin University of Technology</c:v>
                </c:pt>
                <c:pt idx="3">
                  <c:v>Griffith University</c:v>
                </c:pt>
                <c:pt idx="4">
                  <c:v>Macquarie University</c:v>
                </c:pt>
                <c:pt idx="5">
                  <c:v>University of Western Sydney</c:v>
                </c:pt>
                <c:pt idx="6">
                  <c:v>La Trobe University</c:v>
                </c:pt>
                <c:pt idx="7">
                  <c:v>Deakin University</c:v>
                </c:pt>
                <c:pt idx="8">
                  <c:v>University of South Australia</c:v>
                </c:pt>
                <c:pt idx="9">
                  <c:v>Queensland University of Technology</c:v>
                </c:pt>
                <c:pt idx="10">
                  <c:v>Victoria University</c:v>
                </c:pt>
                <c:pt idx="11">
                  <c:v>University of Technology, Sydney</c:v>
                </c:pt>
                <c:pt idx="12">
                  <c:v>Swinburne University of Technology</c:v>
                </c:pt>
                <c:pt idx="13">
                  <c:v>The University of New South Wales</c:v>
                </c:pt>
                <c:pt idx="14">
                  <c:v>Charles Sturt University</c:v>
                </c:pt>
                <c:pt idx="15">
                  <c:v>Central Queensland University</c:v>
                </c:pt>
                <c:pt idx="16">
                  <c:v>The University of Queensland</c:v>
                </c:pt>
                <c:pt idx="17">
                  <c:v>Southern Cross University</c:v>
                </c:pt>
                <c:pt idx="18">
                  <c:v>University of Wollongong</c:v>
                </c:pt>
                <c:pt idx="19">
                  <c:v>Edith Cowan University</c:v>
                </c:pt>
                <c:pt idx="20">
                  <c:v>The University of Melbourne</c:v>
                </c:pt>
                <c:pt idx="21">
                  <c:v>University of Southern Queensland</c:v>
                </c:pt>
                <c:pt idx="22">
                  <c:v>University of Canberra</c:v>
                </c:pt>
                <c:pt idx="23">
                  <c:v>University of Tasmania</c:v>
                </c:pt>
                <c:pt idx="24">
                  <c:v>The University of Western Australia</c:v>
                </c:pt>
                <c:pt idx="25">
                  <c:v>The University of Sydney</c:v>
                </c:pt>
                <c:pt idx="26">
                  <c:v>Murdoch University</c:v>
                </c:pt>
                <c:pt idx="27">
                  <c:v>The University of Newcastle</c:v>
                </c:pt>
                <c:pt idx="28">
                  <c:v>The University of Adelaide</c:v>
                </c:pt>
                <c:pt idx="29">
                  <c:v>James Cook University</c:v>
                </c:pt>
                <c:pt idx="30">
                  <c:v>University of Ballarat</c:v>
                </c:pt>
                <c:pt idx="31">
                  <c:v>Australian Catholic University</c:v>
                </c:pt>
                <c:pt idx="32">
                  <c:v>The Australian National University</c:v>
                </c:pt>
                <c:pt idx="33">
                  <c:v>University of the Sunshine Coast</c:v>
                </c:pt>
                <c:pt idx="34">
                  <c:v>Victoria University</c:v>
                </c:pt>
                <c:pt idx="35">
                  <c:v>The Flinders University of South Australia</c:v>
                </c:pt>
                <c:pt idx="36">
                  <c:v>The University of New England</c:v>
                </c:pt>
                <c:pt idx="37">
                  <c:v>Charles Darwin University</c:v>
                </c:pt>
              </c:strCache>
            </c:strRef>
          </c:cat>
          <c:val>
            <c:numRef>
              <c:f>'08Man'!$C$111:$C$148</c:f>
              <c:numCache>
                <c:formatCode>_-* #,##0_-;\-* #,##0_-;_-* "-"??_-;_-@_-</c:formatCode>
                <c:ptCount val="38"/>
                <c:pt idx="0">
                  <c:v>5079</c:v>
                </c:pt>
                <c:pt idx="1">
                  <c:v>4486</c:v>
                </c:pt>
                <c:pt idx="2">
                  <c:v>4237</c:v>
                </c:pt>
                <c:pt idx="3">
                  <c:v>3317</c:v>
                </c:pt>
                <c:pt idx="4">
                  <c:v>3504</c:v>
                </c:pt>
                <c:pt idx="5">
                  <c:v>2526</c:v>
                </c:pt>
                <c:pt idx="6">
                  <c:v>2081</c:v>
                </c:pt>
                <c:pt idx="7">
                  <c:v>2196</c:v>
                </c:pt>
                <c:pt idx="8">
                  <c:v>2116</c:v>
                </c:pt>
                <c:pt idx="9">
                  <c:v>2247</c:v>
                </c:pt>
                <c:pt idx="10">
                  <c:v>2129</c:v>
                </c:pt>
                <c:pt idx="11">
                  <c:v>2171</c:v>
                </c:pt>
                <c:pt idx="12">
                  <c:v>1672</c:v>
                </c:pt>
                <c:pt idx="13">
                  <c:v>2160</c:v>
                </c:pt>
                <c:pt idx="14">
                  <c:v>1338</c:v>
                </c:pt>
                <c:pt idx="15">
                  <c:v>1544</c:v>
                </c:pt>
                <c:pt idx="16">
                  <c:v>1914</c:v>
                </c:pt>
                <c:pt idx="17">
                  <c:v>1614</c:v>
                </c:pt>
                <c:pt idx="18">
                  <c:v>1382</c:v>
                </c:pt>
                <c:pt idx="19">
                  <c:v>1089</c:v>
                </c:pt>
                <c:pt idx="20">
                  <c:v>1468</c:v>
                </c:pt>
                <c:pt idx="21">
                  <c:v>1383</c:v>
                </c:pt>
                <c:pt idx="22">
                  <c:v>1115</c:v>
                </c:pt>
                <c:pt idx="23">
                  <c:v>1198</c:v>
                </c:pt>
                <c:pt idx="24">
                  <c:v>1257</c:v>
                </c:pt>
                <c:pt idx="25">
                  <c:v>1214</c:v>
                </c:pt>
                <c:pt idx="26">
                  <c:v>1126</c:v>
                </c:pt>
                <c:pt idx="27">
                  <c:v>1022</c:v>
                </c:pt>
                <c:pt idx="28">
                  <c:v>980</c:v>
                </c:pt>
                <c:pt idx="29">
                  <c:v>914</c:v>
                </c:pt>
                <c:pt idx="30">
                  <c:v>849</c:v>
                </c:pt>
                <c:pt idx="31">
                  <c:v>794</c:v>
                </c:pt>
                <c:pt idx="32">
                  <c:v>635</c:v>
                </c:pt>
                <c:pt idx="33">
                  <c:v>588</c:v>
                </c:pt>
                <c:pt idx="34">
                  <c:v>538</c:v>
                </c:pt>
                <c:pt idx="35">
                  <c:v>437</c:v>
                </c:pt>
                <c:pt idx="36">
                  <c:v>430</c:v>
                </c:pt>
                <c:pt idx="37">
                  <c:v>184</c:v>
                </c:pt>
              </c:numCache>
            </c:numRef>
          </c:val>
        </c:ser>
        <c:ser>
          <c:idx val="1"/>
          <c:order val="1"/>
          <c:tx>
            <c:strRef>
              <c:f>'08Man'!$D$110</c:f>
              <c:strCache>
                <c:ptCount val="1"/>
                <c:pt idx="0">
                  <c:v>Students admitted on the basis of a VET award</c:v>
                </c:pt>
              </c:strCache>
            </c:strRef>
          </c:tx>
          <c:spPr>
            <a:solidFill>
              <a:srgbClr val="FF0000"/>
            </a:solidFill>
          </c:spPr>
          <c:cat>
            <c:strRef>
              <c:f>'08Man'!$B$111:$B$148</c:f>
              <c:strCache>
                <c:ptCount val="38"/>
                <c:pt idx="0">
                  <c:v>RMIT University</c:v>
                </c:pt>
                <c:pt idx="1">
                  <c:v>Monash University</c:v>
                </c:pt>
                <c:pt idx="2">
                  <c:v>Curtin University of Technology</c:v>
                </c:pt>
                <c:pt idx="3">
                  <c:v>Griffith University</c:v>
                </c:pt>
                <c:pt idx="4">
                  <c:v>Macquarie University</c:v>
                </c:pt>
                <c:pt idx="5">
                  <c:v>University of Western Sydney</c:v>
                </c:pt>
                <c:pt idx="6">
                  <c:v>La Trobe University</c:v>
                </c:pt>
                <c:pt idx="7">
                  <c:v>Deakin University</c:v>
                </c:pt>
                <c:pt idx="8">
                  <c:v>University of South Australia</c:v>
                </c:pt>
                <c:pt idx="9">
                  <c:v>Queensland University of Technology</c:v>
                </c:pt>
                <c:pt idx="10">
                  <c:v>Victoria University</c:v>
                </c:pt>
                <c:pt idx="11">
                  <c:v>University of Technology, Sydney</c:v>
                </c:pt>
                <c:pt idx="12">
                  <c:v>Swinburne University of Technology</c:v>
                </c:pt>
                <c:pt idx="13">
                  <c:v>The University of New South Wales</c:v>
                </c:pt>
                <c:pt idx="14">
                  <c:v>Charles Sturt University</c:v>
                </c:pt>
                <c:pt idx="15">
                  <c:v>Central Queensland University</c:v>
                </c:pt>
                <c:pt idx="16">
                  <c:v>The University of Queensland</c:v>
                </c:pt>
                <c:pt idx="17">
                  <c:v>Southern Cross University</c:v>
                </c:pt>
                <c:pt idx="18">
                  <c:v>University of Wollongong</c:v>
                </c:pt>
                <c:pt idx="19">
                  <c:v>Edith Cowan University</c:v>
                </c:pt>
                <c:pt idx="20">
                  <c:v>The University of Melbourne</c:v>
                </c:pt>
                <c:pt idx="21">
                  <c:v>University of Southern Queensland</c:v>
                </c:pt>
                <c:pt idx="22">
                  <c:v>University of Canberra</c:v>
                </c:pt>
                <c:pt idx="23">
                  <c:v>University of Tasmania</c:v>
                </c:pt>
                <c:pt idx="24">
                  <c:v>The University of Western Australia</c:v>
                </c:pt>
                <c:pt idx="25">
                  <c:v>The University of Sydney</c:v>
                </c:pt>
                <c:pt idx="26">
                  <c:v>Murdoch University</c:v>
                </c:pt>
                <c:pt idx="27">
                  <c:v>The University of Newcastle</c:v>
                </c:pt>
                <c:pt idx="28">
                  <c:v>The University of Adelaide</c:v>
                </c:pt>
                <c:pt idx="29">
                  <c:v>James Cook University</c:v>
                </c:pt>
                <c:pt idx="30">
                  <c:v>University of Ballarat</c:v>
                </c:pt>
                <c:pt idx="31">
                  <c:v>Australian Catholic University</c:v>
                </c:pt>
                <c:pt idx="32">
                  <c:v>The Australian National University</c:v>
                </c:pt>
                <c:pt idx="33">
                  <c:v>University of the Sunshine Coast</c:v>
                </c:pt>
                <c:pt idx="34">
                  <c:v>Victoria University</c:v>
                </c:pt>
                <c:pt idx="35">
                  <c:v>The Flinders University of South Australia</c:v>
                </c:pt>
                <c:pt idx="36">
                  <c:v>The University of New England</c:v>
                </c:pt>
                <c:pt idx="37">
                  <c:v>Charles Darwin University</c:v>
                </c:pt>
              </c:strCache>
            </c:strRef>
          </c:cat>
          <c:val>
            <c:numRef>
              <c:f>'08Man'!$D$111:$D$148</c:f>
              <c:numCache>
                <c:formatCode>_-* #,##0_-;\-* #,##0_-;_-* "-"??_-;_-@_-</c:formatCode>
                <c:ptCount val="38"/>
                <c:pt idx="0">
                  <c:v>1595</c:v>
                </c:pt>
                <c:pt idx="1">
                  <c:v>90</c:v>
                </c:pt>
                <c:pt idx="2">
                  <c:v>88</c:v>
                </c:pt>
                <c:pt idx="3">
                  <c:v>681</c:v>
                </c:pt>
                <c:pt idx="4">
                  <c:v>140</c:v>
                </c:pt>
                <c:pt idx="5">
                  <c:v>772</c:v>
                </c:pt>
                <c:pt idx="6">
                  <c:v>617</c:v>
                </c:pt>
                <c:pt idx="7">
                  <c:v>464</c:v>
                </c:pt>
                <c:pt idx="8">
                  <c:v>409</c:v>
                </c:pt>
                <c:pt idx="9">
                  <c:v>196</c:v>
                </c:pt>
                <c:pt idx="10">
                  <c:v>312</c:v>
                </c:pt>
                <c:pt idx="11">
                  <c:v>195</c:v>
                </c:pt>
                <c:pt idx="12">
                  <c:v>640</c:v>
                </c:pt>
                <c:pt idx="13">
                  <c:v>19</c:v>
                </c:pt>
                <c:pt idx="14">
                  <c:v>621</c:v>
                </c:pt>
                <c:pt idx="15">
                  <c:v>393</c:v>
                </c:pt>
                <c:pt idx="16">
                  <c:v>20</c:v>
                </c:pt>
                <c:pt idx="17">
                  <c:v>113</c:v>
                </c:pt>
                <c:pt idx="18">
                  <c:v>288</c:v>
                </c:pt>
                <c:pt idx="19">
                  <c:v>420</c:v>
                </c:pt>
                <c:pt idx="20">
                  <c:v>17</c:v>
                </c:pt>
                <c:pt idx="21">
                  <c:v>85</c:v>
                </c:pt>
                <c:pt idx="22">
                  <c:v>268</c:v>
                </c:pt>
                <c:pt idx="23">
                  <c:v>102</c:v>
                </c:pt>
                <c:pt idx="24">
                  <c:v>5</c:v>
                </c:pt>
                <c:pt idx="25">
                  <c:v>20</c:v>
                </c:pt>
                <c:pt idx="26">
                  <c:v>105</c:v>
                </c:pt>
                <c:pt idx="27">
                  <c:v>183</c:v>
                </c:pt>
                <c:pt idx="28">
                  <c:v>24</c:v>
                </c:pt>
                <c:pt idx="29">
                  <c:v>35</c:v>
                </c:pt>
                <c:pt idx="30">
                  <c:v>68</c:v>
                </c:pt>
                <c:pt idx="31">
                  <c:v>106</c:v>
                </c:pt>
                <c:pt idx="32">
                  <c:v>69</c:v>
                </c:pt>
                <c:pt idx="33">
                  <c:v>38</c:v>
                </c:pt>
                <c:pt idx="34">
                  <c:v>82</c:v>
                </c:pt>
                <c:pt idx="35">
                  <c:v>78</c:v>
                </c:pt>
                <c:pt idx="36">
                  <c:v>25</c:v>
                </c:pt>
                <c:pt idx="37">
                  <c:v>29</c:v>
                </c:pt>
              </c:numCache>
            </c:numRef>
          </c:val>
        </c:ser>
        <c:overlap val="100"/>
        <c:axId val="159194496"/>
        <c:axId val="159200384"/>
      </c:barChart>
      <c:catAx>
        <c:axId val="159194496"/>
        <c:scaling>
          <c:orientation val="minMax"/>
        </c:scaling>
        <c:axPos val="l"/>
        <c:tickLblPos val="nextTo"/>
        <c:txPr>
          <a:bodyPr/>
          <a:lstStyle/>
          <a:p>
            <a:pPr>
              <a:defRPr sz="800"/>
            </a:pPr>
            <a:endParaRPr lang="en-US"/>
          </a:p>
        </c:txPr>
        <c:crossAx val="159200384"/>
        <c:crosses val="autoZero"/>
        <c:auto val="1"/>
        <c:lblAlgn val="ctr"/>
        <c:lblOffset val="100"/>
      </c:catAx>
      <c:valAx>
        <c:axId val="159200384"/>
        <c:scaling>
          <c:orientation val="minMax"/>
        </c:scaling>
        <c:axPos val="b"/>
        <c:majorGridlines/>
        <c:numFmt formatCode="_-* #,##0_-;\-* #,##0_-;_-* &quot;-&quot;??_-;_-@_-" sourceLinked="1"/>
        <c:tickLblPos val="nextTo"/>
        <c:crossAx val="159194496"/>
        <c:crosses val="autoZero"/>
        <c:crossBetween val="between"/>
      </c:valAx>
    </c:plotArea>
    <c:legend>
      <c:legendPos val="r"/>
      <c:layout>
        <c:manualLayout>
          <c:xMode val="edge"/>
          <c:yMode val="edge"/>
          <c:x val="0.79555210578351798"/>
          <c:y val="9.5672936716244023E-2"/>
          <c:w val="0.13966313153945376"/>
          <c:h val="0.52161708953047525"/>
        </c:manualLayout>
      </c:layout>
      <c:txPr>
        <a:bodyPr/>
        <a:lstStyle/>
        <a:p>
          <a:pPr>
            <a:defRPr sz="800"/>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bar"/>
        <c:grouping val="stacked"/>
        <c:ser>
          <c:idx val="0"/>
          <c:order val="0"/>
          <c:tx>
            <c:strRef>
              <c:f>'SEC ADMIT'!$G$43</c:f>
              <c:strCache>
                <c:ptCount val="1"/>
                <c:pt idx="0">
                  <c:v>School </c:v>
                </c:pt>
              </c:strCache>
            </c:strRef>
          </c:tx>
          <c:cat>
            <c:strRef>
              <c:f>'SEC ADMIT'!$F$44:$F$80</c:f>
              <c:strCache>
                <c:ptCount val="37"/>
                <c:pt idx="0">
                  <c:v>Australian Catholic University</c:v>
                </c:pt>
                <c:pt idx="1">
                  <c:v>The University of Melbourne</c:v>
                </c:pt>
                <c:pt idx="2">
                  <c:v>Monash University</c:v>
                </c:pt>
                <c:pt idx="3">
                  <c:v>The University of Adelaide</c:v>
                </c:pt>
                <c:pt idx="4">
                  <c:v>The University of Western Australia</c:v>
                </c:pt>
                <c:pt idx="5">
                  <c:v>The Australian National University</c:v>
                </c:pt>
                <c:pt idx="6">
                  <c:v>The University of Queensland</c:v>
                </c:pt>
                <c:pt idx="7">
                  <c:v>The University of Sydney</c:v>
                </c:pt>
                <c:pt idx="8">
                  <c:v>University of South Australia</c:v>
                </c:pt>
                <c:pt idx="9">
                  <c:v>The University of New South Wales</c:v>
                </c:pt>
                <c:pt idx="10">
                  <c:v>Queensland University of Technology</c:v>
                </c:pt>
                <c:pt idx="11">
                  <c:v>La Trobe University</c:v>
                </c:pt>
                <c:pt idx="12">
                  <c:v>University of Technology, Sydney</c:v>
                </c:pt>
                <c:pt idx="13">
                  <c:v>Deakin University</c:v>
                </c:pt>
                <c:pt idx="14">
                  <c:v>University of Wollongong</c:v>
                </c:pt>
                <c:pt idx="15">
                  <c:v>The Flinders University of South Australia</c:v>
                </c:pt>
                <c:pt idx="16">
                  <c:v>University of Ballarat</c:v>
                </c:pt>
                <c:pt idx="17">
                  <c:v>James Cook University</c:v>
                </c:pt>
                <c:pt idx="18">
                  <c:v>Victoria University</c:v>
                </c:pt>
                <c:pt idx="19">
                  <c:v>Swinburne University of Technology</c:v>
                </c:pt>
                <c:pt idx="20">
                  <c:v>University of Canberra</c:v>
                </c:pt>
                <c:pt idx="21">
                  <c:v>Griffith University</c:v>
                </c:pt>
                <c:pt idx="22">
                  <c:v>University of the Sunshine Coast</c:v>
                </c:pt>
                <c:pt idx="23">
                  <c:v>RMIT University</c:v>
                </c:pt>
                <c:pt idx="24">
                  <c:v>Edith Cowan University</c:v>
                </c:pt>
                <c:pt idx="25">
                  <c:v>Macquarie University</c:v>
                </c:pt>
                <c:pt idx="26">
                  <c:v>University of Western Sydney</c:v>
                </c:pt>
                <c:pt idx="27">
                  <c:v>Curtin University of Technology</c:v>
                </c:pt>
                <c:pt idx="28">
                  <c:v>The University of Newcastle</c:v>
                </c:pt>
                <c:pt idx="29">
                  <c:v>Central Queensland University</c:v>
                </c:pt>
                <c:pt idx="30">
                  <c:v>University of Tasmania</c:v>
                </c:pt>
                <c:pt idx="31">
                  <c:v>Murdoch University</c:v>
                </c:pt>
                <c:pt idx="32">
                  <c:v>Charles Darwin University</c:v>
                </c:pt>
                <c:pt idx="33">
                  <c:v>University of Southern Queensland</c:v>
                </c:pt>
                <c:pt idx="34">
                  <c:v>Southern Cross University</c:v>
                </c:pt>
                <c:pt idx="35">
                  <c:v>The University of New England</c:v>
                </c:pt>
                <c:pt idx="36">
                  <c:v>Charles Sturt University</c:v>
                </c:pt>
              </c:strCache>
            </c:strRef>
          </c:cat>
          <c:val>
            <c:numRef>
              <c:f>'SEC ADMIT'!$G$44:$G$80</c:f>
              <c:numCache>
                <c:formatCode>0%</c:formatCode>
                <c:ptCount val="37"/>
                <c:pt idx="0">
                  <c:v>0.65864869005669957</c:v>
                </c:pt>
                <c:pt idx="1">
                  <c:v>0.65234967155129808</c:v>
                </c:pt>
                <c:pt idx="2">
                  <c:v>0.64784303001299648</c:v>
                </c:pt>
                <c:pt idx="3">
                  <c:v>0.6426478193415065</c:v>
                </c:pt>
                <c:pt idx="4">
                  <c:v>0.58539694100509232</c:v>
                </c:pt>
                <c:pt idx="5">
                  <c:v>0.58032685784767157</c:v>
                </c:pt>
                <c:pt idx="6">
                  <c:v>0.57208135471731858</c:v>
                </c:pt>
                <c:pt idx="7">
                  <c:v>0.54975637955239909</c:v>
                </c:pt>
                <c:pt idx="8">
                  <c:v>0.52519132653061262</c:v>
                </c:pt>
                <c:pt idx="9">
                  <c:v>0.46790389098081803</c:v>
                </c:pt>
                <c:pt idx="10">
                  <c:v>0.46617197730249288</c:v>
                </c:pt>
                <c:pt idx="11">
                  <c:v>0.45039574975604468</c:v>
                </c:pt>
                <c:pt idx="12">
                  <c:v>0.44716383530089282</c:v>
                </c:pt>
                <c:pt idx="13">
                  <c:v>0.44</c:v>
                </c:pt>
                <c:pt idx="14">
                  <c:v>0.43307866440294879</c:v>
                </c:pt>
                <c:pt idx="15">
                  <c:v>0.43011494252873561</c:v>
                </c:pt>
                <c:pt idx="16">
                  <c:v>0.40179910044977513</c:v>
                </c:pt>
                <c:pt idx="17">
                  <c:v>0.3795264623955511</c:v>
                </c:pt>
                <c:pt idx="18">
                  <c:v>0.37775647171620663</c:v>
                </c:pt>
                <c:pt idx="19">
                  <c:v>0.35161391413350046</c:v>
                </c:pt>
                <c:pt idx="20">
                  <c:v>0.34636308684263828</c:v>
                </c:pt>
                <c:pt idx="21">
                  <c:v>0.34529081783289345</c:v>
                </c:pt>
                <c:pt idx="22">
                  <c:v>0.33822413356944736</c:v>
                </c:pt>
                <c:pt idx="23">
                  <c:v>0.32459382190921615</c:v>
                </c:pt>
                <c:pt idx="24">
                  <c:v>0.32421738624462243</c:v>
                </c:pt>
                <c:pt idx="25">
                  <c:v>0.31911685514270804</c:v>
                </c:pt>
                <c:pt idx="26">
                  <c:v>0.3131959448230015</c:v>
                </c:pt>
                <c:pt idx="27">
                  <c:v>0.30713035537630318</c:v>
                </c:pt>
                <c:pt idx="28">
                  <c:v>0.28703788643243733</c:v>
                </c:pt>
                <c:pt idx="29">
                  <c:v>0.23694779116465894</c:v>
                </c:pt>
                <c:pt idx="30">
                  <c:v>0.23518118550515971</c:v>
                </c:pt>
                <c:pt idx="31">
                  <c:v>0.20735009671179891</c:v>
                </c:pt>
                <c:pt idx="32">
                  <c:v>0.17455418381344467</c:v>
                </c:pt>
                <c:pt idx="33">
                  <c:v>0.16668788997835218</c:v>
                </c:pt>
                <c:pt idx="34">
                  <c:v>0.15052305308020289</c:v>
                </c:pt>
                <c:pt idx="35">
                  <c:v>0.12323572782810355</c:v>
                </c:pt>
                <c:pt idx="36">
                  <c:v>7.9177255400254096E-2</c:v>
                </c:pt>
              </c:numCache>
            </c:numRef>
          </c:val>
        </c:ser>
        <c:ser>
          <c:idx val="1"/>
          <c:order val="1"/>
          <c:tx>
            <c:strRef>
              <c:f>'SEC ADMIT'!$H$43</c:f>
              <c:strCache>
                <c:ptCount val="1"/>
                <c:pt idx="0">
                  <c:v>VET</c:v>
                </c:pt>
              </c:strCache>
            </c:strRef>
          </c:tx>
          <c:cat>
            <c:strRef>
              <c:f>'SEC ADMIT'!$F$44:$F$80</c:f>
              <c:strCache>
                <c:ptCount val="37"/>
                <c:pt idx="0">
                  <c:v>Australian Catholic University</c:v>
                </c:pt>
                <c:pt idx="1">
                  <c:v>The University of Melbourne</c:v>
                </c:pt>
                <c:pt idx="2">
                  <c:v>Monash University</c:v>
                </c:pt>
                <c:pt idx="3">
                  <c:v>The University of Adelaide</c:v>
                </c:pt>
                <c:pt idx="4">
                  <c:v>The University of Western Australia</c:v>
                </c:pt>
                <c:pt idx="5">
                  <c:v>The Australian National University</c:v>
                </c:pt>
                <c:pt idx="6">
                  <c:v>The University of Queensland</c:v>
                </c:pt>
                <c:pt idx="7">
                  <c:v>The University of Sydney</c:v>
                </c:pt>
                <c:pt idx="8">
                  <c:v>University of South Australia</c:v>
                </c:pt>
                <c:pt idx="9">
                  <c:v>The University of New South Wales</c:v>
                </c:pt>
                <c:pt idx="10">
                  <c:v>Queensland University of Technology</c:v>
                </c:pt>
                <c:pt idx="11">
                  <c:v>La Trobe University</c:v>
                </c:pt>
                <c:pt idx="12">
                  <c:v>University of Technology, Sydney</c:v>
                </c:pt>
                <c:pt idx="13">
                  <c:v>Deakin University</c:v>
                </c:pt>
                <c:pt idx="14">
                  <c:v>University of Wollongong</c:v>
                </c:pt>
                <c:pt idx="15">
                  <c:v>The Flinders University of South Australia</c:v>
                </c:pt>
                <c:pt idx="16">
                  <c:v>University of Ballarat</c:v>
                </c:pt>
                <c:pt idx="17">
                  <c:v>James Cook University</c:v>
                </c:pt>
                <c:pt idx="18">
                  <c:v>Victoria University</c:v>
                </c:pt>
                <c:pt idx="19">
                  <c:v>Swinburne University of Technology</c:v>
                </c:pt>
                <c:pt idx="20">
                  <c:v>University of Canberra</c:v>
                </c:pt>
                <c:pt idx="21">
                  <c:v>Griffith University</c:v>
                </c:pt>
                <c:pt idx="22">
                  <c:v>University of the Sunshine Coast</c:v>
                </c:pt>
                <c:pt idx="23">
                  <c:v>RMIT University</c:v>
                </c:pt>
                <c:pt idx="24">
                  <c:v>Edith Cowan University</c:v>
                </c:pt>
                <c:pt idx="25">
                  <c:v>Macquarie University</c:v>
                </c:pt>
                <c:pt idx="26">
                  <c:v>University of Western Sydney</c:v>
                </c:pt>
                <c:pt idx="27">
                  <c:v>Curtin University of Technology</c:v>
                </c:pt>
                <c:pt idx="28">
                  <c:v>The University of Newcastle</c:v>
                </c:pt>
                <c:pt idx="29">
                  <c:v>Central Queensland University</c:v>
                </c:pt>
                <c:pt idx="30">
                  <c:v>University of Tasmania</c:v>
                </c:pt>
                <c:pt idx="31">
                  <c:v>Murdoch University</c:v>
                </c:pt>
                <c:pt idx="32">
                  <c:v>Charles Darwin University</c:v>
                </c:pt>
                <c:pt idx="33">
                  <c:v>University of Southern Queensland</c:v>
                </c:pt>
                <c:pt idx="34">
                  <c:v>Southern Cross University</c:v>
                </c:pt>
                <c:pt idx="35">
                  <c:v>The University of New England</c:v>
                </c:pt>
                <c:pt idx="36">
                  <c:v>Charles Sturt University</c:v>
                </c:pt>
              </c:strCache>
            </c:strRef>
          </c:cat>
          <c:val>
            <c:numRef>
              <c:f>'SEC ADMIT'!$H$44:$H$80</c:f>
              <c:numCache>
                <c:formatCode>0%</c:formatCode>
                <c:ptCount val="37"/>
                <c:pt idx="0">
                  <c:v>0.10816607936264841</c:v>
                </c:pt>
                <c:pt idx="1">
                  <c:v>1.5032844871147042E-2</c:v>
                </c:pt>
                <c:pt idx="2">
                  <c:v>4.4233267245504922E-2</c:v>
                </c:pt>
                <c:pt idx="3">
                  <c:v>1.7066023099465789E-2</c:v>
                </c:pt>
                <c:pt idx="4">
                  <c:v>3.277494537509145E-3</c:v>
                </c:pt>
                <c:pt idx="5">
                  <c:v>5.4270736971939564E-2</c:v>
                </c:pt>
                <c:pt idx="6">
                  <c:v>1.3798046770002678E-2</c:v>
                </c:pt>
                <c:pt idx="7">
                  <c:v>1.5608225286976746E-2</c:v>
                </c:pt>
                <c:pt idx="8">
                  <c:v>0.11936649659863972</c:v>
                </c:pt>
                <c:pt idx="9">
                  <c:v>2.8868567330105788E-2</c:v>
                </c:pt>
                <c:pt idx="10">
                  <c:v>6.8703622872109113E-2</c:v>
                </c:pt>
                <c:pt idx="11">
                  <c:v>0.15038490729697496</c:v>
                </c:pt>
                <c:pt idx="12">
                  <c:v>8.2349553699971129E-2</c:v>
                </c:pt>
                <c:pt idx="13">
                  <c:v>0.16380434782608699</c:v>
                </c:pt>
                <c:pt idx="14">
                  <c:v>0.11445953593661573</c:v>
                </c:pt>
                <c:pt idx="15">
                  <c:v>7.7701149425287358E-2</c:v>
                </c:pt>
                <c:pt idx="16">
                  <c:v>0.10554722638680659</c:v>
                </c:pt>
                <c:pt idx="17">
                  <c:v>4.8746518105849582E-2</c:v>
                </c:pt>
                <c:pt idx="18">
                  <c:v>0.16545678674154229</c:v>
                </c:pt>
                <c:pt idx="19">
                  <c:v>0.21247257912879972</c:v>
                </c:pt>
                <c:pt idx="20">
                  <c:v>0.13943179528510991</c:v>
                </c:pt>
                <c:pt idx="21">
                  <c:v>0.11138175376439315</c:v>
                </c:pt>
                <c:pt idx="22">
                  <c:v>4.6293953959019023E-2</c:v>
                </c:pt>
                <c:pt idx="23">
                  <c:v>0.20967854403458475</c:v>
                </c:pt>
                <c:pt idx="24">
                  <c:v>0.16827650413126971</c:v>
                </c:pt>
                <c:pt idx="25">
                  <c:v>3.6833602584814995E-2</c:v>
                </c:pt>
                <c:pt idx="26">
                  <c:v>0.1760844274555427</c:v>
                </c:pt>
                <c:pt idx="27">
                  <c:v>3.4167871547066436E-2</c:v>
                </c:pt>
                <c:pt idx="28">
                  <c:v>0.10026603063939089</c:v>
                </c:pt>
                <c:pt idx="29">
                  <c:v>0.1111111111111111</c:v>
                </c:pt>
                <c:pt idx="30">
                  <c:v>0.11327093832493401</c:v>
                </c:pt>
                <c:pt idx="31">
                  <c:v>0.10599613152804672</c:v>
                </c:pt>
                <c:pt idx="32">
                  <c:v>0.12654320987654324</c:v>
                </c:pt>
                <c:pt idx="33">
                  <c:v>6.4433974277347247E-2</c:v>
                </c:pt>
                <c:pt idx="34">
                  <c:v>8.2719876017047667E-2</c:v>
                </c:pt>
                <c:pt idx="35">
                  <c:v>9.1847482620602508E-2</c:v>
                </c:pt>
                <c:pt idx="36">
                  <c:v>0.25730622617534948</c:v>
                </c:pt>
              </c:numCache>
            </c:numRef>
          </c:val>
        </c:ser>
        <c:overlap val="100"/>
        <c:axId val="159229056"/>
        <c:axId val="159230592"/>
      </c:barChart>
      <c:catAx>
        <c:axId val="159229056"/>
        <c:scaling>
          <c:orientation val="minMax"/>
        </c:scaling>
        <c:axPos val="l"/>
        <c:numFmt formatCode="#,##0" sourceLinked="1"/>
        <c:tickLblPos val="nextTo"/>
        <c:crossAx val="159230592"/>
        <c:crosses val="autoZero"/>
        <c:auto val="1"/>
        <c:lblAlgn val="ctr"/>
        <c:lblOffset val="100"/>
      </c:catAx>
      <c:valAx>
        <c:axId val="159230592"/>
        <c:scaling>
          <c:orientation val="minMax"/>
        </c:scaling>
        <c:axPos val="b"/>
        <c:majorGridlines/>
        <c:numFmt formatCode="0%" sourceLinked="1"/>
        <c:tickLblPos val="nextTo"/>
        <c:crossAx val="159229056"/>
        <c:crosses val="autoZero"/>
        <c:crossBetween val="between"/>
      </c:valAx>
    </c:plotArea>
    <c:legend>
      <c:legendPos val="r"/>
      <c:legendEntry>
        <c:idx val="0"/>
        <c:txPr>
          <a:bodyPr/>
          <a:lstStyle/>
          <a:p>
            <a:pPr>
              <a:defRPr sz="1200"/>
            </a:pPr>
            <a:endParaRPr lang="en-US"/>
          </a:p>
        </c:txPr>
      </c:legendEntry>
      <c:legendEntry>
        <c:idx val="1"/>
        <c:txPr>
          <a:bodyPr/>
          <a:lstStyle/>
          <a:p>
            <a:pPr>
              <a:defRPr sz="1200"/>
            </a:pPr>
            <a:endParaRPr lang="en-US"/>
          </a:p>
        </c:txPr>
      </c:legendEntry>
      <c:layout>
        <c:manualLayout>
          <c:xMode val="edge"/>
          <c:yMode val="edge"/>
          <c:x val="0.86691065440102466"/>
          <c:y val="0.47143293758841942"/>
          <c:w val="0.11438901834325405"/>
          <c:h val="0.16929828347722389"/>
        </c:manualLayout>
      </c:layout>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94AE-41D8-4923-A093-FF97526E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24386</Words>
  <Characters>139006</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163066</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half-open door support</dc:title>
  <dc:creator>Watson et al.</dc:creator>
  <cp:lastModifiedBy>katrinamatheos</cp:lastModifiedBy>
  <cp:revision>2</cp:revision>
  <cp:lastPrinted>2013-09-30T06:35:00Z</cp:lastPrinted>
  <dcterms:created xsi:type="dcterms:W3CDTF">2013-11-07T02:29:00Z</dcterms:created>
  <dcterms:modified xsi:type="dcterms:W3CDTF">2013-11-07T02:29:00Z</dcterms:modified>
</cp:coreProperties>
</file>