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D9" w:rsidRDefault="000370DA" w:rsidP="004E72D9">
      <w:pPr>
        <w:pStyle w:val="Text"/>
        <w:widowControl w:val="0"/>
        <w:spacing w:line="480" w:lineRule="auto"/>
        <w:jc w:val="both"/>
      </w:pPr>
      <w:bookmarkStart w:id="0" w:name="_Toc495748330"/>
      <w:bookmarkStart w:id="1" w:name="_Toc495810630"/>
      <w:bookmarkStart w:id="2" w:name="_Toc6031787"/>
      <w:bookmarkStart w:id="3" w:name="_Toc6031844"/>
      <w:r>
        <w:rPr>
          <w:i/>
          <w:noProof/>
        </w:rPr>
        <w:drawing>
          <wp:anchor distT="0" distB="0" distL="114300" distR="114300" simplePos="0" relativeHeight="251662848" behindDoc="0" locked="0" layoutInCell="1" allowOverlap="1">
            <wp:simplePos x="0" y="0"/>
            <wp:positionH relativeFrom="column">
              <wp:posOffset>2721610</wp:posOffset>
            </wp:positionH>
            <wp:positionV relativeFrom="paragraph">
              <wp:posOffset>163830</wp:posOffset>
            </wp:positionV>
            <wp:extent cx="2955925" cy="654685"/>
            <wp:effectExtent l="19050" t="0" r="0" b="0"/>
            <wp:wrapSquare wrapText="bothSides"/>
            <wp:docPr id="2" name="Picture 2" descr="P:\PublicationComponents\logos\NCVER LOGOS\JPEG\ncver right ta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JPEG\ncver right tab_mono.jpg"/>
                    <pic:cNvPicPr>
                      <a:picLocks noChangeAspect="1" noChangeArrowheads="1"/>
                    </pic:cNvPicPr>
                  </pic:nvPicPr>
                  <pic:blipFill>
                    <a:blip r:embed="rId8" cstate="print"/>
                    <a:srcRect/>
                    <a:stretch>
                      <a:fillRect/>
                    </a:stretch>
                  </pic:blipFill>
                  <pic:spPr bwMode="auto">
                    <a:xfrm>
                      <a:off x="0" y="0"/>
                      <a:ext cx="2955925" cy="654685"/>
                    </a:xfrm>
                    <a:prstGeom prst="rect">
                      <a:avLst/>
                    </a:prstGeom>
                    <a:noFill/>
                    <a:ln w="9525">
                      <a:noFill/>
                      <a:miter lim="800000"/>
                      <a:headEnd/>
                      <a:tailEnd/>
                    </a:ln>
                  </pic:spPr>
                </pic:pic>
              </a:graphicData>
            </a:graphic>
          </wp:anchor>
        </w:drawing>
      </w:r>
      <w:r w:rsidR="0071422D" w:rsidRPr="0071422D">
        <w:rPr>
          <w:i/>
          <w:noProof/>
        </w:rPr>
        <w:pict>
          <v:shapetype id="_x0000_t32" coordsize="21600,21600" o:spt="32" o:oned="t" path="m,l21600,21600e" filled="f">
            <v:path arrowok="t" fillok="f" o:connecttype="none"/>
            <o:lock v:ext="edit" shapetype="t"/>
          </v:shapetype>
          <v:shape id="_x0000_s1034" type="#_x0000_t32" style="position:absolute;left:0;text-align:left;margin-left:446.35pt;margin-top:63.65pt;width:0;height:634.7pt;z-index:251663872;mso-position-horizontal-relative:text;mso-position-vertical-relative:text" o:connectortype="straight"/>
        </w:pict>
      </w:r>
      <w:r w:rsidR="0071422D" w:rsidRPr="0071422D">
        <w:rPr>
          <w:i/>
          <w:noProof/>
          <w:sz w:val="40"/>
        </w:rPr>
        <w:pict>
          <v:shapetype id="_x0000_t202" coordsize="21600,21600" o:spt="202" path="m,l,21600r21600,l21600,xe">
            <v:stroke joinstyle="miter"/>
            <v:path gradientshapeok="t" o:connecttype="rect"/>
          </v:shapetype>
          <v:shape id="_x0000_s1026" type="#_x0000_t202" style="position:absolute;left:0;text-align:left;margin-left:-31.3pt;margin-top:28.8pt;width:100.8pt;height:579.5pt;z-index:251657728;mso-position-horizontal-relative:text;mso-position-vertical-relative:text" o:allowincell="f" stroked="f">
            <v:textbox style="layout-flow:vertical;mso-layout-flow-alt:bottom-to-top;mso-next-textbox:#_x0000_s1026">
              <w:txbxContent>
                <w:p w:rsidR="00522324" w:rsidRDefault="00522324" w:rsidP="004E72D9">
                  <w:pPr>
                    <w:jc w:val="center"/>
                    <w:rPr>
                      <w:rFonts w:ascii="Garamond" w:hAnsi="Garamond"/>
                      <w:color w:val="C0C0C0"/>
                      <w:sz w:val="116"/>
                      <w:lang w:val="en-US"/>
                    </w:rPr>
                  </w:pPr>
                  <w:r>
                    <w:rPr>
                      <w:rFonts w:ascii="Garamond" w:hAnsi="Garamond"/>
                      <w:color w:val="C0C0C0"/>
                      <w:sz w:val="116"/>
                      <w:lang w:val="en-US"/>
                    </w:rPr>
                    <w:t>TECHNICAL PAPER</w:t>
                  </w:r>
                </w:p>
              </w:txbxContent>
            </v:textbox>
          </v:shape>
        </w:pict>
      </w:r>
      <w:r w:rsidR="004E72D9">
        <w:rPr>
          <w:i/>
        </w:rPr>
        <w:br/>
      </w:r>
      <w:r w:rsidR="004E72D9">
        <w:rPr>
          <w:i/>
        </w:rPr>
        <w:br/>
      </w:r>
    </w:p>
    <w:p w:rsidR="004E72D9" w:rsidRDefault="004E72D9" w:rsidP="004E72D9">
      <w:pPr>
        <w:pStyle w:val="Text"/>
        <w:jc w:val="both"/>
      </w:pPr>
    </w:p>
    <w:p w:rsidR="004E72D9" w:rsidRDefault="004E72D9" w:rsidP="004E72D9">
      <w:pPr>
        <w:pStyle w:val="Text"/>
        <w:jc w:val="both"/>
      </w:pPr>
    </w:p>
    <w:p w:rsidR="004E72D9" w:rsidRDefault="004E72D9" w:rsidP="004E72D9">
      <w:pPr>
        <w:pStyle w:val="Text"/>
        <w:spacing w:before="0"/>
        <w:jc w:val="both"/>
      </w:pPr>
    </w:p>
    <w:p w:rsidR="004E72D9" w:rsidRDefault="004E72D9" w:rsidP="004E72D9">
      <w:pPr>
        <w:pStyle w:val="Text"/>
        <w:jc w:val="both"/>
      </w:pPr>
    </w:p>
    <w:p w:rsidR="00332045" w:rsidRDefault="00332045" w:rsidP="004E72D9">
      <w:pPr>
        <w:pStyle w:val="Heading9"/>
        <w:ind w:left="2977" w:firstLine="0"/>
        <w:rPr>
          <w:sz w:val="40"/>
        </w:rPr>
      </w:pPr>
    </w:p>
    <w:p w:rsidR="00332045" w:rsidRDefault="00332045" w:rsidP="004E72D9">
      <w:pPr>
        <w:pStyle w:val="Heading9"/>
        <w:ind w:left="2977" w:firstLine="0"/>
        <w:rPr>
          <w:sz w:val="40"/>
        </w:rPr>
      </w:pPr>
    </w:p>
    <w:p w:rsidR="004E72D9" w:rsidRDefault="00FA0DDE" w:rsidP="004E72D9">
      <w:pPr>
        <w:pStyle w:val="Heading9"/>
        <w:ind w:left="2977" w:firstLine="0"/>
        <w:rPr>
          <w:sz w:val="40"/>
        </w:rPr>
      </w:pPr>
      <w:r>
        <w:rPr>
          <w:sz w:val="40"/>
        </w:rPr>
        <w:t>Apprentice and trainee statistics</w:t>
      </w:r>
      <w:r w:rsidR="004E72D9">
        <w:rPr>
          <w:sz w:val="40"/>
        </w:rPr>
        <w:t xml:space="preserve">: </w:t>
      </w:r>
      <w:r w:rsidR="003D370D" w:rsidRPr="00747804">
        <w:rPr>
          <w:sz w:val="32"/>
          <w:szCs w:val="32"/>
        </w:rPr>
        <w:t>estimation of contract completion and attrition rates</w:t>
      </w:r>
    </w:p>
    <w:p w:rsidR="00747804" w:rsidRPr="00747804" w:rsidRDefault="00747804" w:rsidP="00390BC9">
      <w:pPr>
        <w:ind w:left="2977"/>
        <w:rPr>
          <w:szCs w:val="24"/>
        </w:rPr>
      </w:pPr>
      <w:r w:rsidRPr="005056E7">
        <w:rPr>
          <w:szCs w:val="24"/>
        </w:rPr>
        <w:t>June 2010</w:t>
      </w:r>
    </w:p>
    <w:p w:rsidR="00747804" w:rsidRDefault="00747804" w:rsidP="004E72D9">
      <w:pPr>
        <w:pStyle w:val="Text"/>
        <w:ind w:firstLine="2977"/>
        <w:jc w:val="both"/>
        <w:rPr>
          <w:smallCaps/>
        </w:rPr>
      </w:pPr>
    </w:p>
    <w:p w:rsidR="004E72D9" w:rsidRDefault="00FA0DDE" w:rsidP="00153758">
      <w:pPr>
        <w:pStyle w:val="Text"/>
        <w:ind w:firstLine="2977"/>
        <w:rPr>
          <w:smallCaps/>
        </w:rPr>
      </w:pPr>
      <w:r>
        <w:rPr>
          <w:smallCaps/>
        </w:rPr>
        <w:t>Brian Harvey</w:t>
      </w:r>
    </w:p>
    <w:p w:rsidR="00FA0DDE" w:rsidRDefault="00FA0DDE" w:rsidP="00153758">
      <w:pPr>
        <w:pStyle w:val="Text"/>
        <w:ind w:firstLine="2977"/>
        <w:rPr>
          <w:smallCaps/>
        </w:rPr>
      </w:pPr>
      <w:r>
        <w:rPr>
          <w:smallCaps/>
        </w:rPr>
        <w:t>National Centre for vocational education research</w:t>
      </w:r>
    </w:p>
    <w:p w:rsidR="004E72D9" w:rsidRDefault="004E72D9" w:rsidP="004E72D9">
      <w:pPr>
        <w:pStyle w:val="Text"/>
        <w:ind w:firstLine="2977"/>
        <w:jc w:val="both"/>
        <w:rPr>
          <w:smallCaps/>
        </w:rPr>
      </w:pPr>
    </w:p>
    <w:p w:rsidR="005056E7" w:rsidRDefault="005056E7" w:rsidP="004E72D9">
      <w:pPr>
        <w:pStyle w:val="BodyText"/>
        <w:ind w:left="2977" w:right="0"/>
        <w:rPr>
          <w:sz w:val="22"/>
        </w:rPr>
      </w:pPr>
    </w:p>
    <w:p w:rsidR="005056E7" w:rsidRDefault="005056E7" w:rsidP="004E72D9">
      <w:pPr>
        <w:pStyle w:val="BodyText"/>
        <w:ind w:left="2977" w:right="0"/>
        <w:rPr>
          <w:sz w:val="22"/>
        </w:rPr>
      </w:pPr>
    </w:p>
    <w:p w:rsidR="005056E7" w:rsidRDefault="005056E7" w:rsidP="004E72D9">
      <w:pPr>
        <w:pStyle w:val="BodyText"/>
        <w:ind w:left="2977" w:right="0"/>
        <w:rPr>
          <w:sz w:val="22"/>
        </w:rPr>
      </w:pPr>
    </w:p>
    <w:p w:rsidR="005056E7" w:rsidRDefault="005056E7" w:rsidP="004E72D9">
      <w:pPr>
        <w:pStyle w:val="BodyText"/>
        <w:ind w:left="2977" w:right="0"/>
        <w:rPr>
          <w:sz w:val="22"/>
        </w:rPr>
      </w:pPr>
    </w:p>
    <w:p w:rsidR="002C4EB3" w:rsidRDefault="002C4EB3" w:rsidP="004E72D9">
      <w:pPr>
        <w:pStyle w:val="BodyText"/>
        <w:tabs>
          <w:tab w:val="left" w:pos="8504"/>
        </w:tabs>
        <w:spacing w:line="260" w:lineRule="exact"/>
        <w:ind w:left="2977" w:right="0"/>
      </w:pPr>
    </w:p>
    <w:p w:rsidR="004E72D9" w:rsidRDefault="004E72D9" w:rsidP="003553A6">
      <w:pPr>
        <w:pStyle w:val="BodyText"/>
        <w:spacing w:line="260" w:lineRule="exact"/>
        <w:ind w:left="2977" w:right="558"/>
      </w:pPr>
      <w:r>
        <w:t>The views and opinions expressed in this doc</w:t>
      </w:r>
      <w:r w:rsidR="00D74D6E">
        <w:t>ument are those of the author</w:t>
      </w:r>
      <w:r>
        <w:t xml:space="preserve"> and do not necessarily reflect the view</w:t>
      </w:r>
      <w:r w:rsidR="00D74D6E">
        <w:t xml:space="preserve">s of the Australian Government or </w:t>
      </w:r>
      <w:r w:rsidR="004007D2">
        <w:t>state and territory governments.</w:t>
      </w:r>
    </w:p>
    <w:p w:rsidR="00332045" w:rsidRDefault="00332045" w:rsidP="003553A6">
      <w:pPr>
        <w:pStyle w:val="BodyText"/>
        <w:spacing w:line="260" w:lineRule="exact"/>
        <w:ind w:left="2977" w:right="558"/>
      </w:pPr>
    </w:p>
    <w:p w:rsidR="00332045" w:rsidRDefault="00332045" w:rsidP="003553A6">
      <w:pPr>
        <w:pStyle w:val="BodyText"/>
        <w:spacing w:line="260" w:lineRule="exact"/>
        <w:ind w:left="2977" w:right="558"/>
      </w:pPr>
    </w:p>
    <w:p w:rsidR="004E72D9" w:rsidRDefault="004E72D9" w:rsidP="004E72D9">
      <w:pPr>
        <w:tabs>
          <w:tab w:val="left" w:pos="153"/>
          <w:tab w:val="left" w:pos="283"/>
        </w:tabs>
        <w:rPr>
          <w:rFonts w:ascii="Garamond" w:hAnsi="Garamond"/>
          <w:b/>
          <w:sz w:val="16"/>
        </w:rPr>
      </w:pPr>
    </w:p>
    <w:p w:rsidR="003553A6" w:rsidRDefault="0071422D">
      <w:pPr>
        <w:spacing w:before="0"/>
        <w:rPr>
          <w:rFonts w:ascii="Garamond" w:hAnsi="Garamond"/>
          <w:smallCaps/>
          <w:sz w:val="20"/>
        </w:rPr>
      </w:pPr>
      <w:r w:rsidRPr="0071422D">
        <w:rPr>
          <w:smallCaps/>
          <w:noProof/>
        </w:rPr>
        <w:pict>
          <v:shape id="_x0000_s1035" type="#_x0000_t32" style="position:absolute;margin-left:-260.2pt;margin-top:90.45pt;width:437.65pt;height:0;flip:x;z-index:251664896" o:connectortype="straight"/>
        </w:pict>
      </w:r>
      <w:r w:rsidR="00332045">
        <w:rPr>
          <w:smallCaps/>
          <w:noProof/>
        </w:rPr>
        <w:drawing>
          <wp:anchor distT="0" distB="0" distL="114300" distR="114300" simplePos="0" relativeHeight="251665920" behindDoc="0" locked="0" layoutInCell="1" allowOverlap="1">
            <wp:simplePos x="0" y="0"/>
            <wp:positionH relativeFrom="column">
              <wp:posOffset>-39370</wp:posOffset>
            </wp:positionH>
            <wp:positionV relativeFrom="paragraph">
              <wp:posOffset>137795</wp:posOffset>
            </wp:positionV>
            <wp:extent cx="3340100" cy="842010"/>
            <wp:effectExtent l="19050" t="0" r="0" b="0"/>
            <wp:wrapSquare wrapText="bothSides"/>
            <wp:docPr id="3" name="Picture 3" descr="P:\PublicationComponents\logos\DEEWR\new logos sent Apr 08\DEEW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DEEWR\new logos sent Apr 08\DEEWR_Inline.jpg"/>
                    <pic:cNvPicPr>
                      <a:picLocks noChangeAspect="1" noChangeArrowheads="1"/>
                    </pic:cNvPicPr>
                  </pic:nvPicPr>
                  <pic:blipFill>
                    <a:blip r:embed="rId9" cstate="print"/>
                    <a:srcRect/>
                    <a:stretch>
                      <a:fillRect/>
                    </a:stretch>
                  </pic:blipFill>
                  <pic:spPr bwMode="auto">
                    <a:xfrm>
                      <a:off x="0" y="0"/>
                      <a:ext cx="3340100" cy="842010"/>
                    </a:xfrm>
                    <a:prstGeom prst="rect">
                      <a:avLst/>
                    </a:prstGeom>
                    <a:noFill/>
                    <a:ln w="9525">
                      <a:noFill/>
                      <a:miter lim="800000"/>
                      <a:headEnd/>
                      <a:tailEnd/>
                    </a:ln>
                  </pic:spPr>
                </pic:pic>
              </a:graphicData>
            </a:graphic>
          </wp:anchor>
        </w:drawing>
      </w:r>
      <w:r w:rsidR="003553A6">
        <w:rPr>
          <w:smallCaps/>
        </w:rPr>
        <w:br w:type="page"/>
      </w:r>
    </w:p>
    <w:p w:rsidR="002C4EB3" w:rsidRDefault="002C4EB3" w:rsidP="002C4EB3">
      <w:pPr>
        <w:spacing w:before="0"/>
        <w:rPr>
          <w:rFonts w:ascii="Garamond" w:hAnsi="Garamond"/>
          <w:b/>
          <w:sz w:val="16"/>
          <w:szCs w:val="16"/>
        </w:rPr>
      </w:pPr>
      <w:bookmarkStart w:id="4" w:name="_Toc47346280"/>
      <w:bookmarkStart w:id="5" w:name="_Toc47951941"/>
      <w:bookmarkStart w:id="6" w:name="_Toc107393567"/>
    </w:p>
    <w:p w:rsidR="002C4EB3" w:rsidRPr="002C4EB3" w:rsidRDefault="002C4EB3" w:rsidP="00390BC9">
      <w:pPr>
        <w:spacing w:before="7200" w:line="260" w:lineRule="exact"/>
        <w:rPr>
          <w:rFonts w:ascii="Garamond" w:hAnsi="Garamond"/>
          <w:b/>
          <w:sz w:val="16"/>
          <w:szCs w:val="16"/>
        </w:rPr>
      </w:pPr>
      <w:r w:rsidRPr="002C4EB3">
        <w:rPr>
          <w:rFonts w:ascii="Garamond" w:hAnsi="Garamond"/>
          <w:b/>
          <w:sz w:val="16"/>
          <w:szCs w:val="16"/>
        </w:rPr>
        <w:t>© Commonwealth of Australia, 2010</w:t>
      </w:r>
    </w:p>
    <w:p w:rsidR="002C4EB3" w:rsidRPr="002C4EB3" w:rsidRDefault="002C4EB3" w:rsidP="00390BC9">
      <w:pPr>
        <w:spacing w:before="160" w:line="260" w:lineRule="exact"/>
        <w:ind w:right="1920"/>
        <w:rPr>
          <w:rFonts w:ascii="Garamond" w:hAnsi="Garamond"/>
          <w:sz w:val="16"/>
          <w:szCs w:val="16"/>
        </w:rPr>
      </w:pPr>
      <w:r w:rsidRPr="002C4EB3">
        <w:rPr>
          <w:rFonts w:ascii="Garamond" w:hAnsi="Garamond"/>
          <w:sz w:val="16"/>
          <w:szCs w:val="16"/>
        </w:rP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proofErr w:type="spellStart"/>
      <w:r w:rsidRPr="002C4EB3">
        <w:rPr>
          <w:rFonts w:ascii="Garamond" w:hAnsi="Garamond"/>
          <w:i/>
          <w:sz w:val="16"/>
          <w:szCs w:val="16"/>
        </w:rPr>
        <w:t>CopyrightAct</w:t>
      </w:r>
      <w:proofErr w:type="spellEnd"/>
      <w:r w:rsidRPr="002C4EB3">
        <w:rPr>
          <w:rFonts w:ascii="Garamond" w:hAnsi="Garamond"/>
          <w:i/>
          <w:sz w:val="16"/>
          <w:szCs w:val="16"/>
        </w:rPr>
        <w:t xml:space="preserve"> 1968</w:t>
      </w:r>
      <w:r w:rsidRPr="002C4EB3">
        <w:rPr>
          <w:rFonts w:ascii="Garamond" w:hAnsi="Garamond"/>
          <w:sz w:val="16"/>
          <w:szCs w:val="16"/>
        </w:rPr>
        <w:t>, no part of this publication may be reproduced by any process without written permission. Requests should be made to NCVER.</w:t>
      </w:r>
    </w:p>
    <w:p w:rsidR="002C4EB3" w:rsidRPr="002C4EB3" w:rsidRDefault="002C4EB3" w:rsidP="00390BC9">
      <w:pPr>
        <w:spacing w:before="160" w:line="260" w:lineRule="exact"/>
        <w:ind w:right="1920"/>
        <w:rPr>
          <w:rFonts w:ascii="Garamond" w:hAnsi="Garamond"/>
          <w:sz w:val="16"/>
          <w:szCs w:val="16"/>
        </w:rPr>
      </w:pPr>
      <w:r w:rsidRPr="002C4EB3">
        <w:rPr>
          <w:rFonts w:ascii="Garamond" w:hAnsi="Garamond"/>
          <w:sz w:val="16"/>
          <w:szCs w:val="16"/>
        </w:rPr>
        <w:t>The views and opinions expressed in this document are those of the author(s) and do not necessarily reflect the views of the Australian Government or state and territory governments.</w:t>
      </w:r>
      <w:r w:rsidR="00F75052">
        <w:rPr>
          <w:rFonts w:ascii="Garamond" w:hAnsi="Garamond"/>
          <w:sz w:val="16"/>
          <w:szCs w:val="16"/>
        </w:rPr>
        <w:t xml:space="preserve"> </w:t>
      </w:r>
    </w:p>
    <w:p w:rsidR="002C4EB3" w:rsidRPr="002C4EB3" w:rsidRDefault="002C4EB3" w:rsidP="00390BC9">
      <w:pPr>
        <w:tabs>
          <w:tab w:val="left" w:pos="851"/>
          <w:tab w:val="left" w:pos="2127"/>
        </w:tabs>
        <w:spacing w:before="160" w:line="260" w:lineRule="exact"/>
        <w:rPr>
          <w:rFonts w:ascii="Garamond" w:hAnsi="Garamond"/>
          <w:sz w:val="16"/>
          <w:szCs w:val="16"/>
        </w:rPr>
      </w:pPr>
      <w:r w:rsidRPr="004007D2">
        <w:rPr>
          <w:rFonts w:ascii="Garamond" w:hAnsi="Garamond"/>
          <w:sz w:val="16"/>
          <w:szCs w:val="16"/>
        </w:rPr>
        <w:t>TD/TNC</w:t>
      </w:r>
      <w:r w:rsidR="00390BC9" w:rsidRPr="004007D2">
        <w:rPr>
          <w:rFonts w:ascii="Garamond" w:hAnsi="Garamond"/>
          <w:sz w:val="16"/>
          <w:szCs w:val="16"/>
        </w:rPr>
        <w:tab/>
      </w:r>
      <w:r w:rsidRPr="004007D2">
        <w:rPr>
          <w:rFonts w:ascii="Garamond" w:hAnsi="Garamond"/>
          <w:sz w:val="16"/>
          <w:szCs w:val="16"/>
        </w:rPr>
        <w:t>10</w:t>
      </w:r>
      <w:r w:rsidR="002B1DF7">
        <w:rPr>
          <w:rFonts w:ascii="Garamond" w:hAnsi="Garamond"/>
          <w:sz w:val="16"/>
          <w:szCs w:val="16"/>
        </w:rPr>
        <w:t>4.08</w:t>
      </w:r>
    </w:p>
    <w:p w:rsidR="002C4EB3" w:rsidRPr="002C4EB3" w:rsidRDefault="002C4EB3" w:rsidP="00390BC9">
      <w:pPr>
        <w:spacing w:before="160" w:line="260" w:lineRule="exact"/>
        <w:rPr>
          <w:rFonts w:ascii="Garamond" w:hAnsi="Garamond"/>
          <w:sz w:val="16"/>
          <w:szCs w:val="16"/>
        </w:rPr>
      </w:pPr>
      <w:r w:rsidRPr="002C4EB3">
        <w:rPr>
          <w:rFonts w:ascii="Garamond" w:hAnsi="Garamond"/>
          <w:sz w:val="16"/>
          <w:szCs w:val="16"/>
        </w:rPr>
        <w:t>Published by NCVER</w:t>
      </w:r>
      <w:r w:rsidRPr="002C4EB3">
        <w:rPr>
          <w:rFonts w:ascii="Garamond" w:hAnsi="Garamond"/>
          <w:sz w:val="16"/>
          <w:szCs w:val="16"/>
        </w:rPr>
        <w:br/>
        <w:t>ABN 87 007 967 311</w:t>
      </w:r>
    </w:p>
    <w:p w:rsidR="002C4EB3" w:rsidRPr="002C4EB3" w:rsidRDefault="002C4EB3" w:rsidP="00390BC9">
      <w:pPr>
        <w:spacing w:before="160" w:line="260" w:lineRule="exact"/>
        <w:rPr>
          <w:rFonts w:ascii="Garamond" w:hAnsi="Garamond"/>
          <w:sz w:val="16"/>
          <w:szCs w:val="16"/>
        </w:rPr>
      </w:pPr>
      <w:r w:rsidRPr="002C4EB3">
        <w:rPr>
          <w:rFonts w:ascii="Garamond" w:hAnsi="Garamond"/>
          <w:sz w:val="16"/>
          <w:szCs w:val="16"/>
        </w:rPr>
        <w:t>Level 11, 33 King William Street, Adelaide, SA 5000</w:t>
      </w:r>
      <w:r w:rsidRPr="002C4EB3">
        <w:rPr>
          <w:rFonts w:ascii="Garamond" w:hAnsi="Garamond"/>
          <w:sz w:val="16"/>
          <w:szCs w:val="16"/>
        </w:rPr>
        <w:br/>
        <w:t>PO Box 8288 Station Arcade, Adelaide SA 5000, Australia</w:t>
      </w:r>
    </w:p>
    <w:p w:rsidR="002C4EB3" w:rsidRPr="002C4EB3" w:rsidRDefault="002C4EB3" w:rsidP="00390BC9">
      <w:pPr>
        <w:spacing w:before="160" w:line="260" w:lineRule="exact"/>
        <w:rPr>
          <w:rFonts w:ascii="Garamond" w:hAnsi="Garamond"/>
          <w:sz w:val="16"/>
          <w:szCs w:val="16"/>
        </w:rPr>
      </w:pPr>
      <w:proofErr w:type="gramStart"/>
      <w:r w:rsidRPr="002C4EB3">
        <w:rPr>
          <w:rFonts w:ascii="Garamond" w:hAnsi="Garamond"/>
          <w:sz w:val="16"/>
          <w:szCs w:val="16"/>
        </w:rPr>
        <w:t>ph</w:t>
      </w:r>
      <w:proofErr w:type="gramEnd"/>
      <w:r w:rsidRPr="002C4EB3">
        <w:rPr>
          <w:rFonts w:ascii="Garamond" w:hAnsi="Garamond"/>
          <w:sz w:val="16"/>
          <w:szCs w:val="16"/>
        </w:rPr>
        <w:t xml:space="preserve"> +61 8 8230 8400 fax +61 8 8212 3436</w:t>
      </w:r>
      <w:r w:rsidRPr="002C4EB3">
        <w:rPr>
          <w:rFonts w:ascii="Garamond" w:hAnsi="Garamond"/>
          <w:sz w:val="16"/>
          <w:szCs w:val="16"/>
        </w:rPr>
        <w:br/>
        <w:t>email ncver@ncver.edu.au</w:t>
      </w:r>
      <w:r w:rsidRPr="002C4EB3">
        <w:rPr>
          <w:rFonts w:ascii="Garamond" w:hAnsi="Garamond"/>
          <w:sz w:val="16"/>
          <w:szCs w:val="16"/>
        </w:rPr>
        <w:br/>
        <w:t>&lt;http://www.ncver.edu.au&gt;</w:t>
      </w:r>
      <w:r w:rsidR="00390BC9">
        <w:rPr>
          <w:rFonts w:ascii="Garamond" w:hAnsi="Garamond"/>
          <w:sz w:val="16"/>
          <w:szCs w:val="16"/>
        </w:rPr>
        <w:br/>
      </w:r>
      <w:r w:rsidRPr="002C4EB3">
        <w:rPr>
          <w:rFonts w:ascii="Garamond" w:hAnsi="Garamond"/>
          <w:sz w:val="16"/>
          <w:szCs w:val="16"/>
        </w:rPr>
        <w:t>&lt;http://www.ncver.edu.au/publications/2388.html&gt;</w:t>
      </w:r>
    </w:p>
    <w:p w:rsidR="002C4EB3" w:rsidRPr="003553A6" w:rsidRDefault="002C4EB3">
      <w:pPr>
        <w:spacing w:before="0"/>
        <w:rPr>
          <w:rFonts w:ascii="Garamond" w:hAnsi="Garamond"/>
          <w:sz w:val="16"/>
        </w:rPr>
      </w:pPr>
    </w:p>
    <w:p w:rsidR="003553A6" w:rsidRDefault="003553A6" w:rsidP="00390BC9">
      <w:pPr>
        <w:pStyle w:val="Heading1"/>
        <w:sectPr w:rsidR="003553A6" w:rsidSect="003553A6">
          <w:type w:val="continuous"/>
          <w:pgSz w:w="11899" w:h="16838" w:code="9"/>
          <w:pgMar w:top="1418" w:right="1985" w:bottom="567" w:left="1418" w:header="720" w:footer="527" w:gutter="0"/>
          <w:cols w:space="720"/>
          <w:docGrid w:linePitch="360"/>
        </w:sectPr>
      </w:pPr>
    </w:p>
    <w:p w:rsidR="00037B44" w:rsidRPr="00FA4E2D" w:rsidRDefault="00390BC9" w:rsidP="00390BC9">
      <w:pPr>
        <w:pStyle w:val="Heading1"/>
      </w:pPr>
      <w:r>
        <w:lastRenderedPageBreak/>
        <w:br/>
      </w:r>
      <w:bookmarkStart w:id="7" w:name="_Toc296701127"/>
      <w:bookmarkStart w:id="8" w:name="_Toc296701743"/>
      <w:r w:rsidR="00037B44">
        <w:t>Contents</w:t>
      </w:r>
      <w:bookmarkEnd w:id="0"/>
      <w:bookmarkEnd w:id="1"/>
      <w:bookmarkEnd w:id="2"/>
      <w:bookmarkEnd w:id="3"/>
      <w:bookmarkEnd w:id="4"/>
      <w:bookmarkEnd w:id="5"/>
      <w:bookmarkEnd w:id="6"/>
      <w:bookmarkEnd w:id="7"/>
      <w:bookmarkEnd w:id="8"/>
    </w:p>
    <w:p w:rsidR="00BE50A3" w:rsidRDefault="0071422D" w:rsidP="00BE50A3">
      <w:pPr>
        <w:pStyle w:val="TOC1"/>
        <w:spacing w:before="440"/>
        <w:rPr>
          <w:rFonts w:asciiTheme="minorHAnsi" w:eastAsiaTheme="minorEastAsia" w:hAnsiTheme="minorHAnsi" w:cstheme="minorBidi"/>
          <w:noProof/>
          <w:szCs w:val="22"/>
        </w:rPr>
      </w:pPr>
      <w:r w:rsidRPr="0071422D">
        <w:rPr>
          <w:rFonts w:ascii="Avant Garde" w:hAnsi="Avant Garde"/>
        </w:rPr>
        <w:fldChar w:fldCharType="begin"/>
      </w:r>
      <w:r w:rsidR="00037B44">
        <w:rPr>
          <w:rFonts w:ascii="Avant Garde" w:hAnsi="Avant Garde"/>
        </w:rPr>
        <w:instrText xml:space="preserve"> TOC \o "1-2" </w:instrText>
      </w:r>
      <w:r w:rsidRPr="0071422D">
        <w:rPr>
          <w:rFonts w:ascii="Avant Garde" w:hAnsi="Avant Garde"/>
        </w:rPr>
        <w:fldChar w:fldCharType="separate"/>
      </w:r>
      <w:r w:rsidR="00BE50A3">
        <w:rPr>
          <w:noProof/>
        </w:rPr>
        <w:t>Tables</w:t>
      </w:r>
      <w:r w:rsidR="00BE50A3">
        <w:rPr>
          <w:noProof/>
        </w:rPr>
        <w:tab/>
      </w:r>
      <w:r>
        <w:rPr>
          <w:noProof/>
        </w:rPr>
        <w:fldChar w:fldCharType="begin"/>
      </w:r>
      <w:r w:rsidR="00BE50A3">
        <w:rPr>
          <w:noProof/>
        </w:rPr>
        <w:instrText xml:space="preserve"> PAGEREF _Toc296701744 \h </w:instrText>
      </w:r>
      <w:r>
        <w:rPr>
          <w:noProof/>
        </w:rPr>
      </w:r>
      <w:r>
        <w:rPr>
          <w:noProof/>
        </w:rPr>
        <w:fldChar w:fldCharType="separate"/>
      </w:r>
      <w:r w:rsidR="000370DA">
        <w:rPr>
          <w:noProof/>
        </w:rPr>
        <w:t>4</w:t>
      </w:r>
      <w:r>
        <w:rPr>
          <w:noProof/>
        </w:rPr>
        <w:fldChar w:fldCharType="end"/>
      </w:r>
    </w:p>
    <w:p w:rsidR="00BE50A3" w:rsidRDefault="00BE50A3">
      <w:pPr>
        <w:pStyle w:val="TOC1"/>
        <w:rPr>
          <w:rFonts w:asciiTheme="minorHAnsi" w:eastAsiaTheme="minorEastAsia" w:hAnsiTheme="minorHAnsi" w:cstheme="minorBidi"/>
          <w:noProof/>
          <w:szCs w:val="22"/>
        </w:rPr>
      </w:pPr>
      <w:r>
        <w:rPr>
          <w:noProof/>
        </w:rPr>
        <w:t>Completion and attrition rates</w:t>
      </w:r>
      <w:r>
        <w:rPr>
          <w:noProof/>
        </w:rPr>
        <w:tab/>
      </w:r>
      <w:r w:rsidR="0071422D">
        <w:rPr>
          <w:noProof/>
        </w:rPr>
        <w:fldChar w:fldCharType="begin"/>
      </w:r>
      <w:r>
        <w:rPr>
          <w:noProof/>
        </w:rPr>
        <w:instrText xml:space="preserve"> PAGEREF _Toc296701745 \h </w:instrText>
      </w:r>
      <w:r w:rsidR="0071422D">
        <w:rPr>
          <w:noProof/>
        </w:rPr>
      </w:r>
      <w:r w:rsidR="0071422D">
        <w:rPr>
          <w:noProof/>
        </w:rPr>
        <w:fldChar w:fldCharType="separate"/>
      </w:r>
      <w:r w:rsidR="000370DA">
        <w:rPr>
          <w:noProof/>
        </w:rPr>
        <w:t>5</w:t>
      </w:r>
      <w:r w:rsidR="0071422D">
        <w:rPr>
          <w:noProof/>
        </w:rPr>
        <w:fldChar w:fldCharType="end"/>
      </w:r>
    </w:p>
    <w:p w:rsidR="00BE50A3" w:rsidRDefault="00BE50A3">
      <w:pPr>
        <w:pStyle w:val="TOC2"/>
        <w:rPr>
          <w:rFonts w:asciiTheme="minorHAnsi" w:eastAsiaTheme="minorEastAsia" w:hAnsiTheme="minorHAnsi" w:cstheme="minorBidi"/>
          <w:noProof/>
          <w:sz w:val="22"/>
          <w:szCs w:val="22"/>
        </w:rPr>
      </w:pPr>
      <w:r>
        <w:rPr>
          <w:noProof/>
        </w:rPr>
        <w:t>Introduction</w:t>
      </w:r>
      <w:r>
        <w:rPr>
          <w:noProof/>
        </w:rPr>
        <w:tab/>
      </w:r>
      <w:r w:rsidR="0071422D">
        <w:rPr>
          <w:noProof/>
        </w:rPr>
        <w:fldChar w:fldCharType="begin"/>
      </w:r>
      <w:r>
        <w:rPr>
          <w:noProof/>
        </w:rPr>
        <w:instrText xml:space="preserve"> PAGEREF _Toc296701746 \h </w:instrText>
      </w:r>
      <w:r w:rsidR="0071422D">
        <w:rPr>
          <w:noProof/>
        </w:rPr>
      </w:r>
      <w:r w:rsidR="0071422D">
        <w:rPr>
          <w:noProof/>
        </w:rPr>
        <w:fldChar w:fldCharType="separate"/>
      </w:r>
      <w:r w:rsidR="000370DA">
        <w:rPr>
          <w:noProof/>
        </w:rPr>
        <w:t>5</w:t>
      </w:r>
      <w:r w:rsidR="0071422D">
        <w:rPr>
          <w:noProof/>
        </w:rPr>
        <w:fldChar w:fldCharType="end"/>
      </w:r>
    </w:p>
    <w:p w:rsidR="00BE50A3" w:rsidRDefault="00BE50A3">
      <w:pPr>
        <w:pStyle w:val="TOC2"/>
        <w:rPr>
          <w:rFonts w:asciiTheme="minorHAnsi" w:eastAsiaTheme="minorEastAsia" w:hAnsiTheme="minorHAnsi" w:cstheme="minorBidi"/>
          <w:noProof/>
          <w:sz w:val="22"/>
          <w:szCs w:val="22"/>
        </w:rPr>
      </w:pPr>
      <w:r>
        <w:rPr>
          <w:noProof/>
        </w:rPr>
        <w:t>Description of the method</w:t>
      </w:r>
      <w:r>
        <w:rPr>
          <w:noProof/>
        </w:rPr>
        <w:tab/>
      </w:r>
      <w:r w:rsidR="0071422D">
        <w:rPr>
          <w:noProof/>
        </w:rPr>
        <w:fldChar w:fldCharType="begin"/>
      </w:r>
      <w:r>
        <w:rPr>
          <w:noProof/>
        </w:rPr>
        <w:instrText xml:space="preserve"> PAGEREF _Toc296701747 \h </w:instrText>
      </w:r>
      <w:r w:rsidR="0071422D">
        <w:rPr>
          <w:noProof/>
        </w:rPr>
      </w:r>
      <w:r w:rsidR="0071422D">
        <w:rPr>
          <w:noProof/>
        </w:rPr>
        <w:fldChar w:fldCharType="separate"/>
      </w:r>
      <w:r w:rsidR="000370DA">
        <w:rPr>
          <w:noProof/>
        </w:rPr>
        <w:t>6</w:t>
      </w:r>
      <w:r w:rsidR="0071422D">
        <w:rPr>
          <w:noProof/>
        </w:rPr>
        <w:fldChar w:fldCharType="end"/>
      </w:r>
    </w:p>
    <w:p w:rsidR="00BE50A3" w:rsidRDefault="00BE50A3">
      <w:pPr>
        <w:pStyle w:val="TOC2"/>
        <w:rPr>
          <w:rFonts w:asciiTheme="minorHAnsi" w:eastAsiaTheme="minorEastAsia" w:hAnsiTheme="minorHAnsi" w:cstheme="minorBidi"/>
          <w:noProof/>
          <w:sz w:val="22"/>
          <w:szCs w:val="22"/>
        </w:rPr>
      </w:pPr>
      <w:r>
        <w:rPr>
          <w:noProof/>
        </w:rPr>
        <w:t>Practical considerations</w:t>
      </w:r>
      <w:r>
        <w:rPr>
          <w:noProof/>
        </w:rPr>
        <w:tab/>
      </w:r>
      <w:r w:rsidR="0071422D">
        <w:rPr>
          <w:noProof/>
        </w:rPr>
        <w:fldChar w:fldCharType="begin"/>
      </w:r>
      <w:r>
        <w:rPr>
          <w:noProof/>
        </w:rPr>
        <w:instrText xml:space="preserve"> PAGEREF _Toc296701748 \h </w:instrText>
      </w:r>
      <w:r w:rsidR="0071422D">
        <w:rPr>
          <w:noProof/>
        </w:rPr>
      </w:r>
      <w:r w:rsidR="0071422D">
        <w:rPr>
          <w:noProof/>
        </w:rPr>
        <w:fldChar w:fldCharType="separate"/>
      </w:r>
      <w:r w:rsidR="000370DA">
        <w:rPr>
          <w:noProof/>
        </w:rPr>
        <w:t>8</w:t>
      </w:r>
      <w:r w:rsidR="0071422D">
        <w:rPr>
          <w:noProof/>
        </w:rPr>
        <w:fldChar w:fldCharType="end"/>
      </w:r>
    </w:p>
    <w:p w:rsidR="00BE50A3" w:rsidRDefault="00BE50A3">
      <w:pPr>
        <w:pStyle w:val="TOC1"/>
        <w:rPr>
          <w:rFonts w:asciiTheme="minorHAnsi" w:eastAsiaTheme="minorEastAsia" w:hAnsiTheme="minorHAnsi" w:cstheme="minorBidi"/>
          <w:noProof/>
          <w:szCs w:val="22"/>
        </w:rPr>
      </w:pPr>
      <w:r>
        <w:rPr>
          <w:noProof/>
        </w:rPr>
        <w:t>Glossary of terms</w:t>
      </w:r>
      <w:r>
        <w:rPr>
          <w:noProof/>
        </w:rPr>
        <w:tab/>
      </w:r>
      <w:r w:rsidR="0071422D">
        <w:rPr>
          <w:noProof/>
        </w:rPr>
        <w:fldChar w:fldCharType="begin"/>
      </w:r>
      <w:r>
        <w:rPr>
          <w:noProof/>
        </w:rPr>
        <w:instrText xml:space="preserve"> PAGEREF _Toc296701749 \h </w:instrText>
      </w:r>
      <w:r w:rsidR="0071422D">
        <w:rPr>
          <w:noProof/>
        </w:rPr>
      </w:r>
      <w:r w:rsidR="0071422D">
        <w:rPr>
          <w:noProof/>
        </w:rPr>
        <w:fldChar w:fldCharType="separate"/>
      </w:r>
      <w:r w:rsidR="000370DA">
        <w:rPr>
          <w:noProof/>
        </w:rPr>
        <w:t>10</w:t>
      </w:r>
      <w:r w:rsidR="0071422D">
        <w:rPr>
          <w:noProof/>
        </w:rPr>
        <w:fldChar w:fldCharType="end"/>
      </w:r>
    </w:p>
    <w:p w:rsidR="00037B44" w:rsidRDefault="0071422D">
      <w:pPr>
        <w:pStyle w:val="TOC1"/>
      </w:pPr>
      <w:r>
        <w:fldChar w:fldCharType="end"/>
      </w:r>
    </w:p>
    <w:p w:rsidR="007E0885" w:rsidRDefault="007E0885" w:rsidP="00390BC9">
      <w:pPr>
        <w:pStyle w:val="Text"/>
      </w:pPr>
    </w:p>
    <w:p w:rsidR="003D370D" w:rsidRDefault="003D370D">
      <w:pPr>
        <w:spacing w:before="0"/>
        <w:rPr>
          <w:rFonts w:ascii="Garamond" w:hAnsi="Garamond"/>
          <w:kern w:val="28"/>
          <w:sz w:val="60"/>
        </w:rPr>
      </w:pPr>
      <w:r>
        <w:br w:type="page"/>
      </w:r>
    </w:p>
    <w:p w:rsidR="007E0885" w:rsidRPr="007E0885" w:rsidRDefault="00390BC9" w:rsidP="00390BC9">
      <w:pPr>
        <w:pStyle w:val="Heading1"/>
      </w:pPr>
      <w:r>
        <w:lastRenderedPageBreak/>
        <w:br/>
      </w:r>
      <w:r>
        <w:br/>
      </w:r>
      <w:bookmarkStart w:id="9" w:name="_Toc296701744"/>
      <w:r w:rsidR="003553A6" w:rsidRPr="007E0885">
        <w:t>Tables</w:t>
      </w:r>
      <w:bookmarkEnd w:id="9"/>
    </w:p>
    <w:p w:rsidR="004D6395" w:rsidRDefault="0071422D" w:rsidP="004D6395">
      <w:pPr>
        <w:pStyle w:val="TOC1"/>
        <w:tabs>
          <w:tab w:val="clear" w:pos="8222"/>
          <w:tab w:val="left" w:pos="2552"/>
          <w:tab w:val="right" w:pos="8505"/>
        </w:tabs>
        <w:spacing w:before="440"/>
        <w:rPr>
          <w:rFonts w:asciiTheme="minorHAnsi" w:eastAsiaTheme="minorEastAsia" w:hAnsiTheme="minorHAnsi" w:cstheme="minorBidi"/>
          <w:noProof/>
          <w:szCs w:val="22"/>
        </w:rPr>
      </w:pPr>
      <w:r>
        <w:rPr>
          <w:noProof/>
          <w:szCs w:val="22"/>
        </w:rPr>
        <w:fldChar w:fldCharType="begin"/>
      </w:r>
      <w:r w:rsidR="004D6395">
        <w:rPr>
          <w:noProof/>
          <w:szCs w:val="22"/>
        </w:rPr>
        <w:instrText xml:space="preserve"> TOC \h \z \t "tabletitle,1" </w:instrText>
      </w:r>
      <w:r>
        <w:rPr>
          <w:noProof/>
          <w:szCs w:val="22"/>
        </w:rPr>
        <w:fldChar w:fldCharType="separate"/>
      </w:r>
      <w:hyperlink w:anchor="_Toc296701515" w:history="1">
        <w:r w:rsidR="004D6395" w:rsidRPr="00A10AF7">
          <w:rPr>
            <w:rStyle w:val="Hyperlink"/>
            <w:noProof/>
          </w:rPr>
          <w:t>1</w:t>
        </w:r>
        <w:r w:rsidR="004D6395">
          <w:rPr>
            <w:rFonts w:asciiTheme="minorHAnsi" w:eastAsiaTheme="minorEastAsia" w:hAnsiTheme="minorHAnsi" w:cstheme="minorBidi"/>
            <w:noProof/>
            <w:szCs w:val="22"/>
          </w:rPr>
          <w:tab/>
        </w:r>
        <w:r w:rsidR="004D6395" w:rsidRPr="00A10AF7">
          <w:rPr>
            <w:rStyle w:val="Hyperlink"/>
            <w:noProof/>
          </w:rPr>
          <w:t>Reported commencements and outcomes</w:t>
        </w:r>
        <w:r w:rsidR="004D6395">
          <w:rPr>
            <w:noProof/>
            <w:webHidden/>
          </w:rPr>
          <w:tab/>
        </w:r>
        <w:r>
          <w:rPr>
            <w:noProof/>
            <w:webHidden/>
          </w:rPr>
          <w:fldChar w:fldCharType="begin"/>
        </w:r>
        <w:r w:rsidR="004D6395">
          <w:rPr>
            <w:noProof/>
            <w:webHidden/>
          </w:rPr>
          <w:instrText xml:space="preserve"> PAGEREF _Toc296701515 \h </w:instrText>
        </w:r>
        <w:r>
          <w:rPr>
            <w:noProof/>
            <w:webHidden/>
          </w:rPr>
        </w:r>
        <w:r>
          <w:rPr>
            <w:noProof/>
            <w:webHidden/>
          </w:rPr>
          <w:fldChar w:fldCharType="separate"/>
        </w:r>
        <w:r w:rsidR="000370DA">
          <w:rPr>
            <w:noProof/>
            <w:webHidden/>
          </w:rPr>
          <w:t>6</w:t>
        </w:r>
        <w:r>
          <w:rPr>
            <w:noProof/>
            <w:webHidden/>
          </w:rPr>
          <w:fldChar w:fldCharType="end"/>
        </w:r>
      </w:hyperlink>
    </w:p>
    <w:p w:rsidR="004D6395" w:rsidRDefault="0071422D" w:rsidP="004D6395">
      <w:pPr>
        <w:pStyle w:val="TOC1"/>
        <w:tabs>
          <w:tab w:val="clear" w:pos="8222"/>
          <w:tab w:val="left" w:pos="2552"/>
          <w:tab w:val="right" w:pos="8505"/>
        </w:tabs>
        <w:rPr>
          <w:rFonts w:asciiTheme="minorHAnsi" w:eastAsiaTheme="minorEastAsia" w:hAnsiTheme="minorHAnsi" w:cstheme="minorBidi"/>
          <w:noProof/>
          <w:szCs w:val="22"/>
        </w:rPr>
      </w:pPr>
      <w:hyperlink w:anchor="_Toc296701516" w:history="1">
        <w:r w:rsidR="004D6395" w:rsidRPr="00A10AF7">
          <w:rPr>
            <w:rStyle w:val="Hyperlink"/>
            <w:noProof/>
          </w:rPr>
          <w:t>2</w:t>
        </w:r>
        <w:r w:rsidR="004D6395">
          <w:rPr>
            <w:rFonts w:asciiTheme="minorHAnsi" w:eastAsiaTheme="minorEastAsia" w:hAnsiTheme="minorHAnsi" w:cstheme="minorBidi"/>
            <w:noProof/>
            <w:szCs w:val="22"/>
          </w:rPr>
          <w:tab/>
        </w:r>
        <w:r w:rsidR="004D6395" w:rsidRPr="00A10AF7">
          <w:rPr>
            <w:rStyle w:val="Hyperlink"/>
            <w:noProof/>
          </w:rPr>
          <w:t>Estimated commencements and outcomes—margins</w:t>
        </w:r>
        <w:r w:rsidR="004D6395">
          <w:rPr>
            <w:noProof/>
            <w:webHidden/>
          </w:rPr>
          <w:tab/>
        </w:r>
        <w:r>
          <w:rPr>
            <w:noProof/>
            <w:webHidden/>
          </w:rPr>
          <w:fldChar w:fldCharType="begin"/>
        </w:r>
        <w:r w:rsidR="004D6395">
          <w:rPr>
            <w:noProof/>
            <w:webHidden/>
          </w:rPr>
          <w:instrText xml:space="preserve"> PAGEREF _Toc296701516 \h </w:instrText>
        </w:r>
        <w:r>
          <w:rPr>
            <w:noProof/>
            <w:webHidden/>
          </w:rPr>
        </w:r>
        <w:r>
          <w:rPr>
            <w:noProof/>
            <w:webHidden/>
          </w:rPr>
          <w:fldChar w:fldCharType="separate"/>
        </w:r>
        <w:r w:rsidR="000370DA">
          <w:rPr>
            <w:noProof/>
            <w:webHidden/>
          </w:rPr>
          <w:t>7</w:t>
        </w:r>
        <w:r>
          <w:rPr>
            <w:noProof/>
            <w:webHidden/>
          </w:rPr>
          <w:fldChar w:fldCharType="end"/>
        </w:r>
      </w:hyperlink>
    </w:p>
    <w:p w:rsidR="004D6395" w:rsidRDefault="0071422D" w:rsidP="004D6395">
      <w:pPr>
        <w:pStyle w:val="TOC1"/>
        <w:tabs>
          <w:tab w:val="clear" w:pos="8222"/>
          <w:tab w:val="left" w:pos="2552"/>
          <w:tab w:val="right" w:pos="8505"/>
        </w:tabs>
        <w:rPr>
          <w:rFonts w:asciiTheme="minorHAnsi" w:eastAsiaTheme="minorEastAsia" w:hAnsiTheme="minorHAnsi" w:cstheme="minorBidi"/>
          <w:noProof/>
          <w:szCs w:val="22"/>
        </w:rPr>
      </w:pPr>
      <w:hyperlink w:anchor="_Toc296701517" w:history="1">
        <w:r w:rsidR="004D6395" w:rsidRPr="00A10AF7">
          <w:rPr>
            <w:rStyle w:val="Hyperlink"/>
            <w:noProof/>
          </w:rPr>
          <w:t>3</w:t>
        </w:r>
        <w:r w:rsidR="004D6395">
          <w:rPr>
            <w:rFonts w:asciiTheme="minorHAnsi" w:eastAsiaTheme="minorEastAsia" w:hAnsiTheme="minorHAnsi" w:cstheme="minorBidi"/>
            <w:noProof/>
            <w:szCs w:val="22"/>
          </w:rPr>
          <w:tab/>
        </w:r>
        <w:r w:rsidR="004D6395" w:rsidRPr="00A10AF7">
          <w:rPr>
            <w:rStyle w:val="Hyperlink"/>
            <w:noProof/>
          </w:rPr>
          <w:t>Estimated commencements and outcomes—full table</w:t>
        </w:r>
        <w:r w:rsidR="004D6395">
          <w:rPr>
            <w:noProof/>
            <w:webHidden/>
          </w:rPr>
          <w:tab/>
        </w:r>
        <w:r>
          <w:rPr>
            <w:noProof/>
            <w:webHidden/>
          </w:rPr>
          <w:fldChar w:fldCharType="begin"/>
        </w:r>
        <w:r w:rsidR="004D6395">
          <w:rPr>
            <w:noProof/>
            <w:webHidden/>
          </w:rPr>
          <w:instrText xml:space="preserve"> PAGEREF _Toc296701517 \h </w:instrText>
        </w:r>
        <w:r>
          <w:rPr>
            <w:noProof/>
            <w:webHidden/>
          </w:rPr>
        </w:r>
        <w:r>
          <w:rPr>
            <w:noProof/>
            <w:webHidden/>
          </w:rPr>
          <w:fldChar w:fldCharType="separate"/>
        </w:r>
        <w:r w:rsidR="000370DA">
          <w:rPr>
            <w:noProof/>
            <w:webHidden/>
          </w:rPr>
          <w:t>7</w:t>
        </w:r>
        <w:r>
          <w:rPr>
            <w:noProof/>
            <w:webHidden/>
          </w:rPr>
          <w:fldChar w:fldCharType="end"/>
        </w:r>
      </w:hyperlink>
    </w:p>
    <w:p w:rsidR="004D6395" w:rsidRDefault="0071422D" w:rsidP="004D6395">
      <w:pPr>
        <w:pStyle w:val="TOC1"/>
        <w:tabs>
          <w:tab w:val="clear" w:pos="8222"/>
          <w:tab w:val="left" w:pos="2552"/>
          <w:tab w:val="right" w:pos="8505"/>
        </w:tabs>
        <w:rPr>
          <w:rFonts w:asciiTheme="minorHAnsi" w:eastAsiaTheme="minorEastAsia" w:hAnsiTheme="minorHAnsi" w:cstheme="minorBidi"/>
          <w:noProof/>
          <w:szCs w:val="22"/>
        </w:rPr>
      </w:pPr>
      <w:hyperlink w:anchor="_Toc296701518" w:history="1">
        <w:r w:rsidR="004D6395" w:rsidRPr="00A10AF7">
          <w:rPr>
            <w:rStyle w:val="Hyperlink"/>
            <w:noProof/>
          </w:rPr>
          <w:t>4</w:t>
        </w:r>
        <w:r w:rsidR="004D6395">
          <w:rPr>
            <w:rFonts w:asciiTheme="minorHAnsi" w:eastAsiaTheme="minorEastAsia" w:hAnsiTheme="minorHAnsi" w:cstheme="minorBidi"/>
            <w:noProof/>
            <w:szCs w:val="22"/>
          </w:rPr>
          <w:tab/>
        </w:r>
        <w:r w:rsidR="004D6395" w:rsidRPr="00A10AF7">
          <w:rPr>
            <w:rStyle w:val="Hyperlink"/>
            <w:noProof/>
          </w:rPr>
          <w:t>Estimated commencements and outcomes—annual table</w:t>
        </w:r>
        <w:r w:rsidR="004D6395">
          <w:rPr>
            <w:noProof/>
            <w:webHidden/>
          </w:rPr>
          <w:tab/>
        </w:r>
        <w:r>
          <w:rPr>
            <w:noProof/>
            <w:webHidden/>
          </w:rPr>
          <w:fldChar w:fldCharType="begin"/>
        </w:r>
        <w:r w:rsidR="004D6395">
          <w:rPr>
            <w:noProof/>
            <w:webHidden/>
          </w:rPr>
          <w:instrText xml:space="preserve"> PAGEREF _Toc296701518 \h </w:instrText>
        </w:r>
        <w:r>
          <w:rPr>
            <w:noProof/>
            <w:webHidden/>
          </w:rPr>
        </w:r>
        <w:r>
          <w:rPr>
            <w:noProof/>
            <w:webHidden/>
          </w:rPr>
          <w:fldChar w:fldCharType="separate"/>
        </w:r>
        <w:r w:rsidR="000370DA">
          <w:rPr>
            <w:noProof/>
            <w:webHidden/>
          </w:rPr>
          <w:t>8</w:t>
        </w:r>
        <w:r>
          <w:rPr>
            <w:noProof/>
            <w:webHidden/>
          </w:rPr>
          <w:fldChar w:fldCharType="end"/>
        </w:r>
      </w:hyperlink>
    </w:p>
    <w:p w:rsidR="007E0885" w:rsidRDefault="0071422D" w:rsidP="007E0885">
      <w:pPr>
        <w:pStyle w:val="TOC1"/>
        <w:tabs>
          <w:tab w:val="right" w:pos="8080"/>
          <w:tab w:val="left" w:pos="8222"/>
        </w:tabs>
        <w:rPr>
          <w:noProof/>
          <w:szCs w:val="22"/>
        </w:rPr>
      </w:pPr>
      <w:r>
        <w:rPr>
          <w:noProof/>
          <w:szCs w:val="22"/>
        </w:rPr>
        <w:fldChar w:fldCharType="end"/>
      </w:r>
    </w:p>
    <w:p w:rsidR="003D370D" w:rsidRDefault="003D370D">
      <w:pPr>
        <w:spacing w:before="0"/>
        <w:rPr>
          <w:rFonts w:ascii="Garamond" w:hAnsi="Garamond"/>
          <w:kern w:val="28"/>
          <w:sz w:val="60"/>
        </w:rPr>
      </w:pPr>
      <w:bookmarkStart w:id="10" w:name="_Toc188077641"/>
      <w:r>
        <w:br w:type="page"/>
      </w:r>
    </w:p>
    <w:p w:rsidR="00037B44" w:rsidRDefault="003553A6" w:rsidP="00390BC9">
      <w:pPr>
        <w:pStyle w:val="Heading1"/>
      </w:pPr>
      <w:r>
        <w:lastRenderedPageBreak/>
        <w:br/>
      </w:r>
      <w:r>
        <w:br/>
      </w:r>
      <w:bookmarkStart w:id="11" w:name="_Toc296701745"/>
      <w:r w:rsidR="00747804">
        <w:t>Comple</w:t>
      </w:r>
      <w:bookmarkEnd w:id="10"/>
      <w:r w:rsidR="00747804">
        <w:t xml:space="preserve">tion and </w:t>
      </w:r>
      <w:r w:rsidR="003D370D">
        <w:t>attrition rates</w:t>
      </w:r>
      <w:bookmarkEnd w:id="11"/>
    </w:p>
    <w:p w:rsidR="00747804" w:rsidRPr="00617758" w:rsidRDefault="00747804" w:rsidP="00747804">
      <w:pPr>
        <w:pStyle w:val="Heading2"/>
        <w:rPr>
          <w:szCs w:val="36"/>
        </w:rPr>
      </w:pPr>
      <w:bookmarkStart w:id="12" w:name="_Toc214437521"/>
      <w:bookmarkStart w:id="13" w:name="_Toc246136142"/>
      <w:bookmarkStart w:id="14" w:name="_Toc296701746"/>
      <w:bookmarkStart w:id="15" w:name="_Toc188077642"/>
      <w:r w:rsidRPr="00617758">
        <w:rPr>
          <w:szCs w:val="36"/>
        </w:rPr>
        <w:t>Introduction</w:t>
      </w:r>
      <w:bookmarkEnd w:id="12"/>
      <w:bookmarkEnd w:id="13"/>
      <w:bookmarkEnd w:id="14"/>
      <w:r w:rsidRPr="00617758">
        <w:rPr>
          <w:szCs w:val="36"/>
        </w:rPr>
        <w:t xml:space="preserve"> </w:t>
      </w:r>
    </w:p>
    <w:p w:rsidR="00035561" w:rsidRDefault="00DC00F6">
      <w:pPr>
        <w:pStyle w:val="Text"/>
        <w:rPr>
          <w:sz w:val="22"/>
        </w:rPr>
      </w:pPr>
      <w:r w:rsidRPr="00DC00F6">
        <w:rPr>
          <w:sz w:val="22"/>
        </w:rPr>
        <w:t xml:space="preserve">Apprentice and trainee data are reported by the </w:t>
      </w:r>
      <w:r w:rsidR="003D370D" w:rsidRPr="003D370D">
        <w:rPr>
          <w:sz w:val="22"/>
          <w:szCs w:val="22"/>
        </w:rPr>
        <w:t>state</w:t>
      </w:r>
      <w:r w:rsidRPr="00DC00F6">
        <w:rPr>
          <w:sz w:val="22"/>
        </w:rPr>
        <w:t xml:space="preserve"> and </w:t>
      </w:r>
      <w:r w:rsidR="003D370D" w:rsidRPr="003D370D">
        <w:rPr>
          <w:sz w:val="22"/>
          <w:szCs w:val="22"/>
        </w:rPr>
        <w:t>territory training authorities</w:t>
      </w:r>
      <w:r w:rsidRPr="00DC00F6">
        <w:rPr>
          <w:sz w:val="22"/>
        </w:rPr>
        <w:t xml:space="preserve"> to </w:t>
      </w:r>
      <w:r w:rsidR="003D370D">
        <w:rPr>
          <w:sz w:val="22"/>
          <w:szCs w:val="22"/>
        </w:rPr>
        <w:t>the National Centre for Vocational Education Research (</w:t>
      </w:r>
      <w:r w:rsidRPr="00DC00F6">
        <w:rPr>
          <w:sz w:val="22"/>
        </w:rPr>
        <w:t>NCVER</w:t>
      </w:r>
      <w:r w:rsidR="003D370D">
        <w:rPr>
          <w:sz w:val="22"/>
          <w:szCs w:val="22"/>
        </w:rPr>
        <w:t>)</w:t>
      </w:r>
      <w:r w:rsidRPr="00DC00F6">
        <w:rPr>
          <w:sz w:val="22"/>
        </w:rPr>
        <w:t xml:space="preserve"> on a quarterly basis, </w:t>
      </w:r>
      <w:r w:rsidR="00F75052">
        <w:rPr>
          <w:sz w:val="22"/>
          <w:szCs w:val="22"/>
        </w:rPr>
        <w:t>beginning</w:t>
      </w:r>
      <w:r w:rsidRPr="00DC00F6">
        <w:rPr>
          <w:sz w:val="22"/>
        </w:rPr>
        <w:t xml:space="preserve"> at the September quarter of 1994. The set of data submitted that quarter is referred to as the National Apprentice and Trainee Collection 1. The sets of data submitted in subsequent quarters are referred to as Collection 2, Collection 3 and so on. At the time of writing, the set of data being submitted is for the March 2010 quarter and is referred to as Collection 63. The data </w:t>
      </w:r>
      <w:r w:rsidR="00F75052">
        <w:rPr>
          <w:sz w:val="22"/>
          <w:szCs w:val="22"/>
        </w:rPr>
        <w:t>consist</w:t>
      </w:r>
      <w:r w:rsidRPr="00DC00F6">
        <w:rPr>
          <w:sz w:val="22"/>
        </w:rPr>
        <w:t xml:space="preserve"> of information about the contracts of training entered into by apprentices and employers.</w:t>
      </w:r>
    </w:p>
    <w:p w:rsidR="00035561" w:rsidRDefault="00DC00F6">
      <w:pPr>
        <w:pStyle w:val="Text"/>
        <w:rPr>
          <w:sz w:val="22"/>
        </w:rPr>
      </w:pPr>
      <w:r w:rsidRPr="00DC00F6">
        <w:rPr>
          <w:sz w:val="22"/>
        </w:rPr>
        <w:t>The demand for information on the proportion of apprenticeships that result in successful completions and the proportion of apprenticeships that result in cancellations or withdrawals (</w:t>
      </w:r>
      <w:r w:rsidR="00F75052">
        <w:rPr>
          <w:sz w:val="22"/>
          <w:szCs w:val="22"/>
        </w:rPr>
        <w:t>that is,</w:t>
      </w:r>
      <w:r w:rsidRPr="00DC00F6">
        <w:rPr>
          <w:sz w:val="22"/>
        </w:rPr>
        <w:t xml:space="preserve"> attrition) has grown over recent years. The obvious way to determine these proportions is to track each contract from its commencement and </w:t>
      </w:r>
      <w:r w:rsidR="00085637">
        <w:rPr>
          <w:sz w:val="22"/>
          <w:szCs w:val="22"/>
        </w:rPr>
        <w:t xml:space="preserve">to </w:t>
      </w:r>
      <w:r w:rsidRPr="00DC00F6">
        <w:rPr>
          <w:sz w:val="22"/>
        </w:rPr>
        <w:t xml:space="preserve">check </w:t>
      </w:r>
      <w:r w:rsidR="00F75052">
        <w:rPr>
          <w:sz w:val="22"/>
          <w:szCs w:val="22"/>
        </w:rPr>
        <w:t>whether</w:t>
      </w:r>
      <w:r w:rsidRPr="00DC00F6">
        <w:rPr>
          <w:sz w:val="22"/>
        </w:rPr>
        <w:t xml:space="preserve"> it has resulted in an outcome or not. If the contract has an outcome, it will be either a completion or attrition (</w:t>
      </w:r>
      <w:r w:rsidR="00F75052">
        <w:rPr>
          <w:sz w:val="22"/>
          <w:szCs w:val="22"/>
        </w:rPr>
        <w:t>that is,</w:t>
      </w:r>
      <w:r w:rsidRPr="00DC00F6">
        <w:rPr>
          <w:sz w:val="22"/>
        </w:rPr>
        <w:t xml:space="preserve"> a cancellation or withdrawal). This principle is sound and has been used in the past by considering cohorts of contracts that commence in a given year.</w:t>
      </w:r>
    </w:p>
    <w:p w:rsidR="00035561" w:rsidRDefault="00DC00F6">
      <w:pPr>
        <w:pStyle w:val="Text"/>
        <w:rPr>
          <w:sz w:val="22"/>
        </w:rPr>
      </w:pPr>
      <w:r w:rsidRPr="00DC00F6">
        <w:rPr>
          <w:sz w:val="22"/>
        </w:rPr>
        <w:t xml:space="preserve">For contracts that commence in a given time period (usually calendar year), the proportions of attrition and completion can be calculated at any subsequent point in time. Clearly, enough time must pass </w:t>
      </w:r>
      <w:r w:rsidR="00085637">
        <w:rPr>
          <w:sz w:val="22"/>
          <w:szCs w:val="22"/>
        </w:rPr>
        <w:t>after</w:t>
      </w:r>
      <w:r w:rsidRPr="00DC00F6">
        <w:rPr>
          <w:sz w:val="22"/>
        </w:rPr>
        <w:t xml:space="preserve"> the commencement period in order for the proportions to approximate the completion and attrition rates of the commencing cohort. Although attrition can occur at any time after commencement, completion implies meeting all contract requirements</w:t>
      </w:r>
      <w:r w:rsidR="00F75052">
        <w:rPr>
          <w:sz w:val="22"/>
          <w:szCs w:val="22"/>
        </w:rPr>
        <w:t>,</w:t>
      </w:r>
      <w:r w:rsidRPr="00DC00F6">
        <w:rPr>
          <w:sz w:val="22"/>
        </w:rPr>
        <w:t xml:space="preserve"> and this generally requires a specified time in training.</w:t>
      </w:r>
    </w:p>
    <w:p w:rsidR="00035561" w:rsidRDefault="00DC00F6">
      <w:pPr>
        <w:pStyle w:val="Text"/>
        <w:rPr>
          <w:sz w:val="22"/>
        </w:rPr>
      </w:pPr>
      <w:r w:rsidRPr="00DC00F6">
        <w:rPr>
          <w:sz w:val="22"/>
        </w:rPr>
        <w:t xml:space="preserve">In addition to having to wait for enough attrition and completion to occur, there is </w:t>
      </w:r>
      <w:r w:rsidR="00B52326">
        <w:rPr>
          <w:sz w:val="22"/>
          <w:szCs w:val="22"/>
        </w:rPr>
        <w:t>a further</w:t>
      </w:r>
      <w:r w:rsidRPr="00DC00F6">
        <w:rPr>
          <w:sz w:val="22"/>
        </w:rPr>
        <w:t xml:space="preserve"> time lag involved in reporting these events to NCVER. The effect of these reporting lags is such that the completions that occur in a given quarter might take about a year or more to be fully reported. For attrition, this is closer to two years.</w:t>
      </w:r>
    </w:p>
    <w:p w:rsidR="00035561" w:rsidRDefault="00DC00F6">
      <w:pPr>
        <w:pStyle w:val="Text"/>
        <w:rPr>
          <w:sz w:val="22"/>
        </w:rPr>
      </w:pPr>
      <w:r w:rsidRPr="00DC00F6">
        <w:rPr>
          <w:sz w:val="22"/>
        </w:rPr>
        <w:t>The cohort method mentioned above is therefore restricted to cohorts of contracts that commence far enough back in time</w:t>
      </w:r>
      <w:r w:rsidR="00B52326">
        <w:rPr>
          <w:sz w:val="22"/>
          <w:szCs w:val="22"/>
        </w:rPr>
        <w:t>,</w:t>
      </w:r>
      <w:r w:rsidR="00747804" w:rsidRPr="003D370D">
        <w:rPr>
          <w:sz w:val="22"/>
          <w:szCs w:val="22"/>
        </w:rPr>
        <w:t xml:space="preserve"> </w:t>
      </w:r>
      <w:r w:rsidR="00F75052">
        <w:rPr>
          <w:sz w:val="22"/>
          <w:szCs w:val="22"/>
        </w:rPr>
        <w:t>such</w:t>
      </w:r>
      <w:r w:rsidRPr="00DC00F6">
        <w:rPr>
          <w:sz w:val="22"/>
        </w:rPr>
        <w:t xml:space="preserve"> that the calculated proportions approximate valid rates and</w:t>
      </w:r>
      <w:r w:rsidR="00747804" w:rsidRPr="003D370D">
        <w:rPr>
          <w:sz w:val="22"/>
          <w:szCs w:val="22"/>
        </w:rPr>
        <w:t xml:space="preserve"> </w:t>
      </w:r>
      <w:r w:rsidR="00F75052">
        <w:rPr>
          <w:sz w:val="22"/>
          <w:szCs w:val="22"/>
        </w:rPr>
        <w:t>that</w:t>
      </w:r>
      <w:r w:rsidRPr="00DC00F6">
        <w:rPr>
          <w:sz w:val="22"/>
        </w:rPr>
        <w:t xml:space="preserve"> the reporting delays are no longer relevant. Of these two factors, it is the effect of reporting delays that can be reduced. The National Apprentice and Trainee Collection calculates estimates of commencements, completions, cancellations and withdrawals for time periods deemed to be affected by reporting delays. If these estimates are used to calculate proportions, then it should be possible to consider commencements from more recent years than would otherwise be the case.</w:t>
      </w:r>
    </w:p>
    <w:p w:rsidR="00035561" w:rsidRDefault="00DC00F6">
      <w:pPr>
        <w:pStyle w:val="Text"/>
        <w:rPr>
          <w:sz w:val="22"/>
        </w:rPr>
      </w:pPr>
      <w:r w:rsidRPr="00DC00F6">
        <w:rPr>
          <w:sz w:val="22"/>
        </w:rPr>
        <w:t xml:space="preserve">When considering the more recent commencement years, </w:t>
      </w:r>
      <w:r w:rsidR="009045F2">
        <w:rPr>
          <w:sz w:val="22"/>
          <w:szCs w:val="22"/>
        </w:rPr>
        <w:t>it is</w:t>
      </w:r>
      <w:r w:rsidRPr="00DC00F6">
        <w:rPr>
          <w:sz w:val="22"/>
        </w:rPr>
        <w:t xml:space="preserve"> more likely that not enough time has elapsed for the proportions completed or for the proportions of attrition to be considered as </w:t>
      </w:r>
      <w:r w:rsidR="00F75052">
        <w:rPr>
          <w:sz w:val="22"/>
          <w:szCs w:val="22"/>
        </w:rPr>
        <w:t>‘final’</w:t>
      </w:r>
      <w:r w:rsidRPr="00DC00F6">
        <w:rPr>
          <w:sz w:val="22"/>
        </w:rPr>
        <w:t xml:space="preserve"> rates. In this situation, the proportions are just the </w:t>
      </w:r>
      <w:r w:rsidR="009045F2">
        <w:rPr>
          <w:sz w:val="22"/>
          <w:szCs w:val="22"/>
        </w:rPr>
        <w:t>‘</w:t>
      </w:r>
      <w:r w:rsidRPr="00DC00F6">
        <w:rPr>
          <w:sz w:val="22"/>
        </w:rPr>
        <w:t xml:space="preserve">rate to </w:t>
      </w:r>
      <w:r w:rsidR="009045F2">
        <w:rPr>
          <w:sz w:val="22"/>
          <w:szCs w:val="22"/>
        </w:rPr>
        <w:t>date’</w:t>
      </w:r>
      <w:r w:rsidRPr="00DC00F6">
        <w:rPr>
          <w:sz w:val="22"/>
        </w:rPr>
        <w:t xml:space="preserve"> and can be expected to change appreciably as time passes. If, for a given commencement year, the proportion of contracts still </w:t>
      </w:r>
      <w:r w:rsidR="009045F2">
        <w:rPr>
          <w:sz w:val="22"/>
          <w:szCs w:val="22"/>
        </w:rPr>
        <w:t>‘</w:t>
      </w:r>
      <w:r w:rsidRPr="00DC00F6">
        <w:rPr>
          <w:sz w:val="22"/>
        </w:rPr>
        <w:t xml:space="preserve">in </w:t>
      </w:r>
      <w:r w:rsidR="009045F2">
        <w:rPr>
          <w:sz w:val="22"/>
          <w:szCs w:val="22"/>
        </w:rPr>
        <w:t>training’</w:t>
      </w:r>
      <w:r w:rsidR="00747804" w:rsidRPr="003D370D">
        <w:rPr>
          <w:sz w:val="22"/>
          <w:szCs w:val="22"/>
        </w:rPr>
        <w:t>,</w:t>
      </w:r>
      <w:r w:rsidRPr="00DC00F6">
        <w:rPr>
          <w:sz w:val="22"/>
        </w:rPr>
        <w:t xml:space="preserve"> or yet to report valid outcomes, is high, compared </w:t>
      </w:r>
      <w:r w:rsidR="009045F2">
        <w:rPr>
          <w:sz w:val="22"/>
          <w:szCs w:val="22"/>
        </w:rPr>
        <w:t>with</w:t>
      </w:r>
      <w:r w:rsidRPr="00DC00F6">
        <w:rPr>
          <w:sz w:val="22"/>
        </w:rPr>
        <w:t xml:space="preserve"> previous commencement years, then this indicates that more time needs to pass before the calculated proportions of completion or attrition can be considered as valid estimates of the corresponding rates.</w:t>
      </w:r>
    </w:p>
    <w:p w:rsidR="00035561" w:rsidRDefault="00DC00F6">
      <w:pPr>
        <w:pStyle w:val="Text"/>
        <w:rPr>
          <w:sz w:val="22"/>
        </w:rPr>
      </w:pPr>
      <w:r w:rsidRPr="00DC00F6">
        <w:rPr>
          <w:sz w:val="22"/>
        </w:rPr>
        <w:lastRenderedPageBreak/>
        <w:t xml:space="preserve">The remainder of this document details the method adopted by NCVER to calculate the proportions of attrition and completions </w:t>
      </w:r>
      <w:r w:rsidR="00B52326">
        <w:rPr>
          <w:sz w:val="22"/>
          <w:szCs w:val="22"/>
        </w:rPr>
        <w:t>and</w:t>
      </w:r>
      <w:r w:rsidRPr="00DC00F6">
        <w:rPr>
          <w:sz w:val="22"/>
        </w:rPr>
        <w:t xml:space="preserve"> was first used in the 2009 Apprentice and Trainee Annual publication. The next section describes the method in overview and the following section describes the method in detail.</w:t>
      </w:r>
    </w:p>
    <w:p w:rsidR="00747804" w:rsidRPr="00617758" w:rsidRDefault="00747804" w:rsidP="003553A6">
      <w:pPr>
        <w:pStyle w:val="Heading2"/>
      </w:pPr>
      <w:bookmarkStart w:id="16" w:name="_Toc246136143"/>
      <w:bookmarkStart w:id="17" w:name="_Toc296701747"/>
      <w:r w:rsidRPr="00617758">
        <w:t xml:space="preserve">Description of the </w:t>
      </w:r>
      <w:r w:rsidRPr="003553A6">
        <w:t>method</w:t>
      </w:r>
      <w:bookmarkEnd w:id="16"/>
      <w:bookmarkEnd w:id="17"/>
    </w:p>
    <w:p w:rsidR="00035561" w:rsidRPr="003553A6" w:rsidRDefault="00DC00F6" w:rsidP="003553A6">
      <w:pPr>
        <w:pStyle w:val="Text"/>
        <w:ind w:right="-151"/>
        <w:rPr>
          <w:sz w:val="22"/>
        </w:rPr>
      </w:pPr>
      <w:r w:rsidRPr="00DC00F6">
        <w:t xml:space="preserve">As mentioned above, NCVER calculates estimates of commencements, completions, cancellations and withdrawals when it </w:t>
      </w:r>
      <w:r w:rsidR="00085637">
        <w:rPr>
          <w:szCs w:val="22"/>
        </w:rPr>
        <w:t xml:space="preserve">is </w:t>
      </w:r>
      <w:r w:rsidRPr="00DC00F6">
        <w:t xml:space="preserve">deemed that the corresponding counts are affected by reporting delays. Details on the estimation methodology can be </w:t>
      </w:r>
      <w:r w:rsidRPr="003553A6">
        <w:rPr>
          <w:sz w:val="22"/>
        </w:rPr>
        <w:t>found at &lt;http://www.ncver.edu.au/publications/2267.html&gt;. The key outcome from the estimation process is that each record on the Apprentice and Trainee database has a weight associated with it. The meaning of the weight is best explained by way of an example.</w:t>
      </w:r>
    </w:p>
    <w:p w:rsidR="00035561" w:rsidRPr="003553A6" w:rsidRDefault="00DC00F6" w:rsidP="003553A6">
      <w:pPr>
        <w:pStyle w:val="Text"/>
        <w:rPr>
          <w:sz w:val="22"/>
        </w:rPr>
      </w:pPr>
      <w:r w:rsidRPr="003553A6">
        <w:rPr>
          <w:sz w:val="22"/>
        </w:rPr>
        <w:t>Suppose the Apprentice and Trainee database contains 100 completion records in a given state/territory for a given quarter. Suppose further that it is estimated that 150 completions actually occurred</w:t>
      </w:r>
      <w:r w:rsidR="00B52326" w:rsidRPr="003553A6">
        <w:rPr>
          <w:sz w:val="22"/>
          <w:szCs w:val="22"/>
        </w:rPr>
        <w:t>;</w:t>
      </w:r>
      <w:r w:rsidRPr="003553A6">
        <w:rPr>
          <w:sz w:val="22"/>
        </w:rPr>
        <w:t xml:space="preserve"> that is</w:t>
      </w:r>
      <w:r w:rsidR="00B71B59" w:rsidRPr="003553A6">
        <w:rPr>
          <w:sz w:val="22"/>
          <w:szCs w:val="22"/>
        </w:rPr>
        <w:t>,</w:t>
      </w:r>
      <w:r w:rsidRPr="003553A6">
        <w:rPr>
          <w:sz w:val="22"/>
        </w:rPr>
        <w:t xml:space="preserve"> another </w:t>
      </w:r>
      <w:r w:rsidR="00B71B59" w:rsidRPr="003553A6">
        <w:rPr>
          <w:sz w:val="22"/>
          <w:szCs w:val="22"/>
        </w:rPr>
        <w:t>50</w:t>
      </w:r>
      <w:r w:rsidRPr="003553A6">
        <w:rPr>
          <w:sz w:val="22"/>
        </w:rPr>
        <w:t xml:space="preserve"> completions are yet to be reported. The ratio of actual completions to reported completions is 150/100 = 1.5. This ratio is the weight that is associated with each of the 100 reported completions in the database. The estimate can be reconstructed from the database by adding the weights associated with each of the 100 records in the database.</w:t>
      </w:r>
    </w:p>
    <w:p w:rsidR="00035561" w:rsidRPr="003553A6" w:rsidRDefault="00DC00F6" w:rsidP="003553A6">
      <w:pPr>
        <w:pStyle w:val="Text"/>
        <w:rPr>
          <w:sz w:val="22"/>
        </w:rPr>
      </w:pPr>
      <w:r w:rsidRPr="003553A6">
        <w:rPr>
          <w:sz w:val="22"/>
        </w:rPr>
        <w:t>Similarly, records on the database that relate to other quarters, states/territories and events (</w:t>
      </w:r>
      <w:r w:rsidR="00B71B59" w:rsidRPr="003553A6">
        <w:rPr>
          <w:sz w:val="22"/>
          <w:szCs w:val="22"/>
        </w:rPr>
        <w:t>that is,</w:t>
      </w:r>
      <w:r w:rsidRPr="003553A6">
        <w:rPr>
          <w:sz w:val="22"/>
        </w:rPr>
        <w:t xml:space="preserve"> commencements, cancellations</w:t>
      </w:r>
      <w:r w:rsidR="00747804" w:rsidRPr="003553A6">
        <w:rPr>
          <w:sz w:val="22"/>
          <w:szCs w:val="22"/>
        </w:rPr>
        <w:t xml:space="preserve"> etc</w:t>
      </w:r>
      <w:r w:rsidR="00B71B59" w:rsidRPr="003553A6">
        <w:rPr>
          <w:sz w:val="22"/>
          <w:szCs w:val="22"/>
        </w:rPr>
        <w:t>.</w:t>
      </w:r>
      <w:r w:rsidR="00747804" w:rsidRPr="003553A6">
        <w:rPr>
          <w:sz w:val="22"/>
          <w:szCs w:val="22"/>
        </w:rPr>
        <w:t>)</w:t>
      </w:r>
      <w:r w:rsidRPr="003553A6">
        <w:rPr>
          <w:sz w:val="22"/>
        </w:rPr>
        <w:t xml:space="preserve"> will have specific weights associated with them and estimates can be reconstructed as above. Where the records in the database are associated with time periods deemed to be no longer affected by reporting delays, the actual number of events is estimated by the number of reported events</w:t>
      </w:r>
      <w:r w:rsidR="00085637" w:rsidRPr="003553A6">
        <w:rPr>
          <w:sz w:val="22"/>
          <w:szCs w:val="22"/>
        </w:rPr>
        <w:t>,</w:t>
      </w:r>
      <w:r w:rsidRPr="003553A6">
        <w:rPr>
          <w:sz w:val="22"/>
        </w:rPr>
        <w:t xml:space="preserve"> and so the weight for each of these records is one.</w:t>
      </w:r>
    </w:p>
    <w:p w:rsidR="00035561" w:rsidRPr="003553A6" w:rsidRDefault="00DC00F6" w:rsidP="003553A6">
      <w:pPr>
        <w:pStyle w:val="Text"/>
        <w:rPr>
          <w:sz w:val="22"/>
        </w:rPr>
      </w:pPr>
      <w:r w:rsidRPr="003553A6">
        <w:rPr>
          <w:sz w:val="22"/>
        </w:rPr>
        <w:t xml:space="preserve">The method applies exactly the same way to completions as it does to attrition. Therefore the following discussion will refer to </w:t>
      </w:r>
      <w:r w:rsidR="00B71B59" w:rsidRPr="003553A6">
        <w:rPr>
          <w:sz w:val="22"/>
          <w:szCs w:val="22"/>
        </w:rPr>
        <w:t>‘</w:t>
      </w:r>
      <w:r w:rsidR="00F221DD" w:rsidRPr="003553A6">
        <w:rPr>
          <w:sz w:val="22"/>
          <w:szCs w:val="22"/>
        </w:rPr>
        <w:t>outcomes</w:t>
      </w:r>
      <w:r w:rsidR="00B71B59" w:rsidRPr="003553A6">
        <w:rPr>
          <w:sz w:val="22"/>
          <w:szCs w:val="22"/>
        </w:rPr>
        <w:t>’,</w:t>
      </w:r>
      <w:r w:rsidRPr="003553A6">
        <w:rPr>
          <w:sz w:val="22"/>
        </w:rPr>
        <w:t xml:space="preserve"> with the intent that it can be read as either completions or attrition.</w:t>
      </w:r>
    </w:p>
    <w:p w:rsidR="00035561" w:rsidRDefault="00DC00F6" w:rsidP="003553A6">
      <w:pPr>
        <w:pStyle w:val="Text"/>
      </w:pPr>
      <w:r w:rsidRPr="003553A6">
        <w:rPr>
          <w:sz w:val="22"/>
        </w:rPr>
        <w:t>Table 1 illustrates the information in the database</w:t>
      </w:r>
      <w:r w:rsidRPr="00DC00F6">
        <w:t xml:space="preserve"> from the present quarter back to some past quarter</w:t>
      </w:r>
      <w:r w:rsidR="00B71B59">
        <w:rPr>
          <w:szCs w:val="22"/>
        </w:rPr>
        <w:t>,</w:t>
      </w:r>
      <w:r w:rsidRPr="00DC00F6">
        <w:t xml:space="preserve"> designated as quarter zero.</w:t>
      </w:r>
    </w:p>
    <w:p w:rsidR="00747804" w:rsidRDefault="00B71B59" w:rsidP="00137F6B">
      <w:pPr>
        <w:pStyle w:val="tabletitle"/>
      </w:pPr>
      <w:bookmarkStart w:id="18" w:name="_Toc296701515"/>
      <w:r>
        <w:t>Table 1</w:t>
      </w:r>
      <w:r w:rsidR="00137F6B">
        <w:tab/>
      </w:r>
      <w:r w:rsidR="00747804">
        <w:t xml:space="preserve">Reported commencements and </w:t>
      </w:r>
      <w:r w:rsidR="00F221DD">
        <w:t>outcomes</w:t>
      </w:r>
      <w:bookmarkEnd w:id="18"/>
    </w:p>
    <w:tbl>
      <w:tblPr>
        <w:tblW w:w="8520" w:type="dxa"/>
        <w:tblLayout w:type="fixed"/>
        <w:tblCellMar>
          <w:left w:w="0" w:type="dxa"/>
          <w:right w:w="0" w:type="dxa"/>
        </w:tblCellMar>
        <w:tblLook w:val="0000"/>
      </w:tblPr>
      <w:tblGrid>
        <w:gridCol w:w="1182"/>
        <w:gridCol w:w="1236"/>
        <w:gridCol w:w="547"/>
        <w:gridCol w:w="548"/>
        <w:gridCol w:w="548"/>
        <w:gridCol w:w="547"/>
        <w:gridCol w:w="548"/>
        <w:gridCol w:w="548"/>
        <w:gridCol w:w="548"/>
        <w:gridCol w:w="1134"/>
        <w:gridCol w:w="1134"/>
      </w:tblGrid>
      <w:tr w:rsidR="00747804" w:rsidTr="004E41BB">
        <w:tc>
          <w:tcPr>
            <w:tcW w:w="8520" w:type="dxa"/>
            <w:gridSpan w:val="11"/>
            <w:tcBorders>
              <w:top w:val="nil"/>
              <w:left w:val="nil"/>
              <w:bottom w:val="nil"/>
              <w:right w:val="nil"/>
            </w:tcBorders>
            <w:noWrap/>
            <w:tcMar>
              <w:top w:w="15" w:type="dxa"/>
              <w:left w:w="15" w:type="dxa"/>
              <w:bottom w:w="0" w:type="dxa"/>
              <w:right w:w="15" w:type="dxa"/>
            </w:tcMar>
            <w:vAlign w:val="bottom"/>
          </w:tcPr>
          <w:p w:rsidR="00747804" w:rsidRDefault="00747804" w:rsidP="00137F6B">
            <w:pPr>
              <w:pStyle w:val="Tablehead1"/>
              <w:jc w:val="center"/>
            </w:pPr>
            <w:r>
              <w:t>Reported</w:t>
            </w:r>
          </w:p>
        </w:tc>
      </w:tr>
      <w:tr w:rsidR="00747804" w:rsidTr="004E41BB">
        <w:tc>
          <w:tcPr>
            <w:tcW w:w="2418" w:type="dxa"/>
            <w:gridSpan w:val="2"/>
            <w:tcBorders>
              <w:top w:val="nil"/>
              <w:left w:val="nil"/>
              <w:bottom w:val="nil"/>
              <w:right w:val="single" w:sz="12" w:space="0" w:color="000000"/>
            </w:tcBorders>
            <w:noWrap/>
            <w:tcMar>
              <w:top w:w="15" w:type="dxa"/>
              <w:left w:w="15" w:type="dxa"/>
              <w:bottom w:w="0" w:type="dxa"/>
              <w:right w:w="15" w:type="dxa"/>
            </w:tcMar>
            <w:vAlign w:val="bottom"/>
          </w:tcPr>
          <w:p w:rsidR="00747804" w:rsidRDefault="00747804" w:rsidP="00137F6B">
            <w:pPr>
              <w:pStyle w:val="Tablehead1"/>
              <w:jc w:val="center"/>
            </w:pPr>
            <w:r>
              <w:t>Commenced</w:t>
            </w:r>
          </w:p>
        </w:tc>
        <w:tc>
          <w:tcPr>
            <w:tcW w:w="4968" w:type="dxa"/>
            <w:gridSpan w:val="8"/>
            <w:tcBorders>
              <w:top w:val="single" w:sz="12" w:space="0" w:color="auto"/>
              <w:left w:val="single" w:sz="12" w:space="0" w:color="auto"/>
              <w:bottom w:val="nil"/>
              <w:right w:val="nil"/>
            </w:tcBorders>
            <w:noWrap/>
            <w:tcMar>
              <w:top w:w="15" w:type="dxa"/>
              <w:left w:w="15" w:type="dxa"/>
              <w:bottom w:w="0" w:type="dxa"/>
              <w:right w:w="15" w:type="dxa"/>
            </w:tcMar>
            <w:vAlign w:val="bottom"/>
          </w:tcPr>
          <w:p w:rsidR="00747804" w:rsidRDefault="00747804" w:rsidP="00137F6B">
            <w:pPr>
              <w:pStyle w:val="Tablehead1"/>
              <w:jc w:val="center"/>
            </w:pPr>
            <w:r>
              <w:t xml:space="preserve">Quarter of </w:t>
            </w:r>
            <w:r w:rsidR="00F221DD">
              <w:t>outcomes</w:t>
            </w:r>
          </w:p>
        </w:tc>
        <w:tc>
          <w:tcPr>
            <w:tcW w:w="1134"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747804" w:rsidRDefault="00747804" w:rsidP="00137F6B">
            <w:pPr>
              <w:pStyle w:val="Tablehead1"/>
              <w:jc w:val="center"/>
            </w:pPr>
            <w:r>
              <w:t>All</w:t>
            </w:r>
          </w:p>
        </w:tc>
      </w:tr>
      <w:tr w:rsidR="00747804" w:rsidTr="004E41BB">
        <w:tc>
          <w:tcPr>
            <w:tcW w:w="1182" w:type="dxa"/>
            <w:tcBorders>
              <w:top w:val="nil"/>
              <w:left w:val="nil"/>
              <w:bottom w:val="single" w:sz="12" w:space="0" w:color="auto"/>
              <w:right w:val="nil"/>
            </w:tcBorders>
            <w:noWrap/>
            <w:tcMar>
              <w:top w:w="15" w:type="dxa"/>
              <w:left w:w="15" w:type="dxa"/>
              <w:bottom w:w="0" w:type="dxa"/>
              <w:right w:w="15" w:type="dxa"/>
            </w:tcMar>
            <w:vAlign w:val="bottom"/>
          </w:tcPr>
          <w:p w:rsidR="00747804" w:rsidRDefault="00747804" w:rsidP="00137F6B">
            <w:pPr>
              <w:pStyle w:val="Tablehead2"/>
              <w:jc w:val="center"/>
            </w:pPr>
            <w:r>
              <w:t>Quarter</w:t>
            </w:r>
          </w:p>
        </w:tc>
        <w:tc>
          <w:tcPr>
            <w:tcW w:w="1236" w:type="dxa"/>
            <w:tcBorders>
              <w:top w:val="nil"/>
              <w:left w:val="nil"/>
              <w:bottom w:val="single" w:sz="12" w:space="0" w:color="auto"/>
              <w:right w:val="nil"/>
            </w:tcBorders>
            <w:noWrap/>
            <w:tcMar>
              <w:top w:w="15" w:type="dxa"/>
              <w:left w:w="15" w:type="dxa"/>
              <w:bottom w:w="0" w:type="dxa"/>
              <w:right w:w="15" w:type="dxa"/>
            </w:tcMar>
            <w:vAlign w:val="bottom"/>
          </w:tcPr>
          <w:p w:rsidR="00747804" w:rsidRDefault="00747804" w:rsidP="00137F6B">
            <w:pPr>
              <w:pStyle w:val="Tablehead2"/>
              <w:jc w:val="center"/>
            </w:pPr>
            <w:r>
              <w:t>Number</w:t>
            </w:r>
          </w:p>
        </w:tc>
        <w:tc>
          <w:tcPr>
            <w:tcW w:w="547" w:type="dxa"/>
            <w:tcBorders>
              <w:top w:val="single" w:sz="8" w:space="0" w:color="auto"/>
              <w:left w:val="single" w:sz="12" w:space="0" w:color="auto"/>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head2"/>
              <w:jc w:val="center"/>
            </w:pPr>
            <w:r>
              <w:t>0</w:t>
            </w:r>
          </w:p>
        </w:tc>
        <w:tc>
          <w:tcPr>
            <w:tcW w:w="548"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head2"/>
              <w:jc w:val="center"/>
            </w:pPr>
            <w:r>
              <w:t>1</w:t>
            </w:r>
          </w:p>
        </w:tc>
        <w:tc>
          <w:tcPr>
            <w:tcW w:w="548"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head2"/>
              <w:jc w:val="center"/>
            </w:pPr>
            <w:r>
              <w:t>2</w:t>
            </w:r>
          </w:p>
        </w:tc>
        <w:tc>
          <w:tcPr>
            <w:tcW w:w="547"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head2"/>
              <w:jc w:val="center"/>
            </w:pPr>
            <w:r>
              <w:t>3</w:t>
            </w:r>
          </w:p>
        </w:tc>
        <w:tc>
          <w:tcPr>
            <w:tcW w:w="548"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head2"/>
              <w:jc w:val="center"/>
            </w:pPr>
            <w:r>
              <w:t>4</w:t>
            </w:r>
          </w:p>
        </w:tc>
        <w:tc>
          <w:tcPr>
            <w:tcW w:w="548"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head2"/>
              <w:jc w:val="center"/>
            </w:pPr>
            <w:r>
              <w:t>5</w:t>
            </w:r>
          </w:p>
        </w:tc>
        <w:tc>
          <w:tcPr>
            <w:tcW w:w="548"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head2"/>
              <w:jc w:val="center"/>
            </w:pPr>
            <w:r>
              <w:t>…</w:t>
            </w:r>
          </w:p>
        </w:tc>
        <w:tc>
          <w:tcPr>
            <w:tcW w:w="1134" w:type="dxa"/>
            <w:tcBorders>
              <w:top w:val="single" w:sz="8" w:space="0" w:color="auto"/>
              <w:left w:val="nil"/>
              <w:bottom w:val="single" w:sz="12" w:space="0" w:color="auto"/>
              <w:right w:val="single" w:sz="12" w:space="0" w:color="auto"/>
            </w:tcBorders>
            <w:noWrap/>
            <w:tcMar>
              <w:top w:w="15" w:type="dxa"/>
              <w:left w:w="15" w:type="dxa"/>
              <w:bottom w:w="0" w:type="dxa"/>
              <w:right w:w="15" w:type="dxa"/>
            </w:tcMar>
            <w:vAlign w:val="bottom"/>
          </w:tcPr>
          <w:p w:rsidR="00747804" w:rsidRDefault="00747804" w:rsidP="00137F6B">
            <w:pPr>
              <w:pStyle w:val="Tablehead2"/>
              <w:jc w:val="center"/>
            </w:pPr>
            <w:r>
              <w:t>Present</w:t>
            </w:r>
          </w:p>
        </w:tc>
        <w:tc>
          <w:tcPr>
            <w:tcW w:w="1134" w:type="dxa"/>
            <w:tcBorders>
              <w:top w:val="nil"/>
              <w:left w:val="nil"/>
              <w:bottom w:val="single" w:sz="12" w:space="0" w:color="auto"/>
              <w:right w:val="nil"/>
            </w:tcBorders>
            <w:noWrap/>
            <w:tcMar>
              <w:top w:w="15" w:type="dxa"/>
              <w:left w:w="15" w:type="dxa"/>
              <w:bottom w:w="0" w:type="dxa"/>
              <w:right w:w="15" w:type="dxa"/>
            </w:tcMar>
            <w:vAlign w:val="bottom"/>
          </w:tcPr>
          <w:p w:rsidR="00747804" w:rsidRDefault="003347BA" w:rsidP="00137F6B">
            <w:pPr>
              <w:pStyle w:val="Tablehead2"/>
              <w:jc w:val="center"/>
            </w:pPr>
            <w:r>
              <w:t>Outcomes</w:t>
            </w:r>
          </w:p>
        </w:tc>
      </w:tr>
      <w:tr w:rsidR="00747804" w:rsidTr="004E41BB">
        <w:tc>
          <w:tcPr>
            <w:tcW w:w="1182" w:type="dxa"/>
            <w:tcBorders>
              <w:top w:val="nil"/>
              <w:left w:val="nil"/>
              <w:bottom w:val="nil"/>
              <w:right w:val="nil"/>
            </w:tcBorders>
            <w:noWrap/>
            <w:tcMar>
              <w:top w:w="15" w:type="dxa"/>
              <w:left w:w="15" w:type="dxa"/>
              <w:bottom w:w="0" w:type="dxa"/>
              <w:right w:w="15" w:type="dxa"/>
            </w:tcMar>
            <w:vAlign w:val="bottom"/>
          </w:tcPr>
          <w:p w:rsidR="00747804" w:rsidRDefault="00747804" w:rsidP="00137F6B">
            <w:pPr>
              <w:pStyle w:val="Tabletext"/>
              <w:jc w:val="center"/>
            </w:pPr>
            <w:r>
              <w:t>0</w:t>
            </w:r>
          </w:p>
        </w:tc>
        <w:tc>
          <w:tcPr>
            <w:tcW w:w="1236" w:type="dxa"/>
            <w:tcBorders>
              <w:top w:val="nil"/>
              <w:left w:val="nil"/>
              <w:bottom w:val="nil"/>
              <w:right w:val="nil"/>
            </w:tcBorders>
            <w:noWrap/>
            <w:tcMar>
              <w:top w:w="15" w:type="dxa"/>
              <w:left w:w="15" w:type="dxa"/>
              <w:bottom w:w="0" w:type="dxa"/>
              <w:right w:w="15" w:type="dxa"/>
            </w:tcMar>
            <w:vAlign w:val="bottom"/>
          </w:tcPr>
          <w:p w:rsidR="00747804" w:rsidRDefault="00747804" w:rsidP="00137F6B">
            <w:pPr>
              <w:pStyle w:val="Tabletext"/>
              <w:jc w:val="center"/>
            </w:pPr>
            <w:r>
              <w:t>X</w:t>
            </w:r>
            <w:r>
              <w:rPr>
                <w:vertAlign w:val="subscript"/>
              </w:rPr>
              <w:t>0</w:t>
            </w:r>
          </w:p>
        </w:tc>
        <w:tc>
          <w:tcPr>
            <w:tcW w:w="547" w:type="dxa"/>
            <w:tcBorders>
              <w:top w:val="nil"/>
              <w:left w:val="single" w:sz="12" w:space="0" w:color="auto"/>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0,0</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0,1</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0,2</w:t>
            </w:r>
          </w:p>
        </w:tc>
        <w:tc>
          <w:tcPr>
            <w:tcW w:w="547"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0,3</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0,4</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0,5</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nil"/>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0,p</w:t>
            </w:r>
          </w:p>
        </w:tc>
        <w:tc>
          <w:tcPr>
            <w:tcW w:w="1134" w:type="dxa"/>
            <w:tcBorders>
              <w:top w:val="nil"/>
              <w:left w:val="nil"/>
              <w:bottom w:val="nil"/>
              <w:right w:val="nil"/>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w:t>
            </w:r>
          </w:p>
        </w:tc>
      </w:tr>
      <w:tr w:rsidR="00747804" w:rsidTr="004E41BB">
        <w:tc>
          <w:tcPr>
            <w:tcW w:w="1182" w:type="dxa"/>
            <w:tcBorders>
              <w:top w:val="dotted" w:sz="4" w:space="0" w:color="C0C0C0"/>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1</w:t>
            </w:r>
          </w:p>
        </w:tc>
        <w:tc>
          <w:tcPr>
            <w:tcW w:w="1236" w:type="dxa"/>
            <w:tcBorders>
              <w:top w:val="dotted" w:sz="4" w:space="0" w:color="C0C0C0"/>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X</w:t>
            </w:r>
            <w:r>
              <w:rPr>
                <w:vertAlign w:val="subscript"/>
              </w:rPr>
              <w:t>1</w:t>
            </w:r>
          </w:p>
        </w:tc>
        <w:tc>
          <w:tcPr>
            <w:tcW w:w="547" w:type="dxa"/>
            <w:tcBorders>
              <w:top w:val="dotted" w:sz="4" w:space="0" w:color="C0C0C0"/>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1,1</w:t>
            </w:r>
          </w:p>
        </w:tc>
        <w:tc>
          <w:tcPr>
            <w:tcW w:w="548"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1,2</w:t>
            </w:r>
          </w:p>
        </w:tc>
        <w:tc>
          <w:tcPr>
            <w:tcW w:w="547"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1,3</w:t>
            </w:r>
          </w:p>
        </w:tc>
        <w:tc>
          <w:tcPr>
            <w:tcW w:w="548"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1,4</w:t>
            </w:r>
          </w:p>
        </w:tc>
        <w:tc>
          <w:tcPr>
            <w:tcW w:w="548"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1,5</w:t>
            </w:r>
          </w:p>
        </w:tc>
        <w:tc>
          <w:tcPr>
            <w:tcW w:w="548"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dotted" w:sz="4" w:space="0" w:color="C0C0C0"/>
              <w:left w:val="nil"/>
              <w:bottom w:val="dotted" w:sz="4" w:space="0" w:color="C0C0C0"/>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1,p</w:t>
            </w:r>
          </w:p>
        </w:tc>
        <w:tc>
          <w:tcPr>
            <w:tcW w:w="1134" w:type="dxa"/>
            <w:tcBorders>
              <w:top w:val="dotted" w:sz="4" w:space="0" w:color="C0C0C0"/>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w:t>
            </w:r>
          </w:p>
        </w:tc>
      </w:tr>
      <w:tr w:rsidR="00747804" w:rsidTr="004E41BB">
        <w:tc>
          <w:tcPr>
            <w:tcW w:w="1182"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2</w:t>
            </w:r>
          </w:p>
        </w:tc>
        <w:tc>
          <w:tcPr>
            <w:tcW w:w="1236"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X</w:t>
            </w:r>
            <w:r>
              <w:rPr>
                <w:vertAlign w:val="subscript"/>
              </w:rPr>
              <w:t>2</w:t>
            </w:r>
          </w:p>
        </w:tc>
        <w:tc>
          <w:tcPr>
            <w:tcW w:w="547"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2,2</w:t>
            </w:r>
          </w:p>
        </w:tc>
        <w:tc>
          <w:tcPr>
            <w:tcW w:w="547"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2,3</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2,4</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2,5</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2,p</w:t>
            </w: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2,+</w:t>
            </w:r>
          </w:p>
        </w:tc>
      </w:tr>
      <w:tr w:rsidR="00747804" w:rsidTr="004E41BB">
        <w:tc>
          <w:tcPr>
            <w:tcW w:w="1182"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3</w:t>
            </w:r>
          </w:p>
        </w:tc>
        <w:tc>
          <w:tcPr>
            <w:tcW w:w="1236"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X</w:t>
            </w:r>
            <w:r>
              <w:rPr>
                <w:vertAlign w:val="subscript"/>
              </w:rPr>
              <w:t>3</w:t>
            </w:r>
          </w:p>
        </w:tc>
        <w:tc>
          <w:tcPr>
            <w:tcW w:w="547"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7"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3,3</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3,4</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3,5</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3,p</w:t>
            </w: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3,+</w:t>
            </w:r>
          </w:p>
        </w:tc>
      </w:tr>
      <w:tr w:rsidR="00747804" w:rsidTr="004E41BB">
        <w:tc>
          <w:tcPr>
            <w:tcW w:w="1182"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4</w:t>
            </w:r>
          </w:p>
        </w:tc>
        <w:tc>
          <w:tcPr>
            <w:tcW w:w="1236"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X</w:t>
            </w:r>
            <w:r>
              <w:rPr>
                <w:vertAlign w:val="subscript"/>
              </w:rPr>
              <w:t>4</w:t>
            </w:r>
          </w:p>
        </w:tc>
        <w:tc>
          <w:tcPr>
            <w:tcW w:w="547"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7"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4,4</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4,5</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4,p</w:t>
            </w: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4,+</w:t>
            </w:r>
          </w:p>
        </w:tc>
      </w:tr>
      <w:tr w:rsidR="00747804" w:rsidTr="004E41BB">
        <w:tc>
          <w:tcPr>
            <w:tcW w:w="1182"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5</w:t>
            </w:r>
          </w:p>
        </w:tc>
        <w:tc>
          <w:tcPr>
            <w:tcW w:w="1236"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X</w:t>
            </w:r>
            <w:r>
              <w:rPr>
                <w:vertAlign w:val="subscript"/>
              </w:rPr>
              <w:t>5</w:t>
            </w:r>
          </w:p>
        </w:tc>
        <w:tc>
          <w:tcPr>
            <w:tcW w:w="547"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7"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5,5</w:t>
            </w: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5,p</w:t>
            </w: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5,+</w:t>
            </w:r>
          </w:p>
        </w:tc>
      </w:tr>
      <w:tr w:rsidR="00747804" w:rsidTr="004E41BB">
        <w:tc>
          <w:tcPr>
            <w:tcW w:w="1182"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r>
              <w:t>…</w:t>
            </w:r>
          </w:p>
        </w:tc>
        <w:tc>
          <w:tcPr>
            <w:tcW w:w="1236"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p>
        </w:tc>
        <w:tc>
          <w:tcPr>
            <w:tcW w:w="547"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7"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Default="00747804" w:rsidP="00137F6B">
            <w:pPr>
              <w:pStyle w:val="Tabletext"/>
              <w:jc w:val="center"/>
            </w:pPr>
          </w:p>
        </w:tc>
      </w:tr>
      <w:tr w:rsidR="00747804" w:rsidTr="004E41BB">
        <w:tc>
          <w:tcPr>
            <w:tcW w:w="1182" w:type="dxa"/>
            <w:tcBorders>
              <w:top w:val="nil"/>
              <w:left w:val="nil"/>
              <w:bottom w:val="single" w:sz="12" w:space="0" w:color="auto"/>
              <w:right w:val="nil"/>
            </w:tcBorders>
            <w:noWrap/>
            <w:tcMar>
              <w:top w:w="15" w:type="dxa"/>
              <w:left w:w="15" w:type="dxa"/>
              <w:bottom w:w="0" w:type="dxa"/>
              <w:right w:w="15" w:type="dxa"/>
            </w:tcMar>
            <w:vAlign w:val="bottom"/>
          </w:tcPr>
          <w:p w:rsidR="00747804" w:rsidRDefault="00747804" w:rsidP="00137F6B">
            <w:pPr>
              <w:pStyle w:val="Tabletext"/>
              <w:jc w:val="center"/>
            </w:pPr>
            <w:r>
              <w:t>Present</w:t>
            </w:r>
          </w:p>
        </w:tc>
        <w:tc>
          <w:tcPr>
            <w:tcW w:w="1236" w:type="dxa"/>
            <w:tcBorders>
              <w:top w:val="nil"/>
              <w:left w:val="nil"/>
              <w:bottom w:val="single" w:sz="12" w:space="0" w:color="auto"/>
              <w:right w:val="nil"/>
            </w:tcBorders>
            <w:noWrap/>
            <w:tcMar>
              <w:top w:w="15" w:type="dxa"/>
              <w:left w:w="15" w:type="dxa"/>
              <w:bottom w:w="0" w:type="dxa"/>
              <w:right w:w="15" w:type="dxa"/>
            </w:tcMar>
            <w:vAlign w:val="bottom"/>
          </w:tcPr>
          <w:p w:rsidR="00747804" w:rsidRDefault="00747804" w:rsidP="00137F6B">
            <w:pPr>
              <w:pStyle w:val="Tabletext"/>
              <w:jc w:val="center"/>
            </w:pPr>
            <w:proofErr w:type="spellStart"/>
            <w:r w:rsidRPr="00794764">
              <w:t>X</w:t>
            </w:r>
            <w:r w:rsidRPr="00794764">
              <w:rPr>
                <w:vertAlign w:val="subscript"/>
              </w:rPr>
              <w:t>p</w:t>
            </w:r>
            <w:proofErr w:type="spellEnd"/>
          </w:p>
        </w:tc>
        <w:tc>
          <w:tcPr>
            <w:tcW w:w="547" w:type="dxa"/>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7"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548"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single" w:sz="12" w:space="0" w:color="auto"/>
              <w:right w:val="single" w:sz="12" w:space="0" w:color="auto"/>
            </w:tcBorders>
            <w:noWrap/>
            <w:tcMar>
              <w:top w:w="15" w:type="dxa"/>
              <w:left w:w="15" w:type="dxa"/>
              <w:bottom w:w="0" w:type="dxa"/>
              <w:right w:w="15" w:type="dxa"/>
            </w:tcMar>
            <w:vAlign w:val="bottom"/>
          </w:tcPr>
          <w:p w:rsidR="00747804" w:rsidRPr="008C72CD" w:rsidRDefault="00747804" w:rsidP="00137F6B">
            <w:pPr>
              <w:pStyle w:val="Tabletext"/>
              <w:jc w:val="center"/>
            </w:pPr>
            <w:proofErr w:type="spellStart"/>
            <w:r w:rsidRPr="00794764">
              <w:t>Y</w:t>
            </w:r>
            <w:r w:rsidRPr="00794764">
              <w:rPr>
                <w:vertAlign w:val="subscript"/>
              </w:rPr>
              <w:t>p,p</w:t>
            </w:r>
            <w:proofErr w:type="spellEnd"/>
          </w:p>
        </w:tc>
        <w:tc>
          <w:tcPr>
            <w:tcW w:w="1134" w:type="dxa"/>
            <w:tcBorders>
              <w:top w:val="nil"/>
              <w:left w:val="nil"/>
              <w:bottom w:val="single" w:sz="12" w:space="0" w:color="auto"/>
              <w:right w:val="nil"/>
            </w:tcBorders>
            <w:noWrap/>
            <w:tcMar>
              <w:top w:w="15" w:type="dxa"/>
              <w:left w:w="15" w:type="dxa"/>
              <w:bottom w:w="0" w:type="dxa"/>
              <w:right w:w="15" w:type="dxa"/>
            </w:tcMar>
            <w:vAlign w:val="bottom"/>
          </w:tcPr>
          <w:p w:rsidR="00747804" w:rsidRDefault="00747804" w:rsidP="00137F6B">
            <w:pPr>
              <w:pStyle w:val="Tabletext"/>
              <w:jc w:val="center"/>
            </w:pPr>
            <w:proofErr w:type="spellStart"/>
            <w:r>
              <w:t>Y</w:t>
            </w:r>
            <w:r>
              <w:rPr>
                <w:vertAlign w:val="subscript"/>
              </w:rPr>
              <w:t>p</w:t>
            </w:r>
            <w:proofErr w:type="spellEnd"/>
            <w:r>
              <w:rPr>
                <w:vertAlign w:val="subscript"/>
              </w:rPr>
              <w:t>,+</w:t>
            </w:r>
          </w:p>
        </w:tc>
      </w:tr>
      <w:tr w:rsidR="00747804" w:rsidTr="004E41BB">
        <w:tc>
          <w:tcPr>
            <w:tcW w:w="1182" w:type="dxa"/>
            <w:tcBorders>
              <w:top w:val="nil"/>
              <w:left w:val="nil"/>
              <w:bottom w:val="nil"/>
              <w:right w:val="nil"/>
            </w:tcBorders>
            <w:noWrap/>
            <w:tcMar>
              <w:top w:w="15" w:type="dxa"/>
              <w:left w:w="15" w:type="dxa"/>
              <w:bottom w:w="0" w:type="dxa"/>
              <w:right w:w="15" w:type="dxa"/>
            </w:tcMar>
            <w:vAlign w:val="bottom"/>
          </w:tcPr>
          <w:p w:rsidR="00747804" w:rsidRDefault="00747804" w:rsidP="00137F6B">
            <w:pPr>
              <w:pStyle w:val="Tabletext"/>
              <w:jc w:val="center"/>
            </w:pPr>
          </w:p>
        </w:tc>
        <w:tc>
          <w:tcPr>
            <w:tcW w:w="1236" w:type="dxa"/>
            <w:tcBorders>
              <w:top w:val="nil"/>
              <w:left w:val="nil"/>
              <w:bottom w:val="nil"/>
              <w:right w:val="nil"/>
            </w:tcBorders>
            <w:noWrap/>
            <w:tcMar>
              <w:top w:w="15" w:type="dxa"/>
              <w:left w:w="15" w:type="dxa"/>
              <w:bottom w:w="0" w:type="dxa"/>
              <w:right w:w="15" w:type="dxa"/>
            </w:tcMar>
            <w:vAlign w:val="bottom"/>
          </w:tcPr>
          <w:p w:rsidR="00747804" w:rsidRDefault="00747804" w:rsidP="00137F6B">
            <w:pPr>
              <w:pStyle w:val="Tabletext"/>
              <w:jc w:val="center"/>
            </w:pPr>
          </w:p>
        </w:tc>
        <w:tc>
          <w:tcPr>
            <w:tcW w:w="547" w:type="dxa"/>
            <w:tcBorders>
              <w:top w:val="nil"/>
              <w:left w:val="single" w:sz="12" w:space="0" w:color="auto"/>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+,0</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+,1</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+,2</w:t>
            </w:r>
          </w:p>
        </w:tc>
        <w:tc>
          <w:tcPr>
            <w:tcW w:w="547"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+,3</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+,4</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r>
              <w:t>Y</w:t>
            </w:r>
            <w:r>
              <w:rPr>
                <w:vertAlign w:val="subscript"/>
              </w:rPr>
              <w:t>+,5</w:t>
            </w:r>
          </w:p>
        </w:tc>
        <w:tc>
          <w:tcPr>
            <w:tcW w:w="548" w:type="dxa"/>
            <w:tcBorders>
              <w:top w:val="nil"/>
              <w:left w:val="nil"/>
              <w:bottom w:val="nil"/>
              <w:right w:val="single" w:sz="8" w:space="0" w:color="auto"/>
            </w:tcBorders>
            <w:noWrap/>
            <w:tcMar>
              <w:top w:w="15" w:type="dxa"/>
              <w:left w:w="15" w:type="dxa"/>
              <w:bottom w:w="0" w:type="dxa"/>
              <w:right w:w="15" w:type="dxa"/>
            </w:tcMar>
            <w:vAlign w:val="bottom"/>
          </w:tcPr>
          <w:p w:rsidR="00747804" w:rsidRDefault="00747804" w:rsidP="00137F6B">
            <w:pPr>
              <w:pStyle w:val="Tabletext"/>
              <w:jc w:val="center"/>
            </w:pPr>
          </w:p>
        </w:tc>
        <w:tc>
          <w:tcPr>
            <w:tcW w:w="1134" w:type="dxa"/>
            <w:tcBorders>
              <w:top w:val="nil"/>
              <w:left w:val="nil"/>
              <w:bottom w:val="nil"/>
              <w:right w:val="single" w:sz="12" w:space="0" w:color="auto"/>
            </w:tcBorders>
            <w:noWrap/>
            <w:tcMar>
              <w:top w:w="15" w:type="dxa"/>
              <w:left w:w="15" w:type="dxa"/>
              <w:bottom w:w="0" w:type="dxa"/>
              <w:right w:w="15" w:type="dxa"/>
            </w:tcMar>
            <w:vAlign w:val="bottom"/>
          </w:tcPr>
          <w:p w:rsidR="00747804" w:rsidRDefault="00747804" w:rsidP="00137F6B">
            <w:pPr>
              <w:pStyle w:val="Tabletext"/>
              <w:jc w:val="center"/>
            </w:pPr>
            <w:proofErr w:type="spellStart"/>
            <w:r>
              <w:t>Y</w:t>
            </w:r>
            <w:r>
              <w:rPr>
                <w:vertAlign w:val="subscript"/>
              </w:rPr>
              <w:t>+,p</w:t>
            </w:r>
            <w:proofErr w:type="spellEnd"/>
          </w:p>
        </w:tc>
        <w:tc>
          <w:tcPr>
            <w:tcW w:w="1134" w:type="dxa"/>
            <w:tcBorders>
              <w:top w:val="nil"/>
              <w:left w:val="nil"/>
              <w:bottom w:val="nil"/>
              <w:right w:val="nil"/>
            </w:tcBorders>
            <w:noWrap/>
            <w:tcMar>
              <w:top w:w="15" w:type="dxa"/>
              <w:left w:w="15" w:type="dxa"/>
              <w:bottom w:w="0" w:type="dxa"/>
              <w:right w:w="15" w:type="dxa"/>
            </w:tcMar>
            <w:vAlign w:val="bottom"/>
          </w:tcPr>
          <w:p w:rsidR="00747804" w:rsidRDefault="00747804" w:rsidP="00137F6B">
            <w:pPr>
              <w:pStyle w:val="Tabletext"/>
              <w:jc w:val="center"/>
            </w:pPr>
          </w:p>
        </w:tc>
      </w:tr>
    </w:tbl>
    <w:p w:rsidR="00137F6B" w:rsidRDefault="00DC00F6" w:rsidP="00137F6B">
      <w:pPr>
        <w:pStyle w:val="Text"/>
        <w:rPr>
          <w:sz w:val="22"/>
        </w:rPr>
      </w:pPr>
      <w:r w:rsidRPr="00137F6B">
        <w:rPr>
          <w:sz w:val="22"/>
        </w:rPr>
        <w:t>In table 1,</w:t>
      </w:r>
    </w:p>
    <w:p w:rsidR="00035561" w:rsidRPr="00137F6B" w:rsidRDefault="00DC00F6" w:rsidP="00137F6B">
      <w:pPr>
        <w:pStyle w:val="Text"/>
        <w:spacing w:before="0"/>
        <w:ind w:left="284"/>
        <w:rPr>
          <w:sz w:val="22"/>
        </w:rPr>
      </w:pPr>
      <w:r w:rsidRPr="00137F6B">
        <w:rPr>
          <w:sz w:val="22"/>
        </w:rPr>
        <w:t xml:space="preserve">Xi is the number of reported commencements in quarter </w:t>
      </w:r>
      <w:proofErr w:type="spellStart"/>
      <w:r w:rsidRPr="00137F6B">
        <w:rPr>
          <w:sz w:val="22"/>
        </w:rPr>
        <w:t>i</w:t>
      </w:r>
      <w:proofErr w:type="spellEnd"/>
      <w:r w:rsidR="00137F6B">
        <w:rPr>
          <w:sz w:val="22"/>
        </w:rPr>
        <w:br/>
      </w:r>
      <w:proofErr w:type="spellStart"/>
      <w:r w:rsidRPr="00137F6B">
        <w:rPr>
          <w:sz w:val="22"/>
        </w:rPr>
        <w:t>Yi,j</w:t>
      </w:r>
      <w:proofErr w:type="spellEnd"/>
      <w:r w:rsidRPr="00137F6B">
        <w:rPr>
          <w:sz w:val="22"/>
        </w:rPr>
        <w:t xml:space="preserve"> is the number of reported outcomes in quarter j that had a commencement in quarter </w:t>
      </w:r>
      <w:proofErr w:type="spellStart"/>
      <w:r w:rsidRPr="00137F6B">
        <w:rPr>
          <w:sz w:val="22"/>
        </w:rPr>
        <w:t>i</w:t>
      </w:r>
      <w:proofErr w:type="spellEnd"/>
      <w:r w:rsidR="00137F6B">
        <w:rPr>
          <w:sz w:val="22"/>
        </w:rPr>
        <w:br/>
      </w:r>
      <w:proofErr w:type="spellStart"/>
      <w:r w:rsidRPr="00137F6B">
        <w:rPr>
          <w:sz w:val="22"/>
        </w:rPr>
        <w:t>Y+,j</w:t>
      </w:r>
      <w:proofErr w:type="spellEnd"/>
      <w:r w:rsidRPr="00137F6B">
        <w:rPr>
          <w:sz w:val="22"/>
        </w:rPr>
        <w:t xml:space="preserve"> is the number of reported outcomes in quarter j</w:t>
      </w:r>
      <w:r w:rsidR="00137F6B">
        <w:rPr>
          <w:sz w:val="22"/>
        </w:rPr>
        <w:br/>
      </w:r>
      <w:r w:rsidRPr="00137F6B">
        <w:rPr>
          <w:sz w:val="22"/>
        </w:rPr>
        <w:t xml:space="preserve">Yi,+ is the number of reported outcomes that had a commencement in quarter </w:t>
      </w:r>
      <w:proofErr w:type="spellStart"/>
      <w:r w:rsidRPr="00137F6B">
        <w:rPr>
          <w:sz w:val="22"/>
        </w:rPr>
        <w:t>i</w:t>
      </w:r>
      <w:proofErr w:type="spellEnd"/>
      <w:r w:rsidRPr="00137F6B">
        <w:rPr>
          <w:sz w:val="22"/>
        </w:rPr>
        <w:t>.</w:t>
      </w:r>
    </w:p>
    <w:p w:rsidR="00137F6B" w:rsidRDefault="00DC00F6" w:rsidP="00137F6B">
      <w:pPr>
        <w:pStyle w:val="Text"/>
        <w:rPr>
          <w:sz w:val="22"/>
        </w:rPr>
      </w:pPr>
      <w:r w:rsidRPr="00DC00F6">
        <w:lastRenderedPageBreak/>
        <w:t xml:space="preserve">Table 2 illustrates the estimates </w:t>
      </w:r>
      <w:r w:rsidRPr="00137F6B">
        <w:rPr>
          <w:sz w:val="22"/>
        </w:rPr>
        <w:t>available for the same period as in table 1. In table 2,</w:t>
      </w:r>
    </w:p>
    <w:p w:rsidR="00035561" w:rsidRDefault="00DC00F6" w:rsidP="00137F6B">
      <w:pPr>
        <w:pStyle w:val="Text"/>
        <w:spacing w:before="0"/>
        <w:ind w:left="284"/>
        <w:rPr>
          <w:sz w:val="22"/>
        </w:rPr>
      </w:pPr>
      <w:r w:rsidRPr="00522324">
        <w:rPr>
          <w:rStyle w:val="TextSymbol"/>
        </w:rPr>
        <w:t>X</w:t>
      </w:r>
      <w:r w:rsidRPr="001615C5">
        <w:rPr>
          <w:rStyle w:val="TextSymbol"/>
          <w:vertAlign w:val="subscript"/>
        </w:rPr>
        <w:t>i</w:t>
      </w:r>
      <w:r w:rsidRPr="00137F6B">
        <w:rPr>
          <w:sz w:val="22"/>
        </w:rPr>
        <w:t xml:space="preserve"> is the estimated number of actual commencements in quarter </w:t>
      </w:r>
      <w:proofErr w:type="spellStart"/>
      <w:r w:rsidRPr="00137F6B">
        <w:rPr>
          <w:sz w:val="22"/>
        </w:rPr>
        <w:t>i</w:t>
      </w:r>
      <w:proofErr w:type="spellEnd"/>
      <w:r w:rsidR="00137F6B">
        <w:rPr>
          <w:sz w:val="22"/>
        </w:rPr>
        <w:br/>
      </w:r>
      <w:proofErr w:type="spellStart"/>
      <w:r w:rsidRPr="00522324">
        <w:rPr>
          <w:rStyle w:val="TextSymbol"/>
        </w:rPr>
        <w:t>Y</w:t>
      </w:r>
      <w:r w:rsidRPr="001615C5">
        <w:rPr>
          <w:rStyle w:val="TextSymbol"/>
          <w:vertAlign w:val="subscript"/>
        </w:rPr>
        <w:t>+</w:t>
      </w:r>
      <w:proofErr w:type="gramStart"/>
      <w:r w:rsidRPr="001615C5">
        <w:rPr>
          <w:rStyle w:val="TextSymbol"/>
          <w:vertAlign w:val="subscript"/>
        </w:rPr>
        <w:t>,j</w:t>
      </w:r>
      <w:proofErr w:type="spellEnd"/>
      <w:proofErr w:type="gramEnd"/>
      <w:r w:rsidRPr="00137F6B">
        <w:rPr>
          <w:sz w:val="22"/>
        </w:rPr>
        <w:t xml:space="preserve"> is the estimated number</w:t>
      </w:r>
      <w:r w:rsidRPr="00DC00F6">
        <w:rPr>
          <w:sz w:val="22"/>
        </w:rPr>
        <w:t xml:space="preserve"> of actual outcomes in quarter j</w:t>
      </w:r>
      <w:r w:rsidR="00137F6B">
        <w:rPr>
          <w:sz w:val="22"/>
        </w:rPr>
        <w:t>.</w:t>
      </w:r>
    </w:p>
    <w:p w:rsidR="00747804" w:rsidRDefault="00676ED7" w:rsidP="00137F6B">
      <w:pPr>
        <w:pStyle w:val="tabletitle"/>
      </w:pPr>
      <w:bookmarkStart w:id="19" w:name="_Toc296701516"/>
      <w:r>
        <w:t>Table 2</w:t>
      </w:r>
      <w:r>
        <w:tab/>
      </w:r>
      <w:r w:rsidR="00747804">
        <w:t xml:space="preserve">Estimated commencements and </w:t>
      </w:r>
      <w:r w:rsidR="00F221DD">
        <w:t>outcomes</w:t>
      </w:r>
      <w:r>
        <w:t>—</w:t>
      </w:r>
      <w:r w:rsidR="00747804">
        <w:t>margins</w:t>
      </w:r>
      <w:bookmarkEnd w:id="19"/>
    </w:p>
    <w:tbl>
      <w:tblPr>
        <w:tblW w:w="8505" w:type="dxa"/>
        <w:tblInd w:w="15" w:type="dxa"/>
        <w:tblLayout w:type="fixed"/>
        <w:tblCellMar>
          <w:left w:w="0" w:type="dxa"/>
          <w:right w:w="0" w:type="dxa"/>
        </w:tblCellMar>
        <w:tblLook w:val="0000"/>
      </w:tblPr>
      <w:tblGrid>
        <w:gridCol w:w="1276"/>
        <w:gridCol w:w="1276"/>
        <w:gridCol w:w="530"/>
        <w:gridCol w:w="530"/>
        <w:gridCol w:w="530"/>
        <w:gridCol w:w="530"/>
        <w:gridCol w:w="530"/>
        <w:gridCol w:w="530"/>
        <w:gridCol w:w="531"/>
        <w:gridCol w:w="1108"/>
        <w:gridCol w:w="1134"/>
      </w:tblGrid>
      <w:tr w:rsidR="00747804" w:rsidTr="004E41BB">
        <w:tc>
          <w:tcPr>
            <w:tcW w:w="8505" w:type="dxa"/>
            <w:gridSpan w:val="11"/>
            <w:tcBorders>
              <w:top w:val="nil"/>
              <w:left w:val="nil"/>
              <w:bottom w:val="nil"/>
              <w:right w:val="nil"/>
            </w:tcBorders>
            <w:noWrap/>
            <w:tcMar>
              <w:top w:w="15" w:type="dxa"/>
              <w:left w:w="15" w:type="dxa"/>
              <w:bottom w:w="0" w:type="dxa"/>
              <w:right w:w="15" w:type="dxa"/>
            </w:tcMar>
            <w:vAlign w:val="bottom"/>
          </w:tcPr>
          <w:p w:rsidR="00747804" w:rsidRPr="00CE2644" w:rsidRDefault="00747804" w:rsidP="00CE2644">
            <w:pPr>
              <w:pStyle w:val="Tablehead1"/>
              <w:jc w:val="center"/>
            </w:pPr>
            <w:r w:rsidRPr="00CE2644">
              <w:t>Estimated</w:t>
            </w:r>
          </w:p>
        </w:tc>
      </w:tr>
      <w:tr w:rsidR="00747804" w:rsidTr="004E41BB">
        <w:tc>
          <w:tcPr>
            <w:tcW w:w="2552" w:type="dxa"/>
            <w:gridSpan w:val="2"/>
            <w:tcBorders>
              <w:top w:val="nil"/>
              <w:left w:val="nil"/>
              <w:bottom w:val="nil"/>
              <w:right w:val="single" w:sz="12" w:space="0" w:color="000000"/>
            </w:tcBorders>
            <w:noWrap/>
            <w:tcMar>
              <w:top w:w="15" w:type="dxa"/>
              <w:left w:w="15" w:type="dxa"/>
              <w:bottom w:w="0" w:type="dxa"/>
              <w:right w:w="15" w:type="dxa"/>
            </w:tcMar>
            <w:vAlign w:val="bottom"/>
          </w:tcPr>
          <w:p w:rsidR="00747804" w:rsidRPr="00CE2644" w:rsidRDefault="00747804" w:rsidP="00CE2644">
            <w:pPr>
              <w:pStyle w:val="Tablehead1"/>
              <w:jc w:val="center"/>
            </w:pPr>
            <w:r w:rsidRPr="00CE2644">
              <w:t>Commenced</w:t>
            </w:r>
          </w:p>
        </w:tc>
        <w:tc>
          <w:tcPr>
            <w:tcW w:w="4819" w:type="dxa"/>
            <w:gridSpan w:val="8"/>
            <w:tcBorders>
              <w:top w:val="single" w:sz="12" w:space="0" w:color="auto"/>
              <w:left w:val="single" w:sz="12" w:space="0" w:color="auto"/>
              <w:bottom w:val="nil"/>
              <w:right w:val="nil"/>
            </w:tcBorders>
            <w:noWrap/>
            <w:tcMar>
              <w:top w:w="15" w:type="dxa"/>
              <w:left w:w="15" w:type="dxa"/>
              <w:bottom w:w="0" w:type="dxa"/>
              <w:right w:w="15" w:type="dxa"/>
            </w:tcMar>
            <w:vAlign w:val="bottom"/>
          </w:tcPr>
          <w:p w:rsidR="00747804" w:rsidRPr="00CE2644" w:rsidRDefault="00747804" w:rsidP="00CE2644">
            <w:pPr>
              <w:pStyle w:val="Tablehead1"/>
              <w:jc w:val="center"/>
            </w:pPr>
            <w:r w:rsidRPr="00CE2644">
              <w:t xml:space="preserve">Quarter of </w:t>
            </w:r>
            <w:r w:rsidR="00F221DD" w:rsidRPr="00CE2644">
              <w:t>outcomes</w:t>
            </w:r>
          </w:p>
        </w:tc>
        <w:tc>
          <w:tcPr>
            <w:tcW w:w="1134"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747804" w:rsidRPr="00CE2644" w:rsidRDefault="00747804" w:rsidP="00CE2644">
            <w:pPr>
              <w:pStyle w:val="Tablehead1"/>
              <w:jc w:val="center"/>
            </w:pPr>
            <w:r w:rsidRPr="00CE2644">
              <w:t>All</w:t>
            </w:r>
          </w:p>
        </w:tc>
      </w:tr>
      <w:tr w:rsidR="00747804" w:rsidRPr="00CE2644" w:rsidTr="004E41BB">
        <w:tc>
          <w:tcPr>
            <w:tcW w:w="1276" w:type="dxa"/>
            <w:tcBorders>
              <w:top w:val="nil"/>
              <w:left w:val="nil"/>
              <w:bottom w:val="single" w:sz="12" w:space="0" w:color="auto"/>
              <w:right w:val="nil"/>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Quarter</w:t>
            </w:r>
          </w:p>
        </w:tc>
        <w:tc>
          <w:tcPr>
            <w:tcW w:w="1276" w:type="dxa"/>
            <w:tcBorders>
              <w:top w:val="nil"/>
              <w:left w:val="nil"/>
              <w:bottom w:val="single" w:sz="12" w:space="0" w:color="auto"/>
              <w:right w:val="nil"/>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Number</w:t>
            </w:r>
          </w:p>
        </w:tc>
        <w:tc>
          <w:tcPr>
            <w:tcW w:w="530" w:type="dxa"/>
            <w:tcBorders>
              <w:top w:val="single" w:sz="8" w:space="0" w:color="auto"/>
              <w:left w:val="single" w:sz="12" w:space="0" w:color="auto"/>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0</w:t>
            </w:r>
          </w:p>
        </w:tc>
        <w:tc>
          <w:tcPr>
            <w:tcW w:w="53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1</w:t>
            </w:r>
          </w:p>
        </w:tc>
        <w:tc>
          <w:tcPr>
            <w:tcW w:w="53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2</w:t>
            </w:r>
          </w:p>
        </w:tc>
        <w:tc>
          <w:tcPr>
            <w:tcW w:w="53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3</w:t>
            </w:r>
          </w:p>
        </w:tc>
        <w:tc>
          <w:tcPr>
            <w:tcW w:w="53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4</w:t>
            </w:r>
          </w:p>
        </w:tc>
        <w:tc>
          <w:tcPr>
            <w:tcW w:w="53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5</w:t>
            </w:r>
          </w:p>
        </w:tc>
        <w:tc>
          <w:tcPr>
            <w:tcW w:w="531"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w:t>
            </w:r>
          </w:p>
        </w:tc>
        <w:tc>
          <w:tcPr>
            <w:tcW w:w="1108" w:type="dxa"/>
            <w:tcBorders>
              <w:top w:val="single" w:sz="8" w:space="0" w:color="auto"/>
              <w:left w:val="nil"/>
              <w:bottom w:val="single" w:sz="12" w:space="0" w:color="auto"/>
              <w:right w:val="single" w:sz="12" w:space="0" w:color="auto"/>
            </w:tcBorders>
            <w:noWrap/>
            <w:tcMar>
              <w:top w:w="15" w:type="dxa"/>
              <w:left w:w="15" w:type="dxa"/>
              <w:bottom w:w="0" w:type="dxa"/>
              <w:right w:w="15" w:type="dxa"/>
            </w:tcMar>
            <w:vAlign w:val="bottom"/>
          </w:tcPr>
          <w:p w:rsidR="00747804" w:rsidRPr="00CE2644" w:rsidRDefault="00747804" w:rsidP="00CE2644">
            <w:pPr>
              <w:pStyle w:val="Tablehead2"/>
              <w:jc w:val="center"/>
            </w:pPr>
            <w:r w:rsidRPr="00CE2644">
              <w:t>Present</w:t>
            </w:r>
          </w:p>
        </w:tc>
        <w:tc>
          <w:tcPr>
            <w:tcW w:w="1134" w:type="dxa"/>
            <w:tcBorders>
              <w:top w:val="nil"/>
              <w:left w:val="nil"/>
              <w:bottom w:val="single" w:sz="12" w:space="0" w:color="auto"/>
              <w:right w:val="nil"/>
            </w:tcBorders>
            <w:noWrap/>
            <w:tcMar>
              <w:top w:w="15" w:type="dxa"/>
              <w:left w:w="15" w:type="dxa"/>
              <w:bottom w:w="0" w:type="dxa"/>
              <w:right w:w="15" w:type="dxa"/>
            </w:tcMar>
            <w:vAlign w:val="bottom"/>
          </w:tcPr>
          <w:p w:rsidR="00747804" w:rsidRPr="00CE2644" w:rsidRDefault="003347BA" w:rsidP="00CE2644">
            <w:pPr>
              <w:pStyle w:val="Tablehead2"/>
              <w:jc w:val="center"/>
            </w:pPr>
            <w:r w:rsidRPr="00CE2644">
              <w:t>Outcomes</w:t>
            </w:r>
          </w:p>
        </w:tc>
      </w:tr>
      <w:tr w:rsidR="00747804" w:rsidRPr="00CE2644" w:rsidTr="004E41BB">
        <w:tc>
          <w:tcPr>
            <w:tcW w:w="1276" w:type="dxa"/>
            <w:tcBorders>
              <w:top w:val="nil"/>
              <w:left w:val="nil"/>
              <w:bottom w:val="nil"/>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0</w:t>
            </w:r>
          </w:p>
        </w:tc>
        <w:tc>
          <w:tcPr>
            <w:tcW w:w="1276" w:type="dxa"/>
            <w:tcBorders>
              <w:top w:val="nil"/>
              <w:left w:val="nil"/>
              <w:bottom w:val="nil"/>
              <w:right w:val="nil"/>
            </w:tcBorders>
            <w:noWrap/>
            <w:tcMar>
              <w:top w:w="15" w:type="dxa"/>
              <w:left w:w="15" w:type="dxa"/>
              <w:bottom w:w="0" w:type="dxa"/>
              <w:right w:w="15" w:type="dxa"/>
            </w:tcMar>
            <w:vAlign w:val="bottom"/>
          </w:tcPr>
          <w:p w:rsidR="00747804" w:rsidRPr="00522324" w:rsidRDefault="00747804" w:rsidP="00522324">
            <w:pPr>
              <w:pStyle w:val="TableSymbol"/>
            </w:pPr>
            <w:r w:rsidRPr="00522324">
              <w:t>X</w:t>
            </w:r>
            <w:r w:rsidRPr="00522324">
              <w:rPr>
                <w:vertAlign w:val="subscript"/>
              </w:rPr>
              <w:t>0</w:t>
            </w:r>
          </w:p>
        </w:tc>
        <w:tc>
          <w:tcPr>
            <w:tcW w:w="530" w:type="dxa"/>
            <w:tcBorders>
              <w:top w:val="nil"/>
              <w:left w:val="single" w:sz="12" w:space="0" w:color="auto"/>
              <w:bottom w:val="nil"/>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nil"/>
              <w:left w:val="nil"/>
              <w:bottom w:val="nil"/>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nil"/>
              <w:left w:val="nil"/>
              <w:bottom w:val="nil"/>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dotted" w:sz="4" w:space="0" w:color="C0C0C0"/>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1</w:t>
            </w:r>
          </w:p>
        </w:tc>
        <w:tc>
          <w:tcPr>
            <w:tcW w:w="1276" w:type="dxa"/>
            <w:tcBorders>
              <w:top w:val="dotted" w:sz="4" w:space="0" w:color="C0C0C0"/>
              <w:left w:val="nil"/>
              <w:bottom w:val="dotted" w:sz="4" w:space="0" w:color="C0C0C0"/>
              <w:right w:val="nil"/>
            </w:tcBorders>
            <w:noWrap/>
            <w:tcMar>
              <w:top w:w="15" w:type="dxa"/>
              <w:left w:w="15" w:type="dxa"/>
              <w:bottom w:w="0" w:type="dxa"/>
              <w:right w:w="15" w:type="dxa"/>
            </w:tcMar>
            <w:vAlign w:val="bottom"/>
          </w:tcPr>
          <w:p w:rsidR="00747804" w:rsidRPr="00CE2644" w:rsidRDefault="00747804" w:rsidP="00522324">
            <w:pPr>
              <w:pStyle w:val="TableSymbol"/>
            </w:pPr>
            <w:r w:rsidRPr="00CE2644">
              <w:t>X</w:t>
            </w:r>
            <w:r w:rsidRPr="00CE2644">
              <w:rPr>
                <w:vertAlign w:val="subscript"/>
              </w:rPr>
              <w:t>1</w:t>
            </w:r>
          </w:p>
        </w:tc>
        <w:tc>
          <w:tcPr>
            <w:tcW w:w="530" w:type="dxa"/>
            <w:tcBorders>
              <w:top w:val="dotted" w:sz="4" w:space="0" w:color="C0C0C0"/>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dotted" w:sz="4" w:space="0" w:color="C0C0C0"/>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dotted" w:sz="4" w:space="0" w:color="C0C0C0"/>
              <w:left w:val="nil"/>
              <w:bottom w:val="dotted" w:sz="4" w:space="0" w:color="C0C0C0"/>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dotted" w:sz="4" w:space="0" w:color="C0C0C0"/>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2</w:t>
            </w:r>
          </w:p>
        </w:tc>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522324">
            <w:pPr>
              <w:pStyle w:val="TableSymbol"/>
            </w:pPr>
            <w:r w:rsidRPr="00CE2644">
              <w:t>X</w:t>
            </w:r>
            <w:r w:rsidRPr="00CE2644">
              <w:rPr>
                <w:vertAlign w:val="subscript"/>
              </w:rPr>
              <w:t>2</w:t>
            </w:r>
          </w:p>
        </w:tc>
        <w:tc>
          <w:tcPr>
            <w:tcW w:w="530"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3</w:t>
            </w:r>
          </w:p>
        </w:tc>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522324">
            <w:pPr>
              <w:pStyle w:val="TableSymbol"/>
            </w:pPr>
            <w:r w:rsidRPr="00CE2644">
              <w:t>X</w:t>
            </w:r>
            <w:r w:rsidRPr="00CE2644">
              <w:rPr>
                <w:vertAlign w:val="subscript"/>
              </w:rPr>
              <w:t>3</w:t>
            </w:r>
          </w:p>
        </w:tc>
        <w:tc>
          <w:tcPr>
            <w:tcW w:w="530"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4</w:t>
            </w:r>
          </w:p>
        </w:tc>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522324">
            <w:pPr>
              <w:pStyle w:val="TableSymbol"/>
            </w:pPr>
            <w:r w:rsidRPr="00CE2644">
              <w:t>X</w:t>
            </w:r>
            <w:r w:rsidRPr="00CE2644">
              <w:rPr>
                <w:vertAlign w:val="subscript"/>
              </w:rPr>
              <w:t>4</w:t>
            </w:r>
          </w:p>
        </w:tc>
        <w:tc>
          <w:tcPr>
            <w:tcW w:w="530"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5</w:t>
            </w:r>
          </w:p>
        </w:tc>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522324">
            <w:pPr>
              <w:pStyle w:val="TableSymbol"/>
            </w:pPr>
            <w:r w:rsidRPr="00CE2644">
              <w:t>X</w:t>
            </w:r>
            <w:r w:rsidRPr="00CE2644">
              <w:rPr>
                <w:vertAlign w:val="subscript"/>
              </w:rPr>
              <w:t>5</w:t>
            </w:r>
          </w:p>
        </w:tc>
        <w:tc>
          <w:tcPr>
            <w:tcW w:w="530"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w:t>
            </w:r>
          </w:p>
        </w:tc>
        <w:tc>
          <w:tcPr>
            <w:tcW w:w="1276"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522324">
            <w:pPr>
              <w:pStyle w:val="TableSymbol"/>
            </w:pPr>
          </w:p>
        </w:tc>
        <w:tc>
          <w:tcPr>
            <w:tcW w:w="530" w:type="dxa"/>
            <w:tcBorders>
              <w:top w:val="nil"/>
              <w:left w:val="single" w:sz="12" w:space="0" w:color="auto"/>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nil"/>
              <w:left w:val="nil"/>
              <w:bottom w:val="dotted" w:sz="4" w:space="0" w:color="C0C0C0"/>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nil"/>
              <w:left w:val="nil"/>
              <w:bottom w:val="dotted" w:sz="4" w:space="0" w:color="C0C0C0"/>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nil"/>
              <w:left w:val="nil"/>
              <w:bottom w:val="dotted" w:sz="4" w:space="0" w:color="C0C0C0"/>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nil"/>
              <w:left w:val="nil"/>
              <w:bottom w:val="single" w:sz="12" w:space="0" w:color="auto"/>
              <w:right w:val="nil"/>
            </w:tcBorders>
            <w:noWrap/>
            <w:tcMar>
              <w:top w:w="15" w:type="dxa"/>
              <w:left w:w="15" w:type="dxa"/>
              <w:bottom w:w="0" w:type="dxa"/>
              <w:right w:w="15" w:type="dxa"/>
            </w:tcMar>
            <w:vAlign w:val="bottom"/>
          </w:tcPr>
          <w:p w:rsidR="00747804" w:rsidRPr="00CE2644" w:rsidRDefault="00747804" w:rsidP="00CE2644">
            <w:pPr>
              <w:pStyle w:val="Tabletext"/>
              <w:jc w:val="center"/>
            </w:pPr>
            <w:r w:rsidRPr="00CE2644">
              <w:t>Present</w:t>
            </w:r>
          </w:p>
        </w:tc>
        <w:tc>
          <w:tcPr>
            <w:tcW w:w="1276" w:type="dxa"/>
            <w:tcBorders>
              <w:top w:val="nil"/>
              <w:left w:val="nil"/>
              <w:bottom w:val="single" w:sz="12" w:space="0" w:color="auto"/>
              <w:right w:val="nil"/>
            </w:tcBorders>
            <w:noWrap/>
            <w:tcMar>
              <w:top w:w="15" w:type="dxa"/>
              <w:left w:w="15" w:type="dxa"/>
              <w:bottom w:w="0" w:type="dxa"/>
              <w:right w:w="15" w:type="dxa"/>
            </w:tcMar>
            <w:vAlign w:val="bottom"/>
          </w:tcPr>
          <w:p w:rsidR="00747804" w:rsidRPr="00CE2644" w:rsidRDefault="00747804" w:rsidP="00522324">
            <w:pPr>
              <w:pStyle w:val="TableSymbol"/>
            </w:pPr>
            <w:proofErr w:type="spellStart"/>
            <w:r w:rsidRPr="00794764">
              <w:t>X</w:t>
            </w:r>
            <w:r w:rsidRPr="00794764">
              <w:rPr>
                <w:vertAlign w:val="subscript"/>
              </w:rPr>
              <w:t>p</w:t>
            </w:r>
            <w:proofErr w:type="spellEnd"/>
          </w:p>
        </w:tc>
        <w:tc>
          <w:tcPr>
            <w:tcW w:w="530" w:type="dxa"/>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1"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08" w:type="dxa"/>
            <w:tcBorders>
              <w:top w:val="nil"/>
              <w:left w:val="nil"/>
              <w:bottom w:val="single" w:sz="12" w:space="0" w:color="auto"/>
              <w:right w:val="single" w:sz="12" w:space="0" w:color="auto"/>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134" w:type="dxa"/>
            <w:tcBorders>
              <w:top w:val="nil"/>
              <w:left w:val="nil"/>
              <w:bottom w:val="single" w:sz="12" w:space="0" w:color="auto"/>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r w:rsidR="00747804" w:rsidRPr="00CE2644" w:rsidTr="004E41BB">
        <w:tc>
          <w:tcPr>
            <w:tcW w:w="1276" w:type="dxa"/>
            <w:tcBorders>
              <w:top w:val="nil"/>
              <w:left w:val="nil"/>
              <w:bottom w:val="nil"/>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1276" w:type="dxa"/>
            <w:tcBorders>
              <w:top w:val="nil"/>
              <w:left w:val="nil"/>
              <w:bottom w:val="nil"/>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c>
          <w:tcPr>
            <w:tcW w:w="530" w:type="dxa"/>
            <w:tcBorders>
              <w:top w:val="nil"/>
              <w:left w:val="single" w:sz="12" w:space="0" w:color="auto"/>
              <w:bottom w:val="nil"/>
              <w:right w:val="single" w:sz="8" w:space="0" w:color="auto"/>
            </w:tcBorders>
            <w:noWrap/>
            <w:tcMar>
              <w:top w:w="15" w:type="dxa"/>
              <w:left w:w="15" w:type="dxa"/>
              <w:bottom w:w="0" w:type="dxa"/>
              <w:right w:w="15" w:type="dxa"/>
            </w:tcMar>
            <w:vAlign w:val="bottom"/>
          </w:tcPr>
          <w:p w:rsidR="00747804" w:rsidRPr="00CE2644" w:rsidRDefault="00747804" w:rsidP="00522324">
            <w:pPr>
              <w:pStyle w:val="TableSymbol"/>
            </w:pPr>
            <w:r w:rsidRPr="00CE2644">
              <w:t>Y</w:t>
            </w:r>
            <w:r w:rsidRPr="00CE2644">
              <w:rPr>
                <w:vertAlign w:val="subscript"/>
              </w:rPr>
              <w:t>+,0</w:t>
            </w: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522324">
            <w:pPr>
              <w:pStyle w:val="TableSymbol"/>
            </w:pPr>
            <w:r w:rsidRPr="00CE2644">
              <w:t>Y</w:t>
            </w:r>
            <w:r w:rsidRPr="00CE2644">
              <w:rPr>
                <w:vertAlign w:val="subscript"/>
              </w:rPr>
              <w:t>+,1</w:t>
            </w: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522324">
            <w:pPr>
              <w:pStyle w:val="TableSymbol"/>
            </w:pPr>
            <w:r w:rsidRPr="00CE2644">
              <w:t>Y</w:t>
            </w:r>
            <w:r w:rsidRPr="00CE2644">
              <w:rPr>
                <w:vertAlign w:val="subscript"/>
              </w:rPr>
              <w:t>+,2</w:t>
            </w: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522324">
            <w:pPr>
              <w:pStyle w:val="TableSymbol"/>
            </w:pPr>
            <w:r w:rsidRPr="00CE2644">
              <w:t>Y</w:t>
            </w:r>
            <w:r w:rsidRPr="00CE2644">
              <w:rPr>
                <w:vertAlign w:val="subscript"/>
              </w:rPr>
              <w:t>+,3</w:t>
            </w: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522324">
            <w:pPr>
              <w:pStyle w:val="TableSymbol"/>
            </w:pPr>
            <w:r w:rsidRPr="00CE2644">
              <w:t>Y</w:t>
            </w:r>
            <w:r w:rsidRPr="00CE2644">
              <w:rPr>
                <w:vertAlign w:val="subscript"/>
              </w:rPr>
              <w:t>+,4</w:t>
            </w:r>
          </w:p>
        </w:tc>
        <w:tc>
          <w:tcPr>
            <w:tcW w:w="530"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522324">
            <w:pPr>
              <w:pStyle w:val="TableSymbol"/>
            </w:pPr>
            <w:r w:rsidRPr="00CE2644">
              <w:t>Y</w:t>
            </w:r>
            <w:r w:rsidRPr="00CE2644">
              <w:rPr>
                <w:vertAlign w:val="subscript"/>
              </w:rPr>
              <w:t>+,5</w:t>
            </w:r>
          </w:p>
        </w:tc>
        <w:tc>
          <w:tcPr>
            <w:tcW w:w="531" w:type="dxa"/>
            <w:tcBorders>
              <w:top w:val="nil"/>
              <w:left w:val="nil"/>
              <w:bottom w:val="nil"/>
              <w:right w:val="single" w:sz="8" w:space="0" w:color="auto"/>
            </w:tcBorders>
            <w:noWrap/>
            <w:tcMar>
              <w:top w:w="15" w:type="dxa"/>
              <w:left w:w="15" w:type="dxa"/>
              <w:bottom w:w="0" w:type="dxa"/>
              <w:right w:w="15" w:type="dxa"/>
            </w:tcMar>
            <w:vAlign w:val="bottom"/>
          </w:tcPr>
          <w:p w:rsidR="00747804" w:rsidRPr="00CE2644" w:rsidRDefault="00747804" w:rsidP="00522324">
            <w:pPr>
              <w:pStyle w:val="TableSymbol"/>
            </w:pPr>
          </w:p>
        </w:tc>
        <w:tc>
          <w:tcPr>
            <w:tcW w:w="1108" w:type="dxa"/>
            <w:tcBorders>
              <w:top w:val="nil"/>
              <w:left w:val="nil"/>
              <w:bottom w:val="nil"/>
              <w:right w:val="single" w:sz="12" w:space="0" w:color="auto"/>
            </w:tcBorders>
            <w:noWrap/>
            <w:tcMar>
              <w:top w:w="15" w:type="dxa"/>
              <w:left w:w="15" w:type="dxa"/>
              <w:bottom w:w="0" w:type="dxa"/>
              <w:right w:w="15" w:type="dxa"/>
            </w:tcMar>
            <w:vAlign w:val="bottom"/>
          </w:tcPr>
          <w:p w:rsidR="00747804" w:rsidRPr="00CE2644" w:rsidRDefault="00747804" w:rsidP="00522324">
            <w:pPr>
              <w:pStyle w:val="TableSymbol"/>
            </w:pPr>
            <w:proofErr w:type="spellStart"/>
            <w:r w:rsidRPr="00CE2644">
              <w:t>Y</w:t>
            </w:r>
            <w:r w:rsidRPr="00CE2644">
              <w:rPr>
                <w:vertAlign w:val="subscript"/>
              </w:rPr>
              <w:t>+,p</w:t>
            </w:r>
            <w:proofErr w:type="spellEnd"/>
          </w:p>
        </w:tc>
        <w:tc>
          <w:tcPr>
            <w:tcW w:w="1134" w:type="dxa"/>
            <w:tcBorders>
              <w:top w:val="nil"/>
              <w:left w:val="nil"/>
              <w:bottom w:val="nil"/>
              <w:right w:val="nil"/>
            </w:tcBorders>
            <w:noWrap/>
            <w:tcMar>
              <w:top w:w="15" w:type="dxa"/>
              <w:left w:w="15" w:type="dxa"/>
              <w:bottom w:w="0" w:type="dxa"/>
              <w:right w:w="15" w:type="dxa"/>
            </w:tcMar>
            <w:vAlign w:val="bottom"/>
          </w:tcPr>
          <w:p w:rsidR="00747804" w:rsidRPr="00CE2644" w:rsidRDefault="00747804" w:rsidP="00CE2644">
            <w:pPr>
              <w:pStyle w:val="Tabletext"/>
              <w:jc w:val="center"/>
            </w:pPr>
          </w:p>
        </w:tc>
      </w:tr>
    </w:tbl>
    <w:p w:rsidR="00035561" w:rsidRPr="00137F6B" w:rsidRDefault="00DC00F6" w:rsidP="00137F6B">
      <w:pPr>
        <w:pStyle w:val="Text"/>
        <w:rPr>
          <w:sz w:val="22"/>
        </w:rPr>
      </w:pPr>
      <w:r w:rsidRPr="00137F6B">
        <w:rPr>
          <w:sz w:val="22"/>
        </w:rPr>
        <w:t>In order to calculate the proportions of outcomes by commencement years, estimates are required for the cells in the body of the table. These estimates are obtained by pro-rating the estimated number of outcomes across the rows of the table in the same proportions as the columns of table</w:t>
      </w:r>
      <w:r w:rsidR="00137F6B">
        <w:rPr>
          <w:sz w:val="22"/>
        </w:rPr>
        <w:t> </w:t>
      </w:r>
      <w:r w:rsidRPr="00137F6B">
        <w:rPr>
          <w:sz w:val="22"/>
        </w:rPr>
        <w:t xml:space="preserve">1. </w:t>
      </w:r>
      <w:r w:rsidR="00085637" w:rsidRPr="00137F6B">
        <w:rPr>
          <w:sz w:val="22"/>
          <w:szCs w:val="22"/>
        </w:rPr>
        <w:t>The</w:t>
      </w:r>
      <w:r w:rsidRPr="00137F6B">
        <w:rPr>
          <w:sz w:val="22"/>
        </w:rPr>
        <w:t xml:space="preserve"> estimate for the cell representing commencement quarter </w:t>
      </w:r>
      <w:proofErr w:type="spellStart"/>
      <w:r w:rsidRPr="00137F6B">
        <w:rPr>
          <w:sz w:val="22"/>
        </w:rPr>
        <w:t>i</w:t>
      </w:r>
      <w:proofErr w:type="spellEnd"/>
      <w:r w:rsidRPr="00137F6B">
        <w:rPr>
          <w:sz w:val="22"/>
        </w:rPr>
        <w:t xml:space="preserve"> and termination quarter j is therefore</w:t>
      </w:r>
      <w:r w:rsidR="00676ED7" w:rsidRPr="00137F6B">
        <w:rPr>
          <w:sz w:val="22"/>
          <w:szCs w:val="22"/>
        </w:rPr>
        <w:t>:</w:t>
      </w:r>
    </w:p>
    <w:p w:rsidR="00035561" w:rsidRPr="00CE2644" w:rsidRDefault="00DC00F6" w:rsidP="00CE2644">
      <w:pPr>
        <w:pStyle w:val="Text"/>
        <w:ind w:left="284"/>
      </w:pPr>
      <w:proofErr w:type="spellStart"/>
      <w:r w:rsidRPr="00522324">
        <w:rPr>
          <w:rStyle w:val="TextSymbol"/>
        </w:rPr>
        <w:t>Y</w:t>
      </w:r>
      <w:r w:rsidRPr="001615C5">
        <w:rPr>
          <w:rStyle w:val="TextSymbol"/>
          <w:vertAlign w:val="subscript"/>
        </w:rPr>
        <w:t>i</w:t>
      </w:r>
      <w:proofErr w:type="gramStart"/>
      <w:r w:rsidRPr="001615C5">
        <w:rPr>
          <w:rStyle w:val="TextSymbol"/>
          <w:vertAlign w:val="subscript"/>
        </w:rPr>
        <w:t>,j</w:t>
      </w:r>
      <w:proofErr w:type="spellEnd"/>
      <w:proofErr w:type="gramEnd"/>
      <w:r w:rsidRPr="00522324">
        <w:rPr>
          <w:rStyle w:val="TextSymbol"/>
        </w:rPr>
        <w:t xml:space="preserve"> = </w:t>
      </w:r>
      <w:proofErr w:type="spellStart"/>
      <w:r w:rsidRPr="00522324">
        <w:rPr>
          <w:rStyle w:val="TextSymbol"/>
        </w:rPr>
        <w:t>Y</w:t>
      </w:r>
      <w:r w:rsidRPr="001615C5">
        <w:rPr>
          <w:rStyle w:val="TextSymbol"/>
          <w:vertAlign w:val="subscript"/>
        </w:rPr>
        <w:t>+,j</w:t>
      </w:r>
      <w:proofErr w:type="spellEnd"/>
      <w:r w:rsidRPr="00CE2644">
        <w:t xml:space="preserve"> (</w:t>
      </w:r>
      <w:proofErr w:type="spellStart"/>
      <w:r w:rsidRPr="00CE2644">
        <w:t>Y</w:t>
      </w:r>
      <w:r w:rsidRPr="00CE2644">
        <w:rPr>
          <w:vertAlign w:val="subscript"/>
        </w:rPr>
        <w:t>i,j</w:t>
      </w:r>
      <w:proofErr w:type="spellEnd"/>
      <w:r w:rsidRPr="00CE2644">
        <w:t>/</w:t>
      </w:r>
      <w:proofErr w:type="spellStart"/>
      <w:r w:rsidRPr="00CE2644">
        <w:t>Y</w:t>
      </w:r>
      <w:r w:rsidRPr="00CE2644">
        <w:rPr>
          <w:vertAlign w:val="subscript"/>
        </w:rPr>
        <w:t>+,j</w:t>
      </w:r>
      <w:proofErr w:type="spellEnd"/>
      <w:r w:rsidRPr="00CE2644">
        <w:t>) .</w:t>
      </w:r>
    </w:p>
    <w:p w:rsidR="00035561" w:rsidRPr="003347BA" w:rsidRDefault="00DC00F6" w:rsidP="003347BA">
      <w:pPr>
        <w:pStyle w:val="Text"/>
        <w:rPr>
          <w:sz w:val="22"/>
        </w:rPr>
      </w:pPr>
      <w:r w:rsidRPr="003347BA">
        <w:rPr>
          <w:sz w:val="22"/>
        </w:rPr>
        <w:t>This means the cells of table 2 can be calculated, giving table 3.</w:t>
      </w:r>
    </w:p>
    <w:p w:rsidR="00747804" w:rsidRDefault="00676ED7" w:rsidP="003347BA">
      <w:pPr>
        <w:pStyle w:val="tabletitle"/>
      </w:pPr>
      <w:bookmarkStart w:id="20" w:name="_Toc296701517"/>
      <w:r>
        <w:t>Table 3</w:t>
      </w:r>
      <w:r>
        <w:tab/>
      </w:r>
      <w:r w:rsidR="00747804">
        <w:t xml:space="preserve">Estimated commencements and </w:t>
      </w:r>
      <w:r w:rsidR="00F221DD">
        <w:t>outcomes</w:t>
      </w:r>
      <w:r>
        <w:t>—</w:t>
      </w:r>
      <w:r w:rsidR="00747804">
        <w:t>full table</w:t>
      </w:r>
      <w:bookmarkEnd w:id="20"/>
    </w:p>
    <w:tbl>
      <w:tblPr>
        <w:tblW w:w="8505" w:type="dxa"/>
        <w:tblLayout w:type="fixed"/>
        <w:tblCellMar>
          <w:left w:w="0" w:type="dxa"/>
          <w:right w:w="0" w:type="dxa"/>
        </w:tblCellMar>
        <w:tblLook w:val="04A0"/>
      </w:tblPr>
      <w:tblGrid>
        <w:gridCol w:w="1242"/>
        <w:gridCol w:w="1276"/>
        <w:gridCol w:w="564"/>
        <w:gridCol w:w="564"/>
        <w:gridCol w:w="564"/>
        <w:gridCol w:w="565"/>
        <w:gridCol w:w="564"/>
        <w:gridCol w:w="564"/>
        <w:gridCol w:w="565"/>
        <w:gridCol w:w="1045"/>
        <w:gridCol w:w="992"/>
      </w:tblGrid>
      <w:tr w:rsidR="00747804" w:rsidRPr="00A35721" w:rsidTr="004E41BB">
        <w:tc>
          <w:tcPr>
            <w:tcW w:w="8505" w:type="dxa"/>
            <w:gridSpan w:val="11"/>
            <w:tcBorders>
              <w:top w:val="nil"/>
              <w:left w:val="nil"/>
              <w:bottom w:val="nil"/>
              <w:right w:val="nil"/>
            </w:tcBorders>
            <w:shd w:val="clear" w:color="auto" w:fill="auto"/>
            <w:noWrap/>
            <w:vAlign w:val="bottom"/>
            <w:hideMark/>
          </w:tcPr>
          <w:p w:rsidR="00747804" w:rsidRPr="00CE2644" w:rsidRDefault="00747804" w:rsidP="00CE2644">
            <w:pPr>
              <w:pStyle w:val="Tablehead1"/>
              <w:jc w:val="center"/>
            </w:pPr>
            <w:r w:rsidRPr="00CE2644">
              <w:t>Estimated</w:t>
            </w:r>
          </w:p>
        </w:tc>
      </w:tr>
      <w:tr w:rsidR="00747804" w:rsidRPr="00A35721" w:rsidTr="004E41BB">
        <w:tc>
          <w:tcPr>
            <w:tcW w:w="2518" w:type="dxa"/>
            <w:gridSpan w:val="2"/>
            <w:tcBorders>
              <w:top w:val="nil"/>
              <w:left w:val="nil"/>
              <w:bottom w:val="nil"/>
              <w:right w:val="single" w:sz="12" w:space="0" w:color="000000"/>
            </w:tcBorders>
            <w:shd w:val="clear" w:color="auto" w:fill="auto"/>
            <w:noWrap/>
            <w:vAlign w:val="bottom"/>
            <w:hideMark/>
          </w:tcPr>
          <w:p w:rsidR="00747804" w:rsidRPr="00CE2644" w:rsidRDefault="00747804" w:rsidP="00CE2644">
            <w:pPr>
              <w:pStyle w:val="Tablehead1"/>
              <w:jc w:val="center"/>
            </w:pPr>
            <w:r w:rsidRPr="00CE2644">
              <w:t>Commenced</w:t>
            </w:r>
          </w:p>
        </w:tc>
        <w:tc>
          <w:tcPr>
            <w:tcW w:w="4995" w:type="dxa"/>
            <w:gridSpan w:val="8"/>
            <w:tcBorders>
              <w:top w:val="single" w:sz="12" w:space="0" w:color="auto"/>
              <w:left w:val="single" w:sz="12" w:space="0" w:color="auto"/>
              <w:bottom w:val="nil"/>
              <w:right w:val="nil"/>
            </w:tcBorders>
            <w:shd w:val="clear" w:color="auto" w:fill="auto"/>
            <w:noWrap/>
            <w:vAlign w:val="bottom"/>
            <w:hideMark/>
          </w:tcPr>
          <w:p w:rsidR="00747804" w:rsidRPr="00A35721" w:rsidRDefault="00747804" w:rsidP="00CE2644">
            <w:pPr>
              <w:pStyle w:val="Tablehead1"/>
              <w:jc w:val="center"/>
            </w:pPr>
            <w:r w:rsidRPr="00A35721">
              <w:t xml:space="preserve">Quarter of </w:t>
            </w:r>
            <w:r w:rsidR="00F221DD">
              <w:t>outcomes</w:t>
            </w:r>
          </w:p>
        </w:tc>
        <w:tc>
          <w:tcPr>
            <w:tcW w:w="992" w:type="dxa"/>
            <w:tcBorders>
              <w:top w:val="single" w:sz="12" w:space="0" w:color="auto"/>
              <w:left w:val="single" w:sz="12" w:space="0" w:color="auto"/>
              <w:bottom w:val="nil"/>
              <w:right w:val="nil"/>
            </w:tcBorders>
            <w:shd w:val="clear" w:color="auto" w:fill="auto"/>
            <w:noWrap/>
            <w:vAlign w:val="bottom"/>
            <w:hideMark/>
          </w:tcPr>
          <w:p w:rsidR="00747804" w:rsidRPr="00A35721" w:rsidRDefault="00747804" w:rsidP="00CE2644">
            <w:pPr>
              <w:pStyle w:val="Tablehead1"/>
              <w:jc w:val="center"/>
            </w:pPr>
            <w:r w:rsidRPr="00A35721">
              <w:t>All</w:t>
            </w:r>
          </w:p>
        </w:tc>
      </w:tr>
      <w:tr w:rsidR="00747804" w:rsidRPr="00A35721" w:rsidTr="004E41BB">
        <w:tc>
          <w:tcPr>
            <w:tcW w:w="1242" w:type="dxa"/>
            <w:tcBorders>
              <w:top w:val="nil"/>
              <w:left w:val="nil"/>
              <w:bottom w:val="single" w:sz="12" w:space="0" w:color="auto"/>
              <w:right w:val="nil"/>
            </w:tcBorders>
            <w:shd w:val="clear" w:color="auto" w:fill="auto"/>
            <w:noWrap/>
            <w:vAlign w:val="bottom"/>
            <w:hideMark/>
          </w:tcPr>
          <w:p w:rsidR="00747804" w:rsidRPr="00A35721" w:rsidRDefault="00747804" w:rsidP="00CE2644">
            <w:pPr>
              <w:pStyle w:val="Tablehead2"/>
              <w:jc w:val="center"/>
            </w:pPr>
            <w:r w:rsidRPr="00A35721">
              <w:t>Quarter</w:t>
            </w:r>
          </w:p>
        </w:tc>
        <w:tc>
          <w:tcPr>
            <w:tcW w:w="1276" w:type="dxa"/>
            <w:tcBorders>
              <w:top w:val="nil"/>
              <w:left w:val="nil"/>
              <w:bottom w:val="single" w:sz="12" w:space="0" w:color="auto"/>
              <w:right w:val="nil"/>
            </w:tcBorders>
            <w:shd w:val="clear" w:color="auto" w:fill="auto"/>
            <w:noWrap/>
            <w:vAlign w:val="bottom"/>
            <w:hideMark/>
          </w:tcPr>
          <w:p w:rsidR="00747804" w:rsidRPr="00A35721" w:rsidRDefault="00747804" w:rsidP="00CE2644">
            <w:pPr>
              <w:pStyle w:val="Tablehead2"/>
              <w:jc w:val="center"/>
            </w:pPr>
            <w:r w:rsidRPr="00A35721">
              <w:t>Number</w:t>
            </w:r>
          </w:p>
        </w:tc>
        <w:tc>
          <w:tcPr>
            <w:tcW w:w="564"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rsidR="00747804" w:rsidRPr="00A35721" w:rsidRDefault="00747804" w:rsidP="00CE2644">
            <w:pPr>
              <w:pStyle w:val="Tablehead2"/>
              <w:jc w:val="center"/>
            </w:pPr>
            <w:r w:rsidRPr="00A35721">
              <w:t>0</w:t>
            </w:r>
          </w:p>
        </w:tc>
        <w:tc>
          <w:tcPr>
            <w:tcW w:w="564" w:type="dxa"/>
            <w:tcBorders>
              <w:top w:val="single" w:sz="8" w:space="0" w:color="auto"/>
              <w:left w:val="nil"/>
              <w:bottom w:val="single" w:sz="12" w:space="0" w:color="auto"/>
              <w:right w:val="single" w:sz="8" w:space="0" w:color="auto"/>
            </w:tcBorders>
            <w:shd w:val="clear" w:color="auto" w:fill="auto"/>
            <w:noWrap/>
            <w:vAlign w:val="bottom"/>
            <w:hideMark/>
          </w:tcPr>
          <w:p w:rsidR="00747804" w:rsidRPr="00A35721" w:rsidRDefault="00747804" w:rsidP="00CE2644">
            <w:pPr>
              <w:pStyle w:val="Tablehead2"/>
              <w:jc w:val="center"/>
            </w:pPr>
            <w:r w:rsidRPr="00A35721">
              <w:t>1</w:t>
            </w:r>
          </w:p>
        </w:tc>
        <w:tc>
          <w:tcPr>
            <w:tcW w:w="564" w:type="dxa"/>
            <w:tcBorders>
              <w:top w:val="single" w:sz="8" w:space="0" w:color="auto"/>
              <w:left w:val="nil"/>
              <w:bottom w:val="single" w:sz="12" w:space="0" w:color="auto"/>
              <w:right w:val="single" w:sz="8" w:space="0" w:color="auto"/>
            </w:tcBorders>
            <w:shd w:val="clear" w:color="auto" w:fill="auto"/>
            <w:noWrap/>
            <w:vAlign w:val="bottom"/>
            <w:hideMark/>
          </w:tcPr>
          <w:p w:rsidR="00747804" w:rsidRPr="00A35721" w:rsidRDefault="00747804" w:rsidP="00CE2644">
            <w:pPr>
              <w:pStyle w:val="Tablehead2"/>
              <w:jc w:val="center"/>
            </w:pPr>
            <w:r w:rsidRPr="00A35721">
              <w:t>2</w:t>
            </w:r>
          </w:p>
        </w:tc>
        <w:tc>
          <w:tcPr>
            <w:tcW w:w="565" w:type="dxa"/>
            <w:tcBorders>
              <w:top w:val="single" w:sz="8" w:space="0" w:color="auto"/>
              <w:left w:val="nil"/>
              <w:bottom w:val="single" w:sz="12" w:space="0" w:color="auto"/>
              <w:right w:val="single" w:sz="8" w:space="0" w:color="auto"/>
            </w:tcBorders>
            <w:shd w:val="clear" w:color="auto" w:fill="auto"/>
            <w:noWrap/>
            <w:vAlign w:val="bottom"/>
            <w:hideMark/>
          </w:tcPr>
          <w:p w:rsidR="00747804" w:rsidRPr="00A35721" w:rsidRDefault="00747804" w:rsidP="00CE2644">
            <w:pPr>
              <w:pStyle w:val="Tablehead2"/>
              <w:jc w:val="center"/>
            </w:pPr>
            <w:r w:rsidRPr="00A35721">
              <w:t>3</w:t>
            </w:r>
          </w:p>
        </w:tc>
        <w:tc>
          <w:tcPr>
            <w:tcW w:w="564" w:type="dxa"/>
            <w:tcBorders>
              <w:top w:val="single" w:sz="8" w:space="0" w:color="auto"/>
              <w:left w:val="nil"/>
              <w:bottom w:val="single" w:sz="12" w:space="0" w:color="auto"/>
              <w:right w:val="single" w:sz="8" w:space="0" w:color="auto"/>
            </w:tcBorders>
            <w:shd w:val="clear" w:color="auto" w:fill="auto"/>
            <w:noWrap/>
            <w:vAlign w:val="bottom"/>
            <w:hideMark/>
          </w:tcPr>
          <w:p w:rsidR="00747804" w:rsidRPr="00A35721" w:rsidRDefault="00747804" w:rsidP="00CE2644">
            <w:pPr>
              <w:pStyle w:val="Tablehead2"/>
              <w:jc w:val="center"/>
            </w:pPr>
            <w:r w:rsidRPr="00A35721">
              <w:t>4</w:t>
            </w:r>
          </w:p>
        </w:tc>
        <w:tc>
          <w:tcPr>
            <w:tcW w:w="564" w:type="dxa"/>
            <w:tcBorders>
              <w:top w:val="single" w:sz="8" w:space="0" w:color="auto"/>
              <w:left w:val="nil"/>
              <w:bottom w:val="single" w:sz="12" w:space="0" w:color="auto"/>
              <w:right w:val="single" w:sz="8" w:space="0" w:color="auto"/>
            </w:tcBorders>
            <w:shd w:val="clear" w:color="auto" w:fill="auto"/>
            <w:noWrap/>
            <w:vAlign w:val="bottom"/>
            <w:hideMark/>
          </w:tcPr>
          <w:p w:rsidR="00747804" w:rsidRPr="00A35721" w:rsidRDefault="00747804" w:rsidP="00CE2644">
            <w:pPr>
              <w:pStyle w:val="Tablehead2"/>
              <w:jc w:val="center"/>
            </w:pPr>
            <w:r w:rsidRPr="00A35721">
              <w:t>5</w:t>
            </w:r>
          </w:p>
        </w:tc>
        <w:tc>
          <w:tcPr>
            <w:tcW w:w="565" w:type="dxa"/>
            <w:tcBorders>
              <w:top w:val="single" w:sz="8" w:space="0" w:color="auto"/>
              <w:left w:val="nil"/>
              <w:bottom w:val="single" w:sz="12" w:space="0" w:color="auto"/>
              <w:right w:val="single" w:sz="8" w:space="0" w:color="auto"/>
            </w:tcBorders>
            <w:shd w:val="clear" w:color="auto" w:fill="auto"/>
            <w:noWrap/>
            <w:vAlign w:val="bottom"/>
            <w:hideMark/>
          </w:tcPr>
          <w:p w:rsidR="00747804" w:rsidRPr="00A35721" w:rsidRDefault="00747804" w:rsidP="00CE2644">
            <w:pPr>
              <w:pStyle w:val="Tablehead2"/>
              <w:jc w:val="center"/>
            </w:pPr>
            <w:r w:rsidRPr="00A35721">
              <w:t>…</w:t>
            </w:r>
          </w:p>
        </w:tc>
        <w:tc>
          <w:tcPr>
            <w:tcW w:w="1045" w:type="dxa"/>
            <w:tcBorders>
              <w:top w:val="single" w:sz="8" w:space="0" w:color="auto"/>
              <w:left w:val="nil"/>
              <w:bottom w:val="single" w:sz="12" w:space="0" w:color="auto"/>
              <w:right w:val="single" w:sz="12" w:space="0" w:color="auto"/>
            </w:tcBorders>
            <w:shd w:val="clear" w:color="auto" w:fill="auto"/>
            <w:noWrap/>
            <w:vAlign w:val="bottom"/>
            <w:hideMark/>
          </w:tcPr>
          <w:p w:rsidR="00747804" w:rsidRPr="00A35721" w:rsidRDefault="00747804" w:rsidP="00CE2644">
            <w:pPr>
              <w:pStyle w:val="Tablehead2"/>
              <w:jc w:val="center"/>
            </w:pPr>
            <w:r w:rsidRPr="00A35721">
              <w:t>Present</w:t>
            </w:r>
          </w:p>
        </w:tc>
        <w:tc>
          <w:tcPr>
            <w:tcW w:w="992" w:type="dxa"/>
            <w:tcBorders>
              <w:top w:val="nil"/>
              <w:left w:val="nil"/>
              <w:bottom w:val="single" w:sz="12" w:space="0" w:color="auto"/>
              <w:right w:val="nil"/>
            </w:tcBorders>
            <w:shd w:val="clear" w:color="auto" w:fill="auto"/>
            <w:noWrap/>
            <w:vAlign w:val="bottom"/>
            <w:hideMark/>
          </w:tcPr>
          <w:p w:rsidR="00747804" w:rsidRPr="00A35721" w:rsidRDefault="004E41BB" w:rsidP="00CE2644">
            <w:pPr>
              <w:pStyle w:val="Tablehead2"/>
              <w:jc w:val="center"/>
            </w:pPr>
            <w:r>
              <w:t>Outcomes</w:t>
            </w:r>
          </w:p>
        </w:tc>
      </w:tr>
      <w:tr w:rsidR="00747804" w:rsidRPr="00A35721" w:rsidTr="004E41BB">
        <w:tc>
          <w:tcPr>
            <w:tcW w:w="1242" w:type="dxa"/>
            <w:tcBorders>
              <w:top w:val="nil"/>
              <w:left w:val="nil"/>
              <w:bottom w:val="nil"/>
              <w:right w:val="nil"/>
            </w:tcBorders>
            <w:shd w:val="clear" w:color="auto" w:fill="auto"/>
            <w:noWrap/>
            <w:vAlign w:val="bottom"/>
            <w:hideMark/>
          </w:tcPr>
          <w:p w:rsidR="00747804" w:rsidRPr="00A35721" w:rsidRDefault="00747804" w:rsidP="00CE2644">
            <w:pPr>
              <w:pStyle w:val="Tabletext"/>
              <w:jc w:val="center"/>
            </w:pPr>
            <w:r w:rsidRPr="00A35721">
              <w:t>0</w:t>
            </w:r>
          </w:p>
        </w:tc>
        <w:tc>
          <w:tcPr>
            <w:tcW w:w="1276" w:type="dxa"/>
            <w:tcBorders>
              <w:top w:val="nil"/>
              <w:left w:val="nil"/>
              <w:bottom w:val="nil"/>
              <w:right w:val="nil"/>
            </w:tcBorders>
            <w:shd w:val="clear" w:color="auto" w:fill="auto"/>
            <w:noWrap/>
            <w:vAlign w:val="bottom"/>
            <w:hideMark/>
          </w:tcPr>
          <w:p w:rsidR="00747804" w:rsidRPr="00CE2644" w:rsidRDefault="00747804" w:rsidP="00522324">
            <w:pPr>
              <w:pStyle w:val="TableSymbol"/>
            </w:pPr>
            <w:r w:rsidRPr="00CE2644">
              <w:t>X</w:t>
            </w:r>
            <w:r w:rsidRPr="00CE2644">
              <w:rPr>
                <w:vertAlign w:val="subscript"/>
              </w:rPr>
              <w:t>0</w:t>
            </w:r>
          </w:p>
        </w:tc>
        <w:tc>
          <w:tcPr>
            <w:tcW w:w="564" w:type="dxa"/>
            <w:tcBorders>
              <w:top w:val="nil"/>
              <w:left w:val="single" w:sz="12" w:space="0" w:color="auto"/>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0,0</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0,1</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0,2</w:t>
            </w:r>
          </w:p>
        </w:tc>
        <w:tc>
          <w:tcPr>
            <w:tcW w:w="565"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0,3</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0,4</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0,5</w:t>
            </w:r>
          </w:p>
        </w:tc>
        <w:tc>
          <w:tcPr>
            <w:tcW w:w="565"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nil"/>
              <w:right w:val="single" w:sz="12"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0,p</w:t>
            </w:r>
          </w:p>
        </w:tc>
        <w:tc>
          <w:tcPr>
            <w:tcW w:w="992" w:type="dxa"/>
            <w:tcBorders>
              <w:top w:val="nil"/>
              <w:left w:val="nil"/>
              <w:bottom w:val="nil"/>
              <w:right w:val="nil"/>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w:t>
            </w:r>
          </w:p>
        </w:tc>
      </w:tr>
      <w:tr w:rsidR="00747804" w:rsidRPr="00A35721" w:rsidTr="004E41BB">
        <w:tc>
          <w:tcPr>
            <w:tcW w:w="1242" w:type="dxa"/>
            <w:tcBorders>
              <w:top w:val="dotted" w:sz="4" w:space="0" w:color="C0C0C0"/>
              <w:left w:val="nil"/>
              <w:bottom w:val="dotted" w:sz="4" w:space="0" w:color="C0C0C0"/>
              <w:right w:val="nil"/>
            </w:tcBorders>
            <w:shd w:val="clear" w:color="auto" w:fill="auto"/>
            <w:noWrap/>
            <w:vAlign w:val="bottom"/>
            <w:hideMark/>
          </w:tcPr>
          <w:p w:rsidR="00747804" w:rsidRPr="00A35721" w:rsidRDefault="00747804" w:rsidP="00CE2644">
            <w:pPr>
              <w:pStyle w:val="Tabletext"/>
              <w:jc w:val="center"/>
            </w:pPr>
            <w:r w:rsidRPr="00A35721">
              <w:t>1</w:t>
            </w:r>
          </w:p>
        </w:tc>
        <w:tc>
          <w:tcPr>
            <w:tcW w:w="1276" w:type="dxa"/>
            <w:tcBorders>
              <w:top w:val="dotted" w:sz="4" w:space="0" w:color="C0C0C0"/>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X</w:t>
            </w:r>
            <w:r w:rsidRPr="00CE2644">
              <w:rPr>
                <w:vertAlign w:val="subscript"/>
              </w:rPr>
              <w:t>1</w:t>
            </w:r>
          </w:p>
        </w:tc>
        <w:tc>
          <w:tcPr>
            <w:tcW w:w="564" w:type="dxa"/>
            <w:tcBorders>
              <w:top w:val="dotted" w:sz="4" w:space="0" w:color="C0C0C0"/>
              <w:left w:val="single" w:sz="12" w:space="0" w:color="auto"/>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1,1</w:t>
            </w:r>
          </w:p>
        </w:tc>
        <w:tc>
          <w:tcPr>
            <w:tcW w:w="564"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1,2</w:t>
            </w:r>
          </w:p>
        </w:tc>
        <w:tc>
          <w:tcPr>
            <w:tcW w:w="565"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1,3</w:t>
            </w:r>
          </w:p>
        </w:tc>
        <w:tc>
          <w:tcPr>
            <w:tcW w:w="564"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1,4</w:t>
            </w:r>
          </w:p>
        </w:tc>
        <w:tc>
          <w:tcPr>
            <w:tcW w:w="564"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1,5</w:t>
            </w:r>
          </w:p>
        </w:tc>
        <w:tc>
          <w:tcPr>
            <w:tcW w:w="565"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dotted" w:sz="4" w:space="0" w:color="C0C0C0"/>
              <w:left w:val="nil"/>
              <w:bottom w:val="dotted" w:sz="4" w:space="0" w:color="C0C0C0"/>
              <w:right w:val="single" w:sz="12"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1,p</w:t>
            </w:r>
          </w:p>
        </w:tc>
        <w:tc>
          <w:tcPr>
            <w:tcW w:w="992" w:type="dxa"/>
            <w:tcBorders>
              <w:top w:val="dotted" w:sz="4" w:space="0" w:color="C0C0C0"/>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w:t>
            </w:r>
          </w:p>
        </w:tc>
      </w:tr>
      <w:tr w:rsidR="00747804" w:rsidRPr="00A35721" w:rsidTr="004E41BB">
        <w:tc>
          <w:tcPr>
            <w:tcW w:w="1242" w:type="dxa"/>
            <w:tcBorders>
              <w:top w:val="nil"/>
              <w:left w:val="nil"/>
              <w:bottom w:val="dotted" w:sz="4" w:space="0" w:color="C0C0C0"/>
              <w:right w:val="nil"/>
            </w:tcBorders>
            <w:shd w:val="clear" w:color="auto" w:fill="auto"/>
            <w:noWrap/>
            <w:vAlign w:val="bottom"/>
            <w:hideMark/>
          </w:tcPr>
          <w:p w:rsidR="00747804" w:rsidRPr="00A35721" w:rsidRDefault="00747804" w:rsidP="00CE2644">
            <w:pPr>
              <w:pStyle w:val="Tabletext"/>
              <w:jc w:val="center"/>
            </w:pPr>
            <w:r w:rsidRPr="00A35721">
              <w:t>2</w:t>
            </w:r>
          </w:p>
        </w:tc>
        <w:tc>
          <w:tcPr>
            <w:tcW w:w="1276"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X</w:t>
            </w:r>
            <w:r w:rsidRPr="00CE2644">
              <w:rPr>
                <w:vertAlign w:val="subscript"/>
              </w:rPr>
              <w:t>2</w:t>
            </w:r>
          </w:p>
        </w:tc>
        <w:tc>
          <w:tcPr>
            <w:tcW w:w="564"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2,2</w:t>
            </w: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2,3</w:t>
            </w: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2,4</w:t>
            </w: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2,5</w:t>
            </w: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dotted" w:sz="4" w:space="0" w:color="C0C0C0"/>
              <w:right w:val="single" w:sz="12"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2,p</w:t>
            </w:r>
          </w:p>
        </w:tc>
        <w:tc>
          <w:tcPr>
            <w:tcW w:w="992"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2,+</w:t>
            </w:r>
          </w:p>
        </w:tc>
      </w:tr>
      <w:tr w:rsidR="00747804" w:rsidRPr="00A35721" w:rsidTr="004E41BB">
        <w:tc>
          <w:tcPr>
            <w:tcW w:w="1242" w:type="dxa"/>
            <w:tcBorders>
              <w:top w:val="nil"/>
              <w:left w:val="nil"/>
              <w:bottom w:val="dotted" w:sz="4" w:space="0" w:color="C0C0C0"/>
              <w:right w:val="nil"/>
            </w:tcBorders>
            <w:shd w:val="clear" w:color="auto" w:fill="auto"/>
            <w:noWrap/>
            <w:vAlign w:val="bottom"/>
            <w:hideMark/>
          </w:tcPr>
          <w:p w:rsidR="00747804" w:rsidRPr="00A35721" w:rsidRDefault="00747804" w:rsidP="00CE2644">
            <w:pPr>
              <w:pStyle w:val="Tabletext"/>
              <w:jc w:val="center"/>
            </w:pPr>
            <w:r w:rsidRPr="00A35721">
              <w:t>3</w:t>
            </w:r>
          </w:p>
        </w:tc>
        <w:tc>
          <w:tcPr>
            <w:tcW w:w="1276"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X</w:t>
            </w:r>
            <w:r w:rsidRPr="00CE2644">
              <w:rPr>
                <w:vertAlign w:val="subscript"/>
              </w:rPr>
              <w:t>3</w:t>
            </w:r>
          </w:p>
        </w:tc>
        <w:tc>
          <w:tcPr>
            <w:tcW w:w="564"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3,3</w:t>
            </w: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3,4</w:t>
            </w: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3,5</w:t>
            </w: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dotted" w:sz="4" w:space="0" w:color="C0C0C0"/>
              <w:right w:val="single" w:sz="12"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3,p</w:t>
            </w:r>
          </w:p>
        </w:tc>
        <w:tc>
          <w:tcPr>
            <w:tcW w:w="992"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3,+</w:t>
            </w:r>
          </w:p>
        </w:tc>
      </w:tr>
      <w:tr w:rsidR="00747804" w:rsidRPr="00A35721" w:rsidTr="004E41BB">
        <w:tc>
          <w:tcPr>
            <w:tcW w:w="1242" w:type="dxa"/>
            <w:tcBorders>
              <w:top w:val="nil"/>
              <w:left w:val="nil"/>
              <w:bottom w:val="dotted" w:sz="4" w:space="0" w:color="C0C0C0"/>
              <w:right w:val="nil"/>
            </w:tcBorders>
            <w:shd w:val="clear" w:color="auto" w:fill="auto"/>
            <w:noWrap/>
            <w:vAlign w:val="bottom"/>
            <w:hideMark/>
          </w:tcPr>
          <w:p w:rsidR="00747804" w:rsidRPr="00A35721" w:rsidRDefault="00747804" w:rsidP="00CE2644">
            <w:pPr>
              <w:pStyle w:val="Tabletext"/>
              <w:jc w:val="center"/>
            </w:pPr>
            <w:r w:rsidRPr="00A35721">
              <w:t>4</w:t>
            </w:r>
          </w:p>
        </w:tc>
        <w:tc>
          <w:tcPr>
            <w:tcW w:w="1276"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X</w:t>
            </w:r>
            <w:r w:rsidRPr="00CE2644">
              <w:rPr>
                <w:vertAlign w:val="subscript"/>
              </w:rPr>
              <w:t>4</w:t>
            </w:r>
          </w:p>
        </w:tc>
        <w:tc>
          <w:tcPr>
            <w:tcW w:w="564"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4,4</w:t>
            </w: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4,5</w:t>
            </w: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dotted" w:sz="4" w:space="0" w:color="C0C0C0"/>
              <w:right w:val="single" w:sz="12"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4,p</w:t>
            </w:r>
          </w:p>
        </w:tc>
        <w:tc>
          <w:tcPr>
            <w:tcW w:w="992"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4,+</w:t>
            </w:r>
          </w:p>
        </w:tc>
      </w:tr>
      <w:tr w:rsidR="00747804" w:rsidRPr="00A35721" w:rsidTr="004E41BB">
        <w:tc>
          <w:tcPr>
            <w:tcW w:w="1242" w:type="dxa"/>
            <w:tcBorders>
              <w:top w:val="nil"/>
              <w:left w:val="nil"/>
              <w:bottom w:val="dotted" w:sz="4" w:space="0" w:color="C0C0C0"/>
              <w:right w:val="nil"/>
            </w:tcBorders>
            <w:shd w:val="clear" w:color="auto" w:fill="auto"/>
            <w:noWrap/>
            <w:vAlign w:val="bottom"/>
            <w:hideMark/>
          </w:tcPr>
          <w:p w:rsidR="00747804" w:rsidRPr="00A35721" w:rsidRDefault="00747804" w:rsidP="00CE2644">
            <w:pPr>
              <w:pStyle w:val="Tabletext"/>
              <w:jc w:val="center"/>
            </w:pPr>
            <w:r w:rsidRPr="00A35721">
              <w:t>5</w:t>
            </w:r>
          </w:p>
        </w:tc>
        <w:tc>
          <w:tcPr>
            <w:tcW w:w="1276"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X</w:t>
            </w:r>
            <w:r w:rsidRPr="00CE2644">
              <w:rPr>
                <w:vertAlign w:val="subscript"/>
              </w:rPr>
              <w:t>5</w:t>
            </w:r>
          </w:p>
        </w:tc>
        <w:tc>
          <w:tcPr>
            <w:tcW w:w="564"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5,5</w:t>
            </w: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dotted" w:sz="4" w:space="0" w:color="C0C0C0"/>
              <w:right w:val="single" w:sz="12"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5,p</w:t>
            </w:r>
          </w:p>
        </w:tc>
        <w:tc>
          <w:tcPr>
            <w:tcW w:w="992"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5,+</w:t>
            </w:r>
          </w:p>
        </w:tc>
      </w:tr>
      <w:tr w:rsidR="00747804" w:rsidRPr="00A35721" w:rsidTr="004E41BB">
        <w:tc>
          <w:tcPr>
            <w:tcW w:w="1242" w:type="dxa"/>
            <w:tcBorders>
              <w:top w:val="nil"/>
              <w:left w:val="nil"/>
              <w:bottom w:val="dotted" w:sz="4" w:space="0" w:color="C0C0C0"/>
              <w:right w:val="nil"/>
            </w:tcBorders>
            <w:shd w:val="clear" w:color="auto" w:fill="auto"/>
            <w:noWrap/>
            <w:vAlign w:val="bottom"/>
            <w:hideMark/>
          </w:tcPr>
          <w:p w:rsidR="00747804" w:rsidRPr="00A35721" w:rsidRDefault="00747804" w:rsidP="00CE2644">
            <w:pPr>
              <w:pStyle w:val="Tabletext"/>
              <w:jc w:val="center"/>
            </w:pPr>
            <w:r w:rsidRPr="00A35721">
              <w:t>…</w:t>
            </w:r>
          </w:p>
        </w:tc>
        <w:tc>
          <w:tcPr>
            <w:tcW w:w="1276"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p>
        </w:tc>
        <w:tc>
          <w:tcPr>
            <w:tcW w:w="564"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565" w:type="dxa"/>
            <w:tcBorders>
              <w:top w:val="nil"/>
              <w:left w:val="nil"/>
              <w:bottom w:val="dotted" w:sz="4" w:space="0" w:color="C0C0C0"/>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dotted" w:sz="4" w:space="0" w:color="C0C0C0"/>
              <w:right w:val="single" w:sz="12" w:space="0" w:color="auto"/>
            </w:tcBorders>
            <w:shd w:val="clear" w:color="auto" w:fill="auto"/>
            <w:noWrap/>
            <w:vAlign w:val="bottom"/>
            <w:hideMark/>
          </w:tcPr>
          <w:p w:rsidR="00747804" w:rsidRPr="00CE2644" w:rsidRDefault="00747804" w:rsidP="00522324">
            <w:pPr>
              <w:pStyle w:val="TableSymbol"/>
            </w:pPr>
          </w:p>
        </w:tc>
        <w:tc>
          <w:tcPr>
            <w:tcW w:w="992" w:type="dxa"/>
            <w:tcBorders>
              <w:top w:val="nil"/>
              <w:left w:val="nil"/>
              <w:bottom w:val="dotted" w:sz="4" w:space="0" w:color="C0C0C0"/>
              <w:right w:val="nil"/>
            </w:tcBorders>
            <w:shd w:val="clear" w:color="auto" w:fill="auto"/>
            <w:noWrap/>
            <w:vAlign w:val="bottom"/>
            <w:hideMark/>
          </w:tcPr>
          <w:p w:rsidR="00747804" w:rsidRPr="00CE2644" w:rsidRDefault="00747804" w:rsidP="00522324">
            <w:pPr>
              <w:pStyle w:val="TableSymbol"/>
            </w:pPr>
          </w:p>
        </w:tc>
      </w:tr>
      <w:tr w:rsidR="00747804" w:rsidRPr="00A35721" w:rsidTr="004E41BB">
        <w:tc>
          <w:tcPr>
            <w:tcW w:w="1242" w:type="dxa"/>
            <w:tcBorders>
              <w:top w:val="nil"/>
              <w:left w:val="nil"/>
              <w:bottom w:val="single" w:sz="12" w:space="0" w:color="auto"/>
              <w:right w:val="nil"/>
            </w:tcBorders>
            <w:shd w:val="clear" w:color="auto" w:fill="auto"/>
            <w:noWrap/>
            <w:vAlign w:val="bottom"/>
            <w:hideMark/>
          </w:tcPr>
          <w:p w:rsidR="00747804" w:rsidRPr="00A35721" w:rsidRDefault="00747804" w:rsidP="00CE2644">
            <w:pPr>
              <w:pStyle w:val="Tabletext"/>
              <w:jc w:val="center"/>
            </w:pPr>
            <w:r w:rsidRPr="00A35721">
              <w:t>Present</w:t>
            </w:r>
          </w:p>
        </w:tc>
        <w:tc>
          <w:tcPr>
            <w:tcW w:w="1276" w:type="dxa"/>
            <w:tcBorders>
              <w:top w:val="nil"/>
              <w:left w:val="nil"/>
              <w:bottom w:val="single" w:sz="12" w:space="0" w:color="auto"/>
              <w:right w:val="nil"/>
            </w:tcBorders>
            <w:shd w:val="clear" w:color="auto" w:fill="auto"/>
            <w:noWrap/>
            <w:vAlign w:val="bottom"/>
            <w:hideMark/>
          </w:tcPr>
          <w:p w:rsidR="00747804" w:rsidRPr="00CE2644" w:rsidRDefault="00747804" w:rsidP="00522324">
            <w:pPr>
              <w:pStyle w:val="TableSymbol"/>
            </w:pPr>
            <w:proofErr w:type="spellStart"/>
            <w:r w:rsidRPr="00794764">
              <w:t>X</w:t>
            </w:r>
            <w:r w:rsidRPr="00794764">
              <w:rPr>
                <w:vertAlign w:val="subscript"/>
              </w:rPr>
              <w:t>p</w:t>
            </w:r>
            <w:proofErr w:type="spellEnd"/>
          </w:p>
        </w:tc>
        <w:tc>
          <w:tcPr>
            <w:tcW w:w="564" w:type="dxa"/>
            <w:tcBorders>
              <w:top w:val="nil"/>
              <w:left w:val="single" w:sz="12" w:space="0" w:color="auto"/>
              <w:bottom w:val="single" w:sz="12" w:space="0" w:color="auto"/>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single" w:sz="12" w:space="0" w:color="auto"/>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single" w:sz="12" w:space="0" w:color="auto"/>
              <w:right w:val="single" w:sz="8" w:space="0" w:color="auto"/>
            </w:tcBorders>
            <w:shd w:val="clear" w:color="auto" w:fill="auto"/>
            <w:noWrap/>
            <w:vAlign w:val="bottom"/>
            <w:hideMark/>
          </w:tcPr>
          <w:p w:rsidR="00747804" w:rsidRPr="00CE2644" w:rsidRDefault="00747804" w:rsidP="00522324">
            <w:pPr>
              <w:pStyle w:val="TableSymbol"/>
            </w:pPr>
          </w:p>
        </w:tc>
        <w:tc>
          <w:tcPr>
            <w:tcW w:w="565" w:type="dxa"/>
            <w:tcBorders>
              <w:top w:val="nil"/>
              <w:left w:val="nil"/>
              <w:bottom w:val="single" w:sz="12" w:space="0" w:color="auto"/>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single" w:sz="12" w:space="0" w:color="auto"/>
              <w:right w:val="single" w:sz="8" w:space="0" w:color="auto"/>
            </w:tcBorders>
            <w:shd w:val="clear" w:color="auto" w:fill="auto"/>
            <w:noWrap/>
            <w:vAlign w:val="bottom"/>
            <w:hideMark/>
          </w:tcPr>
          <w:p w:rsidR="00747804" w:rsidRPr="00CE2644" w:rsidRDefault="00747804" w:rsidP="00522324">
            <w:pPr>
              <w:pStyle w:val="TableSymbol"/>
            </w:pPr>
          </w:p>
        </w:tc>
        <w:tc>
          <w:tcPr>
            <w:tcW w:w="564" w:type="dxa"/>
            <w:tcBorders>
              <w:top w:val="nil"/>
              <w:left w:val="nil"/>
              <w:bottom w:val="single" w:sz="12" w:space="0" w:color="auto"/>
              <w:right w:val="single" w:sz="8" w:space="0" w:color="auto"/>
            </w:tcBorders>
            <w:shd w:val="clear" w:color="auto" w:fill="auto"/>
            <w:noWrap/>
            <w:vAlign w:val="bottom"/>
            <w:hideMark/>
          </w:tcPr>
          <w:p w:rsidR="00747804" w:rsidRPr="00CE2644" w:rsidRDefault="00747804" w:rsidP="00522324">
            <w:pPr>
              <w:pStyle w:val="TableSymbol"/>
            </w:pPr>
          </w:p>
        </w:tc>
        <w:tc>
          <w:tcPr>
            <w:tcW w:w="565" w:type="dxa"/>
            <w:tcBorders>
              <w:top w:val="nil"/>
              <w:left w:val="nil"/>
              <w:bottom w:val="single" w:sz="12" w:space="0" w:color="auto"/>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single" w:sz="12" w:space="0" w:color="auto"/>
              <w:right w:val="single" w:sz="12" w:space="0" w:color="auto"/>
            </w:tcBorders>
            <w:shd w:val="clear" w:color="auto" w:fill="auto"/>
            <w:noWrap/>
            <w:vAlign w:val="bottom"/>
            <w:hideMark/>
          </w:tcPr>
          <w:p w:rsidR="00747804" w:rsidRPr="008C72CD" w:rsidRDefault="00747804" w:rsidP="00522324">
            <w:pPr>
              <w:pStyle w:val="TableSymbol"/>
            </w:pPr>
            <w:proofErr w:type="spellStart"/>
            <w:r w:rsidRPr="00794764">
              <w:t>Y</w:t>
            </w:r>
            <w:r w:rsidRPr="00794764">
              <w:rPr>
                <w:vertAlign w:val="subscript"/>
              </w:rPr>
              <w:t>p,p</w:t>
            </w:r>
            <w:proofErr w:type="spellEnd"/>
          </w:p>
        </w:tc>
        <w:tc>
          <w:tcPr>
            <w:tcW w:w="992" w:type="dxa"/>
            <w:tcBorders>
              <w:top w:val="nil"/>
              <w:left w:val="nil"/>
              <w:bottom w:val="single" w:sz="12" w:space="0" w:color="auto"/>
              <w:right w:val="nil"/>
            </w:tcBorders>
            <w:shd w:val="clear" w:color="auto" w:fill="auto"/>
            <w:noWrap/>
            <w:vAlign w:val="bottom"/>
            <w:hideMark/>
          </w:tcPr>
          <w:p w:rsidR="00747804" w:rsidRPr="00CE2644" w:rsidRDefault="00747804" w:rsidP="00522324">
            <w:pPr>
              <w:pStyle w:val="TableSymbol"/>
            </w:pPr>
            <w:proofErr w:type="spellStart"/>
            <w:r w:rsidRPr="00CE2644">
              <w:t>Y</w:t>
            </w:r>
            <w:r w:rsidRPr="00CE2644">
              <w:rPr>
                <w:vertAlign w:val="subscript"/>
              </w:rPr>
              <w:t>p</w:t>
            </w:r>
            <w:proofErr w:type="spellEnd"/>
            <w:r w:rsidRPr="00CE2644">
              <w:rPr>
                <w:vertAlign w:val="subscript"/>
              </w:rPr>
              <w:t>,+</w:t>
            </w:r>
          </w:p>
        </w:tc>
      </w:tr>
      <w:tr w:rsidR="00747804" w:rsidRPr="00A35721" w:rsidTr="004E41BB">
        <w:tc>
          <w:tcPr>
            <w:tcW w:w="1242" w:type="dxa"/>
            <w:tcBorders>
              <w:top w:val="nil"/>
              <w:left w:val="nil"/>
              <w:bottom w:val="nil"/>
              <w:right w:val="nil"/>
            </w:tcBorders>
            <w:shd w:val="clear" w:color="auto" w:fill="auto"/>
            <w:noWrap/>
            <w:vAlign w:val="bottom"/>
            <w:hideMark/>
          </w:tcPr>
          <w:p w:rsidR="00747804" w:rsidRPr="00A35721" w:rsidRDefault="00747804" w:rsidP="00CE2644">
            <w:pPr>
              <w:pStyle w:val="Tabletext"/>
              <w:jc w:val="center"/>
            </w:pPr>
          </w:p>
        </w:tc>
        <w:tc>
          <w:tcPr>
            <w:tcW w:w="1276" w:type="dxa"/>
            <w:tcBorders>
              <w:top w:val="nil"/>
              <w:left w:val="nil"/>
              <w:bottom w:val="nil"/>
              <w:right w:val="nil"/>
            </w:tcBorders>
            <w:shd w:val="clear" w:color="auto" w:fill="auto"/>
            <w:noWrap/>
            <w:vAlign w:val="bottom"/>
            <w:hideMark/>
          </w:tcPr>
          <w:p w:rsidR="00747804" w:rsidRPr="00CE2644" w:rsidRDefault="00747804" w:rsidP="00522324">
            <w:pPr>
              <w:pStyle w:val="TableSymbol"/>
            </w:pPr>
          </w:p>
        </w:tc>
        <w:tc>
          <w:tcPr>
            <w:tcW w:w="564" w:type="dxa"/>
            <w:tcBorders>
              <w:top w:val="nil"/>
              <w:left w:val="single" w:sz="12" w:space="0" w:color="auto"/>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+,0</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+,1</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+,2</w:t>
            </w:r>
          </w:p>
        </w:tc>
        <w:tc>
          <w:tcPr>
            <w:tcW w:w="565"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+,3</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+,4</w:t>
            </w:r>
          </w:p>
        </w:tc>
        <w:tc>
          <w:tcPr>
            <w:tcW w:w="564"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r w:rsidRPr="00CE2644">
              <w:t>Y</w:t>
            </w:r>
            <w:r w:rsidRPr="00CE2644">
              <w:rPr>
                <w:vertAlign w:val="subscript"/>
              </w:rPr>
              <w:t>+,5</w:t>
            </w:r>
          </w:p>
        </w:tc>
        <w:tc>
          <w:tcPr>
            <w:tcW w:w="565" w:type="dxa"/>
            <w:tcBorders>
              <w:top w:val="nil"/>
              <w:left w:val="nil"/>
              <w:bottom w:val="nil"/>
              <w:right w:val="single" w:sz="8" w:space="0" w:color="auto"/>
            </w:tcBorders>
            <w:shd w:val="clear" w:color="auto" w:fill="auto"/>
            <w:noWrap/>
            <w:vAlign w:val="bottom"/>
            <w:hideMark/>
          </w:tcPr>
          <w:p w:rsidR="00747804" w:rsidRPr="00CE2644" w:rsidRDefault="00747804" w:rsidP="00522324">
            <w:pPr>
              <w:pStyle w:val="TableSymbol"/>
            </w:pPr>
          </w:p>
        </w:tc>
        <w:tc>
          <w:tcPr>
            <w:tcW w:w="1045" w:type="dxa"/>
            <w:tcBorders>
              <w:top w:val="nil"/>
              <w:left w:val="nil"/>
              <w:bottom w:val="nil"/>
              <w:right w:val="single" w:sz="12" w:space="0" w:color="auto"/>
            </w:tcBorders>
            <w:shd w:val="clear" w:color="auto" w:fill="auto"/>
            <w:noWrap/>
            <w:vAlign w:val="bottom"/>
            <w:hideMark/>
          </w:tcPr>
          <w:p w:rsidR="00747804" w:rsidRPr="00CE2644" w:rsidRDefault="00747804" w:rsidP="00522324">
            <w:pPr>
              <w:pStyle w:val="TableSymbol"/>
            </w:pPr>
            <w:proofErr w:type="spellStart"/>
            <w:r w:rsidRPr="00CE2644">
              <w:t>Y</w:t>
            </w:r>
            <w:r w:rsidRPr="00CE2644">
              <w:rPr>
                <w:vertAlign w:val="subscript"/>
              </w:rPr>
              <w:t>+,p</w:t>
            </w:r>
            <w:proofErr w:type="spellEnd"/>
          </w:p>
        </w:tc>
        <w:tc>
          <w:tcPr>
            <w:tcW w:w="992" w:type="dxa"/>
            <w:tcBorders>
              <w:top w:val="nil"/>
              <w:left w:val="nil"/>
              <w:bottom w:val="nil"/>
              <w:right w:val="nil"/>
            </w:tcBorders>
            <w:shd w:val="clear" w:color="auto" w:fill="auto"/>
            <w:noWrap/>
            <w:vAlign w:val="bottom"/>
            <w:hideMark/>
          </w:tcPr>
          <w:p w:rsidR="00747804" w:rsidRPr="00CE2644" w:rsidRDefault="00747804" w:rsidP="00522324">
            <w:pPr>
              <w:pStyle w:val="TableSymbol"/>
            </w:pPr>
          </w:p>
        </w:tc>
      </w:tr>
    </w:tbl>
    <w:p w:rsidR="00035561" w:rsidRPr="004E41BB" w:rsidRDefault="00DC00F6" w:rsidP="004E41BB">
      <w:pPr>
        <w:pStyle w:val="Text"/>
        <w:rPr>
          <w:sz w:val="22"/>
        </w:rPr>
      </w:pPr>
      <w:r w:rsidRPr="004E41BB">
        <w:rPr>
          <w:sz w:val="22"/>
        </w:rPr>
        <w:t>For any given commencement year there are now estimates for the number that resulted in an outcome by how many quarters after commencement</w:t>
      </w:r>
      <w:r w:rsidR="00676ED7" w:rsidRPr="004E41BB">
        <w:rPr>
          <w:sz w:val="22"/>
          <w:szCs w:val="22"/>
        </w:rPr>
        <w:t>,</w:t>
      </w:r>
      <w:r w:rsidRPr="004E41BB">
        <w:rPr>
          <w:sz w:val="22"/>
        </w:rPr>
        <w:t xml:space="preserve"> as well as overall. The estimates in this table are aggregated into years of commencement (rows</w:t>
      </w:r>
      <w:r w:rsidR="00747804" w:rsidRPr="004E41BB">
        <w:rPr>
          <w:sz w:val="22"/>
          <w:szCs w:val="22"/>
        </w:rPr>
        <w:t>)</w:t>
      </w:r>
      <w:r w:rsidR="00676ED7" w:rsidRPr="004E41BB">
        <w:rPr>
          <w:sz w:val="22"/>
          <w:szCs w:val="22"/>
        </w:rPr>
        <w:t>;</w:t>
      </w:r>
      <w:r w:rsidRPr="004E41BB">
        <w:rPr>
          <w:sz w:val="22"/>
        </w:rPr>
        <w:t xml:space="preserve"> however</w:t>
      </w:r>
      <w:r w:rsidR="00676ED7" w:rsidRPr="004E41BB">
        <w:rPr>
          <w:sz w:val="22"/>
          <w:szCs w:val="22"/>
        </w:rPr>
        <w:t>,</w:t>
      </w:r>
      <w:r w:rsidRPr="004E41BB">
        <w:rPr>
          <w:sz w:val="22"/>
        </w:rPr>
        <w:t xml:space="preserve"> the columns of the table have to be slightly altered to represent the number of quarters until an outcome </w:t>
      </w:r>
      <w:r w:rsidR="00676ED7" w:rsidRPr="004E41BB">
        <w:rPr>
          <w:sz w:val="22"/>
          <w:szCs w:val="22"/>
        </w:rPr>
        <w:t xml:space="preserve">is achieved, </w:t>
      </w:r>
      <w:r w:rsidRPr="004E41BB">
        <w:rPr>
          <w:sz w:val="22"/>
        </w:rPr>
        <w:t>instead of the actual quarter of the outcome. This leads to the estimates as shown in table 4</w:t>
      </w:r>
      <w:r w:rsidR="00676ED7" w:rsidRPr="004E41BB">
        <w:rPr>
          <w:sz w:val="22"/>
          <w:szCs w:val="22"/>
        </w:rPr>
        <w:t>.</w:t>
      </w:r>
    </w:p>
    <w:p w:rsidR="004E41BB" w:rsidRDefault="004E41BB">
      <w:pPr>
        <w:spacing w:before="0"/>
        <w:rPr>
          <w:rFonts w:ascii="Arial" w:hAnsi="Arial"/>
          <w:b/>
          <w:sz w:val="17"/>
          <w:lang w:eastAsia="en-US"/>
        </w:rPr>
      </w:pPr>
      <w:r>
        <w:br w:type="page"/>
      </w:r>
    </w:p>
    <w:p w:rsidR="00747804" w:rsidRDefault="00676ED7" w:rsidP="004E41BB">
      <w:pPr>
        <w:pStyle w:val="tabletitle"/>
      </w:pPr>
      <w:bookmarkStart w:id="21" w:name="_Toc296701518"/>
      <w:r>
        <w:lastRenderedPageBreak/>
        <w:t>Table 4</w:t>
      </w:r>
      <w:r>
        <w:tab/>
      </w:r>
      <w:r w:rsidR="00747804">
        <w:t xml:space="preserve">Estimated commencements and </w:t>
      </w:r>
      <w:r w:rsidR="00F221DD">
        <w:t>outcomes</w:t>
      </w:r>
      <w:r>
        <w:t>—</w:t>
      </w:r>
      <w:r w:rsidR="00747804">
        <w:t>annual table</w:t>
      </w:r>
      <w:bookmarkEnd w:id="21"/>
    </w:p>
    <w:tbl>
      <w:tblPr>
        <w:tblW w:w="8505" w:type="dxa"/>
        <w:tblLayout w:type="fixed"/>
        <w:tblCellMar>
          <w:left w:w="0" w:type="dxa"/>
          <w:right w:w="0" w:type="dxa"/>
        </w:tblCellMar>
        <w:tblLook w:val="04A0"/>
      </w:tblPr>
      <w:tblGrid>
        <w:gridCol w:w="1134"/>
        <w:gridCol w:w="1134"/>
        <w:gridCol w:w="598"/>
        <w:gridCol w:w="599"/>
        <w:gridCol w:w="599"/>
        <w:gridCol w:w="598"/>
        <w:gridCol w:w="599"/>
        <w:gridCol w:w="599"/>
        <w:gridCol w:w="599"/>
        <w:gridCol w:w="1054"/>
        <w:gridCol w:w="992"/>
      </w:tblGrid>
      <w:tr w:rsidR="00747804" w:rsidRPr="00A95DA6" w:rsidTr="004E41BB">
        <w:tc>
          <w:tcPr>
            <w:tcW w:w="8505" w:type="dxa"/>
            <w:gridSpan w:val="11"/>
            <w:tcBorders>
              <w:top w:val="nil"/>
              <w:left w:val="nil"/>
              <w:bottom w:val="nil"/>
              <w:right w:val="nil"/>
            </w:tcBorders>
            <w:shd w:val="clear" w:color="auto" w:fill="auto"/>
            <w:noWrap/>
            <w:hideMark/>
          </w:tcPr>
          <w:p w:rsidR="00747804" w:rsidRPr="00A95DA6" w:rsidRDefault="00747804" w:rsidP="004E41BB">
            <w:pPr>
              <w:pStyle w:val="Tablehead1"/>
              <w:jc w:val="center"/>
            </w:pPr>
            <w:r w:rsidRPr="00A95DA6">
              <w:t>Estimated</w:t>
            </w:r>
          </w:p>
        </w:tc>
      </w:tr>
      <w:tr w:rsidR="00747804" w:rsidRPr="00A95DA6" w:rsidTr="004E41BB">
        <w:tc>
          <w:tcPr>
            <w:tcW w:w="2268" w:type="dxa"/>
            <w:gridSpan w:val="2"/>
            <w:tcBorders>
              <w:top w:val="nil"/>
              <w:left w:val="nil"/>
              <w:bottom w:val="nil"/>
              <w:right w:val="single" w:sz="12" w:space="0" w:color="000000"/>
            </w:tcBorders>
            <w:shd w:val="clear" w:color="auto" w:fill="auto"/>
            <w:noWrap/>
            <w:hideMark/>
          </w:tcPr>
          <w:p w:rsidR="00747804" w:rsidRPr="00A95DA6" w:rsidRDefault="00747804" w:rsidP="004E41BB">
            <w:pPr>
              <w:pStyle w:val="Tablehead1"/>
              <w:jc w:val="center"/>
            </w:pPr>
            <w:r w:rsidRPr="00A95DA6">
              <w:t>Commenced</w:t>
            </w:r>
          </w:p>
        </w:tc>
        <w:tc>
          <w:tcPr>
            <w:tcW w:w="5245" w:type="dxa"/>
            <w:gridSpan w:val="8"/>
            <w:tcBorders>
              <w:top w:val="single" w:sz="12" w:space="0" w:color="auto"/>
              <w:left w:val="single" w:sz="12" w:space="0" w:color="auto"/>
              <w:bottom w:val="nil"/>
              <w:right w:val="nil"/>
            </w:tcBorders>
            <w:shd w:val="clear" w:color="auto" w:fill="auto"/>
            <w:noWrap/>
            <w:hideMark/>
          </w:tcPr>
          <w:p w:rsidR="00747804" w:rsidRPr="00A95DA6" w:rsidRDefault="00747804" w:rsidP="004E41BB">
            <w:pPr>
              <w:pStyle w:val="Tablehead1"/>
              <w:jc w:val="center"/>
            </w:pPr>
            <w:r w:rsidRPr="00A95DA6">
              <w:t xml:space="preserve">Number of quarters until </w:t>
            </w:r>
            <w:r w:rsidR="00C429E2">
              <w:t>outcome</w:t>
            </w:r>
          </w:p>
        </w:tc>
        <w:tc>
          <w:tcPr>
            <w:tcW w:w="992" w:type="dxa"/>
            <w:tcBorders>
              <w:top w:val="single" w:sz="12" w:space="0" w:color="auto"/>
              <w:left w:val="single" w:sz="12" w:space="0" w:color="auto"/>
              <w:bottom w:val="nil"/>
              <w:right w:val="nil"/>
            </w:tcBorders>
            <w:shd w:val="clear" w:color="auto" w:fill="auto"/>
            <w:noWrap/>
            <w:hideMark/>
          </w:tcPr>
          <w:p w:rsidR="00747804" w:rsidRPr="00A95DA6" w:rsidRDefault="00747804" w:rsidP="004E41BB">
            <w:pPr>
              <w:pStyle w:val="Tablehead1"/>
              <w:jc w:val="center"/>
            </w:pPr>
            <w:r w:rsidRPr="00A95DA6">
              <w:t>All</w:t>
            </w:r>
          </w:p>
        </w:tc>
      </w:tr>
      <w:tr w:rsidR="00747804" w:rsidRPr="00A95DA6" w:rsidTr="00586F16">
        <w:tc>
          <w:tcPr>
            <w:tcW w:w="1134" w:type="dxa"/>
            <w:tcBorders>
              <w:top w:val="nil"/>
              <w:left w:val="nil"/>
              <w:bottom w:val="single" w:sz="12" w:space="0" w:color="auto"/>
              <w:right w:val="nil"/>
            </w:tcBorders>
            <w:shd w:val="clear" w:color="auto" w:fill="auto"/>
            <w:noWrap/>
            <w:hideMark/>
          </w:tcPr>
          <w:p w:rsidR="00747804" w:rsidRPr="00A95DA6" w:rsidRDefault="00747804" w:rsidP="004E41BB">
            <w:pPr>
              <w:pStyle w:val="Tablehead2"/>
              <w:jc w:val="center"/>
            </w:pPr>
            <w:r w:rsidRPr="00A95DA6">
              <w:t>Year</w:t>
            </w:r>
          </w:p>
        </w:tc>
        <w:tc>
          <w:tcPr>
            <w:tcW w:w="1134" w:type="dxa"/>
            <w:tcBorders>
              <w:top w:val="nil"/>
              <w:left w:val="nil"/>
              <w:bottom w:val="single" w:sz="12" w:space="0" w:color="auto"/>
              <w:right w:val="nil"/>
            </w:tcBorders>
            <w:shd w:val="clear" w:color="auto" w:fill="auto"/>
            <w:noWrap/>
            <w:hideMark/>
          </w:tcPr>
          <w:p w:rsidR="00747804" w:rsidRPr="00A95DA6" w:rsidRDefault="00747804" w:rsidP="004E41BB">
            <w:pPr>
              <w:pStyle w:val="Tablehead2"/>
              <w:jc w:val="center"/>
            </w:pPr>
            <w:r w:rsidRPr="00A95DA6">
              <w:t>Number</w:t>
            </w:r>
          </w:p>
        </w:tc>
        <w:tc>
          <w:tcPr>
            <w:tcW w:w="598" w:type="dxa"/>
            <w:tcBorders>
              <w:top w:val="single" w:sz="8" w:space="0" w:color="auto"/>
              <w:left w:val="single" w:sz="12" w:space="0" w:color="auto"/>
              <w:bottom w:val="single" w:sz="12" w:space="0" w:color="auto"/>
              <w:right w:val="single" w:sz="8" w:space="0" w:color="auto"/>
            </w:tcBorders>
            <w:shd w:val="clear" w:color="auto" w:fill="auto"/>
            <w:noWrap/>
            <w:hideMark/>
          </w:tcPr>
          <w:p w:rsidR="00747804" w:rsidRPr="00A95DA6" w:rsidRDefault="00747804" w:rsidP="004E41BB">
            <w:pPr>
              <w:pStyle w:val="Tablehead2"/>
              <w:jc w:val="center"/>
            </w:pPr>
            <w:r w:rsidRPr="00A95DA6">
              <w:t>0</w:t>
            </w:r>
          </w:p>
        </w:tc>
        <w:tc>
          <w:tcPr>
            <w:tcW w:w="599" w:type="dxa"/>
            <w:tcBorders>
              <w:top w:val="single" w:sz="8" w:space="0" w:color="auto"/>
              <w:left w:val="nil"/>
              <w:bottom w:val="single" w:sz="12" w:space="0" w:color="auto"/>
              <w:right w:val="single" w:sz="8" w:space="0" w:color="auto"/>
            </w:tcBorders>
            <w:shd w:val="clear" w:color="auto" w:fill="auto"/>
            <w:noWrap/>
            <w:hideMark/>
          </w:tcPr>
          <w:p w:rsidR="00747804" w:rsidRPr="00A95DA6" w:rsidRDefault="00747804" w:rsidP="004E41BB">
            <w:pPr>
              <w:pStyle w:val="Tablehead2"/>
              <w:jc w:val="center"/>
            </w:pPr>
            <w:r w:rsidRPr="00A95DA6">
              <w:t>1</w:t>
            </w:r>
          </w:p>
        </w:tc>
        <w:tc>
          <w:tcPr>
            <w:tcW w:w="599" w:type="dxa"/>
            <w:tcBorders>
              <w:top w:val="single" w:sz="8" w:space="0" w:color="auto"/>
              <w:left w:val="nil"/>
              <w:bottom w:val="single" w:sz="12" w:space="0" w:color="auto"/>
              <w:right w:val="single" w:sz="8" w:space="0" w:color="auto"/>
            </w:tcBorders>
            <w:shd w:val="clear" w:color="auto" w:fill="auto"/>
            <w:noWrap/>
            <w:hideMark/>
          </w:tcPr>
          <w:p w:rsidR="00747804" w:rsidRPr="00A95DA6" w:rsidRDefault="00747804" w:rsidP="004E41BB">
            <w:pPr>
              <w:pStyle w:val="Tablehead2"/>
              <w:jc w:val="center"/>
            </w:pPr>
            <w:r w:rsidRPr="00A95DA6">
              <w:t>2</w:t>
            </w:r>
          </w:p>
        </w:tc>
        <w:tc>
          <w:tcPr>
            <w:tcW w:w="598" w:type="dxa"/>
            <w:tcBorders>
              <w:top w:val="single" w:sz="8" w:space="0" w:color="auto"/>
              <w:left w:val="nil"/>
              <w:bottom w:val="single" w:sz="12" w:space="0" w:color="auto"/>
              <w:right w:val="single" w:sz="8" w:space="0" w:color="auto"/>
            </w:tcBorders>
            <w:shd w:val="clear" w:color="auto" w:fill="auto"/>
            <w:noWrap/>
            <w:hideMark/>
          </w:tcPr>
          <w:p w:rsidR="00747804" w:rsidRPr="00A95DA6" w:rsidRDefault="00747804" w:rsidP="004E41BB">
            <w:pPr>
              <w:pStyle w:val="Tablehead2"/>
              <w:jc w:val="center"/>
            </w:pPr>
            <w:r w:rsidRPr="00A95DA6">
              <w:t>3</w:t>
            </w:r>
          </w:p>
        </w:tc>
        <w:tc>
          <w:tcPr>
            <w:tcW w:w="599" w:type="dxa"/>
            <w:tcBorders>
              <w:top w:val="single" w:sz="8" w:space="0" w:color="auto"/>
              <w:left w:val="nil"/>
              <w:bottom w:val="single" w:sz="12" w:space="0" w:color="auto"/>
              <w:right w:val="single" w:sz="8" w:space="0" w:color="auto"/>
            </w:tcBorders>
            <w:shd w:val="clear" w:color="auto" w:fill="auto"/>
            <w:noWrap/>
            <w:hideMark/>
          </w:tcPr>
          <w:p w:rsidR="00747804" w:rsidRPr="00A95DA6" w:rsidRDefault="00747804" w:rsidP="004E41BB">
            <w:pPr>
              <w:pStyle w:val="Tablehead2"/>
              <w:jc w:val="center"/>
            </w:pPr>
            <w:r w:rsidRPr="00A95DA6">
              <w:t>4</w:t>
            </w:r>
          </w:p>
        </w:tc>
        <w:tc>
          <w:tcPr>
            <w:tcW w:w="599" w:type="dxa"/>
            <w:tcBorders>
              <w:top w:val="single" w:sz="8" w:space="0" w:color="auto"/>
              <w:left w:val="nil"/>
              <w:bottom w:val="single" w:sz="12" w:space="0" w:color="auto"/>
              <w:right w:val="single" w:sz="8" w:space="0" w:color="auto"/>
            </w:tcBorders>
            <w:shd w:val="clear" w:color="auto" w:fill="auto"/>
            <w:noWrap/>
            <w:hideMark/>
          </w:tcPr>
          <w:p w:rsidR="00747804" w:rsidRPr="00A95DA6" w:rsidRDefault="00747804" w:rsidP="004E41BB">
            <w:pPr>
              <w:pStyle w:val="Tablehead2"/>
              <w:jc w:val="center"/>
            </w:pPr>
            <w:r w:rsidRPr="00A95DA6">
              <w:t>5</w:t>
            </w:r>
          </w:p>
        </w:tc>
        <w:tc>
          <w:tcPr>
            <w:tcW w:w="599" w:type="dxa"/>
            <w:tcBorders>
              <w:top w:val="single" w:sz="8" w:space="0" w:color="auto"/>
              <w:left w:val="nil"/>
              <w:bottom w:val="single" w:sz="12" w:space="0" w:color="auto"/>
              <w:right w:val="single" w:sz="8" w:space="0" w:color="auto"/>
            </w:tcBorders>
            <w:shd w:val="clear" w:color="auto" w:fill="auto"/>
            <w:noWrap/>
            <w:hideMark/>
          </w:tcPr>
          <w:p w:rsidR="00747804" w:rsidRPr="00A95DA6" w:rsidRDefault="00747804" w:rsidP="004E41BB">
            <w:pPr>
              <w:pStyle w:val="Tablehead2"/>
              <w:jc w:val="center"/>
            </w:pPr>
            <w:r w:rsidRPr="00A95DA6">
              <w:t>…</w:t>
            </w:r>
          </w:p>
        </w:tc>
        <w:tc>
          <w:tcPr>
            <w:tcW w:w="1054" w:type="dxa"/>
            <w:tcBorders>
              <w:top w:val="single" w:sz="8" w:space="0" w:color="auto"/>
              <w:left w:val="nil"/>
              <w:bottom w:val="single" w:sz="12" w:space="0" w:color="auto"/>
              <w:right w:val="single" w:sz="12" w:space="0" w:color="auto"/>
            </w:tcBorders>
            <w:shd w:val="clear" w:color="auto" w:fill="auto"/>
            <w:noWrap/>
            <w:hideMark/>
          </w:tcPr>
          <w:p w:rsidR="00747804" w:rsidRPr="00A95DA6" w:rsidRDefault="00747804" w:rsidP="004E41BB">
            <w:pPr>
              <w:pStyle w:val="Tablehead2"/>
              <w:jc w:val="center"/>
            </w:pPr>
            <w:r w:rsidRPr="00A95DA6">
              <w:t>Present</w:t>
            </w:r>
          </w:p>
        </w:tc>
        <w:tc>
          <w:tcPr>
            <w:tcW w:w="992" w:type="dxa"/>
            <w:tcBorders>
              <w:top w:val="nil"/>
              <w:left w:val="nil"/>
              <w:bottom w:val="single" w:sz="12" w:space="0" w:color="auto"/>
              <w:right w:val="nil"/>
            </w:tcBorders>
            <w:shd w:val="clear" w:color="auto" w:fill="auto"/>
            <w:noWrap/>
            <w:hideMark/>
          </w:tcPr>
          <w:p w:rsidR="00747804" w:rsidRPr="00A95DA6" w:rsidRDefault="004E41BB" w:rsidP="004E41BB">
            <w:pPr>
              <w:pStyle w:val="Tablehead2"/>
              <w:jc w:val="center"/>
            </w:pPr>
            <w:r>
              <w:t>Outcomes</w:t>
            </w:r>
          </w:p>
        </w:tc>
      </w:tr>
      <w:tr w:rsidR="00747804" w:rsidRPr="00A95DA6" w:rsidTr="00586F16">
        <w:tc>
          <w:tcPr>
            <w:tcW w:w="1134" w:type="dxa"/>
            <w:tcBorders>
              <w:top w:val="nil"/>
              <w:left w:val="nil"/>
              <w:bottom w:val="nil"/>
              <w:right w:val="nil"/>
            </w:tcBorders>
            <w:shd w:val="clear" w:color="auto" w:fill="auto"/>
            <w:noWrap/>
            <w:vAlign w:val="bottom"/>
            <w:hideMark/>
          </w:tcPr>
          <w:p w:rsidR="00747804" w:rsidRPr="00A95DA6" w:rsidRDefault="00747804" w:rsidP="004E41BB">
            <w:pPr>
              <w:pStyle w:val="Tabletext"/>
              <w:jc w:val="center"/>
            </w:pPr>
            <w:r w:rsidRPr="00A95DA6">
              <w:t>0</w:t>
            </w:r>
          </w:p>
        </w:tc>
        <w:tc>
          <w:tcPr>
            <w:tcW w:w="1134" w:type="dxa"/>
            <w:tcBorders>
              <w:top w:val="nil"/>
              <w:left w:val="nil"/>
              <w:bottom w:val="nil"/>
              <w:right w:val="nil"/>
            </w:tcBorders>
            <w:shd w:val="clear" w:color="auto" w:fill="auto"/>
            <w:noWrap/>
            <w:vAlign w:val="bottom"/>
            <w:hideMark/>
          </w:tcPr>
          <w:p w:rsidR="00747804" w:rsidRPr="004E41BB" w:rsidRDefault="00747804" w:rsidP="00522324">
            <w:pPr>
              <w:pStyle w:val="TableSymbol"/>
            </w:pPr>
            <w:r w:rsidRPr="004E41BB">
              <w:t>W</w:t>
            </w:r>
            <w:r w:rsidRPr="004E41BB">
              <w:rPr>
                <w:vertAlign w:val="subscript"/>
              </w:rPr>
              <w:t>0</w:t>
            </w:r>
          </w:p>
        </w:tc>
        <w:tc>
          <w:tcPr>
            <w:tcW w:w="598" w:type="dxa"/>
            <w:tcBorders>
              <w:top w:val="nil"/>
              <w:left w:val="single" w:sz="12" w:space="0" w:color="auto"/>
              <w:bottom w:val="nil"/>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0,0</w:t>
            </w:r>
          </w:p>
        </w:tc>
        <w:tc>
          <w:tcPr>
            <w:tcW w:w="599" w:type="dxa"/>
            <w:tcBorders>
              <w:top w:val="nil"/>
              <w:left w:val="nil"/>
              <w:bottom w:val="nil"/>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0,1</w:t>
            </w:r>
          </w:p>
        </w:tc>
        <w:tc>
          <w:tcPr>
            <w:tcW w:w="599" w:type="dxa"/>
            <w:tcBorders>
              <w:top w:val="nil"/>
              <w:left w:val="nil"/>
              <w:bottom w:val="nil"/>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0,2</w:t>
            </w:r>
          </w:p>
        </w:tc>
        <w:tc>
          <w:tcPr>
            <w:tcW w:w="598" w:type="dxa"/>
            <w:tcBorders>
              <w:top w:val="nil"/>
              <w:left w:val="nil"/>
              <w:bottom w:val="nil"/>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0,3</w:t>
            </w:r>
          </w:p>
        </w:tc>
        <w:tc>
          <w:tcPr>
            <w:tcW w:w="599" w:type="dxa"/>
            <w:tcBorders>
              <w:top w:val="nil"/>
              <w:left w:val="nil"/>
              <w:bottom w:val="nil"/>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0,4</w:t>
            </w:r>
          </w:p>
        </w:tc>
        <w:tc>
          <w:tcPr>
            <w:tcW w:w="599" w:type="dxa"/>
            <w:tcBorders>
              <w:top w:val="nil"/>
              <w:left w:val="nil"/>
              <w:bottom w:val="nil"/>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0,5</w:t>
            </w:r>
          </w:p>
        </w:tc>
        <w:tc>
          <w:tcPr>
            <w:tcW w:w="599" w:type="dxa"/>
            <w:tcBorders>
              <w:top w:val="nil"/>
              <w:left w:val="nil"/>
              <w:bottom w:val="nil"/>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nil"/>
              <w:left w:val="nil"/>
              <w:bottom w:val="nil"/>
              <w:right w:val="single" w:sz="12"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0,p</w:t>
            </w:r>
          </w:p>
        </w:tc>
        <w:tc>
          <w:tcPr>
            <w:tcW w:w="992" w:type="dxa"/>
            <w:tcBorders>
              <w:top w:val="nil"/>
              <w:left w:val="nil"/>
              <w:bottom w:val="nil"/>
              <w:right w:val="nil"/>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0,+</w:t>
            </w:r>
          </w:p>
        </w:tc>
      </w:tr>
      <w:tr w:rsidR="00747804" w:rsidRPr="00A95DA6" w:rsidTr="00586F16">
        <w:tc>
          <w:tcPr>
            <w:tcW w:w="1134" w:type="dxa"/>
            <w:tcBorders>
              <w:top w:val="dotted" w:sz="4" w:space="0" w:color="C0C0C0"/>
              <w:left w:val="nil"/>
              <w:bottom w:val="dotted" w:sz="4" w:space="0" w:color="C0C0C0"/>
              <w:right w:val="nil"/>
            </w:tcBorders>
            <w:shd w:val="clear" w:color="auto" w:fill="auto"/>
            <w:noWrap/>
            <w:vAlign w:val="bottom"/>
            <w:hideMark/>
          </w:tcPr>
          <w:p w:rsidR="00747804" w:rsidRPr="00A95DA6" w:rsidRDefault="00747804" w:rsidP="004E41BB">
            <w:pPr>
              <w:pStyle w:val="Tabletext"/>
              <w:jc w:val="center"/>
            </w:pPr>
            <w:r w:rsidRPr="00A95DA6">
              <w:t>1</w:t>
            </w:r>
          </w:p>
        </w:tc>
        <w:tc>
          <w:tcPr>
            <w:tcW w:w="1134" w:type="dxa"/>
            <w:tcBorders>
              <w:top w:val="dotted" w:sz="4" w:space="0" w:color="C0C0C0"/>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W</w:t>
            </w:r>
            <w:r w:rsidRPr="004E41BB">
              <w:rPr>
                <w:vertAlign w:val="subscript"/>
              </w:rPr>
              <w:t>1</w:t>
            </w:r>
          </w:p>
        </w:tc>
        <w:tc>
          <w:tcPr>
            <w:tcW w:w="598" w:type="dxa"/>
            <w:tcBorders>
              <w:top w:val="dotted" w:sz="4" w:space="0" w:color="C0C0C0"/>
              <w:left w:val="single" w:sz="12" w:space="0" w:color="auto"/>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1,1</w:t>
            </w:r>
          </w:p>
        </w:tc>
        <w:tc>
          <w:tcPr>
            <w:tcW w:w="599"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1,2</w:t>
            </w:r>
          </w:p>
        </w:tc>
        <w:tc>
          <w:tcPr>
            <w:tcW w:w="598"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1,3</w:t>
            </w:r>
          </w:p>
        </w:tc>
        <w:tc>
          <w:tcPr>
            <w:tcW w:w="599"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1,4</w:t>
            </w:r>
          </w:p>
        </w:tc>
        <w:tc>
          <w:tcPr>
            <w:tcW w:w="599"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1,5</w:t>
            </w:r>
          </w:p>
        </w:tc>
        <w:tc>
          <w:tcPr>
            <w:tcW w:w="599" w:type="dxa"/>
            <w:tcBorders>
              <w:top w:val="dotted" w:sz="4" w:space="0" w:color="C0C0C0"/>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dotted" w:sz="4" w:space="0" w:color="C0C0C0"/>
              <w:left w:val="nil"/>
              <w:bottom w:val="dotted" w:sz="4" w:space="0" w:color="C0C0C0"/>
              <w:right w:val="single" w:sz="12"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1,p</w:t>
            </w:r>
          </w:p>
        </w:tc>
        <w:tc>
          <w:tcPr>
            <w:tcW w:w="992" w:type="dxa"/>
            <w:tcBorders>
              <w:top w:val="dotted" w:sz="4" w:space="0" w:color="C0C0C0"/>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1,+</w:t>
            </w:r>
          </w:p>
        </w:tc>
      </w:tr>
      <w:tr w:rsidR="00747804" w:rsidRPr="00A95DA6" w:rsidTr="00586F16">
        <w:tc>
          <w:tcPr>
            <w:tcW w:w="1134" w:type="dxa"/>
            <w:tcBorders>
              <w:top w:val="nil"/>
              <w:left w:val="nil"/>
              <w:bottom w:val="dotted" w:sz="4" w:space="0" w:color="C0C0C0"/>
              <w:right w:val="nil"/>
            </w:tcBorders>
            <w:shd w:val="clear" w:color="auto" w:fill="auto"/>
            <w:noWrap/>
            <w:vAlign w:val="bottom"/>
            <w:hideMark/>
          </w:tcPr>
          <w:p w:rsidR="00747804" w:rsidRPr="00A95DA6" w:rsidRDefault="00747804" w:rsidP="004E41BB">
            <w:pPr>
              <w:pStyle w:val="Tabletext"/>
              <w:jc w:val="center"/>
            </w:pPr>
            <w:r w:rsidRPr="00A95DA6">
              <w:t>2</w:t>
            </w:r>
          </w:p>
        </w:tc>
        <w:tc>
          <w:tcPr>
            <w:tcW w:w="1134"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W</w:t>
            </w:r>
            <w:r w:rsidRPr="004E41BB">
              <w:rPr>
                <w:vertAlign w:val="subscript"/>
              </w:rPr>
              <w:t>2</w:t>
            </w:r>
          </w:p>
        </w:tc>
        <w:tc>
          <w:tcPr>
            <w:tcW w:w="598"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2,2</w:t>
            </w:r>
          </w:p>
        </w:tc>
        <w:tc>
          <w:tcPr>
            <w:tcW w:w="598"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2,3</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2,4</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2,5</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nil"/>
              <w:left w:val="nil"/>
              <w:bottom w:val="dotted" w:sz="4" w:space="0" w:color="C0C0C0"/>
              <w:right w:val="single" w:sz="12"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2,p</w:t>
            </w:r>
          </w:p>
        </w:tc>
        <w:tc>
          <w:tcPr>
            <w:tcW w:w="992"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2,+</w:t>
            </w:r>
          </w:p>
        </w:tc>
      </w:tr>
      <w:tr w:rsidR="00747804" w:rsidRPr="00A95DA6" w:rsidTr="00586F16">
        <w:tc>
          <w:tcPr>
            <w:tcW w:w="1134" w:type="dxa"/>
            <w:tcBorders>
              <w:top w:val="nil"/>
              <w:left w:val="nil"/>
              <w:bottom w:val="dotted" w:sz="4" w:space="0" w:color="C0C0C0"/>
              <w:right w:val="nil"/>
            </w:tcBorders>
            <w:shd w:val="clear" w:color="auto" w:fill="auto"/>
            <w:noWrap/>
            <w:vAlign w:val="bottom"/>
            <w:hideMark/>
          </w:tcPr>
          <w:p w:rsidR="00747804" w:rsidRPr="00A95DA6" w:rsidRDefault="00747804" w:rsidP="004E41BB">
            <w:pPr>
              <w:pStyle w:val="Tabletext"/>
              <w:jc w:val="center"/>
            </w:pPr>
            <w:r w:rsidRPr="00A95DA6">
              <w:t>3</w:t>
            </w:r>
          </w:p>
        </w:tc>
        <w:tc>
          <w:tcPr>
            <w:tcW w:w="1134"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W</w:t>
            </w:r>
            <w:r w:rsidRPr="004E41BB">
              <w:rPr>
                <w:vertAlign w:val="subscript"/>
              </w:rPr>
              <w:t>3</w:t>
            </w:r>
          </w:p>
        </w:tc>
        <w:tc>
          <w:tcPr>
            <w:tcW w:w="598"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8"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3,3</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3,4</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3,5</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nil"/>
              <w:left w:val="nil"/>
              <w:bottom w:val="dotted" w:sz="4" w:space="0" w:color="C0C0C0"/>
              <w:right w:val="single" w:sz="12"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3,p</w:t>
            </w:r>
          </w:p>
        </w:tc>
        <w:tc>
          <w:tcPr>
            <w:tcW w:w="992"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3,+</w:t>
            </w:r>
          </w:p>
        </w:tc>
      </w:tr>
      <w:tr w:rsidR="00747804" w:rsidRPr="00A95DA6" w:rsidTr="00586F16">
        <w:tc>
          <w:tcPr>
            <w:tcW w:w="1134" w:type="dxa"/>
            <w:tcBorders>
              <w:top w:val="nil"/>
              <w:left w:val="nil"/>
              <w:bottom w:val="dotted" w:sz="4" w:space="0" w:color="C0C0C0"/>
              <w:right w:val="nil"/>
            </w:tcBorders>
            <w:shd w:val="clear" w:color="auto" w:fill="auto"/>
            <w:noWrap/>
            <w:vAlign w:val="bottom"/>
            <w:hideMark/>
          </w:tcPr>
          <w:p w:rsidR="00747804" w:rsidRPr="00A95DA6" w:rsidRDefault="00747804" w:rsidP="004E41BB">
            <w:pPr>
              <w:pStyle w:val="Tabletext"/>
              <w:jc w:val="center"/>
            </w:pPr>
            <w:r w:rsidRPr="00A95DA6">
              <w:t>4</w:t>
            </w:r>
          </w:p>
        </w:tc>
        <w:tc>
          <w:tcPr>
            <w:tcW w:w="1134"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W</w:t>
            </w:r>
            <w:r w:rsidRPr="004E41BB">
              <w:rPr>
                <w:vertAlign w:val="subscript"/>
              </w:rPr>
              <w:t>4</w:t>
            </w:r>
          </w:p>
        </w:tc>
        <w:tc>
          <w:tcPr>
            <w:tcW w:w="598"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8"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4,4</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4,5</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nil"/>
              <w:left w:val="nil"/>
              <w:bottom w:val="dotted" w:sz="4" w:space="0" w:color="C0C0C0"/>
              <w:right w:val="single" w:sz="12"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4,p</w:t>
            </w:r>
          </w:p>
        </w:tc>
        <w:tc>
          <w:tcPr>
            <w:tcW w:w="992"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4,+</w:t>
            </w:r>
          </w:p>
        </w:tc>
      </w:tr>
      <w:tr w:rsidR="00747804" w:rsidRPr="00A95DA6" w:rsidTr="00586F16">
        <w:tc>
          <w:tcPr>
            <w:tcW w:w="1134" w:type="dxa"/>
            <w:tcBorders>
              <w:top w:val="nil"/>
              <w:left w:val="nil"/>
              <w:bottom w:val="dotted" w:sz="4" w:space="0" w:color="C0C0C0"/>
              <w:right w:val="nil"/>
            </w:tcBorders>
            <w:shd w:val="clear" w:color="auto" w:fill="auto"/>
            <w:noWrap/>
            <w:vAlign w:val="bottom"/>
            <w:hideMark/>
          </w:tcPr>
          <w:p w:rsidR="00747804" w:rsidRPr="00A95DA6" w:rsidRDefault="00747804" w:rsidP="004E41BB">
            <w:pPr>
              <w:pStyle w:val="Tabletext"/>
              <w:jc w:val="center"/>
            </w:pPr>
            <w:r w:rsidRPr="00A95DA6">
              <w:t>5</w:t>
            </w:r>
          </w:p>
        </w:tc>
        <w:tc>
          <w:tcPr>
            <w:tcW w:w="1134"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W</w:t>
            </w:r>
            <w:r w:rsidRPr="004E41BB">
              <w:rPr>
                <w:vertAlign w:val="subscript"/>
              </w:rPr>
              <w:t>5</w:t>
            </w:r>
          </w:p>
        </w:tc>
        <w:tc>
          <w:tcPr>
            <w:tcW w:w="598"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8"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5,5</w:t>
            </w: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nil"/>
              <w:left w:val="nil"/>
              <w:bottom w:val="dotted" w:sz="4" w:space="0" w:color="C0C0C0"/>
              <w:right w:val="single" w:sz="12" w:space="0" w:color="auto"/>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5,p</w:t>
            </w:r>
          </w:p>
        </w:tc>
        <w:tc>
          <w:tcPr>
            <w:tcW w:w="992"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r w:rsidRPr="004E41BB">
              <w:t>Z</w:t>
            </w:r>
            <w:r w:rsidRPr="004E41BB">
              <w:rPr>
                <w:vertAlign w:val="subscript"/>
              </w:rPr>
              <w:t>5,+</w:t>
            </w:r>
          </w:p>
        </w:tc>
      </w:tr>
      <w:tr w:rsidR="00747804" w:rsidRPr="00A95DA6" w:rsidTr="00586F16">
        <w:tc>
          <w:tcPr>
            <w:tcW w:w="1134" w:type="dxa"/>
            <w:tcBorders>
              <w:top w:val="nil"/>
              <w:left w:val="nil"/>
              <w:bottom w:val="dotted" w:sz="4" w:space="0" w:color="C0C0C0"/>
              <w:right w:val="nil"/>
            </w:tcBorders>
            <w:shd w:val="clear" w:color="auto" w:fill="auto"/>
            <w:noWrap/>
            <w:vAlign w:val="bottom"/>
            <w:hideMark/>
          </w:tcPr>
          <w:p w:rsidR="00747804" w:rsidRPr="00A95DA6" w:rsidRDefault="00747804" w:rsidP="004E41BB">
            <w:pPr>
              <w:pStyle w:val="Tabletext"/>
              <w:jc w:val="center"/>
            </w:pPr>
            <w:r w:rsidRPr="00A95DA6">
              <w:t>…</w:t>
            </w:r>
          </w:p>
        </w:tc>
        <w:tc>
          <w:tcPr>
            <w:tcW w:w="1134"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p>
        </w:tc>
        <w:tc>
          <w:tcPr>
            <w:tcW w:w="598" w:type="dxa"/>
            <w:tcBorders>
              <w:top w:val="nil"/>
              <w:left w:val="single" w:sz="12" w:space="0" w:color="auto"/>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8"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dotted" w:sz="4" w:space="0" w:color="C0C0C0"/>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nil"/>
              <w:left w:val="nil"/>
              <w:bottom w:val="dotted" w:sz="4" w:space="0" w:color="C0C0C0"/>
              <w:right w:val="single" w:sz="12" w:space="0" w:color="auto"/>
            </w:tcBorders>
            <w:shd w:val="clear" w:color="auto" w:fill="auto"/>
            <w:noWrap/>
            <w:vAlign w:val="bottom"/>
            <w:hideMark/>
          </w:tcPr>
          <w:p w:rsidR="00747804" w:rsidRPr="004E41BB" w:rsidRDefault="00747804" w:rsidP="00522324">
            <w:pPr>
              <w:pStyle w:val="TableSymbol"/>
            </w:pPr>
          </w:p>
        </w:tc>
        <w:tc>
          <w:tcPr>
            <w:tcW w:w="992" w:type="dxa"/>
            <w:tcBorders>
              <w:top w:val="nil"/>
              <w:left w:val="nil"/>
              <w:bottom w:val="dotted" w:sz="4" w:space="0" w:color="C0C0C0"/>
              <w:right w:val="nil"/>
            </w:tcBorders>
            <w:shd w:val="clear" w:color="auto" w:fill="auto"/>
            <w:noWrap/>
            <w:vAlign w:val="bottom"/>
            <w:hideMark/>
          </w:tcPr>
          <w:p w:rsidR="00747804" w:rsidRPr="004E41BB" w:rsidRDefault="00747804" w:rsidP="00522324">
            <w:pPr>
              <w:pStyle w:val="TableSymbol"/>
            </w:pPr>
          </w:p>
        </w:tc>
      </w:tr>
      <w:tr w:rsidR="00747804" w:rsidRPr="00A95DA6" w:rsidTr="00586F16">
        <w:tc>
          <w:tcPr>
            <w:tcW w:w="1134" w:type="dxa"/>
            <w:tcBorders>
              <w:top w:val="nil"/>
              <w:left w:val="nil"/>
              <w:bottom w:val="single" w:sz="12" w:space="0" w:color="auto"/>
              <w:right w:val="nil"/>
            </w:tcBorders>
            <w:shd w:val="clear" w:color="auto" w:fill="auto"/>
            <w:noWrap/>
            <w:vAlign w:val="bottom"/>
            <w:hideMark/>
          </w:tcPr>
          <w:p w:rsidR="00747804" w:rsidRPr="00A95DA6" w:rsidRDefault="00747804" w:rsidP="004E41BB">
            <w:pPr>
              <w:pStyle w:val="Tabletext"/>
              <w:jc w:val="center"/>
            </w:pPr>
            <w:r w:rsidRPr="00A95DA6">
              <w:t>Present</w:t>
            </w:r>
          </w:p>
        </w:tc>
        <w:tc>
          <w:tcPr>
            <w:tcW w:w="1134" w:type="dxa"/>
            <w:tcBorders>
              <w:top w:val="nil"/>
              <w:left w:val="nil"/>
              <w:bottom w:val="single" w:sz="12" w:space="0" w:color="auto"/>
              <w:right w:val="nil"/>
            </w:tcBorders>
            <w:shd w:val="clear" w:color="auto" w:fill="auto"/>
            <w:noWrap/>
            <w:vAlign w:val="bottom"/>
            <w:hideMark/>
          </w:tcPr>
          <w:p w:rsidR="00747804" w:rsidRPr="004E41BB" w:rsidRDefault="00747804" w:rsidP="00522324">
            <w:pPr>
              <w:pStyle w:val="TableSymbol"/>
            </w:pPr>
            <w:proofErr w:type="spellStart"/>
            <w:r w:rsidRPr="004E41BB">
              <w:t>W</w:t>
            </w:r>
            <w:r w:rsidRPr="004E41BB">
              <w:rPr>
                <w:vertAlign w:val="subscript"/>
              </w:rPr>
              <w:t>p</w:t>
            </w:r>
            <w:proofErr w:type="spellEnd"/>
          </w:p>
        </w:tc>
        <w:tc>
          <w:tcPr>
            <w:tcW w:w="598" w:type="dxa"/>
            <w:tcBorders>
              <w:top w:val="nil"/>
              <w:left w:val="single" w:sz="12" w:space="0" w:color="auto"/>
              <w:bottom w:val="single" w:sz="12" w:space="0" w:color="auto"/>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single" w:sz="12" w:space="0" w:color="auto"/>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single" w:sz="12" w:space="0" w:color="auto"/>
              <w:right w:val="single" w:sz="8" w:space="0" w:color="auto"/>
            </w:tcBorders>
            <w:shd w:val="clear" w:color="auto" w:fill="auto"/>
            <w:noWrap/>
            <w:vAlign w:val="bottom"/>
            <w:hideMark/>
          </w:tcPr>
          <w:p w:rsidR="00747804" w:rsidRPr="004E41BB" w:rsidRDefault="00747804" w:rsidP="00522324">
            <w:pPr>
              <w:pStyle w:val="TableSymbol"/>
            </w:pPr>
          </w:p>
        </w:tc>
        <w:tc>
          <w:tcPr>
            <w:tcW w:w="598" w:type="dxa"/>
            <w:tcBorders>
              <w:top w:val="nil"/>
              <w:left w:val="nil"/>
              <w:bottom w:val="single" w:sz="12" w:space="0" w:color="auto"/>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single" w:sz="12" w:space="0" w:color="auto"/>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single" w:sz="12" w:space="0" w:color="auto"/>
              <w:right w:val="single" w:sz="8" w:space="0" w:color="auto"/>
            </w:tcBorders>
            <w:shd w:val="clear" w:color="auto" w:fill="auto"/>
            <w:noWrap/>
            <w:vAlign w:val="bottom"/>
            <w:hideMark/>
          </w:tcPr>
          <w:p w:rsidR="00747804" w:rsidRPr="004E41BB" w:rsidRDefault="00747804" w:rsidP="00522324">
            <w:pPr>
              <w:pStyle w:val="TableSymbol"/>
            </w:pPr>
          </w:p>
        </w:tc>
        <w:tc>
          <w:tcPr>
            <w:tcW w:w="599" w:type="dxa"/>
            <w:tcBorders>
              <w:top w:val="nil"/>
              <w:left w:val="nil"/>
              <w:bottom w:val="single" w:sz="12" w:space="0" w:color="auto"/>
              <w:right w:val="single" w:sz="8" w:space="0" w:color="auto"/>
            </w:tcBorders>
            <w:shd w:val="clear" w:color="auto" w:fill="auto"/>
            <w:noWrap/>
            <w:vAlign w:val="bottom"/>
            <w:hideMark/>
          </w:tcPr>
          <w:p w:rsidR="00747804" w:rsidRPr="004E41BB" w:rsidRDefault="00747804" w:rsidP="00522324">
            <w:pPr>
              <w:pStyle w:val="TableSymbol"/>
            </w:pPr>
          </w:p>
        </w:tc>
        <w:tc>
          <w:tcPr>
            <w:tcW w:w="1054" w:type="dxa"/>
            <w:tcBorders>
              <w:top w:val="nil"/>
              <w:left w:val="nil"/>
              <w:bottom w:val="single" w:sz="12" w:space="0" w:color="auto"/>
              <w:right w:val="single" w:sz="12" w:space="0" w:color="auto"/>
            </w:tcBorders>
            <w:shd w:val="clear" w:color="auto" w:fill="auto"/>
            <w:noWrap/>
            <w:vAlign w:val="bottom"/>
            <w:hideMark/>
          </w:tcPr>
          <w:p w:rsidR="00747804" w:rsidRPr="004E41BB" w:rsidRDefault="00747804" w:rsidP="00522324">
            <w:pPr>
              <w:pStyle w:val="TableSymbol"/>
            </w:pPr>
            <w:proofErr w:type="spellStart"/>
            <w:r w:rsidRPr="004E41BB">
              <w:t>Z</w:t>
            </w:r>
            <w:r w:rsidRPr="004E41BB">
              <w:rPr>
                <w:vertAlign w:val="subscript"/>
              </w:rPr>
              <w:t>p,p</w:t>
            </w:r>
            <w:proofErr w:type="spellEnd"/>
          </w:p>
        </w:tc>
        <w:tc>
          <w:tcPr>
            <w:tcW w:w="992" w:type="dxa"/>
            <w:tcBorders>
              <w:top w:val="nil"/>
              <w:left w:val="nil"/>
              <w:bottom w:val="single" w:sz="12" w:space="0" w:color="auto"/>
              <w:right w:val="nil"/>
            </w:tcBorders>
            <w:shd w:val="clear" w:color="auto" w:fill="auto"/>
            <w:noWrap/>
            <w:vAlign w:val="bottom"/>
            <w:hideMark/>
          </w:tcPr>
          <w:p w:rsidR="00747804" w:rsidRPr="004E41BB" w:rsidRDefault="00747804" w:rsidP="00522324">
            <w:pPr>
              <w:pStyle w:val="TableSymbol"/>
            </w:pPr>
            <w:proofErr w:type="spellStart"/>
            <w:r w:rsidRPr="004E41BB">
              <w:t>Z</w:t>
            </w:r>
            <w:r w:rsidRPr="004E41BB">
              <w:rPr>
                <w:vertAlign w:val="subscript"/>
              </w:rPr>
              <w:t>p</w:t>
            </w:r>
            <w:proofErr w:type="spellEnd"/>
            <w:r w:rsidRPr="004E41BB">
              <w:rPr>
                <w:vertAlign w:val="subscript"/>
              </w:rPr>
              <w:t>,+</w:t>
            </w:r>
          </w:p>
        </w:tc>
      </w:tr>
    </w:tbl>
    <w:p w:rsidR="00035561" w:rsidRPr="00586F16" w:rsidRDefault="00DC00F6" w:rsidP="00586F16">
      <w:pPr>
        <w:pStyle w:val="Text"/>
        <w:rPr>
          <w:sz w:val="22"/>
        </w:rPr>
      </w:pPr>
      <w:r w:rsidRPr="00586F16">
        <w:rPr>
          <w:sz w:val="22"/>
        </w:rPr>
        <w:t xml:space="preserve">In Table 4, </w:t>
      </w:r>
      <w:proofErr w:type="spellStart"/>
      <w:proofErr w:type="gramStart"/>
      <w:r w:rsidRPr="00522324">
        <w:rPr>
          <w:rStyle w:val="TextSymbol"/>
        </w:rPr>
        <w:t>W</w:t>
      </w:r>
      <w:r w:rsidRPr="001615C5">
        <w:rPr>
          <w:rStyle w:val="TextSymbol"/>
          <w:vertAlign w:val="subscript"/>
        </w:rPr>
        <w:t>i</w:t>
      </w:r>
      <w:proofErr w:type="spellEnd"/>
      <w:proofErr w:type="gramEnd"/>
      <w:r w:rsidRPr="00522324">
        <w:rPr>
          <w:rStyle w:val="TextSymbol"/>
        </w:rPr>
        <w:t xml:space="preserve"> </w:t>
      </w:r>
      <w:r w:rsidRPr="00586F16">
        <w:rPr>
          <w:sz w:val="22"/>
        </w:rPr>
        <w:t xml:space="preserve">is the sum of the four </w:t>
      </w:r>
      <w:proofErr w:type="spellStart"/>
      <w:r w:rsidR="00747804" w:rsidRPr="001D66D9">
        <w:rPr>
          <w:rStyle w:val="TextSymbol"/>
        </w:rPr>
        <w:t>X</w:t>
      </w:r>
      <w:r w:rsidR="00747804" w:rsidRPr="001615C5">
        <w:rPr>
          <w:rStyle w:val="TextSymbol"/>
          <w:vertAlign w:val="subscript"/>
        </w:rPr>
        <w:t>j</w:t>
      </w:r>
      <w:r w:rsidR="00747804" w:rsidRPr="00586F16">
        <w:rPr>
          <w:sz w:val="22"/>
          <w:szCs w:val="22"/>
        </w:rPr>
        <w:t>s</w:t>
      </w:r>
      <w:proofErr w:type="spellEnd"/>
      <w:r w:rsidRPr="00586F16">
        <w:rPr>
          <w:sz w:val="22"/>
        </w:rPr>
        <w:t xml:space="preserve"> that are associated with the quarters of the </w:t>
      </w:r>
      <w:r w:rsidR="00676ED7" w:rsidRPr="00586F16">
        <w:rPr>
          <w:sz w:val="22"/>
          <w:szCs w:val="22"/>
        </w:rPr>
        <w:t>‘</w:t>
      </w:r>
      <w:proofErr w:type="spellStart"/>
      <w:r w:rsidR="00747804" w:rsidRPr="00586F16">
        <w:rPr>
          <w:sz w:val="22"/>
          <w:szCs w:val="22"/>
        </w:rPr>
        <w:t>ith</w:t>
      </w:r>
      <w:proofErr w:type="spellEnd"/>
      <w:r w:rsidR="00676ED7" w:rsidRPr="00586F16">
        <w:rPr>
          <w:sz w:val="22"/>
          <w:szCs w:val="22"/>
        </w:rPr>
        <w:t>’</w:t>
      </w:r>
      <w:r w:rsidRPr="00586F16">
        <w:rPr>
          <w:sz w:val="22"/>
        </w:rPr>
        <w:t xml:space="preserve"> year. For example, </w:t>
      </w:r>
      <w:r w:rsidRPr="001615C5">
        <w:rPr>
          <w:rStyle w:val="TextSymbol"/>
        </w:rPr>
        <w:t>W</w:t>
      </w:r>
      <w:r w:rsidRPr="001615C5">
        <w:rPr>
          <w:rStyle w:val="TextSymbol"/>
          <w:vertAlign w:val="subscript"/>
        </w:rPr>
        <w:t>0</w:t>
      </w:r>
      <w:r w:rsidRPr="001615C5">
        <w:rPr>
          <w:rStyle w:val="TextSymbol"/>
        </w:rPr>
        <w:t xml:space="preserve"> = X</w:t>
      </w:r>
      <w:r w:rsidRPr="001615C5">
        <w:rPr>
          <w:rStyle w:val="TextSymbol"/>
          <w:vertAlign w:val="subscript"/>
        </w:rPr>
        <w:t>0</w:t>
      </w:r>
      <w:r w:rsidRPr="001615C5">
        <w:rPr>
          <w:rStyle w:val="TextSymbol"/>
        </w:rPr>
        <w:t xml:space="preserve"> + X</w:t>
      </w:r>
      <w:r w:rsidRPr="001615C5">
        <w:rPr>
          <w:rStyle w:val="TextSymbol"/>
          <w:vertAlign w:val="subscript"/>
        </w:rPr>
        <w:t xml:space="preserve">1 </w:t>
      </w:r>
      <w:r w:rsidRPr="001615C5">
        <w:rPr>
          <w:rStyle w:val="TextSymbol"/>
        </w:rPr>
        <w:t>+ X</w:t>
      </w:r>
      <w:r w:rsidRPr="001615C5">
        <w:rPr>
          <w:rStyle w:val="TextSymbol"/>
          <w:vertAlign w:val="subscript"/>
        </w:rPr>
        <w:t>2</w:t>
      </w:r>
      <w:r w:rsidRPr="001615C5">
        <w:rPr>
          <w:rStyle w:val="TextSymbol"/>
        </w:rPr>
        <w:t xml:space="preserve"> + </w:t>
      </w:r>
      <w:proofErr w:type="gramStart"/>
      <w:r w:rsidRPr="001615C5">
        <w:rPr>
          <w:rStyle w:val="TextSymbol"/>
        </w:rPr>
        <w:t>X</w:t>
      </w:r>
      <w:r w:rsidRPr="001615C5">
        <w:rPr>
          <w:rStyle w:val="TextSymbol"/>
          <w:vertAlign w:val="subscript"/>
        </w:rPr>
        <w:t>3</w:t>
      </w:r>
      <w:r w:rsidRPr="001615C5">
        <w:rPr>
          <w:rStyle w:val="TextSymbol"/>
        </w:rPr>
        <w:t xml:space="preserve"> </w:t>
      </w:r>
      <w:r w:rsidRPr="00586F16">
        <w:rPr>
          <w:sz w:val="22"/>
        </w:rPr>
        <w:t>.</w:t>
      </w:r>
      <w:proofErr w:type="gramEnd"/>
    </w:p>
    <w:p w:rsidR="00035561" w:rsidRPr="00586F16" w:rsidRDefault="00DC00F6" w:rsidP="00586F16">
      <w:pPr>
        <w:pStyle w:val="Text"/>
        <w:rPr>
          <w:sz w:val="22"/>
        </w:rPr>
      </w:pPr>
      <w:proofErr w:type="spellStart"/>
      <w:r w:rsidRPr="001D66D9">
        <w:rPr>
          <w:rStyle w:val="TextSymbol"/>
        </w:rPr>
        <w:t>Z</w:t>
      </w:r>
      <w:r w:rsidRPr="001615C5">
        <w:rPr>
          <w:rStyle w:val="TextSymbol"/>
          <w:vertAlign w:val="subscript"/>
        </w:rPr>
        <w:t>i</w:t>
      </w:r>
      <w:proofErr w:type="gramStart"/>
      <w:r w:rsidRPr="001615C5">
        <w:rPr>
          <w:rStyle w:val="TextSymbol"/>
          <w:vertAlign w:val="subscript"/>
        </w:rPr>
        <w:t>,j</w:t>
      </w:r>
      <w:proofErr w:type="spellEnd"/>
      <w:proofErr w:type="gramEnd"/>
      <w:r w:rsidRPr="001615C5">
        <w:rPr>
          <w:sz w:val="22"/>
          <w:vertAlign w:val="subscript"/>
        </w:rPr>
        <w:t xml:space="preserve"> </w:t>
      </w:r>
      <w:r w:rsidRPr="00586F16">
        <w:rPr>
          <w:sz w:val="22"/>
        </w:rPr>
        <w:t xml:space="preserve">is the sum of all the </w:t>
      </w:r>
      <w:proofErr w:type="spellStart"/>
      <w:r w:rsidRPr="001D66D9">
        <w:rPr>
          <w:rStyle w:val="TextSymbol"/>
        </w:rPr>
        <w:t>Y</w:t>
      </w:r>
      <w:r w:rsidRPr="001615C5">
        <w:rPr>
          <w:rStyle w:val="TextSymbol"/>
          <w:vertAlign w:val="subscript"/>
        </w:rPr>
        <w:t>k,l</w:t>
      </w:r>
      <w:proofErr w:type="spellEnd"/>
      <w:r w:rsidRPr="001D66D9">
        <w:rPr>
          <w:rStyle w:val="TextSymbol"/>
        </w:rPr>
        <w:t xml:space="preserve"> </w:t>
      </w:r>
      <w:r w:rsidRPr="00586F16">
        <w:rPr>
          <w:sz w:val="22"/>
        </w:rPr>
        <w:t xml:space="preserve">that are associated with commencing in the </w:t>
      </w:r>
      <w:r w:rsidR="00C84485" w:rsidRPr="00586F16">
        <w:rPr>
          <w:sz w:val="22"/>
          <w:szCs w:val="22"/>
        </w:rPr>
        <w:t>‘</w:t>
      </w:r>
      <w:proofErr w:type="spellStart"/>
      <w:r w:rsidR="00747804" w:rsidRPr="00586F16">
        <w:rPr>
          <w:sz w:val="22"/>
          <w:szCs w:val="22"/>
        </w:rPr>
        <w:t>ith</w:t>
      </w:r>
      <w:proofErr w:type="spellEnd"/>
      <w:r w:rsidR="00C84485" w:rsidRPr="00586F16">
        <w:rPr>
          <w:sz w:val="22"/>
          <w:szCs w:val="22"/>
        </w:rPr>
        <w:t>’</w:t>
      </w:r>
      <w:r w:rsidRPr="00586F16">
        <w:rPr>
          <w:sz w:val="22"/>
        </w:rPr>
        <w:t xml:space="preserve"> year and resulted in outcome within j quarters of commencing. For example, </w:t>
      </w:r>
      <w:r w:rsidRPr="001D66D9">
        <w:rPr>
          <w:rStyle w:val="TextSymbol"/>
        </w:rPr>
        <w:t>Z</w:t>
      </w:r>
      <w:r w:rsidRPr="001615C5">
        <w:rPr>
          <w:rStyle w:val="TextSymbol"/>
          <w:vertAlign w:val="subscript"/>
        </w:rPr>
        <w:t>0</w:t>
      </w:r>
      <w:proofErr w:type="gramStart"/>
      <w:r w:rsidRPr="001615C5">
        <w:rPr>
          <w:rStyle w:val="TextSymbol"/>
          <w:vertAlign w:val="subscript"/>
        </w:rPr>
        <w:t>,0</w:t>
      </w:r>
      <w:proofErr w:type="gramEnd"/>
      <w:r w:rsidRPr="001D66D9">
        <w:rPr>
          <w:rStyle w:val="TextSymbol"/>
        </w:rPr>
        <w:t xml:space="preserve"> = Y</w:t>
      </w:r>
      <w:r w:rsidRPr="001615C5">
        <w:rPr>
          <w:rStyle w:val="TextSymbol"/>
          <w:vertAlign w:val="subscript"/>
        </w:rPr>
        <w:t>0,0</w:t>
      </w:r>
      <w:r w:rsidRPr="001D66D9">
        <w:rPr>
          <w:rStyle w:val="TextSymbol"/>
        </w:rPr>
        <w:t xml:space="preserve"> + Y</w:t>
      </w:r>
      <w:r w:rsidRPr="001615C5">
        <w:rPr>
          <w:rStyle w:val="TextSymbol"/>
          <w:vertAlign w:val="subscript"/>
        </w:rPr>
        <w:t>1,1</w:t>
      </w:r>
      <w:r w:rsidRPr="001D66D9">
        <w:rPr>
          <w:rStyle w:val="TextSymbol"/>
        </w:rPr>
        <w:t xml:space="preserve"> + Y</w:t>
      </w:r>
      <w:r w:rsidRPr="001615C5">
        <w:rPr>
          <w:rStyle w:val="TextSymbol"/>
          <w:vertAlign w:val="subscript"/>
        </w:rPr>
        <w:t xml:space="preserve">2,2 </w:t>
      </w:r>
      <w:r w:rsidRPr="001D66D9">
        <w:rPr>
          <w:rStyle w:val="TextSymbol"/>
        </w:rPr>
        <w:t>+ Y</w:t>
      </w:r>
      <w:r w:rsidRPr="001615C5">
        <w:rPr>
          <w:rStyle w:val="TextSymbol"/>
          <w:vertAlign w:val="subscript"/>
        </w:rPr>
        <w:t>3,3</w:t>
      </w:r>
      <w:r w:rsidRPr="001D66D9">
        <w:rPr>
          <w:rStyle w:val="TextSymbol"/>
        </w:rPr>
        <w:t xml:space="preserve"> </w:t>
      </w:r>
      <w:r w:rsidRPr="00586F16">
        <w:rPr>
          <w:sz w:val="22"/>
        </w:rPr>
        <w:t>.</w:t>
      </w:r>
    </w:p>
    <w:p w:rsidR="00035561" w:rsidRPr="00586F16" w:rsidRDefault="00DC00F6" w:rsidP="00586F16">
      <w:pPr>
        <w:pStyle w:val="Text"/>
        <w:rPr>
          <w:sz w:val="22"/>
        </w:rPr>
      </w:pPr>
      <w:r w:rsidRPr="00586F16">
        <w:rPr>
          <w:sz w:val="22"/>
        </w:rPr>
        <w:t xml:space="preserve">For commencement year </w:t>
      </w:r>
      <w:r w:rsidR="00C84485" w:rsidRPr="00586F16">
        <w:rPr>
          <w:sz w:val="22"/>
          <w:szCs w:val="22"/>
        </w:rPr>
        <w:t>‘</w:t>
      </w:r>
      <w:proofErr w:type="spellStart"/>
      <w:r w:rsidR="00C84485" w:rsidRPr="00586F16">
        <w:rPr>
          <w:sz w:val="22"/>
          <w:szCs w:val="22"/>
        </w:rPr>
        <w:t>i</w:t>
      </w:r>
      <w:proofErr w:type="spellEnd"/>
      <w:r w:rsidR="00C84485" w:rsidRPr="00586F16">
        <w:rPr>
          <w:sz w:val="22"/>
          <w:szCs w:val="22"/>
        </w:rPr>
        <w:t>’</w:t>
      </w:r>
      <w:r w:rsidR="00747804" w:rsidRPr="00586F16">
        <w:rPr>
          <w:sz w:val="22"/>
          <w:szCs w:val="22"/>
        </w:rPr>
        <w:t>,</w:t>
      </w:r>
      <w:r w:rsidRPr="00586F16">
        <w:rPr>
          <w:sz w:val="22"/>
        </w:rPr>
        <w:t xml:space="preserve"> the estimate of the proportion of contracts that have resulted in outcome is </w:t>
      </w:r>
      <w:proofErr w:type="spellStart"/>
      <w:r w:rsidRPr="001D66D9">
        <w:rPr>
          <w:rStyle w:val="TextSymbol"/>
        </w:rPr>
        <w:t>Z</w:t>
      </w:r>
      <w:r w:rsidRPr="001615C5">
        <w:rPr>
          <w:rStyle w:val="TextSymbol"/>
          <w:vertAlign w:val="subscript"/>
        </w:rPr>
        <w:t>i</w:t>
      </w:r>
      <w:proofErr w:type="spellEnd"/>
      <w:proofErr w:type="gramStart"/>
      <w:r w:rsidRPr="001615C5">
        <w:rPr>
          <w:rStyle w:val="TextSymbol"/>
          <w:vertAlign w:val="subscript"/>
        </w:rPr>
        <w:t>,+</w:t>
      </w:r>
      <w:proofErr w:type="gramEnd"/>
      <w:r w:rsidRPr="001615C5">
        <w:rPr>
          <w:rStyle w:val="TextSymbol"/>
          <w:vertAlign w:val="subscript"/>
        </w:rPr>
        <w:t xml:space="preserve"> </w:t>
      </w:r>
      <w:r w:rsidRPr="001D66D9">
        <w:rPr>
          <w:rStyle w:val="TextSymbol"/>
        </w:rPr>
        <w:t xml:space="preserve">/ </w:t>
      </w:r>
      <w:proofErr w:type="spellStart"/>
      <w:r w:rsidRPr="001D66D9">
        <w:rPr>
          <w:rStyle w:val="TextSymbol"/>
        </w:rPr>
        <w:t>W</w:t>
      </w:r>
      <w:r w:rsidRPr="001615C5">
        <w:rPr>
          <w:rStyle w:val="TextSymbol"/>
          <w:vertAlign w:val="subscript"/>
        </w:rPr>
        <w:t>i</w:t>
      </w:r>
      <w:proofErr w:type="spellEnd"/>
      <w:r w:rsidRPr="001D66D9">
        <w:rPr>
          <w:rStyle w:val="TextSymbol"/>
        </w:rPr>
        <w:t xml:space="preserve"> </w:t>
      </w:r>
      <w:r w:rsidRPr="00586F16">
        <w:rPr>
          <w:sz w:val="22"/>
        </w:rPr>
        <w:t xml:space="preserve">. Similarly, the estimate of the proportion of contracts that have resulted in outcome within </w:t>
      </w:r>
      <w:r w:rsidR="00C84485" w:rsidRPr="00586F16">
        <w:rPr>
          <w:sz w:val="22"/>
          <w:szCs w:val="22"/>
        </w:rPr>
        <w:t>‘j’</w:t>
      </w:r>
      <w:r w:rsidRPr="00586F16">
        <w:rPr>
          <w:sz w:val="22"/>
        </w:rPr>
        <w:t xml:space="preserve"> quarters of commencing is </w:t>
      </w:r>
      <w:r w:rsidRPr="001D66D9">
        <w:rPr>
          <w:rStyle w:val="TextSymbol"/>
        </w:rPr>
        <w:t>(Z</w:t>
      </w:r>
      <w:r w:rsidRPr="001615C5">
        <w:rPr>
          <w:rStyle w:val="TextSymbol"/>
          <w:vertAlign w:val="subscript"/>
        </w:rPr>
        <w:t>i</w:t>
      </w:r>
      <w:proofErr w:type="gramStart"/>
      <w:r w:rsidRPr="001615C5">
        <w:rPr>
          <w:rStyle w:val="TextSymbol"/>
          <w:vertAlign w:val="subscript"/>
        </w:rPr>
        <w:t>,0</w:t>
      </w:r>
      <w:proofErr w:type="gramEnd"/>
      <w:r w:rsidRPr="001D66D9">
        <w:rPr>
          <w:rStyle w:val="TextSymbol"/>
        </w:rPr>
        <w:t xml:space="preserve"> + Z</w:t>
      </w:r>
      <w:r w:rsidRPr="001615C5">
        <w:rPr>
          <w:rStyle w:val="TextSymbol"/>
          <w:vertAlign w:val="subscript"/>
        </w:rPr>
        <w:t>i,1</w:t>
      </w:r>
      <w:r w:rsidRPr="001D66D9">
        <w:rPr>
          <w:rStyle w:val="TextSymbol"/>
        </w:rPr>
        <w:t xml:space="preserve"> + Z</w:t>
      </w:r>
      <w:r w:rsidRPr="001615C5">
        <w:rPr>
          <w:rStyle w:val="TextSymbol"/>
          <w:vertAlign w:val="subscript"/>
        </w:rPr>
        <w:t>i,2</w:t>
      </w:r>
      <w:r w:rsidRPr="001D66D9">
        <w:rPr>
          <w:rStyle w:val="TextSymbol"/>
        </w:rPr>
        <w:t xml:space="preserve"> + </w:t>
      </w:r>
      <w:r w:rsidR="00CC1A52" w:rsidRPr="001D66D9">
        <w:rPr>
          <w:rStyle w:val="TextSymbol"/>
        </w:rPr>
        <w:t>…</w:t>
      </w:r>
      <w:r w:rsidRPr="001D66D9">
        <w:rPr>
          <w:rStyle w:val="TextSymbol"/>
        </w:rPr>
        <w:t xml:space="preserve"> + </w:t>
      </w:r>
      <w:proofErr w:type="spellStart"/>
      <w:r w:rsidRPr="001D66D9">
        <w:rPr>
          <w:rStyle w:val="TextSymbol"/>
        </w:rPr>
        <w:t>Z</w:t>
      </w:r>
      <w:r w:rsidRPr="001615C5">
        <w:rPr>
          <w:rStyle w:val="TextSymbol"/>
          <w:vertAlign w:val="subscript"/>
        </w:rPr>
        <w:t>i,j</w:t>
      </w:r>
      <w:proofErr w:type="spellEnd"/>
      <w:r w:rsidRPr="001D66D9">
        <w:rPr>
          <w:rStyle w:val="TextSymbol"/>
        </w:rPr>
        <w:t xml:space="preserve"> ) / </w:t>
      </w:r>
      <w:proofErr w:type="spellStart"/>
      <w:r w:rsidRPr="001D66D9">
        <w:rPr>
          <w:rStyle w:val="TextSymbol"/>
        </w:rPr>
        <w:t>W</w:t>
      </w:r>
      <w:r w:rsidRPr="001615C5">
        <w:rPr>
          <w:rStyle w:val="TextSymbol"/>
          <w:vertAlign w:val="subscript"/>
        </w:rPr>
        <w:t>i</w:t>
      </w:r>
      <w:proofErr w:type="spellEnd"/>
      <w:r w:rsidRPr="001D66D9">
        <w:rPr>
          <w:rStyle w:val="TextSymbol"/>
        </w:rPr>
        <w:t xml:space="preserve"> </w:t>
      </w:r>
      <w:r w:rsidRPr="00586F16">
        <w:rPr>
          <w:sz w:val="22"/>
        </w:rPr>
        <w:t>.</w:t>
      </w:r>
    </w:p>
    <w:p w:rsidR="00747804" w:rsidRPr="00617758" w:rsidRDefault="00747804" w:rsidP="00586F16">
      <w:pPr>
        <w:pStyle w:val="Heading2"/>
      </w:pPr>
      <w:bookmarkStart w:id="22" w:name="_Toc296701748"/>
      <w:r w:rsidRPr="00617758">
        <w:t>Practical considerations</w:t>
      </w:r>
      <w:bookmarkEnd w:id="22"/>
    </w:p>
    <w:p w:rsidR="00035561" w:rsidRPr="00586F16" w:rsidRDefault="00DC00F6" w:rsidP="00586F16">
      <w:pPr>
        <w:pStyle w:val="Text"/>
        <w:rPr>
          <w:sz w:val="22"/>
        </w:rPr>
      </w:pPr>
      <w:r w:rsidRPr="00586F16">
        <w:rPr>
          <w:sz w:val="22"/>
        </w:rPr>
        <w:t>The preceding section shows how to calculate estimated outcome proportions for any given commencement year. These estimated proportions can only be treated as meaningful if enough time has passed since commencement to allow for the outcomes to occur. There is no rule which guarantees when enough time has passed</w:t>
      </w:r>
      <w:r w:rsidR="00C84485" w:rsidRPr="00586F16">
        <w:rPr>
          <w:sz w:val="22"/>
          <w:szCs w:val="22"/>
        </w:rPr>
        <w:t>,</w:t>
      </w:r>
      <w:r w:rsidRPr="00586F16">
        <w:rPr>
          <w:sz w:val="22"/>
        </w:rPr>
        <w:t xml:space="preserve"> so some </w:t>
      </w:r>
      <w:r w:rsidR="00C84485" w:rsidRPr="00586F16">
        <w:rPr>
          <w:sz w:val="22"/>
          <w:szCs w:val="22"/>
        </w:rPr>
        <w:t>judg</w:t>
      </w:r>
      <w:r w:rsidR="00747804" w:rsidRPr="00586F16">
        <w:rPr>
          <w:sz w:val="22"/>
          <w:szCs w:val="22"/>
        </w:rPr>
        <w:t>ment</w:t>
      </w:r>
      <w:r w:rsidRPr="00586F16">
        <w:rPr>
          <w:sz w:val="22"/>
        </w:rPr>
        <w:t xml:space="preserve"> is required.</w:t>
      </w:r>
    </w:p>
    <w:p w:rsidR="00035561" w:rsidRPr="00586F16" w:rsidRDefault="00DC00F6" w:rsidP="00586F16">
      <w:pPr>
        <w:pStyle w:val="Text"/>
        <w:rPr>
          <w:sz w:val="22"/>
        </w:rPr>
      </w:pPr>
      <w:r w:rsidRPr="00586F16">
        <w:rPr>
          <w:sz w:val="22"/>
        </w:rPr>
        <w:t>Historically, outcome rates have remained at about the same level, except when the number of commencing contracts being considered is small. If the outcome rate for a given year is much lower than the equivalent rate for previous years</w:t>
      </w:r>
      <w:r w:rsidR="00C84485" w:rsidRPr="00586F16">
        <w:rPr>
          <w:sz w:val="22"/>
          <w:szCs w:val="22"/>
        </w:rPr>
        <w:t>,</w:t>
      </w:r>
      <w:r w:rsidRPr="00586F16">
        <w:rPr>
          <w:sz w:val="22"/>
        </w:rPr>
        <w:t xml:space="preserve"> then this is an indication that more time is required for that rate to be treated as a valid estimate.</w:t>
      </w:r>
    </w:p>
    <w:p w:rsidR="00035561" w:rsidRPr="00586F16" w:rsidRDefault="00DC00F6" w:rsidP="00586F16">
      <w:pPr>
        <w:pStyle w:val="Text"/>
        <w:rPr>
          <w:sz w:val="22"/>
        </w:rPr>
      </w:pPr>
      <w:r w:rsidRPr="00586F16">
        <w:rPr>
          <w:sz w:val="22"/>
        </w:rPr>
        <w:t xml:space="preserve">This indication is reinforced if the proportion of </w:t>
      </w:r>
      <w:r w:rsidR="00C84485" w:rsidRPr="00586F16">
        <w:rPr>
          <w:sz w:val="22"/>
          <w:szCs w:val="22"/>
        </w:rPr>
        <w:t>‘unaccounted’</w:t>
      </w:r>
      <w:r w:rsidRPr="00586F16">
        <w:rPr>
          <w:sz w:val="22"/>
        </w:rPr>
        <w:t xml:space="preserve"> contracts is much larger than for the previous years. The proportion of unaccounted contracts is simply one minus the sum of the completion and attrition rates. Unaccounted contracts include those yet to report a valid outcome and those still</w:t>
      </w:r>
      <w:r w:rsidR="00747804" w:rsidRPr="00586F16">
        <w:rPr>
          <w:sz w:val="22"/>
          <w:szCs w:val="22"/>
        </w:rPr>
        <w:t xml:space="preserve"> </w:t>
      </w:r>
      <w:r w:rsidR="000D4EDD" w:rsidRPr="00586F16">
        <w:rPr>
          <w:sz w:val="22"/>
          <w:szCs w:val="22"/>
        </w:rPr>
        <w:t>in</w:t>
      </w:r>
      <w:r w:rsidRPr="00586F16">
        <w:rPr>
          <w:sz w:val="22"/>
        </w:rPr>
        <w:t xml:space="preserve"> training.</w:t>
      </w:r>
    </w:p>
    <w:p w:rsidR="00035561" w:rsidRPr="00586F16" w:rsidRDefault="00DC00F6" w:rsidP="00586F16">
      <w:pPr>
        <w:pStyle w:val="Text"/>
        <w:rPr>
          <w:sz w:val="22"/>
        </w:rPr>
      </w:pPr>
      <w:r w:rsidRPr="00586F16">
        <w:rPr>
          <w:sz w:val="22"/>
        </w:rPr>
        <w:t xml:space="preserve">Overall, the data quality is adequate for the application of this method. There </w:t>
      </w:r>
      <w:proofErr w:type="gramStart"/>
      <w:r w:rsidRPr="00586F16">
        <w:rPr>
          <w:sz w:val="22"/>
        </w:rPr>
        <w:t>is</w:t>
      </w:r>
      <w:proofErr w:type="gramEnd"/>
      <w:r w:rsidRPr="00586F16">
        <w:rPr>
          <w:sz w:val="22"/>
        </w:rPr>
        <w:t xml:space="preserve"> a small number of contracts </w:t>
      </w:r>
      <w:r w:rsidR="000D4EDD" w:rsidRPr="00586F16">
        <w:rPr>
          <w:sz w:val="22"/>
          <w:szCs w:val="22"/>
        </w:rPr>
        <w:t>with</w:t>
      </w:r>
      <w:r w:rsidRPr="00586F16">
        <w:rPr>
          <w:sz w:val="22"/>
        </w:rPr>
        <w:t xml:space="preserve"> different values for some data items on their commencing and outcome records. These records were </w:t>
      </w:r>
      <w:r w:rsidR="00C84485" w:rsidRPr="00586F16">
        <w:rPr>
          <w:sz w:val="22"/>
          <w:szCs w:val="22"/>
        </w:rPr>
        <w:t>‘cleaned’</w:t>
      </w:r>
      <w:r w:rsidRPr="00586F16">
        <w:rPr>
          <w:sz w:val="22"/>
        </w:rPr>
        <w:t xml:space="preserve"> by ensuring that the values on the commencement record were used for the outcome record. For example, where outcome rates are calculated </w:t>
      </w:r>
      <w:r w:rsidR="00C84485" w:rsidRPr="00586F16">
        <w:rPr>
          <w:sz w:val="22"/>
          <w:szCs w:val="22"/>
        </w:rPr>
        <w:t>‘</w:t>
      </w:r>
      <w:r w:rsidRPr="00586F16">
        <w:rPr>
          <w:sz w:val="22"/>
        </w:rPr>
        <w:t xml:space="preserve">by </w:t>
      </w:r>
      <w:r w:rsidR="00C84485" w:rsidRPr="00586F16">
        <w:rPr>
          <w:sz w:val="22"/>
          <w:szCs w:val="22"/>
        </w:rPr>
        <w:t>ANZSCO’</w:t>
      </w:r>
      <w:r w:rsidR="00C84485" w:rsidRPr="00586F16">
        <w:rPr>
          <w:rStyle w:val="StyleFootnoteReferenceGaramond11ptNotSuperscriptSubscr"/>
        </w:rPr>
        <w:footnoteReference w:id="1"/>
      </w:r>
      <w:r w:rsidR="00747804" w:rsidRPr="00586F16">
        <w:rPr>
          <w:sz w:val="22"/>
          <w:szCs w:val="22"/>
        </w:rPr>
        <w:t>,</w:t>
      </w:r>
      <w:r w:rsidRPr="00586F16">
        <w:rPr>
          <w:sz w:val="22"/>
        </w:rPr>
        <w:t xml:space="preserve"> it is referring to the ANZSCO recorded on the commencements.</w:t>
      </w:r>
    </w:p>
    <w:p w:rsidR="003D370D" w:rsidRPr="00586F16" w:rsidRDefault="00DC00F6" w:rsidP="00586F16">
      <w:pPr>
        <w:pStyle w:val="Text"/>
        <w:rPr>
          <w:sz w:val="22"/>
          <w:szCs w:val="22"/>
        </w:rPr>
      </w:pPr>
      <w:r w:rsidRPr="00586F16">
        <w:rPr>
          <w:sz w:val="22"/>
        </w:rPr>
        <w:t xml:space="preserve">The inclusion of transfers as a component of attrition will become an issue as the use of the category increases. There is an inconsistency between jurisdictions which affects whether a contract needs to transfer to a new contract or not. If an apprentice needs to change employer, some jurisdictions can keep the same contract and just amend the employer field. Other jurisdictions must end the existing contract and </w:t>
      </w:r>
      <w:r w:rsidR="000D4EDD" w:rsidRPr="00586F16">
        <w:rPr>
          <w:sz w:val="22"/>
          <w:szCs w:val="22"/>
        </w:rPr>
        <w:t>begin</w:t>
      </w:r>
      <w:r w:rsidRPr="00586F16">
        <w:rPr>
          <w:sz w:val="22"/>
        </w:rPr>
        <w:t xml:space="preserve"> a new one. The solution to this problem is to </w:t>
      </w:r>
      <w:r w:rsidR="002425A7" w:rsidRPr="00586F16">
        <w:rPr>
          <w:sz w:val="22"/>
          <w:szCs w:val="22"/>
        </w:rPr>
        <w:t>‘clean’</w:t>
      </w:r>
      <w:r w:rsidRPr="00586F16">
        <w:rPr>
          <w:sz w:val="22"/>
        </w:rPr>
        <w:t xml:space="preserve"> the </w:t>
      </w:r>
      <w:r w:rsidRPr="00586F16">
        <w:rPr>
          <w:sz w:val="22"/>
        </w:rPr>
        <w:lastRenderedPageBreak/>
        <w:t xml:space="preserve">data before applying the method. Reliable procedures need to be developed to link the contracts involved in the transfer and create one </w:t>
      </w:r>
      <w:r w:rsidR="002425A7" w:rsidRPr="00586F16">
        <w:rPr>
          <w:sz w:val="22"/>
          <w:szCs w:val="22"/>
        </w:rPr>
        <w:t>‘</w:t>
      </w:r>
      <w:r w:rsidRPr="00586F16">
        <w:rPr>
          <w:sz w:val="22"/>
        </w:rPr>
        <w:t xml:space="preserve">derived </w:t>
      </w:r>
      <w:r w:rsidR="002425A7" w:rsidRPr="00586F16">
        <w:rPr>
          <w:sz w:val="22"/>
          <w:szCs w:val="22"/>
        </w:rPr>
        <w:t>contract’</w:t>
      </w:r>
      <w:r w:rsidR="000D4EDD" w:rsidRPr="00586F16">
        <w:rPr>
          <w:sz w:val="22"/>
          <w:szCs w:val="22"/>
        </w:rPr>
        <w:t>,</w:t>
      </w:r>
      <w:r w:rsidRPr="00586F16">
        <w:rPr>
          <w:sz w:val="22"/>
        </w:rPr>
        <w:t xml:space="preserve"> which can be used instead of the linked contracts. The method can then be applied as described above.</w:t>
      </w:r>
      <w:bookmarkEnd w:id="15"/>
    </w:p>
    <w:p w:rsidR="003D370D" w:rsidRDefault="003D370D">
      <w:pPr>
        <w:spacing w:before="0"/>
        <w:rPr>
          <w:rFonts w:ascii="Garamond" w:hAnsi="Garamond"/>
          <w:sz w:val="20"/>
        </w:rPr>
      </w:pPr>
      <w:r>
        <w:br w:type="page"/>
      </w:r>
    </w:p>
    <w:p w:rsidR="003D370D" w:rsidRDefault="00586F16" w:rsidP="00BE50A3">
      <w:pPr>
        <w:pStyle w:val="Heading1"/>
      </w:pPr>
      <w:r>
        <w:lastRenderedPageBreak/>
        <w:br/>
      </w:r>
      <w:r>
        <w:br/>
      </w:r>
      <w:bookmarkStart w:id="23" w:name="_Toc296701749"/>
      <w:r w:rsidR="003D370D">
        <w:t>Glossary of terms</w:t>
      </w:r>
      <w:bookmarkEnd w:id="23"/>
    </w:p>
    <w:p w:rsidR="00035561" w:rsidRPr="00586F16" w:rsidRDefault="00DC00F6" w:rsidP="00586F16">
      <w:pPr>
        <w:pStyle w:val="Text"/>
        <w:spacing w:before="440"/>
        <w:ind w:right="-151"/>
        <w:rPr>
          <w:sz w:val="22"/>
        </w:rPr>
      </w:pPr>
      <w:r w:rsidRPr="00586F16">
        <w:rPr>
          <w:b/>
          <w:sz w:val="22"/>
        </w:rPr>
        <w:t>Collection</w:t>
      </w:r>
      <w:r w:rsidRPr="00586F16">
        <w:rPr>
          <w:sz w:val="22"/>
        </w:rPr>
        <w:t xml:space="preserve"> – refers to the National Apprentice and Trainee Collection, a set of data that is submitted quarterly by the state and territory training authorities to NCVER. The data are cumulative from a set</w:t>
      </w:r>
      <w:r w:rsidR="00586F16">
        <w:rPr>
          <w:sz w:val="22"/>
        </w:rPr>
        <w:t> </w:t>
      </w:r>
      <w:r w:rsidRPr="00586F16">
        <w:rPr>
          <w:sz w:val="22"/>
        </w:rPr>
        <w:t>point in time (currently data are submitted from 1 July 2002 to the current date). Collections are numbered sequentially from the first collection submitted to NCVER in 1994.</w:t>
      </w:r>
    </w:p>
    <w:p w:rsidR="00035561" w:rsidRPr="00586F16" w:rsidRDefault="003D370D" w:rsidP="00586F16">
      <w:pPr>
        <w:pStyle w:val="Text"/>
        <w:rPr>
          <w:sz w:val="22"/>
        </w:rPr>
      </w:pPr>
      <w:r w:rsidRPr="00586F16">
        <w:rPr>
          <w:b/>
          <w:sz w:val="22"/>
          <w:szCs w:val="22"/>
        </w:rPr>
        <w:t>Reporting lag</w:t>
      </w:r>
      <w:r w:rsidRPr="00586F16">
        <w:rPr>
          <w:sz w:val="22"/>
          <w:szCs w:val="22"/>
        </w:rPr>
        <w:t xml:space="preserve"> – </w:t>
      </w:r>
      <w:r w:rsidR="000D4EDD" w:rsidRPr="00586F16">
        <w:rPr>
          <w:sz w:val="22"/>
          <w:szCs w:val="22"/>
        </w:rPr>
        <w:t xml:space="preserve">refers to </w:t>
      </w:r>
      <w:r w:rsidRPr="00586F16">
        <w:rPr>
          <w:sz w:val="22"/>
          <w:szCs w:val="22"/>
        </w:rPr>
        <w:t xml:space="preserve">the delay in time between an </w:t>
      </w:r>
      <w:r w:rsidR="000D4EDD" w:rsidRPr="00586F16">
        <w:rPr>
          <w:sz w:val="22"/>
          <w:szCs w:val="22"/>
        </w:rPr>
        <w:t>event (commencement, completion</w:t>
      </w:r>
      <w:r w:rsidRPr="00586F16">
        <w:rPr>
          <w:sz w:val="22"/>
          <w:szCs w:val="22"/>
        </w:rPr>
        <w:t xml:space="preserve"> </w:t>
      </w:r>
      <w:r w:rsidR="00586F16">
        <w:rPr>
          <w:sz w:val="22"/>
          <w:szCs w:val="22"/>
        </w:rPr>
        <w:t>…</w:t>
      </w:r>
      <w:r w:rsidRPr="00586F16">
        <w:rPr>
          <w:sz w:val="22"/>
          <w:szCs w:val="22"/>
        </w:rPr>
        <w:t>)</w:t>
      </w:r>
      <w:r w:rsidR="00DC00F6" w:rsidRPr="00586F16">
        <w:rPr>
          <w:sz w:val="22"/>
        </w:rPr>
        <w:t xml:space="preserve"> occurring and the reporting of that event to NCVER via the state and territory training authority data submissions.</w:t>
      </w:r>
    </w:p>
    <w:p w:rsidR="00035561" w:rsidRPr="00586F16" w:rsidRDefault="00DC00F6" w:rsidP="00586F16">
      <w:pPr>
        <w:pStyle w:val="Text"/>
        <w:rPr>
          <w:sz w:val="22"/>
        </w:rPr>
      </w:pPr>
      <w:r w:rsidRPr="00586F16">
        <w:rPr>
          <w:b/>
          <w:sz w:val="22"/>
        </w:rPr>
        <w:t>Commencement</w:t>
      </w:r>
      <w:r w:rsidRPr="00586F16">
        <w:rPr>
          <w:sz w:val="22"/>
        </w:rPr>
        <w:t xml:space="preserve"> – refers to the start of a contract of training. The commencement date is the actual date an apprentice or trainee commenced training under a training contract.</w:t>
      </w:r>
    </w:p>
    <w:p w:rsidR="00035561" w:rsidRPr="00586F16" w:rsidRDefault="00DC00F6" w:rsidP="00586F16">
      <w:pPr>
        <w:pStyle w:val="Text"/>
        <w:rPr>
          <w:sz w:val="22"/>
        </w:rPr>
      </w:pPr>
      <w:r w:rsidRPr="00586F16">
        <w:rPr>
          <w:b/>
          <w:sz w:val="22"/>
        </w:rPr>
        <w:t>Completion</w:t>
      </w:r>
      <w:r w:rsidRPr="00586F16">
        <w:rPr>
          <w:sz w:val="22"/>
        </w:rPr>
        <w:t xml:space="preserve"> – refers to a contract of training in which all of the prescribed requirements have been</w:t>
      </w:r>
      <w:r w:rsidR="00586F16">
        <w:rPr>
          <w:sz w:val="22"/>
        </w:rPr>
        <w:t> </w:t>
      </w:r>
      <w:r w:rsidRPr="00586F16">
        <w:rPr>
          <w:sz w:val="22"/>
        </w:rPr>
        <w:t>met.</w:t>
      </w:r>
    </w:p>
    <w:p w:rsidR="003D370D" w:rsidRPr="00586F16" w:rsidRDefault="000D4EDD" w:rsidP="00586F16">
      <w:pPr>
        <w:pStyle w:val="Text"/>
        <w:rPr>
          <w:sz w:val="22"/>
          <w:szCs w:val="22"/>
        </w:rPr>
      </w:pPr>
      <w:r w:rsidRPr="00586F16">
        <w:rPr>
          <w:b/>
          <w:sz w:val="22"/>
          <w:szCs w:val="22"/>
        </w:rPr>
        <w:t>Completion r</w:t>
      </w:r>
      <w:r w:rsidR="003D370D" w:rsidRPr="00586F16">
        <w:rPr>
          <w:b/>
          <w:sz w:val="22"/>
          <w:szCs w:val="22"/>
        </w:rPr>
        <w:t>ate</w:t>
      </w:r>
      <w:r w:rsidR="003D370D" w:rsidRPr="00586F16">
        <w:rPr>
          <w:sz w:val="22"/>
          <w:szCs w:val="22"/>
        </w:rPr>
        <w:t xml:space="preserve"> – </w:t>
      </w:r>
      <w:r w:rsidRPr="00586F16">
        <w:rPr>
          <w:sz w:val="22"/>
          <w:szCs w:val="22"/>
        </w:rPr>
        <w:t xml:space="preserve">refers to </w:t>
      </w:r>
      <w:r w:rsidR="003D370D" w:rsidRPr="00586F16">
        <w:rPr>
          <w:sz w:val="22"/>
          <w:szCs w:val="22"/>
        </w:rPr>
        <w:t>the proportion of completions resulting from a given set of commencements.</w:t>
      </w:r>
    </w:p>
    <w:p w:rsidR="00035561" w:rsidRPr="00586F16" w:rsidRDefault="003D370D" w:rsidP="00586F16">
      <w:pPr>
        <w:pStyle w:val="Text"/>
        <w:rPr>
          <w:sz w:val="22"/>
        </w:rPr>
      </w:pPr>
      <w:r w:rsidRPr="00586F16">
        <w:rPr>
          <w:b/>
          <w:sz w:val="22"/>
          <w:szCs w:val="22"/>
        </w:rPr>
        <w:t>Attrition</w:t>
      </w:r>
      <w:r w:rsidRPr="00586F16">
        <w:rPr>
          <w:sz w:val="22"/>
          <w:szCs w:val="22"/>
        </w:rPr>
        <w:t xml:space="preserve"> – refers to a contract of training which ends before the term of the contra</w:t>
      </w:r>
      <w:r w:rsidR="000D4EDD" w:rsidRPr="00586F16">
        <w:rPr>
          <w:sz w:val="22"/>
          <w:szCs w:val="22"/>
        </w:rPr>
        <w:t>ct has expired, that is,</w:t>
      </w:r>
      <w:r w:rsidRPr="00586F16">
        <w:rPr>
          <w:sz w:val="22"/>
          <w:szCs w:val="22"/>
        </w:rPr>
        <w:t xml:space="preserve"> i.e.</w:t>
      </w:r>
      <w:r w:rsidR="00DC00F6" w:rsidRPr="00586F16">
        <w:rPr>
          <w:sz w:val="22"/>
        </w:rPr>
        <w:t xml:space="preserve"> cancelled, withdrawn or transferred.</w:t>
      </w:r>
    </w:p>
    <w:p w:rsidR="003D370D" w:rsidRPr="00586F16" w:rsidRDefault="000D4EDD" w:rsidP="00586F16">
      <w:pPr>
        <w:pStyle w:val="Text"/>
        <w:rPr>
          <w:sz w:val="22"/>
          <w:szCs w:val="22"/>
        </w:rPr>
      </w:pPr>
      <w:r w:rsidRPr="00586F16">
        <w:rPr>
          <w:b/>
          <w:sz w:val="22"/>
          <w:szCs w:val="22"/>
        </w:rPr>
        <w:t>Attrition r</w:t>
      </w:r>
      <w:r w:rsidR="003D370D" w:rsidRPr="00586F16">
        <w:rPr>
          <w:b/>
          <w:sz w:val="22"/>
          <w:szCs w:val="22"/>
        </w:rPr>
        <w:t>ate</w:t>
      </w:r>
      <w:r w:rsidR="003D370D" w:rsidRPr="00586F16">
        <w:rPr>
          <w:sz w:val="22"/>
          <w:szCs w:val="22"/>
        </w:rPr>
        <w:t xml:space="preserve"> – </w:t>
      </w:r>
      <w:r w:rsidRPr="00586F16">
        <w:rPr>
          <w:sz w:val="22"/>
          <w:szCs w:val="22"/>
        </w:rPr>
        <w:t xml:space="preserve">refers to </w:t>
      </w:r>
      <w:r w:rsidR="003D370D" w:rsidRPr="00586F16">
        <w:rPr>
          <w:sz w:val="22"/>
          <w:szCs w:val="22"/>
        </w:rPr>
        <w:t>the proportion of attritio</w:t>
      </w:r>
      <w:r w:rsidRPr="00586F16">
        <w:rPr>
          <w:sz w:val="22"/>
          <w:szCs w:val="22"/>
        </w:rPr>
        <w:t xml:space="preserve">n resulting from a given set of </w:t>
      </w:r>
      <w:r w:rsidR="003D370D" w:rsidRPr="00586F16">
        <w:rPr>
          <w:sz w:val="22"/>
          <w:szCs w:val="22"/>
        </w:rPr>
        <w:t>commencements.</w:t>
      </w:r>
    </w:p>
    <w:p w:rsidR="003D370D" w:rsidRPr="00586F16" w:rsidRDefault="003D370D" w:rsidP="00586F16">
      <w:pPr>
        <w:pStyle w:val="Text"/>
        <w:rPr>
          <w:sz w:val="22"/>
          <w:szCs w:val="22"/>
        </w:rPr>
      </w:pPr>
      <w:r w:rsidRPr="00586F16">
        <w:rPr>
          <w:b/>
          <w:sz w:val="22"/>
          <w:szCs w:val="22"/>
        </w:rPr>
        <w:t>Outcome</w:t>
      </w:r>
      <w:r w:rsidRPr="00586F16">
        <w:rPr>
          <w:sz w:val="22"/>
          <w:szCs w:val="22"/>
        </w:rPr>
        <w:t xml:space="preserve"> – since the method is the same for completion</w:t>
      </w:r>
      <w:r w:rsidR="000D4EDD" w:rsidRPr="00586F16">
        <w:rPr>
          <w:sz w:val="22"/>
          <w:szCs w:val="22"/>
        </w:rPr>
        <w:t xml:space="preserve"> and attrition, this note uses ‘outcome’</w:t>
      </w:r>
      <w:r w:rsidRPr="00586F16">
        <w:rPr>
          <w:sz w:val="22"/>
          <w:szCs w:val="22"/>
        </w:rPr>
        <w:t xml:space="preserve"> as a generic term.</w:t>
      </w:r>
      <w:r w:rsidR="00F75052" w:rsidRPr="00586F16">
        <w:rPr>
          <w:sz w:val="22"/>
          <w:szCs w:val="22"/>
        </w:rPr>
        <w:t xml:space="preserve"> </w:t>
      </w:r>
      <w:r w:rsidRPr="00586F16">
        <w:rPr>
          <w:sz w:val="22"/>
          <w:szCs w:val="22"/>
        </w:rPr>
        <w:t>Th</w:t>
      </w:r>
      <w:r w:rsidR="000D4EDD" w:rsidRPr="00586F16">
        <w:rPr>
          <w:sz w:val="22"/>
          <w:szCs w:val="22"/>
        </w:rPr>
        <w:t>e reader may substitute either ‘completion’ or ‘attrition’</w:t>
      </w:r>
      <w:r w:rsidRPr="00586F16">
        <w:rPr>
          <w:sz w:val="22"/>
          <w:szCs w:val="22"/>
        </w:rPr>
        <w:t xml:space="preserve"> for outcome as appropriate.</w:t>
      </w:r>
    </w:p>
    <w:p w:rsidR="003D370D" w:rsidRPr="00586F16" w:rsidRDefault="003D370D" w:rsidP="00586F16">
      <w:pPr>
        <w:pStyle w:val="Text"/>
        <w:rPr>
          <w:sz w:val="22"/>
          <w:szCs w:val="22"/>
        </w:rPr>
      </w:pPr>
      <w:r w:rsidRPr="00586F16">
        <w:rPr>
          <w:b/>
          <w:sz w:val="22"/>
          <w:szCs w:val="22"/>
        </w:rPr>
        <w:t>Rate to date</w:t>
      </w:r>
      <w:r w:rsidRPr="00586F16">
        <w:rPr>
          <w:sz w:val="22"/>
          <w:szCs w:val="22"/>
        </w:rPr>
        <w:t xml:space="preserve"> – </w:t>
      </w:r>
      <w:r w:rsidR="000D4EDD" w:rsidRPr="00586F16">
        <w:rPr>
          <w:sz w:val="22"/>
          <w:szCs w:val="22"/>
        </w:rPr>
        <w:t xml:space="preserve">refers to </w:t>
      </w:r>
      <w:r w:rsidRPr="00586F16">
        <w:rPr>
          <w:sz w:val="22"/>
          <w:szCs w:val="22"/>
        </w:rPr>
        <w:t>term used for calculated outcome proportions when the commencement year is too recent to allow enough time for the commencing contracts to have outcomes in sufficient numbers.</w:t>
      </w:r>
    </w:p>
    <w:p w:rsidR="003D370D" w:rsidRPr="00586F16" w:rsidRDefault="00DC00F6" w:rsidP="00586F16">
      <w:pPr>
        <w:pStyle w:val="Text"/>
        <w:rPr>
          <w:sz w:val="22"/>
          <w:szCs w:val="22"/>
        </w:rPr>
      </w:pPr>
      <w:r w:rsidRPr="00586F16">
        <w:rPr>
          <w:b/>
          <w:sz w:val="22"/>
        </w:rPr>
        <w:t>Other related terms</w:t>
      </w:r>
      <w:r w:rsidRPr="00586F16">
        <w:rPr>
          <w:sz w:val="22"/>
        </w:rPr>
        <w:t xml:space="preserve"> – see the supporting documents for the latest apprentice and trainee annual publication at &lt;http://www.ncver.edu.au/statistic/21049.html&gt;.</w:t>
      </w:r>
    </w:p>
    <w:p w:rsidR="00747804" w:rsidRDefault="00747804" w:rsidP="00747804">
      <w:pPr>
        <w:pStyle w:val="Text"/>
        <w:jc w:val="both"/>
      </w:pPr>
    </w:p>
    <w:sectPr w:rsidR="00747804" w:rsidSect="003553A6">
      <w:footerReference w:type="even" r:id="rId10"/>
      <w:footerReference w:type="default" r:id="rId11"/>
      <w:pgSz w:w="11899" w:h="16838" w:code="9"/>
      <w:pgMar w:top="1418" w:right="1985" w:bottom="567" w:left="1418" w:header="720" w:footer="5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24" w:rsidRDefault="00522324">
      <w:r>
        <w:separator/>
      </w:r>
    </w:p>
  </w:endnote>
  <w:endnote w:type="continuationSeparator" w:id="0">
    <w:p w:rsidR="00522324" w:rsidRDefault="00522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vant Garde">
    <w:altName w:val="Century Gothic"/>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24" w:rsidRDefault="00522324">
    <w:pPr>
      <w:pStyle w:val="Footer"/>
    </w:pPr>
  </w:p>
  <w:p w:rsidR="00522324" w:rsidRDefault="0071422D" w:rsidP="003553A6">
    <w:pPr>
      <w:pStyle w:val="Footer"/>
      <w:pBdr>
        <w:top w:val="single" w:sz="4" w:space="1" w:color="auto"/>
      </w:pBdr>
      <w:tabs>
        <w:tab w:val="clear" w:pos="4153"/>
        <w:tab w:val="clear" w:pos="8306"/>
        <w:tab w:val="center" w:pos="3969"/>
        <w:tab w:val="right" w:pos="8505"/>
      </w:tabs>
    </w:pPr>
    <w:r>
      <w:rPr>
        <w:rStyle w:val="PageNumber"/>
      </w:rPr>
      <w:fldChar w:fldCharType="begin"/>
    </w:r>
    <w:r w:rsidR="00522324">
      <w:rPr>
        <w:rStyle w:val="PageNumber"/>
      </w:rPr>
      <w:instrText xml:space="preserve"> PAGE </w:instrText>
    </w:r>
    <w:r>
      <w:rPr>
        <w:rStyle w:val="PageNumber"/>
      </w:rPr>
      <w:fldChar w:fldCharType="separate"/>
    </w:r>
    <w:r w:rsidR="00D74D6E">
      <w:rPr>
        <w:rStyle w:val="PageNumber"/>
        <w:noProof/>
      </w:rPr>
      <w:t>10</w:t>
    </w:r>
    <w:r>
      <w:rPr>
        <w:rStyle w:val="PageNumber"/>
      </w:rPr>
      <w:fldChar w:fldCharType="end"/>
    </w:r>
    <w:r w:rsidR="00522324">
      <w:rPr>
        <w:rStyle w:val="PageNumber"/>
      </w:rPr>
      <w:tab/>
    </w:r>
    <w:r w:rsidR="00522324">
      <w:rPr>
        <w:rStyle w:val="PageNumber"/>
      </w:rPr>
      <w:tab/>
    </w:r>
    <w:r w:rsidR="00522324">
      <w:t>Estimation of contract completion and attrition rates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24" w:rsidRDefault="00522324">
    <w:pPr>
      <w:pStyle w:val="Footer"/>
    </w:pPr>
  </w:p>
  <w:p w:rsidR="00522324" w:rsidRDefault="00522324" w:rsidP="003553A6">
    <w:pPr>
      <w:pStyle w:val="Footer"/>
      <w:pBdr>
        <w:top w:val="single" w:sz="4" w:space="1" w:color="auto"/>
      </w:pBdr>
      <w:tabs>
        <w:tab w:val="clear" w:pos="8306"/>
        <w:tab w:val="right" w:pos="8505"/>
      </w:tabs>
    </w:pPr>
    <w:r>
      <w:t>NCVER</w:t>
    </w:r>
    <w:r>
      <w:tab/>
    </w:r>
    <w:r>
      <w:tab/>
    </w:r>
    <w:fldSimple w:instr=" PAGE   \* MERGEFORMAT ">
      <w:r w:rsidR="00D74D6E">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24" w:rsidRDefault="00522324">
      <w:r>
        <w:separator/>
      </w:r>
    </w:p>
  </w:footnote>
  <w:footnote w:type="continuationSeparator" w:id="0">
    <w:p w:rsidR="00522324" w:rsidRDefault="00522324">
      <w:r>
        <w:continuationSeparator/>
      </w:r>
    </w:p>
  </w:footnote>
  <w:footnote w:id="1">
    <w:p w:rsidR="00522324" w:rsidRDefault="00522324">
      <w:pPr>
        <w:pStyle w:val="FootnoteText"/>
      </w:pPr>
      <w:r>
        <w:rPr>
          <w:rStyle w:val="FootnoteReference"/>
        </w:rPr>
        <w:footnoteRef/>
      </w:r>
      <w:r>
        <w:tab/>
        <w:t>ANZSCO = Australian and New Zealand Standard Classification of Occupations.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2">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F01"/>
  <w:stylePaneSortMethod w:val="0000"/>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suppressSpBfAfterPgBrk/>
  </w:compat>
  <w:rsids>
    <w:rsidRoot w:val="00747804"/>
    <w:rsid w:val="0001320D"/>
    <w:rsid w:val="00025A65"/>
    <w:rsid w:val="00035561"/>
    <w:rsid w:val="000370DA"/>
    <w:rsid w:val="00037B44"/>
    <w:rsid w:val="00085637"/>
    <w:rsid w:val="000943B3"/>
    <w:rsid w:val="000B3C2D"/>
    <w:rsid w:val="000D4EDD"/>
    <w:rsid w:val="00137F6B"/>
    <w:rsid w:val="0014679A"/>
    <w:rsid w:val="00153758"/>
    <w:rsid w:val="001615C5"/>
    <w:rsid w:val="00162D95"/>
    <w:rsid w:val="001655CD"/>
    <w:rsid w:val="00180EAA"/>
    <w:rsid w:val="00186E8B"/>
    <w:rsid w:val="00194617"/>
    <w:rsid w:val="001B4C3F"/>
    <w:rsid w:val="001C341B"/>
    <w:rsid w:val="001D2062"/>
    <w:rsid w:val="001D3E89"/>
    <w:rsid w:val="001D66D9"/>
    <w:rsid w:val="001E17E4"/>
    <w:rsid w:val="001E7F90"/>
    <w:rsid w:val="001F69E8"/>
    <w:rsid w:val="002251B5"/>
    <w:rsid w:val="002425A7"/>
    <w:rsid w:val="00251847"/>
    <w:rsid w:val="002B1DF7"/>
    <w:rsid w:val="002B483A"/>
    <w:rsid w:val="002C4EB3"/>
    <w:rsid w:val="002D3982"/>
    <w:rsid w:val="002F14AE"/>
    <w:rsid w:val="002F1E16"/>
    <w:rsid w:val="00332045"/>
    <w:rsid w:val="003347BA"/>
    <w:rsid w:val="0034706E"/>
    <w:rsid w:val="003553A6"/>
    <w:rsid w:val="00363D9B"/>
    <w:rsid w:val="003866F8"/>
    <w:rsid w:val="00390BC9"/>
    <w:rsid w:val="003961B7"/>
    <w:rsid w:val="003D370D"/>
    <w:rsid w:val="003F1414"/>
    <w:rsid w:val="003F59F9"/>
    <w:rsid w:val="004007D2"/>
    <w:rsid w:val="004172D4"/>
    <w:rsid w:val="004331AB"/>
    <w:rsid w:val="00452CA6"/>
    <w:rsid w:val="00456500"/>
    <w:rsid w:val="0047455E"/>
    <w:rsid w:val="00487FAE"/>
    <w:rsid w:val="004949B6"/>
    <w:rsid w:val="004B1EA6"/>
    <w:rsid w:val="004C6FA5"/>
    <w:rsid w:val="004D566D"/>
    <w:rsid w:val="004D6395"/>
    <w:rsid w:val="004E41BB"/>
    <w:rsid w:val="004E59B9"/>
    <w:rsid w:val="004E72D9"/>
    <w:rsid w:val="00500F2E"/>
    <w:rsid w:val="005056E7"/>
    <w:rsid w:val="00516BB6"/>
    <w:rsid w:val="00522324"/>
    <w:rsid w:val="005376B0"/>
    <w:rsid w:val="00557BB3"/>
    <w:rsid w:val="00557D90"/>
    <w:rsid w:val="00570FA8"/>
    <w:rsid w:val="00574676"/>
    <w:rsid w:val="005820A8"/>
    <w:rsid w:val="00586F16"/>
    <w:rsid w:val="00593559"/>
    <w:rsid w:val="005E1181"/>
    <w:rsid w:val="005F6983"/>
    <w:rsid w:val="006041EB"/>
    <w:rsid w:val="00617758"/>
    <w:rsid w:val="00627E5D"/>
    <w:rsid w:val="006619BC"/>
    <w:rsid w:val="0066257B"/>
    <w:rsid w:val="00673D2F"/>
    <w:rsid w:val="00676ED7"/>
    <w:rsid w:val="006935F8"/>
    <w:rsid w:val="006A518A"/>
    <w:rsid w:val="006A7B79"/>
    <w:rsid w:val="006B18F9"/>
    <w:rsid w:val="006C5F40"/>
    <w:rsid w:val="006F2ABA"/>
    <w:rsid w:val="006F31DA"/>
    <w:rsid w:val="00706D60"/>
    <w:rsid w:val="00710CDF"/>
    <w:rsid w:val="0071422D"/>
    <w:rsid w:val="00747804"/>
    <w:rsid w:val="00750702"/>
    <w:rsid w:val="0077679A"/>
    <w:rsid w:val="00790F32"/>
    <w:rsid w:val="00794764"/>
    <w:rsid w:val="007C1CF4"/>
    <w:rsid w:val="007D2983"/>
    <w:rsid w:val="007E0885"/>
    <w:rsid w:val="008205B1"/>
    <w:rsid w:val="00835D1E"/>
    <w:rsid w:val="00845D0C"/>
    <w:rsid w:val="00860F8D"/>
    <w:rsid w:val="00883DD1"/>
    <w:rsid w:val="008B45A3"/>
    <w:rsid w:val="008C72CD"/>
    <w:rsid w:val="008D7E62"/>
    <w:rsid w:val="009016D4"/>
    <w:rsid w:val="009045F2"/>
    <w:rsid w:val="009357A4"/>
    <w:rsid w:val="0093635B"/>
    <w:rsid w:val="00972210"/>
    <w:rsid w:val="009E7340"/>
    <w:rsid w:val="00A206A8"/>
    <w:rsid w:val="00A25366"/>
    <w:rsid w:val="00A263F0"/>
    <w:rsid w:val="00A31B5A"/>
    <w:rsid w:val="00A41FE0"/>
    <w:rsid w:val="00A51558"/>
    <w:rsid w:val="00AB0626"/>
    <w:rsid w:val="00AB1799"/>
    <w:rsid w:val="00AC4D5D"/>
    <w:rsid w:val="00AD2ECA"/>
    <w:rsid w:val="00AE6DC5"/>
    <w:rsid w:val="00B241C6"/>
    <w:rsid w:val="00B51A39"/>
    <w:rsid w:val="00B52326"/>
    <w:rsid w:val="00B56619"/>
    <w:rsid w:val="00B71961"/>
    <w:rsid w:val="00B71B59"/>
    <w:rsid w:val="00B76C04"/>
    <w:rsid w:val="00BA0FC7"/>
    <w:rsid w:val="00BA6DEA"/>
    <w:rsid w:val="00BC3CE4"/>
    <w:rsid w:val="00BD67D7"/>
    <w:rsid w:val="00BE50A3"/>
    <w:rsid w:val="00BF5045"/>
    <w:rsid w:val="00C2155D"/>
    <w:rsid w:val="00C2475C"/>
    <w:rsid w:val="00C323AC"/>
    <w:rsid w:val="00C429E2"/>
    <w:rsid w:val="00C44A91"/>
    <w:rsid w:val="00C45131"/>
    <w:rsid w:val="00C741D7"/>
    <w:rsid w:val="00C84485"/>
    <w:rsid w:val="00CC1A52"/>
    <w:rsid w:val="00CD7D77"/>
    <w:rsid w:val="00CE2644"/>
    <w:rsid w:val="00D1359E"/>
    <w:rsid w:val="00D209A1"/>
    <w:rsid w:val="00D418CE"/>
    <w:rsid w:val="00D74D6E"/>
    <w:rsid w:val="00DB51F4"/>
    <w:rsid w:val="00DC00F6"/>
    <w:rsid w:val="00DC1E46"/>
    <w:rsid w:val="00DE118A"/>
    <w:rsid w:val="00E4445E"/>
    <w:rsid w:val="00E81D4E"/>
    <w:rsid w:val="00ED5F15"/>
    <w:rsid w:val="00ED79FD"/>
    <w:rsid w:val="00F221DD"/>
    <w:rsid w:val="00F413AB"/>
    <w:rsid w:val="00F45810"/>
    <w:rsid w:val="00F51E11"/>
    <w:rsid w:val="00F75052"/>
    <w:rsid w:val="00F817A7"/>
    <w:rsid w:val="00F90472"/>
    <w:rsid w:val="00F95117"/>
    <w:rsid w:val="00F9578D"/>
    <w:rsid w:val="00FA0DDE"/>
    <w:rsid w:val="00FA4E2D"/>
    <w:rsid w:val="00FC32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3" type="connector" idref="#_x0000_s1034"/>
        <o:r id="V:Rule4" type="connector" idref="#_x0000_s103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F6B"/>
    <w:pPr>
      <w:spacing w:before="200"/>
    </w:pPr>
    <w:rPr>
      <w:sz w:val="24"/>
    </w:rPr>
  </w:style>
  <w:style w:type="paragraph" w:styleId="Heading1">
    <w:name w:val="heading 1"/>
    <w:next w:val="Text"/>
    <w:autoRedefine/>
    <w:qFormat/>
    <w:rsid w:val="00390BC9"/>
    <w:pPr>
      <w:widowControl w:val="0"/>
      <w:pBdr>
        <w:bottom w:val="single" w:sz="4" w:space="1" w:color="auto"/>
      </w:pBdr>
      <w:spacing w:before="640" w:after="60"/>
      <w:jc w:val="right"/>
      <w:outlineLvl w:val="0"/>
    </w:pPr>
    <w:rPr>
      <w:rFonts w:ascii="Garamond" w:hAnsi="Garamond"/>
      <w:kern w:val="28"/>
      <w:sz w:val="60"/>
    </w:rPr>
  </w:style>
  <w:style w:type="paragraph" w:styleId="Heading2">
    <w:name w:val="heading 2"/>
    <w:next w:val="Text"/>
    <w:qFormat/>
    <w:rsid w:val="00BA6DEA"/>
    <w:pPr>
      <w:keepNext/>
      <w:spacing w:before="440"/>
      <w:outlineLvl w:val="1"/>
    </w:pPr>
    <w:rPr>
      <w:rFonts w:ascii="Garamond" w:hAnsi="Garamond"/>
      <w:sz w:val="36"/>
    </w:rPr>
  </w:style>
  <w:style w:type="paragraph" w:styleId="Heading3">
    <w:name w:val="heading 3"/>
    <w:next w:val="Text"/>
    <w:qFormat/>
    <w:rsid w:val="00BA6DEA"/>
    <w:pPr>
      <w:keepNext/>
      <w:spacing w:before="280"/>
      <w:outlineLvl w:val="2"/>
    </w:pPr>
    <w:rPr>
      <w:rFonts w:ascii="Garamond" w:hAnsi="Garamond"/>
      <w:sz w:val="28"/>
    </w:rPr>
  </w:style>
  <w:style w:type="paragraph" w:styleId="Heading4">
    <w:name w:val="heading 4"/>
    <w:next w:val="Text"/>
    <w:qFormat/>
    <w:rsid w:val="00BA6DEA"/>
    <w:pPr>
      <w:keepNext/>
      <w:spacing w:before="260"/>
      <w:outlineLvl w:val="3"/>
    </w:pPr>
    <w:rPr>
      <w:rFonts w:ascii="Garamond" w:hAnsi="Garamond"/>
      <w:i/>
      <w:sz w:val="24"/>
    </w:rPr>
  </w:style>
  <w:style w:type="paragraph" w:styleId="Heading5">
    <w:name w:val="heading 5"/>
    <w:basedOn w:val="Normal"/>
    <w:next w:val="Normal"/>
    <w:qFormat/>
    <w:rsid w:val="00BA6DEA"/>
    <w:pPr>
      <w:keepNext/>
      <w:outlineLvl w:val="4"/>
    </w:pPr>
    <w:rPr>
      <w:rFonts w:ascii="Garamond" w:hAnsi="Garamond"/>
      <w:b/>
    </w:rPr>
  </w:style>
  <w:style w:type="paragraph" w:styleId="Heading6">
    <w:name w:val="heading 6"/>
    <w:basedOn w:val="Normal"/>
    <w:next w:val="Normal"/>
    <w:qFormat/>
    <w:rsid w:val="005E1181"/>
    <w:pPr>
      <w:keepNext/>
      <w:ind w:left="2977"/>
      <w:outlineLvl w:val="5"/>
    </w:pPr>
    <w:rPr>
      <w:rFonts w:ascii="Garamond" w:hAnsi="Garamond"/>
      <w:sz w:val="36"/>
    </w:rPr>
  </w:style>
  <w:style w:type="paragraph" w:styleId="Heading7">
    <w:name w:val="heading 7"/>
    <w:basedOn w:val="Normal"/>
    <w:next w:val="Normal"/>
    <w:qFormat/>
    <w:rsid w:val="005E1181"/>
    <w:pPr>
      <w:keepNext/>
      <w:jc w:val="center"/>
      <w:outlineLvl w:val="6"/>
    </w:pPr>
    <w:rPr>
      <w:rFonts w:ascii="Garamond" w:hAnsi="Garamond"/>
      <w:b/>
      <w:spacing w:val="20"/>
      <w:sz w:val="36"/>
    </w:rPr>
  </w:style>
  <w:style w:type="paragraph" w:styleId="Heading8">
    <w:name w:val="heading 8"/>
    <w:basedOn w:val="Normal"/>
    <w:next w:val="Normal"/>
    <w:qFormat/>
    <w:rsid w:val="005E1181"/>
    <w:pPr>
      <w:keepNext/>
      <w:jc w:val="center"/>
      <w:outlineLvl w:val="7"/>
    </w:pPr>
    <w:rPr>
      <w:rFonts w:ascii="Garamond" w:hAnsi="Garamond"/>
      <w:b/>
      <w:color w:val="C0C0C0"/>
      <w:spacing w:val="60"/>
      <w:sz w:val="56"/>
    </w:rPr>
  </w:style>
  <w:style w:type="paragraph" w:styleId="Heading9">
    <w:name w:val="heading 9"/>
    <w:basedOn w:val="Normal"/>
    <w:next w:val="Normal"/>
    <w:qFormat/>
    <w:rsid w:val="004E72D9"/>
    <w:pPr>
      <w:keepNext/>
      <w:spacing w:before="0"/>
      <w:ind w:firstLine="2977"/>
      <w:outlineLvl w:val="8"/>
    </w:pPr>
    <w:rPr>
      <w:rFonts w:ascii="Garamond" w:hAnsi="Garamon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A51558"/>
    <w:pPr>
      <w:spacing w:before="200" w:line="260" w:lineRule="exact"/>
    </w:pPr>
    <w:rPr>
      <w:rFonts w:ascii="Garamond" w:hAnsi="Garamond"/>
    </w:rPr>
  </w:style>
  <w:style w:type="character" w:styleId="PageNumber">
    <w:name w:val="page number"/>
    <w:basedOn w:val="DefaultParagraphFont"/>
    <w:rsid w:val="005E1181"/>
    <w:rPr>
      <w:rFonts w:ascii="Garamond" w:hAnsi="Garamond"/>
      <w:sz w:val="18"/>
    </w:rPr>
  </w:style>
  <w:style w:type="paragraph" w:styleId="Footer">
    <w:name w:val="footer"/>
    <w:basedOn w:val="Normal"/>
    <w:link w:val="FooterChar"/>
    <w:uiPriority w:val="99"/>
    <w:rsid w:val="005E1181"/>
    <w:pPr>
      <w:tabs>
        <w:tab w:val="center" w:pos="4153"/>
        <w:tab w:val="right" w:pos="8306"/>
      </w:tabs>
      <w:spacing w:before="0"/>
    </w:pPr>
    <w:rPr>
      <w:rFonts w:ascii="Garamond" w:hAnsi="Garamond"/>
      <w:sz w:val="18"/>
    </w:rPr>
  </w:style>
  <w:style w:type="paragraph" w:styleId="TOC1">
    <w:name w:val="toc 1"/>
    <w:uiPriority w:val="39"/>
    <w:rsid w:val="005E1181"/>
    <w:pPr>
      <w:tabs>
        <w:tab w:val="left" w:pos="221"/>
        <w:tab w:val="right" w:pos="8222"/>
      </w:tabs>
      <w:spacing w:before="80"/>
      <w:ind w:left="2268"/>
    </w:pPr>
    <w:rPr>
      <w:rFonts w:ascii="Garamond" w:hAnsi="Garamond"/>
      <w:sz w:val="22"/>
    </w:rPr>
  </w:style>
  <w:style w:type="paragraph" w:styleId="TOC2">
    <w:name w:val="toc 2"/>
    <w:basedOn w:val="Normal"/>
    <w:next w:val="Normal"/>
    <w:uiPriority w:val="39"/>
    <w:rsid w:val="005E1181"/>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semiHidden/>
    <w:rsid w:val="005E1181"/>
    <w:pPr>
      <w:ind w:left="440"/>
    </w:pPr>
  </w:style>
  <w:style w:type="paragraph" w:customStyle="1" w:styleId="tabletitle">
    <w:name w:val="tabletitle"/>
    <w:next w:val="Text"/>
    <w:rsid w:val="003553A6"/>
    <w:pPr>
      <w:spacing w:before="360" w:after="80"/>
      <w:ind w:left="851" w:hanging="851"/>
    </w:pPr>
    <w:rPr>
      <w:rFonts w:ascii="Arial" w:hAnsi="Arial"/>
      <w:b/>
      <w:sz w:val="17"/>
      <w:lang w:eastAsia="en-US"/>
    </w:rPr>
  </w:style>
  <w:style w:type="paragraph" w:customStyle="1" w:styleId="Tabletext">
    <w:name w:val="Table text"/>
    <w:next w:val="Text"/>
    <w:rsid w:val="003553A6"/>
    <w:pPr>
      <w:spacing w:before="80"/>
    </w:pPr>
    <w:rPr>
      <w:rFonts w:ascii="Arial" w:hAnsi="Arial"/>
      <w:sz w:val="16"/>
      <w:lang w:eastAsia="en-US"/>
    </w:rPr>
  </w:style>
  <w:style w:type="paragraph" w:styleId="TOC4">
    <w:name w:val="toc 4"/>
    <w:basedOn w:val="Normal"/>
    <w:next w:val="Normal"/>
    <w:autoRedefine/>
    <w:semiHidden/>
    <w:rsid w:val="005E1181"/>
    <w:pPr>
      <w:ind w:left="660"/>
    </w:pPr>
  </w:style>
  <w:style w:type="paragraph" w:styleId="TOC5">
    <w:name w:val="toc 5"/>
    <w:basedOn w:val="Normal"/>
    <w:next w:val="Normal"/>
    <w:autoRedefine/>
    <w:semiHidden/>
    <w:rsid w:val="005E1181"/>
    <w:pPr>
      <w:ind w:left="880"/>
    </w:pPr>
  </w:style>
  <w:style w:type="paragraph" w:styleId="TOC6">
    <w:name w:val="toc 6"/>
    <w:basedOn w:val="Normal"/>
    <w:next w:val="Normal"/>
    <w:autoRedefine/>
    <w:semiHidden/>
    <w:rsid w:val="005E1181"/>
    <w:pPr>
      <w:ind w:left="1100"/>
    </w:pPr>
  </w:style>
  <w:style w:type="paragraph" w:styleId="TOC7">
    <w:name w:val="toc 7"/>
    <w:basedOn w:val="Normal"/>
    <w:next w:val="Normal"/>
    <w:autoRedefine/>
    <w:semiHidden/>
    <w:rsid w:val="005E1181"/>
    <w:pPr>
      <w:ind w:left="1320"/>
    </w:pPr>
  </w:style>
  <w:style w:type="paragraph" w:styleId="TOC8">
    <w:name w:val="toc 8"/>
    <w:basedOn w:val="Normal"/>
    <w:next w:val="Normal"/>
    <w:autoRedefine/>
    <w:semiHidden/>
    <w:rsid w:val="005E1181"/>
    <w:pPr>
      <w:ind w:left="1540"/>
    </w:pPr>
  </w:style>
  <w:style w:type="paragraph" w:styleId="TOC9">
    <w:name w:val="toc 9"/>
    <w:basedOn w:val="Normal"/>
    <w:next w:val="Normal"/>
    <w:autoRedefine/>
    <w:semiHidden/>
    <w:rsid w:val="005E1181"/>
    <w:pPr>
      <w:ind w:left="1760"/>
    </w:pPr>
  </w:style>
  <w:style w:type="paragraph" w:customStyle="1" w:styleId="Tablehead1">
    <w:name w:val="Tablehead1"/>
    <w:rsid w:val="003553A6"/>
    <w:pPr>
      <w:spacing w:before="80" w:after="80"/>
    </w:pPr>
    <w:rPr>
      <w:rFonts w:ascii="Arial" w:hAnsi="Arial"/>
      <w:b/>
      <w:sz w:val="17"/>
      <w:lang w:eastAsia="en-US"/>
    </w:rPr>
  </w:style>
  <w:style w:type="paragraph" w:styleId="Quote">
    <w:name w:val="Quote"/>
    <w:basedOn w:val="Text"/>
    <w:qFormat/>
    <w:rsid w:val="005E1181"/>
    <w:pPr>
      <w:spacing w:before="80"/>
      <w:ind w:left="567" w:right="646"/>
    </w:pPr>
  </w:style>
  <w:style w:type="paragraph" w:customStyle="1" w:styleId="References">
    <w:name w:val="References"/>
    <w:rsid w:val="005E1181"/>
    <w:pPr>
      <w:ind w:left="284" w:hanging="284"/>
    </w:pPr>
    <w:rPr>
      <w:rFonts w:ascii="Garamond" w:hAnsi="Garamond"/>
    </w:rPr>
  </w:style>
  <w:style w:type="paragraph" w:customStyle="1" w:styleId="Tablehead2">
    <w:name w:val="Tablehead2"/>
    <w:basedOn w:val="Tablehead1"/>
    <w:rsid w:val="003553A6"/>
    <w:pPr>
      <w:tabs>
        <w:tab w:val="left" w:pos="992"/>
      </w:tabs>
      <w:spacing w:before="20" w:after="20"/>
    </w:pPr>
    <w:rPr>
      <w:b w:val="0"/>
    </w:rPr>
  </w:style>
  <w:style w:type="paragraph" w:customStyle="1" w:styleId="Tablehead3">
    <w:name w:val="Tablehead3"/>
    <w:basedOn w:val="Tablehead2"/>
    <w:rsid w:val="003553A6"/>
    <w:rPr>
      <w:i/>
    </w:rPr>
  </w:style>
  <w:style w:type="paragraph" w:styleId="TableofFigures">
    <w:name w:val="table of figures"/>
    <w:basedOn w:val="Normal"/>
    <w:next w:val="Normal"/>
    <w:uiPriority w:val="99"/>
    <w:rsid w:val="00CC1A52"/>
    <w:pPr>
      <w:tabs>
        <w:tab w:val="right" w:pos="8505"/>
      </w:tabs>
      <w:spacing w:before="80" w:line="260" w:lineRule="exact"/>
      <w:ind w:left="2693" w:hanging="425"/>
    </w:pPr>
    <w:rPr>
      <w:rFonts w:ascii="Garamond" w:hAnsi="Garamond"/>
      <w:sz w:val="22"/>
      <w:lang w:eastAsia="en-US"/>
    </w:rPr>
  </w:style>
  <w:style w:type="paragraph" w:styleId="Header">
    <w:name w:val="header"/>
    <w:basedOn w:val="Normal"/>
    <w:rsid w:val="005E1181"/>
    <w:pPr>
      <w:tabs>
        <w:tab w:val="center" w:pos="4153"/>
        <w:tab w:val="right" w:pos="8306"/>
      </w:tabs>
    </w:pPr>
  </w:style>
  <w:style w:type="paragraph" w:customStyle="1" w:styleId="Imprint">
    <w:name w:val="Imprint"/>
    <w:basedOn w:val="Normal"/>
    <w:rsid w:val="00E81D4E"/>
    <w:pPr>
      <w:spacing w:line="260" w:lineRule="atLeast"/>
    </w:pPr>
    <w:rPr>
      <w:rFonts w:ascii="Garamond" w:hAnsi="Garamond"/>
      <w:sz w:val="16"/>
    </w:rPr>
  </w:style>
  <w:style w:type="paragraph" w:customStyle="1" w:styleId="Figuretitle">
    <w:name w:val="Figuretitle"/>
    <w:basedOn w:val="tabletitle"/>
    <w:rsid w:val="003553A6"/>
  </w:style>
  <w:style w:type="paragraph" w:customStyle="1" w:styleId="PublicationTitle">
    <w:name w:val="Publication Title"/>
    <w:autoRedefine/>
    <w:rsid w:val="001B4C3F"/>
    <w:pPr>
      <w:spacing w:before="3000"/>
    </w:pPr>
    <w:rPr>
      <w:rFonts w:ascii="Franklin Gothic Medium" w:hAnsi="Franklin Gothic Medium"/>
      <w:kern w:val="28"/>
      <w:sz w:val="60"/>
    </w:rPr>
  </w:style>
  <w:style w:type="paragraph" w:customStyle="1" w:styleId="Authors">
    <w:name w:val="Authors"/>
    <w:autoRedefine/>
    <w:rsid w:val="001B4C3F"/>
    <w:pPr>
      <w:jc w:val="right"/>
    </w:pPr>
    <w:rPr>
      <w:rFonts w:ascii="Microsoft Sans Serif" w:hAnsi="Microsoft Sans Serif"/>
      <w:sz w:val="36"/>
    </w:rPr>
  </w:style>
  <w:style w:type="paragraph" w:customStyle="1" w:styleId="Dotpoint1">
    <w:name w:val="Dotpoint1"/>
    <w:rsid w:val="003553A6"/>
    <w:pPr>
      <w:numPr>
        <w:numId w:val="4"/>
      </w:numPr>
      <w:spacing w:before="120"/>
    </w:pPr>
    <w:rPr>
      <w:rFonts w:ascii="Garamond" w:hAnsi="Garamond"/>
      <w:sz w:val="22"/>
      <w:lang w:eastAsia="en-US"/>
    </w:rPr>
  </w:style>
  <w:style w:type="paragraph" w:customStyle="1" w:styleId="Dotpoint2">
    <w:name w:val="Dotpoint2"/>
    <w:rsid w:val="003553A6"/>
    <w:pPr>
      <w:numPr>
        <w:numId w:val="5"/>
      </w:numPr>
    </w:pPr>
    <w:rPr>
      <w:rFonts w:ascii="Garamond" w:hAnsi="Garamond"/>
      <w:sz w:val="22"/>
      <w:lang w:eastAsia="en-US"/>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rsid w:val="005E1181"/>
    <w:pPr>
      <w:spacing w:before="40"/>
    </w:pPr>
    <w:rPr>
      <w:rFonts w:ascii="Arial" w:hAnsi="Arial"/>
      <w:sz w:val="15"/>
    </w:rPr>
  </w:style>
  <w:style w:type="paragraph" w:styleId="FootnoteText">
    <w:name w:val="footnote text"/>
    <w:basedOn w:val="Normal"/>
    <w:rsid w:val="00586F16"/>
    <w:pPr>
      <w:spacing w:before="120"/>
      <w:ind w:left="227" w:hanging="227"/>
    </w:pPr>
    <w:rPr>
      <w:rFonts w:ascii="Garamond" w:hAnsi="Garamond"/>
      <w:sz w:val="18"/>
    </w:rPr>
  </w:style>
  <w:style w:type="character" w:styleId="Hyperlink">
    <w:name w:val="Hyperlink"/>
    <w:basedOn w:val="DefaultParagraphFont"/>
    <w:uiPriority w:val="99"/>
    <w:rsid w:val="00456500"/>
    <w:rPr>
      <w:color w:val="0000FF"/>
      <w:u w:val="single"/>
    </w:rPr>
  </w:style>
  <w:style w:type="character" w:customStyle="1" w:styleId="TextChar">
    <w:name w:val="Text Char"/>
    <w:basedOn w:val="DefaultParagraphFont"/>
    <w:link w:val="Text"/>
    <w:rsid w:val="00A51558"/>
    <w:rPr>
      <w:rFonts w:ascii="Garamond" w:hAnsi="Garamond"/>
      <w:lang w:val="en-AU" w:eastAsia="en-AU" w:bidi="ar-SA"/>
    </w:rPr>
  </w:style>
  <w:style w:type="paragraph" w:styleId="BodyText">
    <w:name w:val="Body Text"/>
    <w:basedOn w:val="Normal"/>
    <w:rsid w:val="004E72D9"/>
    <w:pPr>
      <w:spacing w:line="260" w:lineRule="atLeast"/>
      <w:ind w:right="1508"/>
    </w:pPr>
    <w:rPr>
      <w:rFonts w:ascii="Garamond" w:hAnsi="Garamond"/>
      <w:sz w:val="16"/>
    </w:rPr>
  </w:style>
  <w:style w:type="paragraph" w:customStyle="1" w:styleId="bidtext">
    <w:name w:val="bidtext"/>
    <w:rsid w:val="00747804"/>
    <w:pPr>
      <w:spacing w:before="80" w:after="80" w:line="300" w:lineRule="exact"/>
      <w:ind w:left="720"/>
    </w:pPr>
    <w:rPr>
      <w:rFonts w:ascii="Palatino" w:hAnsi="Palatino"/>
      <w:color w:val="000000"/>
      <w:sz w:val="24"/>
      <w:lang w:val="en-US" w:eastAsia="en-US"/>
    </w:rPr>
  </w:style>
  <w:style w:type="paragraph" w:styleId="BalloonText">
    <w:name w:val="Balloon Text"/>
    <w:basedOn w:val="Normal"/>
    <w:link w:val="BalloonTextChar"/>
    <w:rsid w:val="0066257B"/>
    <w:pPr>
      <w:spacing w:before="0"/>
    </w:pPr>
    <w:rPr>
      <w:rFonts w:ascii="Tahoma" w:hAnsi="Tahoma" w:cs="Tahoma"/>
      <w:sz w:val="16"/>
      <w:szCs w:val="16"/>
    </w:rPr>
  </w:style>
  <w:style w:type="character" w:customStyle="1" w:styleId="BalloonTextChar">
    <w:name w:val="Balloon Text Char"/>
    <w:basedOn w:val="DefaultParagraphFont"/>
    <w:link w:val="BalloonText"/>
    <w:rsid w:val="0066257B"/>
    <w:rPr>
      <w:rFonts w:ascii="Tahoma" w:hAnsi="Tahoma" w:cs="Tahoma"/>
      <w:sz w:val="16"/>
      <w:szCs w:val="16"/>
    </w:rPr>
  </w:style>
  <w:style w:type="character" w:customStyle="1" w:styleId="FooterChar">
    <w:name w:val="Footer Char"/>
    <w:basedOn w:val="DefaultParagraphFont"/>
    <w:link w:val="Footer"/>
    <w:uiPriority w:val="99"/>
    <w:rsid w:val="007E0885"/>
    <w:rPr>
      <w:rFonts w:ascii="Garamond" w:hAnsi="Garamond"/>
      <w:sz w:val="18"/>
    </w:rPr>
  </w:style>
  <w:style w:type="character" w:styleId="FootnoteReference">
    <w:name w:val="footnote reference"/>
    <w:basedOn w:val="DefaultParagraphFont"/>
    <w:rsid w:val="00C84485"/>
    <w:rPr>
      <w:vertAlign w:val="superscript"/>
    </w:rPr>
  </w:style>
  <w:style w:type="paragraph" w:styleId="Revision">
    <w:name w:val="Revision"/>
    <w:hidden/>
    <w:uiPriority w:val="99"/>
    <w:semiHidden/>
    <w:rsid w:val="001D3E89"/>
    <w:rPr>
      <w:sz w:val="24"/>
    </w:rPr>
  </w:style>
  <w:style w:type="character" w:customStyle="1" w:styleId="StyleFootnoteReferenceGaramond11ptNotSuperscriptSubscr">
    <w:name w:val="Style Footnote Reference + Garamond 11 pt Not Superscript/ Subscr..."/>
    <w:basedOn w:val="FootnoteReference"/>
    <w:rsid w:val="00586F16"/>
    <w:rPr>
      <w:rFonts w:ascii="Garamond" w:hAnsi="Garamond"/>
      <w:sz w:val="22"/>
    </w:rPr>
  </w:style>
  <w:style w:type="character" w:customStyle="1" w:styleId="TextSymbol">
    <w:name w:val="TextSymbol"/>
    <w:basedOn w:val="DefaultParagraphFont"/>
    <w:uiPriority w:val="1"/>
    <w:qFormat/>
    <w:rsid w:val="00522324"/>
    <w:rPr>
      <w:rFonts w:ascii="Harrington" w:hAnsi="Harrington"/>
      <w:sz w:val="22"/>
    </w:rPr>
  </w:style>
  <w:style w:type="paragraph" w:customStyle="1" w:styleId="TableSymbol">
    <w:name w:val="TableSymbol"/>
    <w:basedOn w:val="Tabletext"/>
    <w:qFormat/>
    <w:rsid w:val="00522324"/>
    <w:pPr>
      <w:jc w:val="center"/>
    </w:pPr>
    <w:rPr>
      <w:rFonts w:ascii="Harrington" w:hAnsi="Harrington"/>
    </w:rPr>
  </w:style>
</w:styles>
</file>

<file path=word/webSettings.xml><?xml version="1.0" encoding="utf-8"?>
<w:webSettings xmlns:r="http://schemas.openxmlformats.org/officeDocument/2006/relationships" xmlns:w="http://schemas.openxmlformats.org/wordprocessingml/2006/main">
  <w:divs>
    <w:div w:id="7249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BC75-59B5-4DBA-845E-718F2191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2456</Words>
  <Characters>13162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15587</CharactersWithSpaces>
  <SharedDoc>false</SharedDoc>
  <HLinks>
    <vt:vector size="6" baseType="variant">
      <vt:variant>
        <vt:i4>1835023</vt:i4>
      </vt:variant>
      <vt:variant>
        <vt:i4>0</vt:i4>
      </vt:variant>
      <vt:variant>
        <vt:i4>0</vt:i4>
      </vt:variant>
      <vt:variant>
        <vt:i4>5</vt:i4>
      </vt:variant>
      <vt:variant>
        <vt:lpwstr>http://www.ncver.edu.au/pubs.htm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monikavnuk</dc:creator>
  <cp:lastModifiedBy>kayemcadam</cp:lastModifiedBy>
  <cp:revision>4</cp:revision>
  <cp:lastPrinted>2011-06-29T06:43:00Z</cp:lastPrinted>
  <dcterms:created xsi:type="dcterms:W3CDTF">2011-07-04T04:53:00Z</dcterms:created>
  <dcterms:modified xsi:type="dcterms:W3CDTF">2011-07-14T02:08:00Z</dcterms:modified>
</cp:coreProperties>
</file>