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6BA" w:rsidRDefault="00F456BA" w:rsidP="00F456BA">
      <w:pPr>
        <w:pStyle w:val="Heading1"/>
      </w:pPr>
      <w:r>
        <w:br/>
        <w:t xml:space="preserve">Year 12 completion and youth transitions: research </w:t>
      </w:r>
      <w:r w:rsidRPr="00F456BA">
        <w:rPr>
          <w:szCs w:val="52"/>
        </w:rPr>
        <w:t>overview</w:t>
      </w:r>
    </w:p>
    <w:p w:rsidR="00F456BA" w:rsidRDefault="00F456BA" w:rsidP="00F456BA">
      <w:pPr>
        <w:pStyle w:val="Heading2"/>
        <w:jc w:val="right"/>
      </w:pPr>
      <w:r>
        <w:t>Tom Karmel</w:t>
      </w:r>
    </w:p>
    <w:p w:rsidR="00F456BA" w:rsidRPr="00F456BA" w:rsidRDefault="00F456BA" w:rsidP="00F456BA">
      <w:pPr>
        <w:pStyle w:val="Heading3"/>
        <w:spacing w:before="480"/>
        <w:jc w:val="right"/>
        <w:rPr>
          <w:szCs w:val="32"/>
        </w:rPr>
      </w:pPr>
      <w:r w:rsidRPr="00F456BA">
        <w:rPr>
          <w:szCs w:val="32"/>
        </w:rPr>
        <w:t>Longitudinal Surveys of Australian Youth</w:t>
      </w:r>
    </w:p>
    <w:p w:rsidR="00434757" w:rsidRPr="00F456BA" w:rsidRDefault="00F456BA" w:rsidP="00F456BA">
      <w:pPr>
        <w:pStyle w:val="Heading3"/>
        <w:spacing w:before="120"/>
        <w:jc w:val="right"/>
      </w:pPr>
      <w:r w:rsidRPr="00F456BA">
        <w:rPr>
          <w:szCs w:val="22"/>
        </w:rPr>
        <w:t>Research overview: research report 56</w:t>
      </w:r>
    </w:p>
    <w:p w:rsidR="00F456BA" w:rsidRDefault="00F456BA" w:rsidP="00F456BA">
      <w:pPr>
        <w:pStyle w:val="Text0"/>
        <w:spacing w:before="720"/>
      </w:pPr>
      <w:r>
        <w:t>On average, young people who complete Year 12 tend to have more successful transitions from education to work than those who do not. It is not surprising therefore that we have seen numerous governments introduce policies that promote Year 12 completion.</w:t>
      </w:r>
    </w:p>
    <w:p w:rsidR="00F456BA" w:rsidRDefault="00F456BA" w:rsidP="00F456BA">
      <w:pPr>
        <w:pStyle w:val="Text0"/>
      </w:pPr>
      <w:r>
        <w:t xml:space="preserve">However, in recent years there has been a realisation that it does not make much sense to </w:t>
      </w:r>
      <w:proofErr w:type="gramStart"/>
      <w:r>
        <w:t xml:space="preserve">promote </w:t>
      </w:r>
      <w:r>
        <w:rPr>
          <w:rFonts w:ascii="MS Gothic" w:eastAsia="MS Gothic" w:hAnsi="MS Gothic" w:cs="MS Gothic" w:hint="eastAsia"/>
        </w:rPr>
        <w:t> </w:t>
      </w:r>
      <w:r>
        <w:t>Year</w:t>
      </w:r>
      <w:proofErr w:type="gramEnd"/>
      <w:r>
        <w:t xml:space="preserve"> 12 retention for its own sake. Year 12 traditionally has been more suited to those of an academic bent, and it is likely that other students will not benefit to the same extent as their more academic peers from staying at school in</w:t>
      </w:r>
      <w:proofErr w:type="gramStart"/>
      <w:r>
        <w:rPr>
          <w:rFonts w:ascii="MS Gothic" w:eastAsia="MS Gothic" w:hAnsi="MS Gothic" w:cs="MS Gothic" w:hint="eastAsia"/>
        </w:rPr>
        <w:t> </w:t>
      </w:r>
      <w:r>
        <w:t xml:space="preserve"> Year</w:t>
      </w:r>
      <w:proofErr w:type="gramEnd"/>
      <w:r>
        <w:t xml:space="preserve"> 12. In a move to make school more attractive for those with a less academic orientation we have seen some changes in the nature of the final years of schooling. Vocational education and training (VET) in schools is one example at the national level, while there are also some notable state initiatives. For example, the Victorian Certificate of Applied Learning was introduced in 2002 to complement the more academic Victorian Certificate of Education. Another example is the experiment of the Tasmanian Polytechnic as an alternative to the more standard academic offerings of the Tasmanian Academy.</w:t>
      </w:r>
    </w:p>
    <w:p w:rsidR="00F456BA" w:rsidRDefault="00F456BA" w:rsidP="00F456BA">
      <w:pPr>
        <w:pStyle w:val="Text0"/>
      </w:pPr>
      <w:r>
        <w:t>The focus on broadening alternatives for those less interested in the</w:t>
      </w:r>
      <w:proofErr w:type="gramStart"/>
      <w:r>
        <w:rPr>
          <w:rFonts w:ascii="MS Gothic" w:eastAsia="MS Gothic" w:hAnsi="MS Gothic" w:cs="MS Gothic" w:hint="eastAsia"/>
        </w:rPr>
        <w:t> </w:t>
      </w:r>
      <w:r>
        <w:t xml:space="preserve"> Year</w:t>
      </w:r>
      <w:proofErr w:type="gramEnd"/>
      <w:r>
        <w:t xml:space="preserve"> 12 to university route is clearly apparent in current policy discussions. No longer are targets expressed in terms of the numbers completing</w:t>
      </w:r>
      <w:proofErr w:type="gramStart"/>
      <w:r>
        <w:rPr>
          <w:rFonts w:ascii="MS Gothic" w:eastAsia="MS Gothic" w:hAnsi="MS Gothic" w:cs="MS Gothic" w:hint="eastAsia"/>
        </w:rPr>
        <w:t> </w:t>
      </w:r>
      <w:r>
        <w:t xml:space="preserve"> Year</w:t>
      </w:r>
      <w:proofErr w:type="gramEnd"/>
      <w:r>
        <w:t xml:space="preserve"> 12; they are now defined as ‘Year 12 or its vocational equivalent’, although this begs the question of what are the vocational equivalents? Irrespective of the terminology, we have a range of distinct pathways that can be seen as genuine alternatives to completing secondary school. In particular, a student may leave school and undertake an apprenticeship or a traineeship, or go to a TAFE (technical and further education) institution to undertake a vocational certificate.</w:t>
      </w:r>
    </w:p>
    <w:p w:rsidR="007949A3" w:rsidRDefault="00F456BA" w:rsidP="00F456BA">
      <w:pPr>
        <w:pStyle w:val="Text0"/>
        <w:rPr>
          <w:spacing w:val="-3"/>
        </w:rPr>
      </w:pPr>
      <w:r>
        <w:rPr>
          <w:spacing w:val="-3"/>
        </w:rPr>
        <w:t>While this policy trend makes good sense, is it going to have the desired outcomes? The aim of Ryan’s study is to answer this question by looking at data from the Longitudinal Surveys of Australian Youth (LSAY), although, as he points out, this is not a straightforward task. A simple tabulation of outcomes is not convincing, because the students undertaking one route are different from those undertaking another.</w:t>
      </w:r>
      <w:r w:rsidR="005730C3">
        <w:rPr>
          <w:spacing w:val="-3"/>
        </w:rPr>
        <w:t xml:space="preserve"> </w:t>
      </w:r>
      <w:r>
        <w:rPr>
          <w:spacing w:val="-3"/>
        </w:rPr>
        <w:t xml:space="preserve">Furthermore, the fact that some students benefit from </w:t>
      </w:r>
      <w:proofErr w:type="gramStart"/>
      <w:r>
        <w:rPr>
          <w:spacing w:val="-3"/>
        </w:rPr>
        <w:t>undertaking  Year</w:t>
      </w:r>
      <w:proofErr w:type="gramEnd"/>
      <w:r>
        <w:rPr>
          <w:spacing w:val="-3"/>
        </w:rPr>
        <w:t xml:space="preserve"> 12 does not </w:t>
      </w:r>
    </w:p>
    <w:p w:rsidR="007949A3" w:rsidRDefault="007949A3" w:rsidP="007949A3">
      <w:pPr>
        <w:pStyle w:val="Text0"/>
        <w:pBdr>
          <w:bottom w:val="single" w:sz="4" w:space="1" w:color="auto"/>
        </w:pBdr>
      </w:pPr>
    </w:p>
    <w:p w:rsidR="007949A3" w:rsidRPr="007949A3" w:rsidRDefault="007949A3" w:rsidP="007949A3">
      <w:pPr>
        <w:pStyle w:val="Text0"/>
        <w:rPr>
          <w:spacing w:val="4"/>
        </w:rPr>
      </w:pPr>
      <w:r>
        <w:rPr>
          <w:noProof/>
        </w:rPr>
        <w:drawing>
          <wp:anchor distT="0" distB="0" distL="114300" distR="114300" simplePos="0" relativeHeight="251661312" behindDoc="0" locked="0" layoutInCell="1" allowOverlap="1">
            <wp:simplePos x="0" y="0"/>
            <wp:positionH relativeFrom="column">
              <wp:posOffset>3810363</wp:posOffset>
            </wp:positionH>
            <wp:positionV relativeFrom="paragraph">
              <wp:posOffset>52070</wp:posOffset>
            </wp:positionV>
            <wp:extent cx="1602921" cy="544286"/>
            <wp:effectExtent l="19050" t="0" r="0" b="0"/>
            <wp:wrapNone/>
            <wp:docPr id="3" name="Picture 1" descr="G:\pub_prod\PublicationComponents\logos\LSAY\LSAY logo 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LSAY\LSAY logo CMYK.eps"/>
                    <pic:cNvPicPr>
                      <a:picLocks noChangeAspect="1" noChangeArrowheads="1"/>
                    </pic:cNvPicPr>
                  </pic:nvPicPr>
                  <pic:blipFill>
                    <a:blip r:embed="rId7" cstate="print"/>
                    <a:srcRect/>
                    <a:stretch>
                      <a:fillRect/>
                    </a:stretch>
                  </pic:blipFill>
                  <pic:spPr bwMode="auto">
                    <a:xfrm>
                      <a:off x="0" y="0"/>
                      <a:ext cx="1602921" cy="544286"/>
                    </a:xfrm>
                    <a:prstGeom prst="rect">
                      <a:avLst/>
                    </a:prstGeom>
                    <a:noFill/>
                    <a:ln w="9525">
                      <a:noFill/>
                      <a:miter lim="800000"/>
                      <a:headEnd/>
                      <a:tailEnd/>
                    </a:ln>
                  </pic:spPr>
                </pic:pic>
              </a:graphicData>
            </a:graphic>
          </wp:anchor>
        </w:drawing>
      </w:r>
      <w:r>
        <w:t xml:space="preserve">This overview is based on the research report </w:t>
      </w:r>
      <w:r>
        <w:rPr>
          <w:i/>
          <w:iCs/>
        </w:rPr>
        <w:t xml:space="preserve">Year 12 completion </w:t>
      </w:r>
      <w:r>
        <w:rPr>
          <w:i/>
          <w:iCs/>
        </w:rPr>
        <w:br/>
        <w:t>and youth transitions</w:t>
      </w:r>
      <w:r>
        <w:t xml:space="preserve"> </w:t>
      </w:r>
      <w:r>
        <w:rPr>
          <w:spacing w:val="2"/>
        </w:rPr>
        <w:t>by Chris Ryan, which can be found at</w:t>
      </w:r>
      <w:r>
        <w:t xml:space="preserve"> </w:t>
      </w:r>
      <w:r>
        <w:br/>
      </w:r>
      <w:r>
        <w:rPr>
          <w:spacing w:val="4"/>
        </w:rPr>
        <w:t>&lt;http://www.ncver.edu.au/publications/2370.html&gt;.</w:t>
      </w:r>
    </w:p>
    <w:p w:rsidR="007949A3" w:rsidRDefault="007949A3">
      <w:pPr>
        <w:spacing w:before="0" w:after="200" w:line="276" w:lineRule="auto"/>
        <w:rPr>
          <w:rFonts w:ascii="Garamond" w:hAnsi="Garamond"/>
          <w:spacing w:val="-3"/>
          <w:sz w:val="22"/>
        </w:rPr>
      </w:pPr>
      <w:r>
        <w:rPr>
          <w:spacing w:val="-3"/>
        </w:rPr>
        <w:br w:type="page"/>
      </w:r>
    </w:p>
    <w:p w:rsidR="00F456BA" w:rsidRDefault="00F456BA" w:rsidP="00F456BA">
      <w:pPr>
        <w:pStyle w:val="Text0"/>
        <w:rPr>
          <w:spacing w:val="-3"/>
        </w:rPr>
      </w:pPr>
      <w:proofErr w:type="gramStart"/>
      <w:r>
        <w:rPr>
          <w:spacing w:val="-3"/>
        </w:rPr>
        <w:lastRenderedPageBreak/>
        <w:t>necessarily</w:t>
      </w:r>
      <w:proofErr w:type="gramEnd"/>
      <w:r>
        <w:rPr>
          <w:spacing w:val="-3"/>
        </w:rPr>
        <w:t xml:space="preserve"> mean that all students will. LSAY has a broad range of background characteristics that enable us to analyse the data in a more sophisticated way, so that the outcomes of</w:t>
      </w:r>
      <w:r>
        <w:rPr>
          <w:rFonts w:ascii="MS Gothic" w:eastAsia="MS Gothic" w:hAnsi="MS Gothic" w:cs="MS Gothic" w:hint="eastAsia"/>
          <w:spacing w:val="-3"/>
        </w:rPr>
        <w:t> </w:t>
      </w:r>
      <w:r>
        <w:rPr>
          <w:spacing w:val="-3"/>
        </w:rPr>
        <w:t xml:space="preserve"> </w:t>
      </w:r>
      <w:r>
        <w:rPr>
          <w:rFonts w:ascii="MS Gothic" w:eastAsia="MS Gothic" w:hAnsi="MS Gothic" w:cs="MS Gothic" w:hint="eastAsia"/>
          <w:spacing w:val="-3"/>
        </w:rPr>
        <w:t> </w:t>
      </w:r>
      <w:r>
        <w:rPr>
          <w:spacing w:val="-3"/>
        </w:rPr>
        <w:t>Year 12 and the other pathways can legitimately be compared.</w:t>
      </w:r>
    </w:p>
    <w:p w:rsidR="00F456BA" w:rsidRDefault="00F456BA" w:rsidP="00F456BA">
      <w:pPr>
        <w:pStyle w:val="Text0"/>
        <w:rPr>
          <w:spacing w:val="-3"/>
        </w:rPr>
      </w:pPr>
      <w:r>
        <w:rPr>
          <w:spacing w:val="-3"/>
        </w:rPr>
        <w:t>The study defines a set of education pathways and a set of outcomes.</w:t>
      </w:r>
    </w:p>
    <w:p w:rsidR="00F456BA" w:rsidRDefault="00F456BA" w:rsidP="00F456BA">
      <w:pPr>
        <w:pStyle w:val="Text0"/>
        <w:rPr>
          <w:spacing w:val="-3"/>
        </w:rPr>
      </w:pPr>
      <w:r>
        <w:rPr>
          <w:spacing w:val="-3"/>
        </w:rPr>
        <w:t>The pathways are:</w:t>
      </w:r>
    </w:p>
    <w:p w:rsidR="00F456BA" w:rsidRDefault="00F456BA" w:rsidP="00D258FC">
      <w:pPr>
        <w:pStyle w:val="Dotpoint1"/>
      </w:pPr>
      <w:r>
        <w:t>leaving school without completing Year 12 and therefore not continuing to further education and training</w:t>
      </w:r>
    </w:p>
    <w:p w:rsidR="00F456BA" w:rsidRDefault="00F456BA" w:rsidP="00D258FC">
      <w:pPr>
        <w:pStyle w:val="Dotpoint1"/>
      </w:pPr>
      <w:r>
        <w:t>leaving school and completing an apprenticeship or traineeship</w:t>
      </w:r>
    </w:p>
    <w:p w:rsidR="00F456BA" w:rsidRDefault="00F456BA" w:rsidP="00D258FC">
      <w:pPr>
        <w:pStyle w:val="Dotpoint1"/>
      </w:pPr>
      <w:r>
        <w:t>leaving school and completing some other vocational certificate</w:t>
      </w:r>
    </w:p>
    <w:p w:rsidR="00F456BA" w:rsidRDefault="00F456BA" w:rsidP="00D258FC">
      <w:pPr>
        <w:pStyle w:val="Dotpoint1"/>
      </w:pPr>
      <w:proofErr w:type="gramStart"/>
      <w:r>
        <w:t>completing</w:t>
      </w:r>
      <w:proofErr w:type="gramEnd"/>
      <w:r>
        <w:t xml:space="preserve"> Year 12 without undertaking any further tertiary study in the two years since leaving school.</w:t>
      </w:r>
    </w:p>
    <w:p w:rsidR="00F456BA" w:rsidRDefault="00F456BA" w:rsidP="00D258FC">
      <w:pPr>
        <w:pStyle w:val="Text0"/>
      </w:pPr>
      <w:r>
        <w:t xml:space="preserve">Students who </w:t>
      </w:r>
      <w:proofErr w:type="gramStart"/>
      <w:r>
        <w:t xml:space="preserve">complete </w:t>
      </w:r>
      <w:r>
        <w:rPr>
          <w:rFonts w:ascii="MS Gothic" w:eastAsia="MS Gothic" w:hAnsi="MS Gothic" w:cs="MS Gothic" w:hint="eastAsia"/>
        </w:rPr>
        <w:t> </w:t>
      </w:r>
      <w:r>
        <w:t>Year</w:t>
      </w:r>
      <w:proofErr w:type="gramEnd"/>
      <w:r>
        <w:t xml:space="preserve"> 12 and go on to university or VET full-time are excluded. These students are not relevant to the debate because we know </w:t>
      </w:r>
      <w:proofErr w:type="gramStart"/>
      <w:r>
        <w:t xml:space="preserve">that </w:t>
      </w:r>
      <w:r>
        <w:rPr>
          <w:rFonts w:ascii="MS Gothic" w:eastAsia="MS Gothic" w:hAnsi="MS Gothic" w:cs="MS Gothic" w:hint="eastAsia"/>
        </w:rPr>
        <w:t> </w:t>
      </w:r>
      <w:r>
        <w:t>Year</w:t>
      </w:r>
      <w:proofErr w:type="gramEnd"/>
      <w:r>
        <w:t xml:space="preserve"> 12 is the preparation for full-time tertiary education; we also know that outcomes for those with a diploma or degree are on average pretty good. Thus Ryan concentrates on that part of the student population more at risk of an unsuccessful transition.</w:t>
      </w:r>
    </w:p>
    <w:p w:rsidR="00F456BA" w:rsidRDefault="00F456BA" w:rsidP="00D258FC">
      <w:pPr>
        <w:pStyle w:val="Text0"/>
      </w:pPr>
      <w:r>
        <w:t>Ryan uses young people’s transitions as a measure of outcomes. That is, rather than measuring outcomes at a point of time (at age 23, for example), he looks at their experience each year after completing school. This has two advantages over a point-in-time approach. The first is technical—there are more observations. The second is that transitions are important because we know that those with poor transitions are vulnerable to scarring.</w:t>
      </w:r>
    </w:p>
    <w:p w:rsidR="00F456BA" w:rsidRDefault="00F456BA" w:rsidP="00D258FC">
      <w:pPr>
        <w:pStyle w:val="Text0"/>
      </w:pPr>
      <w:r>
        <w:t xml:space="preserve">In addition, rather than concentrating on just one indicator of success, a number are employed. These are: </w:t>
      </w:r>
    </w:p>
    <w:p w:rsidR="00F456BA" w:rsidRDefault="00F456BA" w:rsidP="00D258FC">
      <w:pPr>
        <w:pStyle w:val="Dotpoint1"/>
      </w:pPr>
      <w:r>
        <w:t>full-time employment</w:t>
      </w:r>
    </w:p>
    <w:p w:rsidR="00F456BA" w:rsidRDefault="00F456BA" w:rsidP="00D258FC">
      <w:pPr>
        <w:pStyle w:val="Dotpoint1"/>
      </w:pPr>
      <w:r>
        <w:t>full-time activity (that is, full-time employment or full-time study)</w:t>
      </w:r>
    </w:p>
    <w:p w:rsidR="00F456BA" w:rsidRDefault="00F456BA" w:rsidP="00D258FC">
      <w:pPr>
        <w:pStyle w:val="Dotpoint1"/>
      </w:pPr>
      <w:r>
        <w:t>unemployment</w:t>
      </w:r>
    </w:p>
    <w:p w:rsidR="00F456BA" w:rsidRDefault="00F456BA" w:rsidP="00D258FC">
      <w:pPr>
        <w:pStyle w:val="Dotpoint1"/>
      </w:pPr>
      <w:r>
        <w:t>weekly earnings (for those employed)</w:t>
      </w:r>
    </w:p>
    <w:p w:rsidR="00F456BA" w:rsidRDefault="00F456BA" w:rsidP="00D258FC">
      <w:pPr>
        <w:pStyle w:val="Dotpoint1"/>
      </w:pPr>
      <w:r>
        <w:t>weekly earnings (for those in full-time employment)</w:t>
      </w:r>
    </w:p>
    <w:p w:rsidR="00F456BA" w:rsidRDefault="00F456BA" w:rsidP="00D258FC">
      <w:pPr>
        <w:pStyle w:val="Dotpoint1"/>
      </w:pPr>
      <w:r>
        <w:t>hourly wages</w:t>
      </w:r>
    </w:p>
    <w:p w:rsidR="00F456BA" w:rsidRDefault="00F456BA" w:rsidP="00D258FC">
      <w:pPr>
        <w:pStyle w:val="Dotpoint1"/>
      </w:pPr>
      <w:r>
        <w:t>occupational status</w:t>
      </w:r>
    </w:p>
    <w:p w:rsidR="00F456BA" w:rsidRDefault="00F456BA" w:rsidP="00D258FC">
      <w:pPr>
        <w:pStyle w:val="Dotpoint1"/>
      </w:pPr>
      <w:proofErr w:type="gramStart"/>
      <w:r>
        <w:t>study</w:t>
      </w:r>
      <w:proofErr w:type="gramEnd"/>
      <w:r>
        <w:t>.</w:t>
      </w:r>
    </w:p>
    <w:p w:rsidR="00F456BA" w:rsidRDefault="00F456BA" w:rsidP="00D258FC">
      <w:pPr>
        <w:pStyle w:val="Text0"/>
      </w:pPr>
      <w:r>
        <w:t xml:space="preserve">The study uses a variety of statistical techniques (based on ordinary least squares regression and matching techniques) to estimate the pay-off of the various pathways on the outcome variables. These techniques are designed to ensure that the effects are robust and that we can be sure we are seeing the true impact of the path on transition as opposed to the influence of the characteristics of the individuals. The results are very robust and give us a high degree of confidence in the outcomes. The models were also applied to two cohorts: one with an average age of 14 in 1995, the other with the same average age in 1998. Separate models were estimated for males and females; this is important because of the high degree of gender occupational segregation in Australia. </w:t>
      </w:r>
    </w:p>
    <w:p w:rsidR="00F456BA" w:rsidRDefault="00F456BA" w:rsidP="00D258FC">
      <w:pPr>
        <w:pStyle w:val="Text0"/>
        <w:rPr>
          <w:spacing w:val="-3"/>
        </w:rPr>
      </w:pPr>
      <w:r>
        <w:rPr>
          <w:spacing w:val="-3"/>
        </w:rPr>
        <w:t>We need to note that LSAY suffers from attrition (which is common to virtually all longitudinal surveys). The fact that the survey response rate tapers off with successive waves would be of little concern, except that we know that those who are least successful in life are those most likely to drop out. One of the important features of this analysis is the extent of the testing undertaken to gauge the impact of this potential attrition bias. It is reassuring to know that the study finds little evidence to suggest that the sample attrition affects the relationships between education pathways and outcomes. This is an important finding and strengthens the vast body of work based on LSAY that does not adjust for sample attrition.</w:t>
      </w:r>
    </w:p>
    <w:p w:rsidR="00F456BA" w:rsidRDefault="00F456BA" w:rsidP="0061136A">
      <w:pPr>
        <w:pStyle w:val="Text0"/>
        <w:ind w:right="139"/>
      </w:pPr>
      <w:r>
        <w:t>A simple way of presenting the results is to rank the various pathways for each outcome. While this ignores the uncertainty associated with the estimated outcomes, the consistency of the results is unassailable.</w:t>
      </w:r>
    </w:p>
    <w:p w:rsidR="00F456BA" w:rsidRDefault="00F456BA" w:rsidP="00D258FC">
      <w:pPr>
        <w:pStyle w:val="Text0"/>
      </w:pPr>
      <w:r>
        <w:t>First, consider males.</w:t>
      </w:r>
    </w:p>
    <w:p w:rsidR="00A207BE" w:rsidRDefault="00A207BE" w:rsidP="00A207BE">
      <w:pPr>
        <w:pStyle w:val="tabletitle"/>
      </w:pPr>
      <w:r>
        <w:t>Table 1</w:t>
      </w:r>
      <w:r>
        <w:tab/>
        <w:t>Pathways ranked for employment outcomes (1= best)</w:t>
      </w:r>
      <w:proofErr w:type="gramStart"/>
      <w:r>
        <w:t>,  males</w:t>
      </w:r>
      <w:proofErr w:type="gramEnd"/>
    </w:p>
    <w:tbl>
      <w:tblPr>
        <w:tblStyle w:val="TableGrid"/>
        <w:tblW w:w="8505" w:type="dxa"/>
        <w:tblInd w:w="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1601"/>
        <w:gridCol w:w="1150"/>
        <w:gridCol w:w="1151"/>
        <w:gridCol w:w="1151"/>
        <w:gridCol w:w="1150"/>
        <w:gridCol w:w="1151"/>
        <w:gridCol w:w="1151"/>
      </w:tblGrid>
      <w:tr w:rsidR="0061136A" w:rsidRPr="0061136A" w:rsidTr="0061136A">
        <w:tc>
          <w:tcPr>
            <w:tcW w:w="1601" w:type="dxa"/>
            <w:tcBorders>
              <w:top w:val="single" w:sz="4" w:space="0" w:color="auto"/>
              <w:bottom w:val="single" w:sz="4" w:space="0" w:color="auto"/>
            </w:tcBorders>
          </w:tcPr>
          <w:p w:rsidR="0061136A" w:rsidRPr="0061136A" w:rsidRDefault="0061136A" w:rsidP="0061136A">
            <w:pPr>
              <w:pStyle w:val="Tablehead1"/>
            </w:pPr>
          </w:p>
        </w:tc>
        <w:tc>
          <w:tcPr>
            <w:tcW w:w="1150" w:type="dxa"/>
            <w:tcBorders>
              <w:top w:val="single" w:sz="4" w:space="0" w:color="auto"/>
              <w:bottom w:val="single" w:sz="4" w:space="0" w:color="auto"/>
            </w:tcBorders>
          </w:tcPr>
          <w:p w:rsidR="0061136A" w:rsidRPr="0061136A" w:rsidRDefault="0061136A" w:rsidP="0061136A">
            <w:pPr>
              <w:pStyle w:val="Tablehead1"/>
              <w:jc w:val="center"/>
            </w:pPr>
            <w:r w:rsidRPr="0061136A">
              <w:t>Early school leaver</w:t>
            </w:r>
          </w:p>
        </w:tc>
        <w:tc>
          <w:tcPr>
            <w:tcW w:w="1151" w:type="dxa"/>
            <w:tcBorders>
              <w:top w:val="single" w:sz="4" w:space="0" w:color="auto"/>
              <w:bottom w:val="single" w:sz="4" w:space="0" w:color="auto"/>
            </w:tcBorders>
          </w:tcPr>
          <w:p w:rsidR="0061136A" w:rsidRPr="0061136A" w:rsidRDefault="0061136A" w:rsidP="0061136A">
            <w:pPr>
              <w:pStyle w:val="Tablehead1"/>
              <w:jc w:val="center"/>
            </w:pPr>
            <w:r w:rsidRPr="0061136A">
              <w:t>Completed certificate II</w:t>
            </w:r>
          </w:p>
        </w:tc>
        <w:tc>
          <w:tcPr>
            <w:tcW w:w="1151" w:type="dxa"/>
            <w:tcBorders>
              <w:top w:val="single" w:sz="4" w:space="0" w:color="auto"/>
              <w:bottom w:val="single" w:sz="4" w:space="0" w:color="auto"/>
            </w:tcBorders>
          </w:tcPr>
          <w:p w:rsidR="0061136A" w:rsidRPr="0061136A" w:rsidRDefault="0061136A" w:rsidP="0061136A">
            <w:pPr>
              <w:pStyle w:val="Tablehead1"/>
              <w:jc w:val="center"/>
            </w:pPr>
            <w:r w:rsidRPr="0061136A">
              <w:t>Completed certificate III</w:t>
            </w:r>
          </w:p>
        </w:tc>
        <w:tc>
          <w:tcPr>
            <w:tcW w:w="1150" w:type="dxa"/>
            <w:tcBorders>
              <w:top w:val="single" w:sz="4" w:space="0" w:color="auto"/>
              <w:bottom w:val="single" w:sz="4" w:space="0" w:color="auto"/>
            </w:tcBorders>
          </w:tcPr>
          <w:p w:rsidR="0061136A" w:rsidRPr="0061136A" w:rsidRDefault="0061136A" w:rsidP="0061136A">
            <w:pPr>
              <w:pStyle w:val="Tablehead1"/>
              <w:jc w:val="center"/>
            </w:pPr>
            <w:r w:rsidRPr="0061136A">
              <w:t>Completed apprentice</w:t>
            </w:r>
            <w:r>
              <w:t>-</w:t>
            </w:r>
            <w:r w:rsidRPr="0061136A">
              <w:t>ship</w:t>
            </w:r>
          </w:p>
        </w:tc>
        <w:tc>
          <w:tcPr>
            <w:tcW w:w="1151" w:type="dxa"/>
            <w:tcBorders>
              <w:top w:val="single" w:sz="4" w:space="0" w:color="auto"/>
              <w:bottom w:val="single" w:sz="4" w:space="0" w:color="auto"/>
            </w:tcBorders>
          </w:tcPr>
          <w:p w:rsidR="0061136A" w:rsidRPr="0061136A" w:rsidRDefault="0061136A" w:rsidP="0061136A">
            <w:pPr>
              <w:pStyle w:val="Tablehead1"/>
              <w:jc w:val="center"/>
            </w:pPr>
            <w:r w:rsidRPr="0061136A">
              <w:t>Completed trainee</w:t>
            </w:r>
            <w:r>
              <w:t>-</w:t>
            </w:r>
            <w:r>
              <w:br/>
            </w:r>
            <w:r w:rsidRPr="0061136A">
              <w:t>ship</w:t>
            </w:r>
          </w:p>
        </w:tc>
        <w:tc>
          <w:tcPr>
            <w:tcW w:w="1151" w:type="dxa"/>
            <w:tcBorders>
              <w:top w:val="single" w:sz="4" w:space="0" w:color="auto"/>
              <w:bottom w:val="single" w:sz="4" w:space="0" w:color="auto"/>
            </w:tcBorders>
          </w:tcPr>
          <w:p w:rsidR="0061136A" w:rsidRPr="0061136A" w:rsidRDefault="0061136A" w:rsidP="0061136A">
            <w:pPr>
              <w:pStyle w:val="Tablehead1"/>
              <w:jc w:val="center"/>
            </w:pPr>
            <w:r w:rsidRPr="0061136A">
              <w:t>Completed Year 12</w:t>
            </w:r>
          </w:p>
        </w:tc>
      </w:tr>
      <w:tr w:rsidR="0061136A" w:rsidRPr="0061136A" w:rsidTr="0061136A">
        <w:tc>
          <w:tcPr>
            <w:tcW w:w="1601" w:type="dxa"/>
          </w:tcPr>
          <w:p w:rsidR="0061136A" w:rsidRPr="0061136A" w:rsidRDefault="0061136A" w:rsidP="0061136A">
            <w:pPr>
              <w:pStyle w:val="Tabletext0"/>
            </w:pPr>
            <w:r w:rsidRPr="0061136A">
              <w:t>Employed full-time</w:t>
            </w:r>
          </w:p>
        </w:tc>
        <w:tc>
          <w:tcPr>
            <w:tcW w:w="1150" w:type="dxa"/>
          </w:tcPr>
          <w:p w:rsidR="0061136A" w:rsidRPr="0061136A" w:rsidRDefault="0061136A" w:rsidP="0061136A">
            <w:pPr>
              <w:pStyle w:val="Tabletext0"/>
              <w:tabs>
                <w:tab w:val="decimal" w:pos="539"/>
              </w:tabs>
            </w:pPr>
            <w:r w:rsidRPr="0061136A">
              <w:t>3</w:t>
            </w:r>
          </w:p>
        </w:tc>
        <w:tc>
          <w:tcPr>
            <w:tcW w:w="1151" w:type="dxa"/>
          </w:tcPr>
          <w:p w:rsidR="0061136A" w:rsidRPr="0061136A" w:rsidRDefault="0061136A" w:rsidP="0061136A">
            <w:pPr>
              <w:pStyle w:val="Tabletext0"/>
              <w:tabs>
                <w:tab w:val="decimal" w:pos="539"/>
              </w:tabs>
            </w:pPr>
            <w:r w:rsidRPr="0061136A">
              <w:t>5</w:t>
            </w:r>
          </w:p>
        </w:tc>
        <w:tc>
          <w:tcPr>
            <w:tcW w:w="1151" w:type="dxa"/>
          </w:tcPr>
          <w:p w:rsidR="0061136A" w:rsidRPr="0061136A" w:rsidRDefault="0061136A" w:rsidP="0061136A">
            <w:pPr>
              <w:pStyle w:val="Tabletext0"/>
              <w:tabs>
                <w:tab w:val="decimal" w:pos="539"/>
              </w:tabs>
            </w:pPr>
            <w:r w:rsidRPr="0061136A">
              <w:t>6</w:t>
            </w:r>
          </w:p>
        </w:tc>
        <w:tc>
          <w:tcPr>
            <w:tcW w:w="1150" w:type="dxa"/>
          </w:tcPr>
          <w:p w:rsidR="0061136A" w:rsidRPr="0061136A" w:rsidRDefault="0061136A" w:rsidP="0061136A">
            <w:pPr>
              <w:pStyle w:val="Tabletext0"/>
              <w:tabs>
                <w:tab w:val="decimal" w:pos="539"/>
              </w:tabs>
            </w:pPr>
            <w:r w:rsidRPr="0061136A">
              <w:t>1</w:t>
            </w:r>
          </w:p>
        </w:tc>
        <w:tc>
          <w:tcPr>
            <w:tcW w:w="1151" w:type="dxa"/>
          </w:tcPr>
          <w:p w:rsidR="0061136A" w:rsidRPr="0061136A" w:rsidRDefault="0061136A" w:rsidP="0061136A">
            <w:pPr>
              <w:pStyle w:val="Tabletext0"/>
              <w:tabs>
                <w:tab w:val="decimal" w:pos="539"/>
              </w:tabs>
            </w:pPr>
            <w:r w:rsidRPr="0061136A">
              <w:t>2</w:t>
            </w:r>
          </w:p>
        </w:tc>
        <w:tc>
          <w:tcPr>
            <w:tcW w:w="1151" w:type="dxa"/>
          </w:tcPr>
          <w:p w:rsidR="0061136A" w:rsidRPr="0061136A" w:rsidRDefault="0061136A" w:rsidP="0061136A">
            <w:pPr>
              <w:pStyle w:val="Tabletext0"/>
              <w:tabs>
                <w:tab w:val="decimal" w:pos="539"/>
              </w:tabs>
            </w:pPr>
            <w:r w:rsidRPr="0061136A">
              <w:t>4</w:t>
            </w:r>
          </w:p>
        </w:tc>
      </w:tr>
      <w:tr w:rsidR="0061136A" w:rsidRPr="0061136A" w:rsidTr="0061136A">
        <w:tc>
          <w:tcPr>
            <w:tcW w:w="1601" w:type="dxa"/>
          </w:tcPr>
          <w:p w:rsidR="0061136A" w:rsidRPr="0061136A" w:rsidRDefault="0061136A" w:rsidP="0061136A">
            <w:pPr>
              <w:pStyle w:val="Tabletext0"/>
            </w:pPr>
            <w:r w:rsidRPr="0061136A">
              <w:t>Full-time activity</w:t>
            </w:r>
          </w:p>
        </w:tc>
        <w:tc>
          <w:tcPr>
            <w:tcW w:w="1150" w:type="dxa"/>
          </w:tcPr>
          <w:p w:rsidR="0061136A" w:rsidRPr="0061136A" w:rsidRDefault="0061136A" w:rsidP="0061136A">
            <w:pPr>
              <w:pStyle w:val="Tabletext0"/>
              <w:tabs>
                <w:tab w:val="decimal" w:pos="539"/>
              </w:tabs>
            </w:pPr>
            <w:r w:rsidRPr="0061136A">
              <w:t>3</w:t>
            </w:r>
          </w:p>
        </w:tc>
        <w:tc>
          <w:tcPr>
            <w:tcW w:w="1151" w:type="dxa"/>
          </w:tcPr>
          <w:p w:rsidR="0061136A" w:rsidRPr="0061136A" w:rsidRDefault="0061136A" w:rsidP="0061136A">
            <w:pPr>
              <w:pStyle w:val="Tabletext0"/>
              <w:tabs>
                <w:tab w:val="decimal" w:pos="539"/>
              </w:tabs>
            </w:pPr>
            <w:r w:rsidRPr="0061136A">
              <w:t>6</w:t>
            </w:r>
          </w:p>
        </w:tc>
        <w:tc>
          <w:tcPr>
            <w:tcW w:w="1151" w:type="dxa"/>
          </w:tcPr>
          <w:p w:rsidR="0061136A" w:rsidRPr="0061136A" w:rsidRDefault="0061136A" w:rsidP="0061136A">
            <w:pPr>
              <w:pStyle w:val="Tabletext0"/>
              <w:tabs>
                <w:tab w:val="decimal" w:pos="539"/>
              </w:tabs>
            </w:pPr>
            <w:r w:rsidRPr="0061136A">
              <w:t>5</w:t>
            </w:r>
          </w:p>
        </w:tc>
        <w:tc>
          <w:tcPr>
            <w:tcW w:w="1150" w:type="dxa"/>
          </w:tcPr>
          <w:p w:rsidR="0061136A" w:rsidRPr="0061136A" w:rsidRDefault="0061136A" w:rsidP="0061136A">
            <w:pPr>
              <w:pStyle w:val="Tabletext0"/>
              <w:tabs>
                <w:tab w:val="decimal" w:pos="539"/>
              </w:tabs>
            </w:pPr>
            <w:r w:rsidRPr="0061136A">
              <w:t>1</w:t>
            </w:r>
          </w:p>
        </w:tc>
        <w:tc>
          <w:tcPr>
            <w:tcW w:w="1151" w:type="dxa"/>
          </w:tcPr>
          <w:p w:rsidR="0061136A" w:rsidRPr="0061136A" w:rsidRDefault="0061136A" w:rsidP="0061136A">
            <w:pPr>
              <w:pStyle w:val="Tabletext0"/>
              <w:tabs>
                <w:tab w:val="decimal" w:pos="539"/>
              </w:tabs>
            </w:pPr>
            <w:r w:rsidRPr="0061136A">
              <w:t>2</w:t>
            </w:r>
          </w:p>
        </w:tc>
        <w:tc>
          <w:tcPr>
            <w:tcW w:w="1151" w:type="dxa"/>
          </w:tcPr>
          <w:p w:rsidR="0061136A" w:rsidRPr="0061136A" w:rsidRDefault="0061136A" w:rsidP="0061136A">
            <w:pPr>
              <w:pStyle w:val="Tabletext0"/>
              <w:tabs>
                <w:tab w:val="decimal" w:pos="539"/>
              </w:tabs>
            </w:pPr>
            <w:r w:rsidRPr="0061136A">
              <w:t>4</w:t>
            </w:r>
          </w:p>
        </w:tc>
      </w:tr>
      <w:tr w:rsidR="0061136A" w:rsidRPr="0061136A" w:rsidTr="0061136A">
        <w:tc>
          <w:tcPr>
            <w:tcW w:w="1601" w:type="dxa"/>
          </w:tcPr>
          <w:p w:rsidR="0061136A" w:rsidRPr="0061136A" w:rsidRDefault="0061136A" w:rsidP="0061136A">
            <w:pPr>
              <w:pStyle w:val="Tabletext0"/>
            </w:pPr>
            <w:r w:rsidRPr="0061136A">
              <w:t>Time in unemployment</w:t>
            </w:r>
          </w:p>
        </w:tc>
        <w:tc>
          <w:tcPr>
            <w:tcW w:w="1150" w:type="dxa"/>
          </w:tcPr>
          <w:p w:rsidR="0061136A" w:rsidRPr="0061136A" w:rsidRDefault="0061136A" w:rsidP="0061136A">
            <w:pPr>
              <w:pStyle w:val="Tabletext0"/>
              <w:tabs>
                <w:tab w:val="decimal" w:pos="539"/>
              </w:tabs>
            </w:pPr>
            <w:r w:rsidRPr="0061136A">
              <w:t>4</w:t>
            </w:r>
          </w:p>
        </w:tc>
        <w:tc>
          <w:tcPr>
            <w:tcW w:w="1151" w:type="dxa"/>
          </w:tcPr>
          <w:p w:rsidR="0061136A" w:rsidRPr="0061136A" w:rsidRDefault="0061136A" w:rsidP="0061136A">
            <w:pPr>
              <w:pStyle w:val="Tabletext0"/>
              <w:tabs>
                <w:tab w:val="decimal" w:pos="539"/>
              </w:tabs>
            </w:pPr>
            <w:r w:rsidRPr="0061136A">
              <w:t>6</w:t>
            </w:r>
          </w:p>
        </w:tc>
        <w:tc>
          <w:tcPr>
            <w:tcW w:w="1151" w:type="dxa"/>
          </w:tcPr>
          <w:p w:rsidR="0061136A" w:rsidRPr="0061136A" w:rsidRDefault="0061136A" w:rsidP="0061136A">
            <w:pPr>
              <w:pStyle w:val="Tabletext0"/>
              <w:tabs>
                <w:tab w:val="decimal" w:pos="539"/>
              </w:tabs>
            </w:pPr>
            <w:r w:rsidRPr="0061136A">
              <w:t>5</w:t>
            </w:r>
          </w:p>
        </w:tc>
        <w:tc>
          <w:tcPr>
            <w:tcW w:w="1150" w:type="dxa"/>
          </w:tcPr>
          <w:p w:rsidR="0061136A" w:rsidRPr="0061136A" w:rsidRDefault="0061136A" w:rsidP="0061136A">
            <w:pPr>
              <w:pStyle w:val="Tabletext0"/>
              <w:tabs>
                <w:tab w:val="decimal" w:pos="539"/>
              </w:tabs>
            </w:pPr>
            <w:r w:rsidRPr="0061136A">
              <w:t>2</w:t>
            </w:r>
          </w:p>
        </w:tc>
        <w:tc>
          <w:tcPr>
            <w:tcW w:w="1151" w:type="dxa"/>
          </w:tcPr>
          <w:p w:rsidR="0061136A" w:rsidRPr="0061136A" w:rsidRDefault="0061136A" w:rsidP="0061136A">
            <w:pPr>
              <w:pStyle w:val="Tabletext0"/>
              <w:tabs>
                <w:tab w:val="decimal" w:pos="539"/>
              </w:tabs>
            </w:pPr>
            <w:r w:rsidRPr="0061136A">
              <w:t>3</w:t>
            </w:r>
          </w:p>
        </w:tc>
        <w:tc>
          <w:tcPr>
            <w:tcW w:w="1151" w:type="dxa"/>
          </w:tcPr>
          <w:p w:rsidR="0061136A" w:rsidRPr="0061136A" w:rsidRDefault="0061136A" w:rsidP="0061136A">
            <w:pPr>
              <w:pStyle w:val="Tabletext0"/>
              <w:tabs>
                <w:tab w:val="decimal" w:pos="539"/>
              </w:tabs>
            </w:pPr>
            <w:r w:rsidRPr="0061136A">
              <w:t>1</w:t>
            </w:r>
          </w:p>
        </w:tc>
      </w:tr>
      <w:tr w:rsidR="0061136A" w:rsidRPr="0061136A" w:rsidTr="0061136A">
        <w:tc>
          <w:tcPr>
            <w:tcW w:w="1601" w:type="dxa"/>
          </w:tcPr>
          <w:p w:rsidR="0061136A" w:rsidRPr="0061136A" w:rsidRDefault="0061136A" w:rsidP="0061136A">
            <w:pPr>
              <w:pStyle w:val="Tabletext0"/>
            </w:pPr>
            <w:r w:rsidRPr="0061136A">
              <w:t>Weekly earnings</w:t>
            </w:r>
          </w:p>
        </w:tc>
        <w:tc>
          <w:tcPr>
            <w:tcW w:w="1150" w:type="dxa"/>
          </w:tcPr>
          <w:p w:rsidR="0061136A" w:rsidRPr="0061136A" w:rsidRDefault="0061136A" w:rsidP="0061136A">
            <w:pPr>
              <w:pStyle w:val="Tabletext0"/>
              <w:tabs>
                <w:tab w:val="decimal" w:pos="539"/>
              </w:tabs>
            </w:pPr>
            <w:r w:rsidRPr="0061136A">
              <w:t>3</w:t>
            </w:r>
          </w:p>
        </w:tc>
        <w:tc>
          <w:tcPr>
            <w:tcW w:w="1151" w:type="dxa"/>
          </w:tcPr>
          <w:p w:rsidR="0061136A" w:rsidRPr="0061136A" w:rsidRDefault="0061136A" w:rsidP="0061136A">
            <w:pPr>
              <w:pStyle w:val="Tabletext0"/>
              <w:tabs>
                <w:tab w:val="decimal" w:pos="539"/>
              </w:tabs>
            </w:pPr>
            <w:r w:rsidRPr="0061136A">
              <w:t>4.5</w:t>
            </w:r>
          </w:p>
        </w:tc>
        <w:tc>
          <w:tcPr>
            <w:tcW w:w="1151" w:type="dxa"/>
          </w:tcPr>
          <w:p w:rsidR="0061136A" w:rsidRPr="0061136A" w:rsidRDefault="0061136A" w:rsidP="0061136A">
            <w:pPr>
              <w:pStyle w:val="Tabletext0"/>
              <w:tabs>
                <w:tab w:val="decimal" w:pos="539"/>
              </w:tabs>
            </w:pPr>
            <w:r w:rsidRPr="0061136A">
              <w:t>6</w:t>
            </w:r>
          </w:p>
        </w:tc>
        <w:tc>
          <w:tcPr>
            <w:tcW w:w="1150" w:type="dxa"/>
          </w:tcPr>
          <w:p w:rsidR="0061136A" w:rsidRPr="0061136A" w:rsidRDefault="0061136A" w:rsidP="0061136A">
            <w:pPr>
              <w:pStyle w:val="Tabletext0"/>
              <w:tabs>
                <w:tab w:val="decimal" w:pos="539"/>
              </w:tabs>
            </w:pPr>
            <w:r w:rsidRPr="0061136A">
              <w:t>1</w:t>
            </w:r>
          </w:p>
        </w:tc>
        <w:tc>
          <w:tcPr>
            <w:tcW w:w="1151" w:type="dxa"/>
          </w:tcPr>
          <w:p w:rsidR="0061136A" w:rsidRPr="0061136A" w:rsidRDefault="0061136A" w:rsidP="0061136A">
            <w:pPr>
              <w:pStyle w:val="Tabletext0"/>
              <w:tabs>
                <w:tab w:val="decimal" w:pos="539"/>
              </w:tabs>
            </w:pPr>
            <w:r w:rsidRPr="0061136A">
              <w:t>4.5</w:t>
            </w:r>
          </w:p>
        </w:tc>
        <w:tc>
          <w:tcPr>
            <w:tcW w:w="1151" w:type="dxa"/>
          </w:tcPr>
          <w:p w:rsidR="0061136A" w:rsidRPr="0061136A" w:rsidRDefault="0061136A" w:rsidP="0061136A">
            <w:pPr>
              <w:pStyle w:val="Tabletext0"/>
              <w:tabs>
                <w:tab w:val="decimal" w:pos="539"/>
              </w:tabs>
            </w:pPr>
            <w:r w:rsidRPr="0061136A">
              <w:t>2</w:t>
            </w:r>
          </w:p>
        </w:tc>
      </w:tr>
      <w:tr w:rsidR="0061136A" w:rsidRPr="0061136A" w:rsidTr="0061136A">
        <w:tc>
          <w:tcPr>
            <w:tcW w:w="1601" w:type="dxa"/>
          </w:tcPr>
          <w:p w:rsidR="0061136A" w:rsidRPr="0061136A" w:rsidRDefault="0061136A" w:rsidP="0061136A">
            <w:pPr>
              <w:pStyle w:val="Tabletext0"/>
            </w:pPr>
            <w:r w:rsidRPr="0061136A">
              <w:t>Weekly earnings for those employed FT</w:t>
            </w:r>
          </w:p>
        </w:tc>
        <w:tc>
          <w:tcPr>
            <w:tcW w:w="1150" w:type="dxa"/>
          </w:tcPr>
          <w:p w:rsidR="0061136A" w:rsidRPr="0061136A" w:rsidRDefault="0061136A" w:rsidP="0061136A">
            <w:pPr>
              <w:pStyle w:val="Tabletext0"/>
              <w:tabs>
                <w:tab w:val="decimal" w:pos="539"/>
              </w:tabs>
            </w:pPr>
            <w:r w:rsidRPr="0061136A">
              <w:t>3</w:t>
            </w:r>
          </w:p>
        </w:tc>
        <w:tc>
          <w:tcPr>
            <w:tcW w:w="1151" w:type="dxa"/>
          </w:tcPr>
          <w:p w:rsidR="0061136A" w:rsidRPr="0061136A" w:rsidRDefault="0061136A" w:rsidP="0061136A">
            <w:pPr>
              <w:pStyle w:val="Tabletext0"/>
              <w:tabs>
                <w:tab w:val="decimal" w:pos="539"/>
              </w:tabs>
            </w:pPr>
            <w:r w:rsidRPr="0061136A">
              <w:t>5</w:t>
            </w:r>
          </w:p>
        </w:tc>
        <w:tc>
          <w:tcPr>
            <w:tcW w:w="1151" w:type="dxa"/>
          </w:tcPr>
          <w:p w:rsidR="0061136A" w:rsidRPr="0061136A" w:rsidRDefault="0061136A" w:rsidP="0061136A">
            <w:pPr>
              <w:pStyle w:val="Tabletext0"/>
              <w:tabs>
                <w:tab w:val="decimal" w:pos="539"/>
              </w:tabs>
            </w:pPr>
            <w:r w:rsidRPr="0061136A">
              <w:t>6</w:t>
            </w:r>
          </w:p>
        </w:tc>
        <w:tc>
          <w:tcPr>
            <w:tcW w:w="1150" w:type="dxa"/>
          </w:tcPr>
          <w:p w:rsidR="0061136A" w:rsidRPr="0061136A" w:rsidRDefault="0061136A" w:rsidP="0061136A">
            <w:pPr>
              <w:pStyle w:val="Tabletext0"/>
              <w:tabs>
                <w:tab w:val="decimal" w:pos="539"/>
              </w:tabs>
            </w:pPr>
            <w:r w:rsidRPr="0061136A">
              <w:t>1</w:t>
            </w:r>
          </w:p>
        </w:tc>
        <w:tc>
          <w:tcPr>
            <w:tcW w:w="1151" w:type="dxa"/>
          </w:tcPr>
          <w:p w:rsidR="0061136A" w:rsidRPr="0061136A" w:rsidRDefault="0061136A" w:rsidP="0061136A">
            <w:pPr>
              <w:pStyle w:val="Tabletext0"/>
              <w:tabs>
                <w:tab w:val="decimal" w:pos="539"/>
              </w:tabs>
            </w:pPr>
            <w:r w:rsidRPr="0061136A">
              <w:t>5</w:t>
            </w:r>
          </w:p>
        </w:tc>
        <w:tc>
          <w:tcPr>
            <w:tcW w:w="1151" w:type="dxa"/>
          </w:tcPr>
          <w:p w:rsidR="0061136A" w:rsidRPr="0061136A" w:rsidRDefault="0061136A" w:rsidP="0061136A">
            <w:pPr>
              <w:pStyle w:val="Tabletext0"/>
              <w:tabs>
                <w:tab w:val="decimal" w:pos="539"/>
              </w:tabs>
            </w:pPr>
            <w:r w:rsidRPr="0061136A">
              <w:t>2</w:t>
            </w:r>
          </w:p>
        </w:tc>
      </w:tr>
      <w:tr w:rsidR="0061136A" w:rsidRPr="0061136A" w:rsidTr="0061136A">
        <w:tc>
          <w:tcPr>
            <w:tcW w:w="1601" w:type="dxa"/>
          </w:tcPr>
          <w:p w:rsidR="0061136A" w:rsidRPr="0061136A" w:rsidRDefault="0061136A" w:rsidP="0061136A">
            <w:pPr>
              <w:pStyle w:val="Tabletext0"/>
            </w:pPr>
            <w:r w:rsidRPr="0061136A">
              <w:t>Hourly wages</w:t>
            </w:r>
          </w:p>
        </w:tc>
        <w:tc>
          <w:tcPr>
            <w:tcW w:w="1150" w:type="dxa"/>
          </w:tcPr>
          <w:p w:rsidR="0061136A" w:rsidRPr="0061136A" w:rsidRDefault="0061136A" w:rsidP="0061136A">
            <w:pPr>
              <w:pStyle w:val="Tabletext0"/>
              <w:tabs>
                <w:tab w:val="decimal" w:pos="539"/>
              </w:tabs>
            </w:pPr>
            <w:r w:rsidRPr="0061136A">
              <w:t>3</w:t>
            </w:r>
          </w:p>
        </w:tc>
        <w:tc>
          <w:tcPr>
            <w:tcW w:w="1151" w:type="dxa"/>
          </w:tcPr>
          <w:p w:rsidR="0061136A" w:rsidRPr="0061136A" w:rsidRDefault="0061136A" w:rsidP="0061136A">
            <w:pPr>
              <w:pStyle w:val="Tabletext0"/>
              <w:tabs>
                <w:tab w:val="decimal" w:pos="539"/>
              </w:tabs>
            </w:pPr>
            <w:r w:rsidRPr="0061136A">
              <w:t>5</w:t>
            </w:r>
          </w:p>
        </w:tc>
        <w:tc>
          <w:tcPr>
            <w:tcW w:w="1151" w:type="dxa"/>
          </w:tcPr>
          <w:p w:rsidR="0061136A" w:rsidRPr="0061136A" w:rsidRDefault="0061136A" w:rsidP="0061136A">
            <w:pPr>
              <w:pStyle w:val="Tabletext0"/>
              <w:tabs>
                <w:tab w:val="decimal" w:pos="539"/>
              </w:tabs>
            </w:pPr>
            <w:r w:rsidRPr="0061136A">
              <w:t>4</w:t>
            </w:r>
          </w:p>
        </w:tc>
        <w:tc>
          <w:tcPr>
            <w:tcW w:w="1150" w:type="dxa"/>
          </w:tcPr>
          <w:p w:rsidR="0061136A" w:rsidRPr="0061136A" w:rsidRDefault="0061136A" w:rsidP="0061136A">
            <w:pPr>
              <w:pStyle w:val="Tabletext0"/>
              <w:tabs>
                <w:tab w:val="decimal" w:pos="539"/>
              </w:tabs>
            </w:pPr>
            <w:r w:rsidRPr="0061136A">
              <w:t>1</w:t>
            </w:r>
          </w:p>
        </w:tc>
        <w:tc>
          <w:tcPr>
            <w:tcW w:w="1151" w:type="dxa"/>
          </w:tcPr>
          <w:p w:rsidR="0061136A" w:rsidRPr="0061136A" w:rsidRDefault="0061136A" w:rsidP="0061136A">
            <w:pPr>
              <w:pStyle w:val="Tabletext0"/>
              <w:tabs>
                <w:tab w:val="decimal" w:pos="539"/>
              </w:tabs>
            </w:pPr>
            <w:r w:rsidRPr="0061136A">
              <w:t>6</w:t>
            </w:r>
          </w:p>
        </w:tc>
        <w:tc>
          <w:tcPr>
            <w:tcW w:w="1151" w:type="dxa"/>
          </w:tcPr>
          <w:p w:rsidR="0061136A" w:rsidRPr="0061136A" w:rsidRDefault="0061136A" w:rsidP="0061136A">
            <w:pPr>
              <w:pStyle w:val="Tabletext0"/>
              <w:tabs>
                <w:tab w:val="decimal" w:pos="539"/>
              </w:tabs>
            </w:pPr>
            <w:r w:rsidRPr="0061136A">
              <w:t>2</w:t>
            </w:r>
          </w:p>
        </w:tc>
      </w:tr>
      <w:tr w:rsidR="0061136A" w:rsidRPr="0061136A" w:rsidTr="0061136A">
        <w:tc>
          <w:tcPr>
            <w:tcW w:w="1601" w:type="dxa"/>
          </w:tcPr>
          <w:p w:rsidR="0061136A" w:rsidRPr="0061136A" w:rsidRDefault="0061136A" w:rsidP="0061136A">
            <w:pPr>
              <w:pStyle w:val="Tabletext0"/>
            </w:pPr>
            <w:r w:rsidRPr="0061136A">
              <w:t>Occupation</w:t>
            </w:r>
          </w:p>
        </w:tc>
        <w:tc>
          <w:tcPr>
            <w:tcW w:w="1150" w:type="dxa"/>
          </w:tcPr>
          <w:p w:rsidR="0061136A" w:rsidRPr="0061136A" w:rsidRDefault="0061136A" w:rsidP="0061136A">
            <w:pPr>
              <w:pStyle w:val="Tabletext0"/>
              <w:tabs>
                <w:tab w:val="decimal" w:pos="539"/>
              </w:tabs>
            </w:pPr>
            <w:r w:rsidRPr="0061136A">
              <w:t>4</w:t>
            </w:r>
          </w:p>
        </w:tc>
        <w:tc>
          <w:tcPr>
            <w:tcW w:w="1151" w:type="dxa"/>
          </w:tcPr>
          <w:p w:rsidR="0061136A" w:rsidRPr="0061136A" w:rsidRDefault="0061136A" w:rsidP="0061136A">
            <w:pPr>
              <w:pStyle w:val="Tabletext0"/>
              <w:tabs>
                <w:tab w:val="decimal" w:pos="539"/>
              </w:tabs>
            </w:pPr>
            <w:r w:rsidRPr="0061136A">
              <w:t>6</w:t>
            </w:r>
          </w:p>
        </w:tc>
        <w:tc>
          <w:tcPr>
            <w:tcW w:w="1151" w:type="dxa"/>
          </w:tcPr>
          <w:p w:rsidR="0061136A" w:rsidRPr="0061136A" w:rsidRDefault="0061136A" w:rsidP="0061136A">
            <w:pPr>
              <w:pStyle w:val="Tabletext0"/>
              <w:tabs>
                <w:tab w:val="decimal" w:pos="539"/>
              </w:tabs>
            </w:pPr>
            <w:r w:rsidRPr="0061136A">
              <w:t>2</w:t>
            </w:r>
          </w:p>
        </w:tc>
        <w:tc>
          <w:tcPr>
            <w:tcW w:w="1150" w:type="dxa"/>
          </w:tcPr>
          <w:p w:rsidR="0061136A" w:rsidRPr="0061136A" w:rsidRDefault="0061136A" w:rsidP="0061136A">
            <w:pPr>
              <w:pStyle w:val="Tabletext0"/>
              <w:tabs>
                <w:tab w:val="decimal" w:pos="539"/>
              </w:tabs>
            </w:pPr>
            <w:r w:rsidRPr="0061136A">
              <w:t>5</w:t>
            </w:r>
          </w:p>
        </w:tc>
        <w:tc>
          <w:tcPr>
            <w:tcW w:w="1151" w:type="dxa"/>
          </w:tcPr>
          <w:p w:rsidR="0061136A" w:rsidRPr="0061136A" w:rsidRDefault="0061136A" w:rsidP="0061136A">
            <w:pPr>
              <w:pStyle w:val="Tabletext0"/>
              <w:tabs>
                <w:tab w:val="decimal" w:pos="539"/>
              </w:tabs>
            </w:pPr>
            <w:r w:rsidRPr="0061136A">
              <w:t>3</w:t>
            </w:r>
          </w:p>
        </w:tc>
        <w:tc>
          <w:tcPr>
            <w:tcW w:w="1151" w:type="dxa"/>
          </w:tcPr>
          <w:p w:rsidR="0061136A" w:rsidRPr="0061136A" w:rsidRDefault="0061136A" w:rsidP="0061136A">
            <w:pPr>
              <w:pStyle w:val="Tabletext0"/>
              <w:tabs>
                <w:tab w:val="decimal" w:pos="539"/>
              </w:tabs>
            </w:pPr>
            <w:r w:rsidRPr="0061136A">
              <w:t>1</w:t>
            </w:r>
          </w:p>
        </w:tc>
      </w:tr>
      <w:tr w:rsidR="0061136A" w:rsidRPr="0061136A" w:rsidTr="0061136A">
        <w:tc>
          <w:tcPr>
            <w:tcW w:w="1601" w:type="dxa"/>
          </w:tcPr>
          <w:p w:rsidR="0061136A" w:rsidRPr="0061136A" w:rsidRDefault="0061136A" w:rsidP="0061136A">
            <w:pPr>
              <w:pStyle w:val="Tabletext0"/>
              <w:spacing w:after="40"/>
              <w:rPr>
                <w:b/>
              </w:rPr>
            </w:pPr>
            <w:r w:rsidRPr="0061136A">
              <w:rPr>
                <w:b/>
              </w:rPr>
              <w:t>Average rank</w:t>
            </w:r>
          </w:p>
        </w:tc>
        <w:tc>
          <w:tcPr>
            <w:tcW w:w="1150" w:type="dxa"/>
          </w:tcPr>
          <w:p w:rsidR="0061136A" w:rsidRPr="0061136A" w:rsidRDefault="0061136A" w:rsidP="0061136A">
            <w:pPr>
              <w:pStyle w:val="Tabletext0"/>
              <w:tabs>
                <w:tab w:val="decimal" w:pos="539"/>
              </w:tabs>
              <w:spacing w:after="40"/>
              <w:rPr>
                <w:b/>
              </w:rPr>
            </w:pPr>
            <w:r w:rsidRPr="0061136A">
              <w:rPr>
                <w:b/>
              </w:rPr>
              <w:t>3.4</w:t>
            </w:r>
          </w:p>
        </w:tc>
        <w:tc>
          <w:tcPr>
            <w:tcW w:w="1151" w:type="dxa"/>
          </w:tcPr>
          <w:p w:rsidR="0061136A" w:rsidRPr="0061136A" w:rsidRDefault="0061136A" w:rsidP="0061136A">
            <w:pPr>
              <w:pStyle w:val="Tabletext0"/>
              <w:tabs>
                <w:tab w:val="decimal" w:pos="539"/>
              </w:tabs>
              <w:spacing w:after="40"/>
              <w:rPr>
                <w:b/>
              </w:rPr>
            </w:pPr>
            <w:r w:rsidRPr="0061136A">
              <w:rPr>
                <w:b/>
              </w:rPr>
              <w:t>5.1</w:t>
            </w:r>
          </w:p>
        </w:tc>
        <w:tc>
          <w:tcPr>
            <w:tcW w:w="1151" w:type="dxa"/>
          </w:tcPr>
          <w:p w:rsidR="0061136A" w:rsidRPr="0061136A" w:rsidRDefault="0061136A" w:rsidP="0061136A">
            <w:pPr>
              <w:pStyle w:val="Tabletext0"/>
              <w:tabs>
                <w:tab w:val="decimal" w:pos="539"/>
              </w:tabs>
              <w:spacing w:after="40"/>
              <w:rPr>
                <w:b/>
              </w:rPr>
            </w:pPr>
            <w:r w:rsidRPr="0061136A">
              <w:rPr>
                <w:b/>
              </w:rPr>
              <w:t>4.9</w:t>
            </w:r>
          </w:p>
        </w:tc>
        <w:tc>
          <w:tcPr>
            <w:tcW w:w="1150" w:type="dxa"/>
          </w:tcPr>
          <w:p w:rsidR="0061136A" w:rsidRPr="0061136A" w:rsidRDefault="0061136A" w:rsidP="0061136A">
            <w:pPr>
              <w:pStyle w:val="Tabletext0"/>
              <w:tabs>
                <w:tab w:val="decimal" w:pos="539"/>
              </w:tabs>
              <w:spacing w:after="40"/>
              <w:rPr>
                <w:b/>
              </w:rPr>
            </w:pPr>
            <w:r w:rsidRPr="0061136A">
              <w:rPr>
                <w:b/>
              </w:rPr>
              <w:t>1.7</w:t>
            </w:r>
          </w:p>
        </w:tc>
        <w:tc>
          <w:tcPr>
            <w:tcW w:w="1151" w:type="dxa"/>
          </w:tcPr>
          <w:p w:rsidR="0061136A" w:rsidRPr="0061136A" w:rsidRDefault="0061136A" w:rsidP="0061136A">
            <w:pPr>
              <w:pStyle w:val="Tabletext0"/>
              <w:tabs>
                <w:tab w:val="decimal" w:pos="539"/>
              </w:tabs>
              <w:spacing w:after="40"/>
              <w:rPr>
                <w:b/>
              </w:rPr>
            </w:pPr>
            <w:r w:rsidRPr="0061136A">
              <w:rPr>
                <w:b/>
              </w:rPr>
              <w:t>3.6</w:t>
            </w:r>
          </w:p>
        </w:tc>
        <w:tc>
          <w:tcPr>
            <w:tcW w:w="1151" w:type="dxa"/>
          </w:tcPr>
          <w:p w:rsidR="0061136A" w:rsidRPr="0061136A" w:rsidRDefault="0061136A" w:rsidP="0061136A">
            <w:pPr>
              <w:pStyle w:val="Tabletext0"/>
              <w:tabs>
                <w:tab w:val="decimal" w:pos="539"/>
              </w:tabs>
              <w:spacing w:after="40"/>
              <w:rPr>
                <w:b/>
              </w:rPr>
            </w:pPr>
            <w:r w:rsidRPr="0061136A">
              <w:rPr>
                <w:b/>
              </w:rPr>
              <w:t>2.3</w:t>
            </w:r>
          </w:p>
        </w:tc>
      </w:tr>
    </w:tbl>
    <w:p w:rsidR="00F456BA" w:rsidRDefault="00F456BA" w:rsidP="0061136A">
      <w:pPr>
        <w:pStyle w:val="Text0"/>
        <w:spacing w:before="360"/>
      </w:pPr>
      <w:r>
        <w:t>For the group of interest (those not going on to full-time tertiary study from</w:t>
      </w:r>
      <w:proofErr w:type="gramStart"/>
      <w:r>
        <w:rPr>
          <w:rFonts w:ascii="MS Gothic" w:eastAsia="MS Gothic" w:hAnsi="MS Gothic" w:cs="MS Gothic" w:hint="eastAsia"/>
        </w:rPr>
        <w:t> </w:t>
      </w:r>
      <w:r>
        <w:t xml:space="preserve"> Year</w:t>
      </w:r>
      <w:proofErr w:type="gramEnd"/>
      <w:r>
        <w:t xml:space="preserve"> 12), completing an apprenticeship is the best pathway, followed by the completion of </w:t>
      </w:r>
      <w:r>
        <w:rPr>
          <w:rFonts w:ascii="MS Gothic" w:eastAsia="MS Gothic" w:hAnsi="MS Gothic" w:cs="MS Gothic" w:hint="eastAsia"/>
        </w:rPr>
        <w:t>  </w:t>
      </w:r>
      <w:r>
        <w:t>Year 12. The superiority of the apprenticeship, however, must be qualified. First, an individual cannot simply enrol in an apprenticeship—he must find an employer willing to take him on. Secondly, the pathway is completing an apprenticeship, and we know that non-completion rates are quite high. Thirdly, a young man obtaining an apprenticeship has a huge advantage in relation to the labour market variable because he has a job by virtue of being an apprentice.</w:t>
      </w:r>
    </w:p>
    <w:p w:rsidR="00F456BA" w:rsidRDefault="00F456BA" w:rsidP="00D258FC">
      <w:pPr>
        <w:pStyle w:val="Text0"/>
      </w:pPr>
      <w:r>
        <w:t xml:space="preserve">Completing a certificate II or III as an alternative to </w:t>
      </w:r>
      <w:proofErr w:type="gramStart"/>
      <w:r>
        <w:t xml:space="preserve">completing </w:t>
      </w:r>
      <w:r>
        <w:rPr>
          <w:rFonts w:ascii="MS Gothic" w:eastAsia="MS Gothic" w:hAnsi="MS Gothic" w:cs="MS Gothic" w:hint="eastAsia"/>
        </w:rPr>
        <w:t> </w:t>
      </w:r>
      <w:r>
        <w:t>Year</w:t>
      </w:r>
      <w:proofErr w:type="gramEnd"/>
      <w:r>
        <w:t xml:space="preserve"> 12 does not fare well. This pathway is certainly not equivalent to completing</w:t>
      </w:r>
      <w:proofErr w:type="gramStart"/>
      <w:r>
        <w:rPr>
          <w:rFonts w:ascii="MS Gothic" w:eastAsia="MS Gothic" w:hAnsi="MS Gothic" w:cs="MS Gothic" w:hint="eastAsia"/>
        </w:rPr>
        <w:t> </w:t>
      </w:r>
      <w:r>
        <w:t xml:space="preserve"> Year</w:t>
      </w:r>
      <w:proofErr w:type="gramEnd"/>
      <w:r>
        <w:t xml:space="preserve"> 12 on these measures. In fact, the results suggest that such individuals fare worse than those early school leavers without a certificate.  </w:t>
      </w:r>
    </w:p>
    <w:p w:rsidR="00F456BA" w:rsidRDefault="00F456BA" w:rsidP="00D258FC">
      <w:pPr>
        <w:pStyle w:val="Text0"/>
      </w:pPr>
      <w:r>
        <w:t>As can be seen from table 2, what might be the best path for males is not necessarily the best for</w:t>
      </w:r>
      <w:r w:rsidR="0061136A">
        <w:t> </w:t>
      </w:r>
      <w:r>
        <w:t>females.</w:t>
      </w:r>
    </w:p>
    <w:p w:rsidR="00F456BA" w:rsidRDefault="00F456BA" w:rsidP="00D258FC">
      <w:pPr>
        <w:pStyle w:val="Text0"/>
      </w:pPr>
      <w:r>
        <w:t xml:space="preserve">For females, </w:t>
      </w:r>
      <w:proofErr w:type="gramStart"/>
      <w:r>
        <w:t xml:space="preserve">completing </w:t>
      </w:r>
      <w:r>
        <w:rPr>
          <w:rFonts w:ascii="MS Gothic" w:eastAsia="MS Gothic" w:hAnsi="MS Gothic" w:cs="MS Gothic" w:hint="eastAsia"/>
        </w:rPr>
        <w:t> </w:t>
      </w:r>
      <w:r>
        <w:t>Year</w:t>
      </w:r>
      <w:proofErr w:type="gramEnd"/>
      <w:r>
        <w:t xml:space="preserve"> 12 clearly provides the best outcomes, followed by the completion of a traineeship and the completion of an apprenticeship. (Note that female apprentices tend to be either hairdressers or cooks.) Of the other pathways, completing a certificate III is the best, while completing a certificate II has the least satisfactory outcome.</w:t>
      </w:r>
    </w:p>
    <w:p w:rsidR="0061136A" w:rsidRDefault="00F456BA" w:rsidP="00D258FC">
      <w:pPr>
        <w:pStyle w:val="Text0"/>
      </w:pPr>
      <w:r>
        <w:t>While the statistical analysis in this study is very robust, it must always be remembered that these findings apply on average, and there will be considerable variation in outcomes for individuals, irrespective of which pathway they choose.</w:t>
      </w:r>
    </w:p>
    <w:p w:rsidR="0061136A" w:rsidRDefault="0061136A">
      <w:pPr>
        <w:spacing w:before="0" w:after="200" w:line="276" w:lineRule="auto"/>
        <w:rPr>
          <w:rFonts w:ascii="Garamond" w:hAnsi="Garamond"/>
          <w:sz w:val="22"/>
        </w:rPr>
      </w:pPr>
      <w:r>
        <w:br w:type="page"/>
      </w:r>
    </w:p>
    <w:p w:rsidR="00F456BA" w:rsidRDefault="0061136A" w:rsidP="0061136A">
      <w:pPr>
        <w:pStyle w:val="tabletitle"/>
      </w:pPr>
      <w:r>
        <w:t>Table 2</w:t>
      </w:r>
      <w:r>
        <w:tab/>
        <w:t>Pathways ranked for employment outcomes (1= best)</w:t>
      </w:r>
      <w:proofErr w:type="gramStart"/>
      <w:r>
        <w:t>,  females</w:t>
      </w:r>
      <w:proofErr w:type="gramEnd"/>
    </w:p>
    <w:tbl>
      <w:tblPr>
        <w:tblStyle w:val="TableGrid"/>
        <w:tblW w:w="8505" w:type="dxa"/>
        <w:tblInd w:w="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1560"/>
        <w:gridCol w:w="1157"/>
        <w:gridCol w:w="1158"/>
        <w:gridCol w:w="1157"/>
        <w:gridCol w:w="1158"/>
        <w:gridCol w:w="1157"/>
        <w:gridCol w:w="1158"/>
      </w:tblGrid>
      <w:tr w:rsidR="0061136A" w:rsidRPr="0061136A" w:rsidTr="00D04980">
        <w:tc>
          <w:tcPr>
            <w:tcW w:w="1560" w:type="dxa"/>
            <w:tcBorders>
              <w:top w:val="single" w:sz="4" w:space="0" w:color="auto"/>
              <w:bottom w:val="single" w:sz="4" w:space="0" w:color="auto"/>
            </w:tcBorders>
          </w:tcPr>
          <w:p w:rsidR="0061136A" w:rsidRPr="0061136A" w:rsidRDefault="0061136A" w:rsidP="0061136A">
            <w:pPr>
              <w:pStyle w:val="Tablehead1"/>
            </w:pPr>
          </w:p>
        </w:tc>
        <w:tc>
          <w:tcPr>
            <w:tcW w:w="1157" w:type="dxa"/>
            <w:tcBorders>
              <w:top w:val="single" w:sz="4" w:space="0" w:color="auto"/>
              <w:bottom w:val="single" w:sz="4" w:space="0" w:color="auto"/>
            </w:tcBorders>
          </w:tcPr>
          <w:p w:rsidR="0061136A" w:rsidRPr="0061136A" w:rsidRDefault="0061136A" w:rsidP="00D04980">
            <w:pPr>
              <w:pStyle w:val="Tablehead1"/>
              <w:jc w:val="center"/>
            </w:pPr>
            <w:r>
              <w:t xml:space="preserve">Early </w:t>
            </w:r>
            <w:r w:rsidRPr="0061136A">
              <w:t>school leaver</w:t>
            </w:r>
          </w:p>
        </w:tc>
        <w:tc>
          <w:tcPr>
            <w:tcW w:w="1158" w:type="dxa"/>
            <w:tcBorders>
              <w:top w:val="single" w:sz="4" w:space="0" w:color="auto"/>
              <w:bottom w:val="single" w:sz="4" w:space="0" w:color="auto"/>
            </w:tcBorders>
          </w:tcPr>
          <w:p w:rsidR="0061136A" w:rsidRPr="0061136A" w:rsidRDefault="0061136A" w:rsidP="00D04980">
            <w:pPr>
              <w:pStyle w:val="Tablehead1"/>
              <w:jc w:val="center"/>
            </w:pPr>
            <w:r w:rsidRPr="0061136A">
              <w:t>Completed certificate II</w:t>
            </w:r>
          </w:p>
        </w:tc>
        <w:tc>
          <w:tcPr>
            <w:tcW w:w="1157" w:type="dxa"/>
            <w:tcBorders>
              <w:top w:val="single" w:sz="4" w:space="0" w:color="auto"/>
              <w:bottom w:val="single" w:sz="4" w:space="0" w:color="auto"/>
            </w:tcBorders>
          </w:tcPr>
          <w:p w:rsidR="0061136A" w:rsidRPr="0061136A" w:rsidRDefault="0061136A" w:rsidP="00D04980">
            <w:pPr>
              <w:pStyle w:val="Tablehead1"/>
              <w:jc w:val="center"/>
            </w:pPr>
            <w:r w:rsidRPr="0061136A">
              <w:t>Completed certificate III</w:t>
            </w:r>
          </w:p>
        </w:tc>
        <w:tc>
          <w:tcPr>
            <w:tcW w:w="1158" w:type="dxa"/>
            <w:tcBorders>
              <w:top w:val="single" w:sz="4" w:space="0" w:color="auto"/>
              <w:bottom w:val="single" w:sz="4" w:space="0" w:color="auto"/>
            </w:tcBorders>
          </w:tcPr>
          <w:p w:rsidR="0061136A" w:rsidRPr="0061136A" w:rsidRDefault="0061136A" w:rsidP="00D04980">
            <w:pPr>
              <w:pStyle w:val="Tablehead1"/>
              <w:jc w:val="center"/>
            </w:pPr>
            <w:r w:rsidRPr="0061136A">
              <w:t>Completed apprentice</w:t>
            </w:r>
            <w:r w:rsidR="00D04980">
              <w:t>-</w:t>
            </w:r>
            <w:r w:rsidRPr="0061136A">
              <w:t>ship</w:t>
            </w:r>
          </w:p>
        </w:tc>
        <w:tc>
          <w:tcPr>
            <w:tcW w:w="1157" w:type="dxa"/>
            <w:tcBorders>
              <w:top w:val="single" w:sz="4" w:space="0" w:color="auto"/>
              <w:bottom w:val="single" w:sz="4" w:space="0" w:color="auto"/>
            </w:tcBorders>
          </w:tcPr>
          <w:p w:rsidR="0061136A" w:rsidRPr="0061136A" w:rsidRDefault="0061136A" w:rsidP="00D04980">
            <w:pPr>
              <w:pStyle w:val="Tablehead1"/>
              <w:jc w:val="center"/>
            </w:pPr>
            <w:r w:rsidRPr="0061136A">
              <w:t>Completed trainee</w:t>
            </w:r>
            <w:r w:rsidR="00D04980">
              <w:t>-</w:t>
            </w:r>
            <w:r w:rsidR="00D04980">
              <w:br/>
            </w:r>
            <w:r w:rsidRPr="0061136A">
              <w:t>ship</w:t>
            </w:r>
          </w:p>
        </w:tc>
        <w:tc>
          <w:tcPr>
            <w:tcW w:w="1158" w:type="dxa"/>
            <w:tcBorders>
              <w:top w:val="single" w:sz="4" w:space="0" w:color="auto"/>
              <w:bottom w:val="single" w:sz="4" w:space="0" w:color="auto"/>
            </w:tcBorders>
          </w:tcPr>
          <w:p w:rsidR="0061136A" w:rsidRPr="0061136A" w:rsidRDefault="0061136A" w:rsidP="00D04980">
            <w:pPr>
              <w:pStyle w:val="Tablehead1"/>
              <w:jc w:val="center"/>
            </w:pPr>
            <w:r w:rsidRPr="0061136A">
              <w:t>Completed Year 12</w:t>
            </w:r>
          </w:p>
        </w:tc>
      </w:tr>
      <w:tr w:rsidR="0061136A" w:rsidRPr="0061136A" w:rsidTr="00D04980">
        <w:tc>
          <w:tcPr>
            <w:tcW w:w="1560" w:type="dxa"/>
            <w:tcBorders>
              <w:top w:val="single" w:sz="4" w:space="0" w:color="auto"/>
            </w:tcBorders>
          </w:tcPr>
          <w:p w:rsidR="0061136A" w:rsidRPr="0061136A" w:rsidRDefault="0061136A" w:rsidP="0061136A">
            <w:pPr>
              <w:pStyle w:val="Tabletext0"/>
            </w:pPr>
            <w:r w:rsidRPr="0061136A">
              <w:t>Employed full-time</w:t>
            </w:r>
          </w:p>
        </w:tc>
        <w:tc>
          <w:tcPr>
            <w:tcW w:w="1157" w:type="dxa"/>
            <w:tcBorders>
              <w:top w:val="single" w:sz="4" w:space="0" w:color="auto"/>
            </w:tcBorders>
          </w:tcPr>
          <w:p w:rsidR="0061136A" w:rsidRPr="0061136A" w:rsidRDefault="0061136A" w:rsidP="00D04980">
            <w:pPr>
              <w:pStyle w:val="Tabletext0"/>
              <w:tabs>
                <w:tab w:val="decimal" w:pos="539"/>
              </w:tabs>
            </w:pPr>
            <w:r w:rsidRPr="0061136A">
              <w:t>5</w:t>
            </w:r>
          </w:p>
        </w:tc>
        <w:tc>
          <w:tcPr>
            <w:tcW w:w="1158" w:type="dxa"/>
            <w:tcBorders>
              <w:top w:val="single" w:sz="4" w:space="0" w:color="auto"/>
            </w:tcBorders>
          </w:tcPr>
          <w:p w:rsidR="0061136A" w:rsidRPr="0061136A" w:rsidRDefault="0061136A" w:rsidP="00D04980">
            <w:pPr>
              <w:pStyle w:val="Tabletext0"/>
              <w:tabs>
                <w:tab w:val="decimal" w:pos="539"/>
              </w:tabs>
            </w:pPr>
            <w:r w:rsidRPr="0061136A">
              <w:t>6</w:t>
            </w:r>
          </w:p>
        </w:tc>
        <w:tc>
          <w:tcPr>
            <w:tcW w:w="1157" w:type="dxa"/>
            <w:tcBorders>
              <w:top w:val="single" w:sz="4" w:space="0" w:color="auto"/>
            </w:tcBorders>
          </w:tcPr>
          <w:p w:rsidR="0061136A" w:rsidRPr="0061136A" w:rsidRDefault="0061136A" w:rsidP="00D04980">
            <w:pPr>
              <w:pStyle w:val="Tabletext0"/>
              <w:tabs>
                <w:tab w:val="decimal" w:pos="539"/>
              </w:tabs>
            </w:pPr>
            <w:r w:rsidRPr="0061136A">
              <w:t>3.5</w:t>
            </w:r>
          </w:p>
        </w:tc>
        <w:tc>
          <w:tcPr>
            <w:tcW w:w="1158" w:type="dxa"/>
            <w:tcBorders>
              <w:top w:val="single" w:sz="4" w:space="0" w:color="auto"/>
            </w:tcBorders>
          </w:tcPr>
          <w:p w:rsidR="0061136A" w:rsidRPr="0061136A" w:rsidRDefault="0061136A" w:rsidP="00D04980">
            <w:pPr>
              <w:pStyle w:val="Tabletext0"/>
              <w:tabs>
                <w:tab w:val="decimal" w:pos="539"/>
              </w:tabs>
            </w:pPr>
            <w:r w:rsidRPr="0061136A">
              <w:t>3.5</w:t>
            </w:r>
          </w:p>
        </w:tc>
        <w:tc>
          <w:tcPr>
            <w:tcW w:w="1157" w:type="dxa"/>
            <w:tcBorders>
              <w:top w:val="single" w:sz="4" w:space="0" w:color="auto"/>
            </w:tcBorders>
          </w:tcPr>
          <w:p w:rsidR="0061136A" w:rsidRPr="0061136A" w:rsidRDefault="0061136A" w:rsidP="00D04980">
            <w:pPr>
              <w:pStyle w:val="Tabletext0"/>
              <w:tabs>
                <w:tab w:val="decimal" w:pos="539"/>
              </w:tabs>
            </w:pPr>
            <w:r w:rsidRPr="0061136A">
              <w:t>1</w:t>
            </w:r>
          </w:p>
        </w:tc>
        <w:tc>
          <w:tcPr>
            <w:tcW w:w="1158" w:type="dxa"/>
            <w:tcBorders>
              <w:top w:val="single" w:sz="4" w:space="0" w:color="auto"/>
            </w:tcBorders>
          </w:tcPr>
          <w:p w:rsidR="0061136A" w:rsidRPr="0061136A" w:rsidRDefault="0061136A" w:rsidP="00D04980">
            <w:pPr>
              <w:pStyle w:val="Tabletext0"/>
              <w:tabs>
                <w:tab w:val="decimal" w:pos="539"/>
              </w:tabs>
            </w:pPr>
            <w:r w:rsidRPr="0061136A">
              <w:t>2</w:t>
            </w:r>
          </w:p>
        </w:tc>
      </w:tr>
      <w:tr w:rsidR="0061136A" w:rsidRPr="0061136A" w:rsidTr="00D04980">
        <w:tc>
          <w:tcPr>
            <w:tcW w:w="1560" w:type="dxa"/>
          </w:tcPr>
          <w:p w:rsidR="0061136A" w:rsidRPr="0061136A" w:rsidRDefault="0061136A" w:rsidP="0061136A">
            <w:pPr>
              <w:pStyle w:val="Tabletext0"/>
            </w:pPr>
            <w:r w:rsidRPr="0061136A">
              <w:t>Full-time activity</w:t>
            </w:r>
          </w:p>
        </w:tc>
        <w:tc>
          <w:tcPr>
            <w:tcW w:w="1157" w:type="dxa"/>
          </w:tcPr>
          <w:p w:rsidR="0061136A" w:rsidRPr="0061136A" w:rsidRDefault="0061136A" w:rsidP="00D04980">
            <w:pPr>
              <w:pStyle w:val="Tabletext0"/>
              <w:tabs>
                <w:tab w:val="decimal" w:pos="539"/>
              </w:tabs>
            </w:pPr>
            <w:r w:rsidRPr="0061136A">
              <w:t>5</w:t>
            </w:r>
          </w:p>
        </w:tc>
        <w:tc>
          <w:tcPr>
            <w:tcW w:w="1158" w:type="dxa"/>
          </w:tcPr>
          <w:p w:rsidR="0061136A" w:rsidRPr="0061136A" w:rsidRDefault="0061136A" w:rsidP="00D04980">
            <w:pPr>
              <w:pStyle w:val="Tabletext0"/>
              <w:tabs>
                <w:tab w:val="decimal" w:pos="539"/>
              </w:tabs>
            </w:pPr>
            <w:r w:rsidRPr="0061136A">
              <w:t>6</w:t>
            </w:r>
          </w:p>
        </w:tc>
        <w:tc>
          <w:tcPr>
            <w:tcW w:w="1157" w:type="dxa"/>
          </w:tcPr>
          <w:p w:rsidR="0061136A" w:rsidRPr="0061136A" w:rsidRDefault="0061136A" w:rsidP="00D04980">
            <w:pPr>
              <w:pStyle w:val="Tabletext0"/>
              <w:tabs>
                <w:tab w:val="decimal" w:pos="539"/>
              </w:tabs>
            </w:pPr>
            <w:r w:rsidRPr="0061136A">
              <w:t>4</w:t>
            </w:r>
          </w:p>
        </w:tc>
        <w:tc>
          <w:tcPr>
            <w:tcW w:w="1158" w:type="dxa"/>
          </w:tcPr>
          <w:p w:rsidR="0061136A" w:rsidRPr="0061136A" w:rsidRDefault="0061136A" w:rsidP="00D04980">
            <w:pPr>
              <w:pStyle w:val="Tabletext0"/>
              <w:tabs>
                <w:tab w:val="decimal" w:pos="539"/>
              </w:tabs>
            </w:pPr>
            <w:r w:rsidRPr="0061136A">
              <w:t>3</w:t>
            </w:r>
          </w:p>
        </w:tc>
        <w:tc>
          <w:tcPr>
            <w:tcW w:w="1157" w:type="dxa"/>
          </w:tcPr>
          <w:p w:rsidR="0061136A" w:rsidRPr="0061136A" w:rsidRDefault="0061136A" w:rsidP="00D04980">
            <w:pPr>
              <w:pStyle w:val="Tabletext0"/>
              <w:tabs>
                <w:tab w:val="decimal" w:pos="539"/>
              </w:tabs>
            </w:pPr>
            <w:r w:rsidRPr="0061136A">
              <w:t>1</w:t>
            </w:r>
          </w:p>
        </w:tc>
        <w:tc>
          <w:tcPr>
            <w:tcW w:w="1158" w:type="dxa"/>
          </w:tcPr>
          <w:p w:rsidR="0061136A" w:rsidRPr="0061136A" w:rsidRDefault="0061136A" w:rsidP="00D04980">
            <w:pPr>
              <w:pStyle w:val="Tabletext0"/>
              <w:tabs>
                <w:tab w:val="decimal" w:pos="539"/>
              </w:tabs>
            </w:pPr>
            <w:r w:rsidRPr="0061136A">
              <w:t>2</w:t>
            </w:r>
          </w:p>
        </w:tc>
      </w:tr>
      <w:tr w:rsidR="0061136A" w:rsidRPr="0061136A" w:rsidTr="00D04980">
        <w:tc>
          <w:tcPr>
            <w:tcW w:w="1560" w:type="dxa"/>
          </w:tcPr>
          <w:p w:rsidR="0061136A" w:rsidRPr="0061136A" w:rsidRDefault="0061136A" w:rsidP="0061136A">
            <w:pPr>
              <w:pStyle w:val="Tabletext0"/>
            </w:pPr>
            <w:r w:rsidRPr="0061136A">
              <w:t>Time in unemployment</w:t>
            </w:r>
          </w:p>
        </w:tc>
        <w:tc>
          <w:tcPr>
            <w:tcW w:w="1157" w:type="dxa"/>
          </w:tcPr>
          <w:p w:rsidR="0061136A" w:rsidRPr="0061136A" w:rsidRDefault="0061136A" w:rsidP="00D04980">
            <w:pPr>
              <w:pStyle w:val="Tabletext0"/>
              <w:tabs>
                <w:tab w:val="decimal" w:pos="539"/>
              </w:tabs>
            </w:pPr>
            <w:r w:rsidRPr="0061136A">
              <w:t>5</w:t>
            </w:r>
          </w:p>
        </w:tc>
        <w:tc>
          <w:tcPr>
            <w:tcW w:w="1158" w:type="dxa"/>
          </w:tcPr>
          <w:p w:rsidR="0061136A" w:rsidRPr="0061136A" w:rsidRDefault="0061136A" w:rsidP="00D04980">
            <w:pPr>
              <w:pStyle w:val="Tabletext0"/>
              <w:tabs>
                <w:tab w:val="decimal" w:pos="539"/>
              </w:tabs>
            </w:pPr>
            <w:r w:rsidRPr="0061136A">
              <w:t>4</w:t>
            </w:r>
          </w:p>
        </w:tc>
        <w:tc>
          <w:tcPr>
            <w:tcW w:w="1157" w:type="dxa"/>
          </w:tcPr>
          <w:p w:rsidR="0061136A" w:rsidRPr="0061136A" w:rsidRDefault="0061136A" w:rsidP="00D04980">
            <w:pPr>
              <w:pStyle w:val="Tabletext0"/>
              <w:tabs>
                <w:tab w:val="decimal" w:pos="539"/>
              </w:tabs>
            </w:pPr>
            <w:r w:rsidRPr="0061136A">
              <w:t>6</w:t>
            </w:r>
          </w:p>
        </w:tc>
        <w:tc>
          <w:tcPr>
            <w:tcW w:w="1158" w:type="dxa"/>
          </w:tcPr>
          <w:p w:rsidR="0061136A" w:rsidRPr="0061136A" w:rsidRDefault="0061136A" w:rsidP="00D04980">
            <w:pPr>
              <w:pStyle w:val="Tabletext0"/>
              <w:tabs>
                <w:tab w:val="decimal" w:pos="539"/>
              </w:tabs>
            </w:pPr>
            <w:r w:rsidRPr="0061136A">
              <w:t>3</w:t>
            </w:r>
          </w:p>
        </w:tc>
        <w:tc>
          <w:tcPr>
            <w:tcW w:w="1157" w:type="dxa"/>
          </w:tcPr>
          <w:p w:rsidR="0061136A" w:rsidRPr="0061136A" w:rsidRDefault="0061136A" w:rsidP="00D04980">
            <w:pPr>
              <w:pStyle w:val="Tabletext0"/>
              <w:tabs>
                <w:tab w:val="decimal" w:pos="539"/>
              </w:tabs>
            </w:pPr>
            <w:r w:rsidRPr="0061136A">
              <w:t>2</w:t>
            </w:r>
          </w:p>
        </w:tc>
        <w:tc>
          <w:tcPr>
            <w:tcW w:w="1158" w:type="dxa"/>
          </w:tcPr>
          <w:p w:rsidR="0061136A" w:rsidRPr="0061136A" w:rsidRDefault="0061136A" w:rsidP="00D04980">
            <w:pPr>
              <w:pStyle w:val="Tabletext0"/>
              <w:tabs>
                <w:tab w:val="decimal" w:pos="539"/>
              </w:tabs>
            </w:pPr>
            <w:r w:rsidRPr="0061136A">
              <w:t>1</w:t>
            </w:r>
          </w:p>
        </w:tc>
      </w:tr>
      <w:tr w:rsidR="0061136A" w:rsidRPr="0061136A" w:rsidTr="00D04980">
        <w:tc>
          <w:tcPr>
            <w:tcW w:w="1560" w:type="dxa"/>
          </w:tcPr>
          <w:p w:rsidR="0061136A" w:rsidRPr="0061136A" w:rsidRDefault="0061136A" w:rsidP="0061136A">
            <w:pPr>
              <w:pStyle w:val="Tabletext0"/>
            </w:pPr>
            <w:r w:rsidRPr="0061136A">
              <w:t>Weekly earnings</w:t>
            </w:r>
          </w:p>
        </w:tc>
        <w:tc>
          <w:tcPr>
            <w:tcW w:w="1157" w:type="dxa"/>
          </w:tcPr>
          <w:p w:rsidR="0061136A" w:rsidRPr="0061136A" w:rsidRDefault="0061136A" w:rsidP="00D04980">
            <w:pPr>
              <w:pStyle w:val="Tabletext0"/>
              <w:tabs>
                <w:tab w:val="decimal" w:pos="539"/>
              </w:tabs>
            </w:pPr>
            <w:r w:rsidRPr="0061136A">
              <w:t>5</w:t>
            </w:r>
          </w:p>
        </w:tc>
        <w:tc>
          <w:tcPr>
            <w:tcW w:w="1158" w:type="dxa"/>
          </w:tcPr>
          <w:p w:rsidR="0061136A" w:rsidRPr="0061136A" w:rsidRDefault="0061136A" w:rsidP="00D04980">
            <w:pPr>
              <w:pStyle w:val="Tabletext0"/>
              <w:tabs>
                <w:tab w:val="decimal" w:pos="539"/>
              </w:tabs>
            </w:pPr>
            <w:r w:rsidRPr="0061136A">
              <w:t>6</w:t>
            </w:r>
          </w:p>
        </w:tc>
        <w:tc>
          <w:tcPr>
            <w:tcW w:w="1157" w:type="dxa"/>
          </w:tcPr>
          <w:p w:rsidR="0061136A" w:rsidRPr="0061136A" w:rsidRDefault="0061136A" w:rsidP="00D04980">
            <w:pPr>
              <w:pStyle w:val="Tabletext0"/>
              <w:tabs>
                <w:tab w:val="decimal" w:pos="539"/>
              </w:tabs>
            </w:pPr>
            <w:r w:rsidRPr="0061136A">
              <w:t>4</w:t>
            </w:r>
          </w:p>
        </w:tc>
        <w:tc>
          <w:tcPr>
            <w:tcW w:w="1158" w:type="dxa"/>
          </w:tcPr>
          <w:p w:rsidR="0061136A" w:rsidRPr="0061136A" w:rsidRDefault="0061136A" w:rsidP="00D04980">
            <w:pPr>
              <w:pStyle w:val="Tabletext0"/>
              <w:tabs>
                <w:tab w:val="decimal" w:pos="539"/>
              </w:tabs>
            </w:pPr>
            <w:r w:rsidRPr="0061136A">
              <w:t>3</w:t>
            </w:r>
          </w:p>
        </w:tc>
        <w:tc>
          <w:tcPr>
            <w:tcW w:w="1157" w:type="dxa"/>
          </w:tcPr>
          <w:p w:rsidR="0061136A" w:rsidRPr="0061136A" w:rsidRDefault="0061136A" w:rsidP="00D04980">
            <w:pPr>
              <w:pStyle w:val="Tabletext0"/>
              <w:tabs>
                <w:tab w:val="decimal" w:pos="539"/>
              </w:tabs>
            </w:pPr>
            <w:r w:rsidRPr="0061136A">
              <w:t>2</w:t>
            </w:r>
          </w:p>
        </w:tc>
        <w:tc>
          <w:tcPr>
            <w:tcW w:w="1158" w:type="dxa"/>
          </w:tcPr>
          <w:p w:rsidR="0061136A" w:rsidRPr="0061136A" w:rsidRDefault="0061136A" w:rsidP="00D04980">
            <w:pPr>
              <w:pStyle w:val="Tabletext0"/>
              <w:tabs>
                <w:tab w:val="decimal" w:pos="539"/>
              </w:tabs>
            </w:pPr>
            <w:r w:rsidRPr="0061136A">
              <w:t>1</w:t>
            </w:r>
          </w:p>
        </w:tc>
      </w:tr>
      <w:tr w:rsidR="0061136A" w:rsidRPr="0061136A" w:rsidTr="00D04980">
        <w:tc>
          <w:tcPr>
            <w:tcW w:w="1560" w:type="dxa"/>
          </w:tcPr>
          <w:p w:rsidR="0061136A" w:rsidRPr="0061136A" w:rsidRDefault="0061136A" w:rsidP="0061136A">
            <w:pPr>
              <w:pStyle w:val="Tabletext0"/>
            </w:pPr>
            <w:r w:rsidRPr="0061136A">
              <w:t>Weekly earnings for those employed FT</w:t>
            </w:r>
          </w:p>
        </w:tc>
        <w:tc>
          <w:tcPr>
            <w:tcW w:w="1157" w:type="dxa"/>
          </w:tcPr>
          <w:p w:rsidR="0061136A" w:rsidRPr="0061136A" w:rsidRDefault="0061136A" w:rsidP="00D04980">
            <w:pPr>
              <w:pStyle w:val="Tabletext0"/>
              <w:tabs>
                <w:tab w:val="decimal" w:pos="539"/>
              </w:tabs>
            </w:pPr>
            <w:r w:rsidRPr="0061136A">
              <w:t>3</w:t>
            </w:r>
          </w:p>
        </w:tc>
        <w:tc>
          <w:tcPr>
            <w:tcW w:w="1158" w:type="dxa"/>
          </w:tcPr>
          <w:p w:rsidR="0061136A" w:rsidRPr="0061136A" w:rsidRDefault="0061136A" w:rsidP="00D04980">
            <w:pPr>
              <w:pStyle w:val="Tabletext0"/>
              <w:tabs>
                <w:tab w:val="decimal" w:pos="539"/>
              </w:tabs>
            </w:pPr>
            <w:r w:rsidRPr="0061136A">
              <w:t>6</w:t>
            </w:r>
          </w:p>
        </w:tc>
        <w:tc>
          <w:tcPr>
            <w:tcW w:w="1157" w:type="dxa"/>
          </w:tcPr>
          <w:p w:rsidR="0061136A" w:rsidRPr="0061136A" w:rsidRDefault="0061136A" w:rsidP="00D04980">
            <w:pPr>
              <w:pStyle w:val="Tabletext0"/>
              <w:tabs>
                <w:tab w:val="decimal" w:pos="539"/>
              </w:tabs>
            </w:pPr>
            <w:r w:rsidRPr="0061136A">
              <w:t>4.5</w:t>
            </w:r>
          </w:p>
        </w:tc>
        <w:tc>
          <w:tcPr>
            <w:tcW w:w="1158" w:type="dxa"/>
          </w:tcPr>
          <w:p w:rsidR="0061136A" w:rsidRPr="0061136A" w:rsidRDefault="0061136A" w:rsidP="00D04980">
            <w:pPr>
              <w:pStyle w:val="Tabletext0"/>
              <w:tabs>
                <w:tab w:val="decimal" w:pos="539"/>
              </w:tabs>
            </w:pPr>
            <w:r w:rsidRPr="0061136A">
              <w:t>2</w:t>
            </w:r>
          </w:p>
        </w:tc>
        <w:tc>
          <w:tcPr>
            <w:tcW w:w="1157" w:type="dxa"/>
          </w:tcPr>
          <w:p w:rsidR="0061136A" w:rsidRPr="0061136A" w:rsidRDefault="0061136A" w:rsidP="00D04980">
            <w:pPr>
              <w:pStyle w:val="Tabletext0"/>
              <w:tabs>
                <w:tab w:val="decimal" w:pos="539"/>
              </w:tabs>
            </w:pPr>
            <w:r w:rsidRPr="0061136A">
              <w:t>4.5</w:t>
            </w:r>
          </w:p>
        </w:tc>
        <w:tc>
          <w:tcPr>
            <w:tcW w:w="1158" w:type="dxa"/>
          </w:tcPr>
          <w:p w:rsidR="0061136A" w:rsidRPr="0061136A" w:rsidRDefault="0061136A" w:rsidP="00D04980">
            <w:pPr>
              <w:pStyle w:val="Tabletext0"/>
              <w:tabs>
                <w:tab w:val="decimal" w:pos="539"/>
              </w:tabs>
            </w:pPr>
            <w:r w:rsidRPr="0061136A">
              <w:t>1</w:t>
            </w:r>
          </w:p>
        </w:tc>
      </w:tr>
      <w:tr w:rsidR="0061136A" w:rsidRPr="0061136A" w:rsidTr="00D04980">
        <w:tc>
          <w:tcPr>
            <w:tcW w:w="1560" w:type="dxa"/>
          </w:tcPr>
          <w:p w:rsidR="0061136A" w:rsidRPr="0061136A" w:rsidRDefault="0061136A" w:rsidP="0061136A">
            <w:pPr>
              <w:pStyle w:val="Tabletext0"/>
            </w:pPr>
            <w:r w:rsidRPr="0061136A">
              <w:t>Hourly wages</w:t>
            </w:r>
          </w:p>
        </w:tc>
        <w:tc>
          <w:tcPr>
            <w:tcW w:w="1157" w:type="dxa"/>
          </w:tcPr>
          <w:p w:rsidR="0061136A" w:rsidRPr="0061136A" w:rsidRDefault="0061136A" w:rsidP="00D04980">
            <w:pPr>
              <w:pStyle w:val="Tabletext0"/>
              <w:tabs>
                <w:tab w:val="decimal" w:pos="539"/>
              </w:tabs>
            </w:pPr>
            <w:r w:rsidRPr="0061136A">
              <w:t>4</w:t>
            </w:r>
          </w:p>
        </w:tc>
        <w:tc>
          <w:tcPr>
            <w:tcW w:w="1158" w:type="dxa"/>
          </w:tcPr>
          <w:p w:rsidR="0061136A" w:rsidRPr="0061136A" w:rsidRDefault="0061136A" w:rsidP="00D04980">
            <w:pPr>
              <w:pStyle w:val="Tabletext0"/>
              <w:tabs>
                <w:tab w:val="decimal" w:pos="539"/>
              </w:tabs>
            </w:pPr>
            <w:r w:rsidRPr="0061136A">
              <w:t>6</w:t>
            </w:r>
          </w:p>
        </w:tc>
        <w:tc>
          <w:tcPr>
            <w:tcW w:w="1157" w:type="dxa"/>
          </w:tcPr>
          <w:p w:rsidR="0061136A" w:rsidRPr="0061136A" w:rsidRDefault="0061136A" w:rsidP="00D04980">
            <w:pPr>
              <w:pStyle w:val="Tabletext0"/>
              <w:tabs>
                <w:tab w:val="decimal" w:pos="539"/>
              </w:tabs>
            </w:pPr>
            <w:r w:rsidRPr="0061136A">
              <w:t>3</w:t>
            </w:r>
          </w:p>
        </w:tc>
        <w:tc>
          <w:tcPr>
            <w:tcW w:w="1158" w:type="dxa"/>
          </w:tcPr>
          <w:p w:rsidR="0061136A" w:rsidRPr="0061136A" w:rsidRDefault="0061136A" w:rsidP="00D04980">
            <w:pPr>
              <w:pStyle w:val="Tabletext0"/>
              <w:tabs>
                <w:tab w:val="decimal" w:pos="539"/>
              </w:tabs>
            </w:pPr>
            <w:r w:rsidRPr="0061136A">
              <w:t>2</w:t>
            </w:r>
          </w:p>
        </w:tc>
        <w:tc>
          <w:tcPr>
            <w:tcW w:w="1157" w:type="dxa"/>
          </w:tcPr>
          <w:p w:rsidR="0061136A" w:rsidRPr="0061136A" w:rsidRDefault="0061136A" w:rsidP="00D04980">
            <w:pPr>
              <w:pStyle w:val="Tabletext0"/>
              <w:tabs>
                <w:tab w:val="decimal" w:pos="539"/>
              </w:tabs>
            </w:pPr>
            <w:r w:rsidRPr="0061136A">
              <w:t>5</w:t>
            </w:r>
          </w:p>
        </w:tc>
        <w:tc>
          <w:tcPr>
            <w:tcW w:w="1158" w:type="dxa"/>
          </w:tcPr>
          <w:p w:rsidR="0061136A" w:rsidRPr="0061136A" w:rsidRDefault="0061136A" w:rsidP="00D04980">
            <w:pPr>
              <w:pStyle w:val="Tabletext0"/>
              <w:tabs>
                <w:tab w:val="decimal" w:pos="539"/>
              </w:tabs>
            </w:pPr>
            <w:r w:rsidRPr="0061136A">
              <w:t>1</w:t>
            </w:r>
          </w:p>
        </w:tc>
      </w:tr>
      <w:tr w:rsidR="0061136A" w:rsidRPr="0061136A" w:rsidTr="00D04980">
        <w:tc>
          <w:tcPr>
            <w:tcW w:w="1560" w:type="dxa"/>
          </w:tcPr>
          <w:p w:rsidR="0061136A" w:rsidRPr="0061136A" w:rsidRDefault="0061136A" w:rsidP="0061136A">
            <w:pPr>
              <w:pStyle w:val="Tabletext0"/>
            </w:pPr>
            <w:r w:rsidRPr="0061136A">
              <w:t>Occupation</w:t>
            </w:r>
          </w:p>
        </w:tc>
        <w:tc>
          <w:tcPr>
            <w:tcW w:w="1157" w:type="dxa"/>
          </w:tcPr>
          <w:p w:rsidR="0061136A" w:rsidRPr="0061136A" w:rsidRDefault="0061136A" w:rsidP="00D04980">
            <w:pPr>
              <w:pStyle w:val="Tabletext0"/>
              <w:tabs>
                <w:tab w:val="decimal" w:pos="539"/>
              </w:tabs>
            </w:pPr>
            <w:r w:rsidRPr="0061136A">
              <w:t>3</w:t>
            </w:r>
          </w:p>
        </w:tc>
        <w:tc>
          <w:tcPr>
            <w:tcW w:w="1158" w:type="dxa"/>
          </w:tcPr>
          <w:p w:rsidR="0061136A" w:rsidRPr="0061136A" w:rsidRDefault="0061136A" w:rsidP="00D04980">
            <w:pPr>
              <w:pStyle w:val="Tabletext0"/>
              <w:tabs>
                <w:tab w:val="decimal" w:pos="539"/>
              </w:tabs>
            </w:pPr>
            <w:r w:rsidRPr="0061136A">
              <w:t>6</w:t>
            </w:r>
          </w:p>
        </w:tc>
        <w:tc>
          <w:tcPr>
            <w:tcW w:w="1157" w:type="dxa"/>
          </w:tcPr>
          <w:p w:rsidR="0061136A" w:rsidRPr="0061136A" w:rsidRDefault="0061136A" w:rsidP="00D04980">
            <w:pPr>
              <w:pStyle w:val="Tabletext0"/>
              <w:tabs>
                <w:tab w:val="decimal" w:pos="539"/>
              </w:tabs>
            </w:pPr>
            <w:r w:rsidRPr="0061136A">
              <w:t>4</w:t>
            </w:r>
          </w:p>
        </w:tc>
        <w:tc>
          <w:tcPr>
            <w:tcW w:w="1158" w:type="dxa"/>
          </w:tcPr>
          <w:p w:rsidR="0061136A" w:rsidRPr="0061136A" w:rsidRDefault="0061136A" w:rsidP="00D04980">
            <w:pPr>
              <w:pStyle w:val="Tabletext0"/>
              <w:tabs>
                <w:tab w:val="decimal" w:pos="539"/>
              </w:tabs>
            </w:pPr>
            <w:r w:rsidRPr="0061136A">
              <w:t>5</w:t>
            </w:r>
          </w:p>
        </w:tc>
        <w:tc>
          <w:tcPr>
            <w:tcW w:w="1157" w:type="dxa"/>
          </w:tcPr>
          <w:p w:rsidR="0061136A" w:rsidRPr="0061136A" w:rsidRDefault="0061136A" w:rsidP="00D04980">
            <w:pPr>
              <w:pStyle w:val="Tabletext0"/>
              <w:tabs>
                <w:tab w:val="decimal" w:pos="539"/>
              </w:tabs>
            </w:pPr>
            <w:r w:rsidRPr="0061136A">
              <w:t>2</w:t>
            </w:r>
          </w:p>
        </w:tc>
        <w:tc>
          <w:tcPr>
            <w:tcW w:w="1158" w:type="dxa"/>
          </w:tcPr>
          <w:p w:rsidR="0061136A" w:rsidRPr="0061136A" w:rsidRDefault="0061136A" w:rsidP="00D04980">
            <w:pPr>
              <w:pStyle w:val="Tabletext0"/>
              <w:tabs>
                <w:tab w:val="decimal" w:pos="539"/>
              </w:tabs>
            </w:pPr>
            <w:r w:rsidRPr="0061136A">
              <w:t>1</w:t>
            </w:r>
          </w:p>
        </w:tc>
      </w:tr>
      <w:tr w:rsidR="0061136A" w:rsidRPr="00D04980" w:rsidTr="00D04980">
        <w:tc>
          <w:tcPr>
            <w:tcW w:w="1560" w:type="dxa"/>
          </w:tcPr>
          <w:p w:rsidR="0061136A" w:rsidRPr="00D04980" w:rsidRDefault="0061136A" w:rsidP="00D04980">
            <w:pPr>
              <w:pStyle w:val="Tabletext0"/>
              <w:spacing w:after="40"/>
              <w:rPr>
                <w:b/>
              </w:rPr>
            </w:pPr>
            <w:r w:rsidRPr="00D04980">
              <w:rPr>
                <w:b/>
              </w:rPr>
              <w:t>Average rank</w:t>
            </w:r>
          </w:p>
        </w:tc>
        <w:tc>
          <w:tcPr>
            <w:tcW w:w="1157" w:type="dxa"/>
          </w:tcPr>
          <w:p w:rsidR="0061136A" w:rsidRPr="00D04980" w:rsidRDefault="0061136A" w:rsidP="00D04980">
            <w:pPr>
              <w:pStyle w:val="Tabletext0"/>
              <w:tabs>
                <w:tab w:val="decimal" w:pos="539"/>
              </w:tabs>
              <w:spacing w:after="40"/>
              <w:rPr>
                <w:b/>
              </w:rPr>
            </w:pPr>
            <w:r w:rsidRPr="00D04980">
              <w:rPr>
                <w:b/>
              </w:rPr>
              <w:t>4.3</w:t>
            </w:r>
          </w:p>
        </w:tc>
        <w:tc>
          <w:tcPr>
            <w:tcW w:w="1158" w:type="dxa"/>
          </w:tcPr>
          <w:p w:rsidR="0061136A" w:rsidRPr="00D04980" w:rsidRDefault="0061136A" w:rsidP="00D04980">
            <w:pPr>
              <w:pStyle w:val="Tabletext0"/>
              <w:tabs>
                <w:tab w:val="decimal" w:pos="539"/>
              </w:tabs>
              <w:spacing w:after="40"/>
              <w:rPr>
                <w:b/>
              </w:rPr>
            </w:pPr>
            <w:r w:rsidRPr="00D04980">
              <w:rPr>
                <w:b/>
              </w:rPr>
              <w:t>5.7</w:t>
            </w:r>
          </w:p>
        </w:tc>
        <w:tc>
          <w:tcPr>
            <w:tcW w:w="1157" w:type="dxa"/>
          </w:tcPr>
          <w:p w:rsidR="0061136A" w:rsidRPr="00D04980" w:rsidRDefault="0061136A" w:rsidP="00D04980">
            <w:pPr>
              <w:pStyle w:val="Tabletext0"/>
              <w:tabs>
                <w:tab w:val="decimal" w:pos="539"/>
              </w:tabs>
              <w:spacing w:after="40"/>
              <w:rPr>
                <w:b/>
              </w:rPr>
            </w:pPr>
            <w:r w:rsidRPr="00D04980">
              <w:rPr>
                <w:b/>
              </w:rPr>
              <w:t>4.1</w:t>
            </w:r>
          </w:p>
        </w:tc>
        <w:tc>
          <w:tcPr>
            <w:tcW w:w="1158" w:type="dxa"/>
          </w:tcPr>
          <w:p w:rsidR="0061136A" w:rsidRPr="00D04980" w:rsidRDefault="0061136A" w:rsidP="00D04980">
            <w:pPr>
              <w:pStyle w:val="Tabletext0"/>
              <w:tabs>
                <w:tab w:val="decimal" w:pos="539"/>
              </w:tabs>
              <w:spacing w:after="40"/>
              <w:rPr>
                <w:b/>
              </w:rPr>
            </w:pPr>
            <w:r w:rsidRPr="00D04980">
              <w:rPr>
                <w:b/>
              </w:rPr>
              <w:t>3.1</w:t>
            </w:r>
          </w:p>
        </w:tc>
        <w:tc>
          <w:tcPr>
            <w:tcW w:w="1157" w:type="dxa"/>
          </w:tcPr>
          <w:p w:rsidR="0061136A" w:rsidRPr="00D04980" w:rsidRDefault="0061136A" w:rsidP="00D04980">
            <w:pPr>
              <w:pStyle w:val="Tabletext0"/>
              <w:tabs>
                <w:tab w:val="decimal" w:pos="539"/>
              </w:tabs>
              <w:spacing w:after="40"/>
              <w:rPr>
                <w:b/>
              </w:rPr>
            </w:pPr>
            <w:r w:rsidRPr="00D04980">
              <w:rPr>
                <w:b/>
              </w:rPr>
              <w:t>2.5</w:t>
            </w:r>
          </w:p>
        </w:tc>
        <w:tc>
          <w:tcPr>
            <w:tcW w:w="1158" w:type="dxa"/>
          </w:tcPr>
          <w:p w:rsidR="0061136A" w:rsidRPr="00D04980" w:rsidRDefault="0061136A" w:rsidP="00D04980">
            <w:pPr>
              <w:pStyle w:val="Tabletext0"/>
              <w:tabs>
                <w:tab w:val="decimal" w:pos="539"/>
              </w:tabs>
              <w:spacing w:after="40"/>
              <w:rPr>
                <w:b/>
              </w:rPr>
            </w:pPr>
            <w:r w:rsidRPr="00D04980">
              <w:rPr>
                <w:b/>
              </w:rPr>
              <w:t>1.3</w:t>
            </w:r>
          </w:p>
        </w:tc>
      </w:tr>
    </w:tbl>
    <w:p w:rsidR="00F456BA" w:rsidRDefault="00F456BA" w:rsidP="00F456BA">
      <w:pPr>
        <w:pStyle w:val="text"/>
        <w:rPr>
          <w:spacing w:val="-3"/>
        </w:rPr>
      </w:pPr>
    </w:p>
    <w:p w:rsidR="00035C23" w:rsidRPr="00035C23" w:rsidRDefault="00487B87" w:rsidP="009B1FEF">
      <w:pPr>
        <w:pStyle w:val="Imprint"/>
        <w:spacing w:before="4800"/>
        <w:ind w:right="1985"/>
        <w:rPr>
          <w:szCs w:val="17"/>
        </w:rPr>
      </w:pPr>
      <w:r>
        <w:rPr>
          <w:b/>
          <w:noProof/>
          <w:szCs w:val="17"/>
        </w:rPr>
        <w:drawing>
          <wp:anchor distT="0" distB="0" distL="114300" distR="114300" simplePos="0" relativeHeight="251663360" behindDoc="0" locked="0" layoutInCell="1" allowOverlap="1">
            <wp:simplePos x="0" y="0"/>
            <wp:positionH relativeFrom="column">
              <wp:posOffset>1218746</wp:posOffset>
            </wp:positionH>
            <wp:positionV relativeFrom="paragraph">
              <wp:posOffset>2106386</wp:posOffset>
            </wp:positionV>
            <wp:extent cx="2560864" cy="653143"/>
            <wp:effectExtent l="19050" t="0" r="0" b="0"/>
            <wp:wrapNone/>
            <wp:docPr id="7" name="Picture 4" descr="G:\pub_prod\PublicationComponents\logos\DEEWR\new logos sent Apr 08\DEEWR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ub_prod\PublicationComponents\logos\DEEWR\new logos sent Apr 08\DEEWR_Inline.jpg"/>
                    <pic:cNvPicPr>
                      <a:picLocks noChangeAspect="1" noChangeArrowheads="1"/>
                    </pic:cNvPicPr>
                  </pic:nvPicPr>
                  <pic:blipFill>
                    <a:blip r:embed="rId8" cstate="print"/>
                    <a:srcRect/>
                    <a:stretch>
                      <a:fillRect/>
                    </a:stretch>
                  </pic:blipFill>
                  <pic:spPr bwMode="auto">
                    <a:xfrm>
                      <a:off x="0" y="0"/>
                      <a:ext cx="2560864" cy="653143"/>
                    </a:xfrm>
                    <a:prstGeom prst="rect">
                      <a:avLst/>
                    </a:prstGeom>
                    <a:noFill/>
                    <a:ln w="9525">
                      <a:noFill/>
                      <a:miter lim="800000"/>
                      <a:headEnd/>
                      <a:tailEnd/>
                    </a:ln>
                  </pic:spPr>
                </pic:pic>
              </a:graphicData>
            </a:graphic>
          </wp:anchor>
        </w:drawing>
      </w:r>
      <w:r>
        <w:rPr>
          <w:b/>
          <w:noProof/>
          <w:szCs w:val="17"/>
        </w:rPr>
        <w:drawing>
          <wp:anchor distT="0" distB="0" distL="114300" distR="114300" simplePos="0" relativeHeight="251664384" behindDoc="0" locked="0" layoutInCell="1" allowOverlap="1">
            <wp:simplePos x="0" y="0"/>
            <wp:positionH relativeFrom="column">
              <wp:posOffset>3896632</wp:posOffset>
            </wp:positionH>
            <wp:positionV relativeFrom="paragraph">
              <wp:posOffset>2356757</wp:posOffset>
            </wp:positionV>
            <wp:extent cx="1472293" cy="326572"/>
            <wp:effectExtent l="19050" t="0" r="0" b="0"/>
            <wp:wrapNone/>
            <wp:docPr id="9" name="Picture 6" descr="G:\pub_prod\PublicationComponents\logos\NCVER LOGOS\JPEG\ncver right tab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ub_prod\PublicationComponents\logos\NCVER LOGOS\JPEG\ncver right tab_mono.jpg"/>
                    <pic:cNvPicPr>
                      <a:picLocks noChangeAspect="1" noChangeArrowheads="1"/>
                    </pic:cNvPicPr>
                  </pic:nvPicPr>
                  <pic:blipFill>
                    <a:blip r:embed="rId9" cstate="print"/>
                    <a:srcRect/>
                    <a:stretch>
                      <a:fillRect/>
                    </a:stretch>
                  </pic:blipFill>
                  <pic:spPr bwMode="auto">
                    <a:xfrm>
                      <a:off x="0" y="0"/>
                      <a:ext cx="1472293" cy="326572"/>
                    </a:xfrm>
                    <a:prstGeom prst="rect">
                      <a:avLst/>
                    </a:prstGeom>
                    <a:noFill/>
                    <a:ln w="9525">
                      <a:noFill/>
                      <a:miter lim="800000"/>
                      <a:headEnd/>
                      <a:tailEnd/>
                    </a:ln>
                  </pic:spPr>
                </pic:pic>
              </a:graphicData>
            </a:graphic>
          </wp:anchor>
        </w:drawing>
      </w:r>
      <w:r w:rsidR="009B1FEF">
        <w:rPr>
          <w:b/>
          <w:noProof/>
          <w:szCs w:val="17"/>
        </w:rPr>
        <w:drawing>
          <wp:anchor distT="0" distB="0" distL="114300" distR="114300" simplePos="0" relativeHeight="251662336" behindDoc="0" locked="0" layoutInCell="1" allowOverlap="1">
            <wp:simplePos x="0" y="0"/>
            <wp:positionH relativeFrom="column">
              <wp:posOffset>10160</wp:posOffset>
            </wp:positionH>
            <wp:positionV relativeFrom="paragraph">
              <wp:posOffset>2284730</wp:posOffset>
            </wp:positionV>
            <wp:extent cx="1167130" cy="393700"/>
            <wp:effectExtent l="19050" t="0" r="0" b="0"/>
            <wp:wrapNone/>
            <wp:docPr id="5" name="Picture 3" descr="G:\pub_prod\PublicationComponents\logos\LSAY\NCVER_DMS-#59082-v2-LSAY_logo_B&amp;W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ub_prod\PublicationComponents\logos\LSAY\NCVER_DMS-#59082-v2-LSAY_logo_B&amp;W_jpeg.JPG"/>
                    <pic:cNvPicPr>
                      <a:picLocks noChangeAspect="1" noChangeArrowheads="1"/>
                    </pic:cNvPicPr>
                  </pic:nvPicPr>
                  <pic:blipFill>
                    <a:blip r:embed="rId10" cstate="print"/>
                    <a:srcRect/>
                    <a:stretch>
                      <a:fillRect/>
                    </a:stretch>
                  </pic:blipFill>
                  <pic:spPr bwMode="auto">
                    <a:xfrm>
                      <a:off x="0" y="0"/>
                      <a:ext cx="1167130" cy="393700"/>
                    </a:xfrm>
                    <a:prstGeom prst="rect">
                      <a:avLst/>
                    </a:prstGeom>
                    <a:noFill/>
                    <a:ln w="9525">
                      <a:noFill/>
                      <a:miter lim="800000"/>
                      <a:headEnd/>
                      <a:tailEnd/>
                    </a:ln>
                  </pic:spPr>
                </pic:pic>
              </a:graphicData>
            </a:graphic>
          </wp:anchor>
        </w:drawing>
      </w:r>
      <w:r w:rsidR="00035C23" w:rsidRPr="00035C23">
        <w:rPr>
          <w:b/>
          <w:szCs w:val="17"/>
        </w:rPr>
        <w:t>© Commonwealth of Australia 2011</w:t>
      </w:r>
      <w:r w:rsidR="00035C23" w:rsidRPr="00035C23">
        <w:rPr>
          <w:szCs w:val="17"/>
        </w:rPr>
        <w:br/>
        <w:t>This work has been produced by the National Centre for Vocational Education Research (NCVER) through the Longitudinal Surveys of Australian Youth (LSAY) Program, on behalf of the Australian Government and state and territory governments, with funding provided through the Australian Department of Education, Employment and Workplace Relations.</w:t>
      </w:r>
    </w:p>
    <w:p w:rsidR="00035C23" w:rsidRPr="00035C23" w:rsidRDefault="00035C23" w:rsidP="00035C23">
      <w:pPr>
        <w:pStyle w:val="Imprint"/>
        <w:ind w:right="2124"/>
        <w:rPr>
          <w:szCs w:val="17"/>
        </w:rPr>
      </w:pPr>
      <w:r w:rsidRPr="00035C23">
        <w:rPr>
          <w:szCs w:val="17"/>
        </w:rPr>
        <w:t>The views and opinions expressed in this document are those of the author and do not necessarily reflect the views of the Australian Government or state and territory governments.</w:t>
      </w:r>
    </w:p>
    <w:p w:rsidR="00035C23" w:rsidRPr="00035C23" w:rsidRDefault="00035C23" w:rsidP="00035C23">
      <w:pPr>
        <w:pStyle w:val="Imprint"/>
        <w:ind w:right="1982"/>
        <w:rPr>
          <w:szCs w:val="17"/>
        </w:rPr>
      </w:pPr>
      <w:r w:rsidRPr="00035C23">
        <w:rPr>
          <w:szCs w:val="17"/>
        </w:rPr>
        <w:t xml:space="preserve">National Centre for Vocational Education Research Ltd  Level 11, 33 King William Street,  Adelaide SA; </w:t>
      </w:r>
      <w:r w:rsidRPr="00035C23">
        <w:rPr>
          <w:szCs w:val="17"/>
        </w:rPr>
        <w:br/>
        <w:t xml:space="preserve">PO Box 8288 Station Arcade, Adelaide SA 5000, Australia     </w:t>
      </w:r>
      <w:r>
        <w:rPr>
          <w:szCs w:val="17"/>
        </w:rPr>
        <w:br/>
      </w:r>
      <w:r w:rsidRPr="00035C23">
        <w:rPr>
          <w:szCs w:val="17"/>
        </w:rPr>
        <w:t>T +61 8 8230 8400   F +61 8 8212 3436   W www.ncver.edu.au   E ncver@ncver.edu.au</w:t>
      </w:r>
    </w:p>
    <w:p w:rsidR="00F456BA" w:rsidRPr="00035C23" w:rsidRDefault="00035C23" w:rsidP="00035C23">
      <w:pPr>
        <w:pStyle w:val="Imprint"/>
      </w:pPr>
      <w:r w:rsidRPr="00035C23">
        <w:rPr>
          <w:szCs w:val="17"/>
        </w:rPr>
        <w:t>TD/TNC 103.31</w:t>
      </w:r>
    </w:p>
    <w:sectPr w:rsidR="00F456BA" w:rsidRPr="00035C23" w:rsidSect="00A207BE">
      <w:footerReference w:type="even" r:id="rId11"/>
      <w:footerReference w:type="default" r:id="rId12"/>
      <w:pgSz w:w="11906" w:h="16838" w:code="9"/>
      <w:pgMar w:top="1418" w:right="1985" w:bottom="567"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FEF" w:rsidRDefault="009B1FEF" w:rsidP="00A207BE">
      <w:pPr>
        <w:spacing w:before="0"/>
      </w:pPr>
      <w:r>
        <w:separator/>
      </w:r>
    </w:p>
  </w:endnote>
  <w:endnote w:type="continuationSeparator" w:id="0">
    <w:p w:rsidR="009B1FEF" w:rsidRDefault="009B1FEF" w:rsidP="00A207B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Regular">
    <w:panose1 w:val="00000000000000000000"/>
    <w:charset w:val="00"/>
    <w:family w:val="auto"/>
    <w:notTrueType/>
    <w:pitch w:val="default"/>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GillSans Light">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EF" w:rsidRPr="00A207BE" w:rsidRDefault="009B1FEF" w:rsidP="009B1FEF">
    <w:pPr>
      <w:pStyle w:val="Footer"/>
      <w:spacing w:line="260" w:lineRule="exact"/>
    </w:pPr>
  </w:p>
  <w:p w:rsidR="009B1FEF" w:rsidRPr="00A207BE" w:rsidRDefault="00442D5B" w:rsidP="009B1FEF">
    <w:pPr>
      <w:pStyle w:val="Footer"/>
      <w:pBdr>
        <w:top w:val="single" w:sz="4" w:space="1" w:color="auto"/>
      </w:pBdr>
      <w:tabs>
        <w:tab w:val="clear" w:pos="4153"/>
        <w:tab w:val="clear" w:pos="8306"/>
        <w:tab w:val="right" w:pos="8505"/>
      </w:tabs>
      <w:spacing w:line="260" w:lineRule="exact"/>
    </w:pPr>
    <w:fldSimple w:instr=" PAGE   \* MERGEFORMAT ">
      <w:r w:rsidR="005730C3">
        <w:rPr>
          <w:noProof/>
        </w:rPr>
        <w:t>4</w:t>
      </w:r>
    </w:fldSimple>
    <w:r w:rsidR="009B1FEF">
      <w:tab/>
      <w:t>Year 12 completion and youth transitions: research overview</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EF" w:rsidRDefault="009B1FEF" w:rsidP="009B1FEF">
    <w:pPr>
      <w:pStyle w:val="Footer"/>
      <w:spacing w:line="260" w:lineRule="exact"/>
    </w:pPr>
  </w:p>
  <w:p w:rsidR="009B1FEF" w:rsidRDefault="009B1FEF" w:rsidP="009B1FEF">
    <w:pPr>
      <w:pStyle w:val="Footer"/>
      <w:pBdr>
        <w:top w:val="single" w:sz="4" w:space="1" w:color="auto"/>
      </w:pBdr>
      <w:tabs>
        <w:tab w:val="clear" w:pos="4153"/>
        <w:tab w:val="clear" w:pos="8306"/>
        <w:tab w:val="right" w:pos="8505"/>
      </w:tabs>
      <w:spacing w:line="260" w:lineRule="exact"/>
    </w:pPr>
    <w:r>
      <w:t>NCVER</w:t>
    </w:r>
    <w:r>
      <w:tab/>
    </w:r>
    <w:fldSimple w:instr=" PAGE   \* MERGEFORMAT ">
      <w:r w:rsidR="005730C3">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FEF" w:rsidRDefault="009B1FEF" w:rsidP="00A207BE">
      <w:pPr>
        <w:spacing w:before="0"/>
      </w:pPr>
      <w:r>
        <w:separator/>
      </w:r>
    </w:p>
  </w:footnote>
  <w:footnote w:type="continuationSeparator" w:id="0">
    <w:p w:rsidR="009B1FEF" w:rsidRDefault="009B1FEF" w:rsidP="00A207BE">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6FF05DF"/>
    <w:multiLevelType w:val="singleLevel"/>
    <w:tmpl w:val="3C76DDCE"/>
    <w:lvl w:ilvl="0">
      <w:numFmt w:val="bullet"/>
      <w:pStyle w:val="Dotpoint1"/>
      <w:lvlText w:val=""/>
      <w:lvlJc w:val="left"/>
      <w:pPr>
        <w:tabs>
          <w:tab w:val="num" w:pos="360"/>
        </w:tabs>
        <w:ind w:left="360" w:hanging="360"/>
      </w:pPr>
      <w:rPr>
        <w:rFonts w:ascii="Wingdings" w:hAnsi="Wingdings" w:hint="default"/>
      </w:rPr>
    </w:lvl>
  </w:abstractNum>
  <w:abstractNum w:abstractNumId="2">
    <w:nsid w:val="174A2C71"/>
    <w:multiLevelType w:val="singleLevel"/>
    <w:tmpl w:val="90A0C7A8"/>
    <w:lvl w:ilvl="0">
      <w:start w:val="1"/>
      <w:numFmt w:val="bullet"/>
      <w:pStyle w:val="Dotpoint2"/>
      <w:lvlText w:val=""/>
      <w:lvlJc w:val="left"/>
      <w:pPr>
        <w:tabs>
          <w:tab w:val="num" w:pos="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mirrorMargins/>
  <w:proofState w:spelling="clean" w:grammar="clean"/>
  <w:defaultTabStop w:val="720"/>
  <w:evenAndOddHeaders/>
  <w:drawingGridHorizontalSpacing w:val="120"/>
  <w:displayHorizontalDrawingGridEvery w:val="2"/>
  <w:characterSpacingControl w:val="doNotCompress"/>
  <w:footnotePr>
    <w:footnote w:id="-1"/>
    <w:footnote w:id="0"/>
  </w:footnotePr>
  <w:endnotePr>
    <w:endnote w:id="-1"/>
    <w:endnote w:id="0"/>
  </w:endnotePr>
  <w:compat>
    <w:suppressTopSpacing/>
    <w:suppressSpBfAfterPgBrk/>
  </w:compat>
  <w:rsids>
    <w:rsidRoot w:val="00F456BA"/>
    <w:rsid w:val="00035C23"/>
    <w:rsid w:val="00434757"/>
    <w:rsid w:val="00442D5B"/>
    <w:rsid w:val="00487B87"/>
    <w:rsid w:val="005730C3"/>
    <w:rsid w:val="0061136A"/>
    <w:rsid w:val="007949A3"/>
    <w:rsid w:val="009B1FEF"/>
    <w:rsid w:val="00A207BE"/>
    <w:rsid w:val="00D04980"/>
    <w:rsid w:val="00D258FC"/>
    <w:rsid w:val="00F456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BA"/>
    <w:pPr>
      <w:spacing w:before="200" w:after="0" w:line="240" w:lineRule="auto"/>
    </w:pPr>
    <w:rPr>
      <w:rFonts w:ascii="Times New Roman" w:eastAsia="Times New Roman" w:hAnsi="Times New Roman" w:cs="Times New Roman"/>
      <w:sz w:val="24"/>
      <w:szCs w:val="20"/>
      <w:lang w:eastAsia="en-AU"/>
    </w:rPr>
  </w:style>
  <w:style w:type="paragraph" w:styleId="Heading1">
    <w:name w:val="heading 1"/>
    <w:next w:val="text"/>
    <w:link w:val="Heading1Char"/>
    <w:autoRedefine/>
    <w:qFormat/>
    <w:rsid w:val="00F456BA"/>
    <w:pPr>
      <w:widowControl w:val="0"/>
      <w:pBdr>
        <w:bottom w:val="single" w:sz="4" w:space="1" w:color="auto"/>
      </w:pBdr>
      <w:spacing w:before="440" w:after="60" w:line="240" w:lineRule="auto"/>
      <w:jc w:val="right"/>
      <w:outlineLvl w:val="0"/>
    </w:pPr>
    <w:rPr>
      <w:rFonts w:ascii="Garamond" w:eastAsia="Times New Roman" w:hAnsi="Garamond" w:cs="Times New Roman"/>
      <w:kern w:val="28"/>
      <w:sz w:val="60"/>
      <w:szCs w:val="20"/>
      <w:lang w:eastAsia="en-AU"/>
    </w:rPr>
  </w:style>
  <w:style w:type="paragraph" w:styleId="Heading2">
    <w:name w:val="heading 2"/>
    <w:next w:val="text"/>
    <w:link w:val="Heading2Char"/>
    <w:qFormat/>
    <w:rsid w:val="00F456BA"/>
    <w:pPr>
      <w:keepNext/>
      <w:spacing w:before="440" w:after="0" w:line="240" w:lineRule="auto"/>
      <w:outlineLvl w:val="1"/>
    </w:pPr>
    <w:rPr>
      <w:rFonts w:ascii="Garamond" w:eastAsia="Times New Roman" w:hAnsi="Garamond" w:cs="Times New Roman"/>
      <w:sz w:val="36"/>
      <w:szCs w:val="20"/>
      <w:lang w:eastAsia="en-AU"/>
    </w:rPr>
  </w:style>
  <w:style w:type="paragraph" w:styleId="Heading3">
    <w:name w:val="heading 3"/>
    <w:next w:val="text"/>
    <w:link w:val="Heading3Char"/>
    <w:qFormat/>
    <w:rsid w:val="00F456BA"/>
    <w:pPr>
      <w:keepNext/>
      <w:spacing w:before="280" w:after="0" w:line="240" w:lineRule="auto"/>
      <w:outlineLvl w:val="2"/>
    </w:pPr>
    <w:rPr>
      <w:rFonts w:ascii="Garamond" w:eastAsia="Times New Roman" w:hAnsi="Garamond" w:cs="Times New Roman"/>
      <w:sz w:val="28"/>
      <w:szCs w:val="20"/>
      <w:lang w:eastAsia="en-AU"/>
    </w:rPr>
  </w:style>
  <w:style w:type="paragraph" w:styleId="Heading4">
    <w:name w:val="heading 4"/>
    <w:next w:val="text"/>
    <w:link w:val="Heading4Char"/>
    <w:qFormat/>
    <w:rsid w:val="00F456BA"/>
    <w:pPr>
      <w:keepNext/>
      <w:spacing w:before="260" w:after="0" w:line="240" w:lineRule="auto"/>
      <w:outlineLvl w:val="3"/>
    </w:pPr>
    <w:rPr>
      <w:rFonts w:ascii="Garamond" w:eastAsia="Times New Roman" w:hAnsi="Garamond" w:cs="Times New Roman"/>
      <w:i/>
      <w:sz w:val="24"/>
      <w:szCs w:val="20"/>
      <w:lang w:eastAsia="en-AU"/>
    </w:rPr>
  </w:style>
  <w:style w:type="paragraph" w:styleId="Heading5">
    <w:name w:val="heading 5"/>
    <w:basedOn w:val="Normal"/>
    <w:next w:val="Normal"/>
    <w:link w:val="Heading5Char"/>
    <w:qFormat/>
    <w:rsid w:val="00F456BA"/>
    <w:pPr>
      <w:keepNext/>
      <w:outlineLvl w:val="4"/>
    </w:pPr>
    <w:rPr>
      <w:rFonts w:ascii="Garamond" w:hAnsi="Garamond"/>
      <w:b/>
    </w:rPr>
  </w:style>
  <w:style w:type="paragraph" w:styleId="Heading6">
    <w:name w:val="heading 6"/>
    <w:basedOn w:val="Normal"/>
    <w:next w:val="Normal"/>
    <w:link w:val="Heading6Char"/>
    <w:qFormat/>
    <w:rsid w:val="00F456BA"/>
    <w:pPr>
      <w:keepNext/>
      <w:ind w:left="2977"/>
      <w:outlineLvl w:val="5"/>
    </w:pPr>
    <w:rPr>
      <w:rFonts w:ascii="Garamond" w:hAnsi="Garamond"/>
      <w:sz w:val="36"/>
    </w:rPr>
  </w:style>
  <w:style w:type="paragraph" w:styleId="Heading7">
    <w:name w:val="heading 7"/>
    <w:basedOn w:val="Normal"/>
    <w:next w:val="Normal"/>
    <w:link w:val="Heading7Char"/>
    <w:qFormat/>
    <w:rsid w:val="00F456BA"/>
    <w:pPr>
      <w:keepNext/>
      <w:jc w:val="center"/>
      <w:outlineLvl w:val="6"/>
    </w:pPr>
    <w:rPr>
      <w:rFonts w:ascii="Garamond" w:hAnsi="Garamond"/>
      <w:b/>
      <w:spacing w:val="20"/>
      <w:sz w:val="36"/>
    </w:rPr>
  </w:style>
  <w:style w:type="paragraph" w:styleId="Heading8">
    <w:name w:val="heading 8"/>
    <w:basedOn w:val="Normal"/>
    <w:next w:val="Normal"/>
    <w:link w:val="Heading8Char"/>
    <w:qFormat/>
    <w:rsid w:val="00F456BA"/>
    <w:pPr>
      <w:keepNext/>
      <w:jc w:val="center"/>
      <w:outlineLvl w:val="7"/>
    </w:pPr>
    <w:rPr>
      <w:rFonts w:ascii="Garamond" w:hAnsi="Garamond"/>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456BA"/>
    <w:pPr>
      <w:autoSpaceDE w:val="0"/>
      <w:autoSpaceDN w:val="0"/>
      <w:adjustRightInd w:val="0"/>
      <w:spacing w:line="288" w:lineRule="auto"/>
      <w:textAlignment w:val="center"/>
    </w:pPr>
    <w:rPr>
      <w:rFonts w:ascii="Times Regular" w:hAnsi="Times Regular" w:cs="Times Regular"/>
      <w:color w:val="000000"/>
      <w:szCs w:val="24"/>
      <w:lang w:val="en-US"/>
    </w:rPr>
  </w:style>
  <w:style w:type="paragraph" w:customStyle="1" w:styleId="NoParagraphStyle">
    <w:name w:val="[No Paragraph Style]"/>
    <w:rsid w:val="00F456BA"/>
    <w:pPr>
      <w:autoSpaceDE w:val="0"/>
      <w:autoSpaceDN w:val="0"/>
      <w:adjustRightInd w:val="0"/>
      <w:spacing w:after="0" w:line="288" w:lineRule="auto"/>
      <w:textAlignment w:val="center"/>
    </w:pPr>
    <w:rPr>
      <w:rFonts w:ascii="Times Regular" w:hAnsi="Times Regular" w:cs="Times Regular"/>
      <w:color w:val="000000"/>
      <w:sz w:val="24"/>
      <w:szCs w:val="24"/>
      <w:lang w:val="en-US"/>
    </w:rPr>
  </w:style>
  <w:style w:type="paragraph" w:customStyle="1" w:styleId="biggreenpara">
    <w:name w:val="big green para"/>
    <w:basedOn w:val="NoParagraphStyle"/>
    <w:uiPriority w:val="99"/>
    <w:rsid w:val="00F456BA"/>
    <w:pPr>
      <w:suppressAutoHyphens/>
      <w:spacing w:line="420" w:lineRule="atLeast"/>
    </w:pPr>
    <w:rPr>
      <w:rFonts w:ascii="GillSans" w:hAnsi="GillSans" w:cs="GillSans"/>
      <w:color w:val="AFBD3E"/>
      <w:spacing w:val="-4"/>
      <w:sz w:val="36"/>
      <w:szCs w:val="36"/>
    </w:rPr>
  </w:style>
  <w:style w:type="paragraph" w:customStyle="1" w:styleId="text">
    <w:name w:val="text"/>
    <w:basedOn w:val="NoParagraphStyle"/>
    <w:uiPriority w:val="99"/>
    <w:rsid w:val="00F456BA"/>
    <w:pPr>
      <w:suppressAutoHyphens/>
      <w:spacing w:after="170" w:line="300" w:lineRule="atLeast"/>
    </w:pPr>
    <w:rPr>
      <w:rFonts w:ascii="GillSans Light" w:hAnsi="GillSans Light" w:cs="GillSans Light"/>
      <w:sz w:val="20"/>
      <w:szCs w:val="20"/>
    </w:rPr>
  </w:style>
  <w:style w:type="paragraph" w:customStyle="1" w:styleId="dotpt">
    <w:name w:val="dotpt"/>
    <w:basedOn w:val="NoParagraphStyle"/>
    <w:uiPriority w:val="99"/>
    <w:rsid w:val="00F456BA"/>
    <w:pPr>
      <w:suppressAutoHyphens/>
      <w:spacing w:line="300" w:lineRule="atLeast"/>
      <w:ind w:left="170" w:hanging="170"/>
    </w:pPr>
    <w:rPr>
      <w:rFonts w:ascii="GillSans Light" w:hAnsi="GillSans Light" w:cs="GillSans Light"/>
      <w:sz w:val="20"/>
      <w:szCs w:val="20"/>
    </w:rPr>
  </w:style>
  <w:style w:type="paragraph" w:customStyle="1" w:styleId="tabletitle">
    <w:name w:val="tabletitle"/>
    <w:next w:val="text"/>
    <w:rsid w:val="00F456BA"/>
    <w:pPr>
      <w:keepNext/>
      <w:tabs>
        <w:tab w:val="left" w:pos="992"/>
      </w:tabs>
      <w:spacing w:before="360" w:after="80" w:line="240" w:lineRule="auto"/>
    </w:pPr>
    <w:rPr>
      <w:rFonts w:ascii="Arial" w:eastAsia="Times New Roman" w:hAnsi="Arial" w:cs="Times New Roman"/>
      <w:b/>
      <w:sz w:val="17"/>
      <w:szCs w:val="20"/>
      <w:lang w:eastAsia="en-AU"/>
    </w:rPr>
  </w:style>
  <w:style w:type="paragraph" w:customStyle="1" w:styleId="tablehead">
    <w:name w:val="tablehead"/>
    <w:basedOn w:val="NoParagraphStyle"/>
    <w:uiPriority w:val="99"/>
    <w:rsid w:val="00F456BA"/>
    <w:pPr>
      <w:suppressAutoHyphens/>
      <w:spacing w:after="113" w:line="220" w:lineRule="atLeast"/>
      <w:jc w:val="right"/>
    </w:pPr>
    <w:rPr>
      <w:rFonts w:ascii="GillSans" w:hAnsi="GillSans" w:cs="GillSans"/>
      <w:sz w:val="19"/>
      <w:szCs w:val="19"/>
    </w:rPr>
  </w:style>
  <w:style w:type="paragraph" w:customStyle="1" w:styleId="tabletext">
    <w:name w:val="tabletext"/>
    <w:basedOn w:val="NoParagraphStyle"/>
    <w:uiPriority w:val="99"/>
    <w:rsid w:val="00F456BA"/>
    <w:pPr>
      <w:suppressAutoHyphens/>
      <w:spacing w:after="113" w:line="220" w:lineRule="atLeast"/>
    </w:pPr>
    <w:rPr>
      <w:rFonts w:ascii="GillSans Light" w:hAnsi="GillSans Light" w:cs="GillSans Light"/>
      <w:sz w:val="18"/>
      <w:szCs w:val="18"/>
    </w:rPr>
  </w:style>
  <w:style w:type="paragraph" w:customStyle="1" w:styleId="Authors">
    <w:name w:val="Authors"/>
    <w:autoRedefine/>
    <w:rsid w:val="00F456BA"/>
    <w:pPr>
      <w:spacing w:after="0" w:line="240" w:lineRule="auto"/>
      <w:jc w:val="right"/>
    </w:pPr>
    <w:rPr>
      <w:rFonts w:ascii="Microsoft Sans Serif" w:eastAsia="Times New Roman" w:hAnsi="Microsoft Sans Serif" w:cs="Times New Roman"/>
      <w:sz w:val="36"/>
      <w:szCs w:val="20"/>
      <w:lang w:eastAsia="en-AU"/>
    </w:rPr>
  </w:style>
  <w:style w:type="paragraph" w:customStyle="1" w:styleId="contents">
    <w:name w:val="contents"/>
    <w:rsid w:val="00F456BA"/>
    <w:pPr>
      <w:pBdr>
        <w:bottom w:val="single" w:sz="4" w:space="1" w:color="auto"/>
      </w:pBdr>
      <w:spacing w:before="440" w:after="0" w:line="240" w:lineRule="auto"/>
      <w:jc w:val="right"/>
    </w:pPr>
    <w:rPr>
      <w:rFonts w:ascii="Garamond" w:eastAsia="Times New Roman" w:hAnsi="Garamond" w:cs="Times New Roman"/>
      <w:kern w:val="28"/>
      <w:sz w:val="60"/>
      <w:szCs w:val="20"/>
      <w:lang w:eastAsia="en-AU"/>
    </w:rPr>
  </w:style>
  <w:style w:type="paragraph" w:customStyle="1" w:styleId="Dotpoint1">
    <w:name w:val="Dotpoint1"/>
    <w:rsid w:val="00D258FC"/>
    <w:pPr>
      <w:numPr>
        <w:numId w:val="1"/>
      </w:numPr>
      <w:tabs>
        <w:tab w:val="left" w:pos="284"/>
      </w:tabs>
      <w:spacing w:before="120" w:after="0" w:line="240" w:lineRule="auto"/>
      <w:ind w:left="284" w:hanging="284"/>
    </w:pPr>
    <w:rPr>
      <w:rFonts w:ascii="Garamond" w:eastAsia="Times New Roman" w:hAnsi="Garamond" w:cs="Times New Roman"/>
      <w:szCs w:val="20"/>
      <w:lang w:eastAsia="en-AU"/>
    </w:rPr>
  </w:style>
  <w:style w:type="paragraph" w:customStyle="1" w:styleId="Dotpoint2">
    <w:name w:val="Dotpoint2"/>
    <w:rsid w:val="00F456BA"/>
    <w:pPr>
      <w:numPr>
        <w:numId w:val="2"/>
      </w:numPr>
      <w:tabs>
        <w:tab w:val="left" w:pos="284"/>
        <w:tab w:val="left" w:pos="567"/>
      </w:tabs>
      <w:spacing w:after="0" w:line="240" w:lineRule="auto"/>
    </w:pPr>
    <w:rPr>
      <w:rFonts w:ascii="Garamond" w:eastAsia="Times New Roman" w:hAnsi="Garamond" w:cs="Times New Roman"/>
      <w:szCs w:val="20"/>
      <w:lang w:eastAsia="en-AU"/>
    </w:rPr>
  </w:style>
  <w:style w:type="paragraph" w:customStyle="1" w:styleId="Figuretitle">
    <w:name w:val="Figuretitle"/>
    <w:basedOn w:val="tabletitle"/>
    <w:rsid w:val="00F456BA"/>
  </w:style>
  <w:style w:type="paragraph" w:styleId="Footer">
    <w:name w:val="footer"/>
    <w:basedOn w:val="Normal"/>
    <w:link w:val="FooterChar"/>
    <w:uiPriority w:val="99"/>
    <w:rsid w:val="00F456BA"/>
    <w:pPr>
      <w:tabs>
        <w:tab w:val="center" w:pos="4153"/>
        <w:tab w:val="right" w:pos="8306"/>
      </w:tabs>
      <w:spacing w:before="0"/>
    </w:pPr>
    <w:rPr>
      <w:rFonts w:ascii="Garamond" w:hAnsi="Garamond"/>
      <w:sz w:val="18"/>
    </w:rPr>
  </w:style>
  <w:style w:type="character" w:customStyle="1" w:styleId="FooterChar">
    <w:name w:val="Footer Char"/>
    <w:basedOn w:val="DefaultParagraphFont"/>
    <w:link w:val="Footer"/>
    <w:uiPriority w:val="99"/>
    <w:rsid w:val="00F456BA"/>
    <w:rPr>
      <w:rFonts w:ascii="Garamond" w:eastAsia="Times New Roman" w:hAnsi="Garamond" w:cs="Times New Roman"/>
      <w:sz w:val="18"/>
      <w:szCs w:val="20"/>
      <w:lang w:eastAsia="en-AU"/>
    </w:rPr>
  </w:style>
  <w:style w:type="paragraph" w:styleId="FootnoteText">
    <w:name w:val="footnote text"/>
    <w:basedOn w:val="Normal"/>
    <w:link w:val="FootnoteTextChar"/>
    <w:rsid w:val="00F456BA"/>
    <w:rPr>
      <w:rFonts w:ascii="Garamond" w:hAnsi="Garamond"/>
      <w:sz w:val="16"/>
    </w:rPr>
  </w:style>
  <w:style w:type="character" w:customStyle="1" w:styleId="FootnoteTextChar">
    <w:name w:val="Footnote Text Char"/>
    <w:basedOn w:val="DefaultParagraphFont"/>
    <w:link w:val="FootnoteText"/>
    <w:rsid w:val="00F456BA"/>
    <w:rPr>
      <w:rFonts w:ascii="Garamond" w:eastAsia="Times New Roman" w:hAnsi="Garamond" w:cs="Times New Roman"/>
      <w:sz w:val="16"/>
      <w:szCs w:val="20"/>
      <w:lang w:eastAsia="en-AU"/>
    </w:rPr>
  </w:style>
  <w:style w:type="paragraph" w:styleId="Header">
    <w:name w:val="header"/>
    <w:basedOn w:val="Normal"/>
    <w:link w:val="HeaderChar"/>
    <w:rsid w:val="00F456BA"/>
    <w:pPr>
      <w:tabs>
        <w:tab w:val="center" w:pos="4153"/>
        <w:tab w:val="right" w:pos="8306"/>
      </w:tabs>
    </w:pPr>
  </w:style>
  <w:style w:type="character" w:customStyle="1" w:styleId="HeaderChar">
    <w:name w:val="Header Char"/>
    <w:basedOn w:val="DefaultParagraphFont"/>
    <w:link w:val="Header"/>
    <w:rsid w:val="00F456BA"/>
    <w:rPr>
      <w:rFonts w:ascii="Times New Roman" w:eastAsia="Times New Roman" w:hAnsi="Times New Roman" w:cs="Times New Roman"/>
      <w:sz w:val="24"/>
      <w:szCs w:val="20"/>
      <w:lang w:eastAsia="en-AU"/>
    </w:rPr>
  </w:style>
  <w:style w:type="character" w:customStyle="1" w:styleId="Heading1Char">
    <w:name w:val="Heading 1 Char"/>
    <w:basedOn w:val="DefaultParagraphFont"/>
    <w:link w:val="Heading1"/>
    <w:rsid w:val="00F456BA"/>
    <w:rPr>
      <w:rFonts w:ascii="Garamond" w:eastAsia="Times New Roman" w:hAnsi="Garamond" w:cs="Times New Roman"/>
      <w:kern w:val="28"/>
      <w:sz w:val="60"/>
      <w:szCs w:val="20"/>
      <w:lang w:eastAsia="en-AU"/>
    </w:rPr>
  </w:style>
  <w:style w:type="character" w:customStyle="1" w:styleId="Heading2Char">
    <w:name w:val="Heading 2 Char"/>
    <w:basedOn w:val="DefaultParagraphFont"/>
    <w:link w:val="Heading2"/>
    <w:rsid w:val="00F456BA"/>
    <w:rPr>
      <w:rFonts w:ascii="Garamond" w:eastAsia="Times New Roman" w:hAnsi="Garamond" w:cs="Times New Roman"/>
      <w:sz w:val="36"/>
      <w:szCs w:val="20"/>
      <w:lang w:eastAsia="en-AU"/>
    </w:rPr>
  </w:style>
  <w:style w:type="character" w:customStyle="1" w:styleId="Heading3Char">
    <w:name w:val="Heading 3 Char"/>
    <w:basedOn w:val="DefaultParagraphFont"/>
    <w:link w:val="Heading3"/>
    <w:rsid w:val="00F456BA"/>
    <w:rPr>
      <w:rFonts w:ascii="Garamond" w:eastAsia="Times New Roman" w:hAnsi="Garamond" w:cs="Times New Roman"/>
      <w:sz w:val="28"/>
      <w:szCs w:val="20"/>
      <w:lang w:eastAsia="en-AU"/>
    </w:rPr>
  </w:style>
  <w:style w:type="character" w:customStyle="1" w:styleId="Heading4Char">
    <w:name w:val="Heading 4 Char"/>
    <w:basedOn w:val="DefaultParagraphFont"/>
    <w:link w:val="Heading4"/>
    <w:rsid w:val="00F456BA"/>
    <w:rPr>
      <w:rFonts w:ascii="Garamond" w:eastAsia="Times New Roman" w:hAnsi="Garamond" w:cs="Times New Roman"/>
      <w:i/>
      <w:sz w:val="24"/>
      <w:szCs w:val="20"/>
      <w:lang w:eastAsia="en-AU"/>
    </w:rPr>
  </w:style>
  <w:style w:type="character" w:customStyle="1" w:styleId="Heading5Char">
    <w:name w:val="Heading 5 Char"/>
    <w:basedOn w:val="DefaultParagraphFont"/>
    <w:link w:val="Heading5"/>
    <w:rsid w:val="00F456BA"/>
    <w:rPr>
      <w:rFonts w:ascii="Garamond" w:eastAsia="Times New Roman" w:hAnsi="Garamond" w:cs="Times New Roman"/>
      <w:b/>
      <w:sz w:val="24"/>
      <w:szCs w:val="20"/>
      <w:lang w:eastAsia="en-AU"/>
    </w:rPr>
  </w:style>
  <w:style w:type="character" w:customStyle="1" w:styleId="Heading6Char">
    <w:name w:val="Heading 6 Char"/>
    <w:basedOn w:val="DefaultParagraphFont"/>
    <w:link w:val="Heading6"/>
    <w:rsid w:val="00F456BA"/>
    <w:rPr>
      <w:rFonts w:ascii="Garamond" w:eastAsia="Times New Roman" w:hAnsi="Garamond" w:cs="Times New Roman"/>
      <w:sz w:val="36"/>
      <w:szCs w:val="20"/>
      <w:lang w:eastAsia="en-AU"/>
    </w:rPr>
  </w:style>
  <w:style w:type="character" w:customStyle="1" w:styleId="Heading7Char">
    <w:name w:val="Heading 7 Char"/>
    <w:basedOn w:val="DefaultParagraphFont"/>
    <w:link w:val="Heading7"/>
    <w:rsid w:val="00F456BA"/>
    <w:rPr>
      <w:rFonts w:ascii="Garamond" w:eastAsia="Times New Roman" w:hAnsi="Garamond" w:cs="Times New Roman"/>
      <w:b/>
      <w:spacing w:val="20"/>
      <w:sz w:val="36"/>
      <w:szCs w:val="20"/>
      <w:lang w:eastAsia="en-AU"/>
    </w:rPr>
  </w:style>
  <w:style w:type="character" w:customStyle="1" w:styleId="Heading8Char">
    <w:name w:val="Heading 8 Char"/>
    <w:basedOn w:val="DefaultParagraphFont"/>
    <w:link w:val="Heading8"/>
    <w:rsid w:val="00F456BA"/>
    <w:rPr>
      <w:rFonts w:ascii="Garamond" w:eastAsia="Times New Roman" w:hAnsi="Garamond" w:cs="Times New Roman"/>
      <w:b/>
      <w:color w:val="C0C0C0"/>
      <w:spacing w:val="60"/>
      <w:sz w:val="56"/>
      <w:szCs w:val="20"/>
      <w:lang w:eastAsia="en-AU"/>
    </w:rPr>
  </w:style>
  <w:style w:type="character" w:styleId="Hyperlink">
    <w:name w:val="Hyperlink"/>
    <w:basedOn w:val="DefaultParagraphFont"/>
    <w:rsid w:val="00F456BA"/>
    <w:rPr>
      <w:color w:val="0000FF"/>
      <w:u w:val="single"/>
    </w:rPr>
  </w:style>
  <w:style w:type="paragraph" w:customStyle="1" w:styleId="Imprint">
    <w:name w:val="Imprint"/>
    <w:basedOn w:val="Normal"/>
    <w:rsid w:val="00F456BA"/>
    <w:pPr>
      <w:spacing w:line="260" w:lineRule="atLeast"/>
    </w:pPr>
    <w:rPr>
      <w:rFonts w:ascii="Garamond" w:hAnsi="Garamond"/>
      <w:sz w:val="16"/>
    </w:rPr>
  </w:style>
  <w:style w:type="paragraph" w:customStyle="1" w:styleId="NumberedListContinuing">
    <w:name w:val="NumberedListContinuing"/>
    <w:rsid w:val="00F456BA"/>
    <w:pPr>
      <w:numPr>
        <w:numId w:val="3"/>
      </w:numPr>
      <w:spacing w:before="120" w:after="0" w:line="240" w:lineRule="auto"/>
    </w:pPr>
    <w:rPr>
      <w:rFonts w:ascii="Garamond" w:eastAsia="Times New Roman" w:hAnsi="Garamond" w:cs="Times New Roman"/>
      <w:szCs w:val="20"/>
      <w:lang w:eastAsia="en-AU"/>
    </w:rPr>
  </w:style>
  <w:style w:type="character" w:styleId="PageNumber">
    <w:name w:val="page number"/>
    <w:basedOn w:val="DefaultParagraphFont"/>
    <w:rsid w:val="00F456BA"/>
    <w:rPr>
      <w:rFonts w:ascii="Garamond" w:hAnsi="Garamond"/>
      <w:sz w:val="18"/>
    </w:rPr>
  </w:style>
  <w:style w:type="paragraph" w:customStyle="1" w:styleId="PublicationTitle">
    <w:name w:val="Publication Title"/>
    <w:autoRedefine/>
    <w:rsid w:val="00F456BA"/>
    <w:pPr>
      <w:spacing w:before="3000" w:after="0" w:line="240" w:lineRule="auto"/>
    </w:pPr>
    <w:rPr>
      <w:rFonts w:ascii="Franklin Gothic Medium" w:eastAsia="Times New Roman" w:hAnsi="Franklin Gothic Medium" w:cs="Times New Roman"/>
      <w:kern w:val="28"/>
      <w:sz w:val="60"/>
      <w:szCs w:val="20"/>
      <w:lang w:eastAsia="en-AU"/>
    </w:rPr>
  </w:style>
  <w:style w:type="paragraph" w:customStyle="1" w:styleId="Text0">
    <w:name w:val="Text"/>
    <w:rsid w:val="00F456BA"/>
    <w:pPr>
      <w:spacing w:before="200" w:after="0" w:line="260" w:lineRule="exact"/>
    </w:pPr>
    <w:rPr>
      <w:rFonts w:ascii="Garamond" w:eastAsia="Times New Roman" w:hAnsi="Garamond" w:cs="Times New Roman"/>
      <w:szCs w:val="20"/>
      <w:lang w:eastAsia="en-AU"/>
    </w:rPr>
  </w:style>
  <w:style w:type="paragraph" w:styleId="Quote">
    <w:name w:val="Quote"/>
    <w:basedOn w:val="Text0"/>
    <w:link w:val="QuoteChar"/>
    <w:qFormat/>
    <w:rsid w:val="00F456BA"/>
    <w:pPr>
      <w:spacing w:before="80"/>
      <w:ind w:left="567" w:right="646"/>
    </w:pPr>
    <w:rPr>
      <w:sz w:val="20"/>
    </w:rPr>
  </w:style>
  <w:style w:type="character" w:customStyle="1" w:styleId="QuoteChar">
    <w:name w:val="Quote Char"/>
    <w:basedOn w:val="DefaultParagraphFont"/>
    <w:link w:val="Quote"/>
    <w:rsid w:val="00F456BA"/>
    <w:rPr>
      <w:rFonts w:ascii="Garamond" w:eastAsia="Times New Roman" w:hAnsi="Garamond" w:cs="Times New Roman"/>
      <w:sz w:val="20"/>
      <w:szCs w:val="20"/>
      <w:lang w:eastAsia="en-AU"/>
    </w:rPr>
  </w:style>
  <w:style w:type="paragraph" w:customStyle="1" w:styleId="References">
    <w:name w:val="References"/>
    <w:rsid w:val="00F456BA"/>
    <w:pPr>
      <w:spacing w:after="0" w:line="240" w:lineRule="auto"/>
      <w:ind w:left="284" w:hanging="284"/>
    </w:pPr>
    <w:rPr>
      <w:rFonts w:ascii="Garamond" w:eastAsia="Times New Roman" w:hAnsi="Garamond" w:cs="Times New Roman"/>
      <w:sz w:val="20"/>
      <w:szCs w:val="20"/>
      <w:lang w:eastAsia="en-AU"/>
    </w:rPr>
  </w:style>
  <w:style w:type="paragraph" w:customStyle="1" w:styleId="Source">
    <w:name w:val="Source"/>
    <w:rsid w:val="00F456BA"/>
    <w:pPr>
      <w:spacing w:before="40" w:after="0" w:line="240" w:lineRule="auto"/>
    </w:pPr>
    <w:rPr>
      <w:rFonts w:ascii="Arial" w:eastAsia="Times New Roman" w:hAnsi="Arial" w:cs="Times New Roman"/>
      <w:sz w:val="15"/>
      <w:szCs w:val="20"/>
      <w:lang w:eastAsia="en-AU"/>
    </w:rPr>
  </w:style>
  <w:style w:type="paragraph" w:styleId="TableofFigures">
    <w:name w:val="table of figures"/>
    <w:basedOn w:val="Normal"/>
    <w:next w:val="Normal"/>
    <w:semiHidden/>
    <w:rsid w:val="00F456BA"/>
    <w:pPr>
      <w:tabs>
        <w:tab w:val="left" w:pos="3260"/>
        <w:tab w:val="right" w:pos="8222"/>
      </w:tabs>
      <w:spacing w:before="0"/>
      <w:ind w:left="2671" w:hanging="403"/>
    </w:pPr>
    <w:rPr>
      <w:rFonts w:ascii="Garamond" w:hAnsi="Garamond"/>
      <w:sz w:val="22"/>
    </w:rPr>
  </w:style>
  <w:style w:type="paragraph" w:customStyle="1" w:styleId="Tabletext0">
    <w:name w:val="Table text"/>
    <w:next w:val="Text0"/>
    <w:rsid w:val="00F456BA"/>
    <w:pPr>
      <w:spacing w:before="80" w:after="0" w:line="240" w:lineRule="auto"/>
    </w:pPr>
    <w:rPr>
      <w:rFonts w:ascii="Arial" w:eastAsia="Times New Roman" w:hAnsi="Arial" w:cs="Times New Roman"/>
      <w:sz w:val="16"/>
      <w:szCs w:val="20"/>
      <w:lang w:eastAsia="en-AU"/>
    </w:rPr>
  </w:style>
  <w:style w:type="paragraph" w:customStyle="1" w:styleId="Tablehead1">
    <w:name w:val="Tablehead1"/>
    <w:rsid w:val="00F456BA"/>
    <w:pPr>
      <w:spacing w:before="80" w:after="80" w:line="240" w:lineRule="auto"/>
    </w:pPr>
    <w:rPr>
      <w:rFonts w:ascii="Arial" w:eastAsia="Times New Roman" w:hAnsi="Arial" w:cs="Times New Roman"/>
      <w:b/>
      <w:sz w:val="17"/>
      <w:szCs w:val="20"/>
      <w:lang w:eastAsia="en-AU"/>
    </w:rPr>
  </w:style>
  <w:style w:type="paragraph" w:customStyle="1" w:styleId="Tablehead2">
    <w:name w:val="Tablehead2"/>
    <w:basedOn w:val="Tablehead1"/>
    <w:rsid w:val="00F456BA"/>
    <w:pPr>
      <w:tabs>
        <w:tab w:val="left" w:pos="992"/>
      </w:tabs>
      <w:spacing w:before="20" w:after="20"/>
    </w:pPr>
    <w:rPr>
      <w:b w:val="0"/>
    </w:rPr>
  </w:style>
  <w:style w:type="paragraph" w:customStyle="1" w:styleId="Tablehead3">
    <w:name w:val="Tablehead3"/>
    <w:basedOn w:val="Tablehead2"/>
    <w:rsid w:val="00F456BA"/>
    <w:rPr>
      <w:i/>
    </w:rPr>
  </w:style>
  <w:style w:type="paragraph" w:styleId="TOC1">
    <w:name w:val="toc 1"/>
    <w:semiHidden/>
    <w:rsid w:val="00F456BA"/>
    <w:pPr>
      <w:tabs>
        <w:tab w:val="left" w:pos="221"/>
        <w:tab w:val="right" w:pos="8222"/>
      </w:tabs>
      <w:spacing w:before="80" w:after="0" w:line="240" w:lineRule="auto"/>
      <w:ind w:left="2268"/>
    </w:pPr>
    <w:rPr>
      <w:rFonts w:ascii="Garamond" w:eastAsia="Times New Roman" w:hAnsi="Garamond" w:cs="Times New Roman"/>
      <w:szCs w:val="20"/>
      <w:lang w:eastAsia="en-AU"/>
    </w:rPr>
  </w:style>
  <w:style w:type="paragraph" w:styleId="TOC2">
    <w:name w:val="toc 2"/>
    <w:basedOn w:val="Normal"/>
    <w:next w:val="Normal"/>
    <w:semiHidden/>
    <w:rsid w:val="00F456BA"/>
    <w:pPr>
      <w:tabs>
        <w:tab w:val="left" w:pos="709"/>
        <w:tab w:val="right" w:pos="8222"/>
      </w:tabs>
      <w:spacing w:before="20" w:after="20"/>
      <w:ind w:left="2552"/>
    </w:pPr>
    <w:rPr>
      <w:rFonts w:ascii="Garamond" w:hAnsi="Garamond"/>
      <w:sz w:val="20"/>
    </w:rPr>
  </w:style>
  <w:style w:type="table" w:styleId="TableGrid">
    <w:name w:val="Table Grid"/>
    <w:basedOn w:val="TableNormal"/>
    <w:uiPriority w:val="59"/>
    <w:rsid w:val="007949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9A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9A3"/>
    <w:rPr>
      <w:rFonts w:ascii="Tahoma" w:eastAsia="Times New Roman"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paulineackland</dc:creator>
  <cp:keywords/>
  <dc:description/>
  <cp:lastModifiedBy>kayemcadam</cp:lastModifiedBy>
  <cp:revision>5</cp:revision>
  <dcterms:created xsi:type="dcterms:W3CDTF">2011-05-27T07:03:00Z</dcterms:created>
  <dcterms:modified xsi:type="dcterms:W3CDTF">2011-05-31T01:53:00Z</dcterms:modified>
</cp:coreProperties>
</file>