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947" w:rsidRDefault="00457947" w:rsidP="00457947">
      <w:pPr>
        <w:pStyle w:val="PublicationTitle"/>
        <w:spacing w:before="0"/>
      </w:pPr>
      <w:bookmarkStart w:id="0" w:name="_Toc296423677"/>
      <w:bookmarkStart w:id="1" w:name="_Toc296497508"/>
      <w:r>
        <w:rPr>
          <w:noProof/>
          <w:lang w:eastAsia="en-AU"/>
        </w:rPr>
        <w:drawing>
          <wp:anchor distT="0" distB="0" distL="114300" distR="114300" simplePos="0" relativeHeight="251668480"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3"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457947" w:rsidRDefault="00457947" w:rsidP="00457947">
      <w:pPr>
        <w:pStyle w:val="PublicationTitle"/>
        <w:spacing w:before="0" w:after="0"/>
      </w:pPr>
    </w:p>
    <w:p w:rsidR="00457947" w:rsidRDefault="00457947" w:rsidP="00457947">
      <w:pPr>
        <w:pStyle w:val="PublicationTitle"/>
        <w:spacing w:before="0" w:after="0"/>
        <w:rPr>
          <w:noProof/>
          <w:lang w:eastAsia="en-AU"/>
        </w:rPr>
      </w:pPr>
    </w:p>
    <w:p w:rsidR="00457947" w:rsidRDefault="00457947" w:rsidP="00457947">
      <w:pPr>
        <w:pStyle w:val="PublicationTitle"/>
        <w:spacing w:before="0"/>
      </w:pPr>
    </w:p>
    <w:p w:rsidR="009E231A" w:rsidRPr="005C2FCF" w:rsidRDefault="00096227" w:rsidP="00177827">
      <w:pPr>
        <w:pStyle w:val="PublicationTitle"/>
        <w:spacing w:before="0"/>
      </w:pPr>
      <w:r>
        <w:t xml:space="preserve">The effect of a </w:t>
      </w:r>
      <w:r w:rsidR="00B7629E">
        <w:br/>
      </w:r>
      <w:r>
        <w:t>pre-apprenticeship on getting an apprenticeship</w:t>
      </w:r>
      <w:r w:rsidR="009538E6">
        <w:t xml:space="preserve"> </w:t>
      </w:r>
      <w:bookmarkEnd w:id="0"/>
      <w:bookmarkEnd w:id="1"/>
    </w:p>
    <w:p w:rsidR="00177827" w:rsidRDefault="00096227" w:rsidP="00177827">
      <w:pPr>
        <w:pStyle w:val="Authors"/>
      </w:pPr>
      <w:bookmarkStart w:id="2" w:name="_Toc296423678"/>
      <w:bookmarkStart w:id="3" w:name="_Toc296497509"/>
      <w:r>
        <w:t>Thorsten Stromback</w:t>
      </w:r>
    </w:p>
    <w:bookmarkEnd w:id="2"/>
    <w:bookmarkEnd w:id="3"/>
    <w:p w:rsidR="009E231A" w:rsidRDefault="00096227" w:rsidP="00177827">
      <w:pPr>
        <w:pStyle w:val="Organisation"/>
      </w:pPr>
      <w:r>
        <w:t>Centre for Labour Market Research, Curtin University</w:t>
      </w:r>
    </w:p>
    <w:p w:rsidR="00457947" w:rsidRDefault="00457947" w:rsidP="00457947">
      <w:pPr>
        <w:pStyle w:val="Organisation"/>
      </w:pPr>
    </w:p>
    <w:p w:rsidR="00457947" w:rsidRDefault="00457947" w:rsidP="00457947">
      <w:pPr>
        <w:pStyle w:val="Organisation"/>
      </w:pPr>
    </w:p>
    <w:p w:rsidR="00457947" w:rsidRPr="00E8572B" w:rsidRDefault="00457947" w:rsidP="00457947">
      <w:pPr>
        <w:pStyle w:val="Organisation"/>
      </w:pPr>
      <w:r w:rsidRPr="00E415DE">
        <w:t xml:space="preserve">Participant in the NCVER </w:t>
      </w:r>
      <w:r>
        <w:t>Fellowship Program 2011</w:t>
      </w:r>
    </w:p>
    <w:p w:rsidR="00DB599C" w:rsidRDefault="004F5037"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FD16F4" w:rsidRPr="00E8572B" w:rsidRDefault="00FD16F4" w:rsidP="00457947">
                  <w:pPr>
                    <w:pStyle w:val="Heading3"/>
                    <w:rPr>
                      <w:rFonts w:ascii="Trebuchet MS" w:hAnsi="Trebuchet MS"/>
                      <w:szCs w:val="24"/>
                    </w:rPr>
                  </w:pPr>
                  <w:r w:rsidRPr="00E8572B">
                    <w:rPr>
                      <w:rFonts w:ascii="Trebuchet MS" w:hAnsi="Trebuchet MS"/>
                      <w:szCs w:val="24"/>
                    </w:rPr>
                    <w:t>NATIONAL VOCATIONAL EDUCATION AND</w:t>
                  </w:r>
                  <w:r>
                    <w:rPr>
                      <w:rFonts w:ascii="Trebuchet MS" w:hAnsi="Trebuchet MS"/>
                      <w:szCs w:val="24"/>
                    </w:rPr>
                    <w:t> </w:t>
                  </w:r>
                  <w:r w:rsidRPr="00E8572B">
                    <w:rPr>
                      <w:rFonts w:ascii="Trebuchet MS" w:hAnsi="Trebuchet MS"/>
                      <w:szCs w:val="24"/>
                    </w:rPr>
                    <w:t xml:space="preserve">TRAINING RESEARCH PROGRAM </w:t>
                  </w:r>
                </w:p>
                <w:p w:rsidR="00FD16F4" w:rsidRPr="00457947" w:rsidRDefault="00FD16F4" w:rsidP="00457947">
                  <w:pPr>
                    <w:pStyle w:val="Heading3"/>
                    <w:spacing w:before="80"/>
                  </w:pPr>
                  <w:r>
                    <w:rPr>
                      <w:rFonts w:ascii="Trebuchet MS" w:hAnsi="Trebuchet MS"/>
                      <w:b/>
                      <w:szCs w:val="24"/>
                    </w:rPr>
                    <w:t>TECHNICAL</w:t>
                  </w:r>
                  <w:r w:rsidRPr="00E8572B">
                    <w:rPr>
                      <w:rFonts w:ascii="Trebuchet MS" w:hAnsi="Trebuchet MS"/>
                      <w:b/>
                      <w:szCs w:val="24"/>
                    </w:rPr>
                    <w:t xml:space="preserve"> PAPER</w:t>
                  </w: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FD16F4" w:rsidRDefault="00FD16F4"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FD16F4" w:rsidRPr="00457947" w:rsidRDefault="00FD16F4" w:rsidP="00457947">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233BFA" w:rsidRDefault="00FE4A2D" w:rsidP="00457947">
      <w:pPr>
        <w:pStyle w:val="Heading3"/>
        <w:ind w:right="-1"/>
      </w:pPr>
      <w:r w:rsidRPr="005C2FCF">
        <w:br w:type="page"/>
      </w:r>
    </w:p>
    <w:p w:rsidR="00457947" w:rsidRPr="00E8572B" w:rsidRDefault="00457947" w:rsidP="00457947">
      <w:pPr>
        <w:spacing w:before="280" w:line="320" w:lineRule="exact"/>
        <w:ind w:right="-1"/>
        <w:outlineLvl w:val="2"/>
        <w:rPr>
          <w:rFonts w:ascii="Tahoma" w:hAnsi="Tahoma" w:cs="Tahoma"/>
          <w:color w:val="000000"/>
          <w:sz w:val="24"/>
        </w:rPr>
      </w:pPr>
    </w:p>
    <w:tbl>
      <w:tblPr>
        <w:tblStyle w:val="TableGrid"/>
        <w:tblW w:w="7371" w:type="dxa"/>
        <w:tblInd w:w="227" w:type="dxa"/>
        <w:tblBorders>
          <w:top w:val="single" w:sz="24" w:space="0" w:color="000000" w:themeColor="text1"/>
          <w:left w:val="none" w:sz="0" w:space="0" w:color="auto"/>
          <w:right w:val="none" w:sz="0" w:space="0" w:color="auto"/>
          <w:insideH w:val="none" w:sz="0" w:space="0" w:color="auto"/>
          <w:insideV w:val="none" w:sz="0" w:space="0" w:color="auto"/>
        </w:tblBorders>
        <w:tblLayout w:type="fixed"/>
        <w:tblLook w:val="04A0"/>
      </w:tblPr>
      <w:tblGrid>
        <w:gridCol w:w="7371"/>
      </w:tblGrid>
      <w:tr w:rsidR="00457947" w:rsidRPr="00E8572B" w:rsidTr="00457947">
        <w:trPr>
          <w:trHeight w:val="2150"/>
        </w:trPr>
        <w:tc>
          <w:tcPr>
            <w:tcW w:w="7371" w:type="dxa"/>
            <w:tcBorders>
              <w:top w:val="single" w:sz="24" w:space="0" w:color="000000" w:themeColor="text1"/>
              <w:bottom w:val="single" w:sz="4" w:space="0" w:color="000000" w:themeColor="text1"/>
            </w:tcBorders>
            <w:shd w:val="clear" w:color="auto" w:fill="D9D9D9" w:themeFill="background1" w:themeFillShade="D9"/>
            <w:tcMar>
              <w:top w:w="57" w:type="dxa"/>
              <w:left w:w="227" w:type="dxa"/>
              <w:bottom w:w="227" w:type="dxa"/>
              <w:right w:w="227" w:type="dxa"/>
            </w:tcMar>
          </w:tcPr>
          <w:p w:rsidR="00457947" w:rsidRPr="00E8572B" w:rsidRDefault="00457947" w:rsidP="00457947">
            <w:pPr>
              <w:pStyle w:val="Imprint"/>
            </w:pPr>
            <w:r w:rsidRPr="00E8572B">
              <w:t xml:space="preserve">As part of the National Centre for Vocational Education Research (NCVER) Building Researcher Capacity Scheme, a </w:t>
            </w:r>
            <w:r>
              <w:t>fellowship</w:t>
            </w:r>
            <w:r w:rsidRPr="00E8572B">
              <w:t xml:space="preserve"> </w:t>
            </w:r>
            <w:r>
              <w:t>p</w:t>
            </w:r>
            <w:r w:rsidRPr="00E8572B">
              <w:t>rogram has been created to encourage research</w:t>
            </w:r>
            <w:r>
              <w:t>ers</w:t>
            </w:r>
            <w:r w:rsidRPr="00E8572B">
              <w:t xml:space="preserve"> </w:t>
            </w:r>
            <w:r w:rsidR="00992DCC">
              <w:rPr>
                <w:kern w:val="28"/>
                <w:szCs w:val="16"/>
              </w:rPr>
              <w:t>to use NCVER data</w:t>
            </w:r>
            <w:r w:rsidRPr="006E2289">
              <w:rPr>
                <w:kern w:val="28"/>
                <w:szCs w:val="16"/>
              </w:rPr>
              <w:t>sets to improve our understanding of tertiary education. The fellowships also provide participants with an opportunity to have their research peer-reviewed and published by</w:t>
            </w:r>
            <w:r>
              <w:rPr>
                <w:kern w:val="28"/>
                <w:szCs w:val="16"/>
              </w:rPr>
              <w:t> </w:t>
            </w:r>
            <w:r w:rsidRPr="006E2289">
              <w:rPr>
                <w:kern w:val="28"/>
                <w:szCs w:val="16"/>
              </w:rPr>
              <w:t>NCVER.</w:t>
            </w:r>
          </w:p>
          <w:p w:rsidR="00457947" w:rsidRPr="00E8572B" w:rsidRDefault="00457947" w:rsidP="00457947">
            <w:pPr>
              <w:pStyle w:val="Imprint"/>
            </w:pPr>
            <w:r w:rsidRPr="00E8572B">
              <w:t>For more information see: &lt;</w:t>
            </w:r>
            <w:hyperlink r:id="rId10" w:anchor=" NCVER_Fellowships" w:history="1">
              <w:r w:rsidRPr="00E23A01">
                <w:rPr>
                  <w:rStyle w:val="Hyperlink"/>
                  <w:sz w:val="16"/>
                </w:rPr>
                <w:t xml:space="preserve">http://www.ncver.edu.au/research/opportunities.html# </w:t>
              </w:r>
              <w:proofErr w:type="spellStart"/>
              <w:r w:rsidRPr="00E23A01">
                <w:rPr>
                  <w:rStyle w:val="Hyperlink"/>
                  <w:sz w:val="16"/>
                </w:rPr>
                <w:t>NCVER_Fellowships</w:t>
              </w:r>
              <w:proofErr w:type="spellEnd"/>
            </w:hyperlink>
            <w:r w:rsidRPr="00E8572B">
              <w:t>&gt;.</w:t>
            </w:r>
          </w:p>
        </w:tc>
      </w:tr>
    </w:tbl>
    <w:p w:rsidR="00457947" w:rsidRDefault="00457947" w:rsidP="00457947">
      <w:pPr>
        <w:pStyle w:val="Abouttheresearch"/>
        <w:rPr>
          <w:sz w:val="22"/>
          <w:szCs w:val="22"/>
        </w:rPr>
      </w:pPr>
    </w:p>
    <w:p w:rsidR="009E231A" w:rsidRPr="00C77DC6" w:rsidRDefault="004F5037" w:rsidP="0049453B">
      <w:pPr>
        <w:pStyle w:val="Abouttheresearch"/>
      </w:pPr>
      <w:r>
        <w:pict>
          <v:shape id="_x0000_s1038" type="#_x0000_t202" style="position:absolute;margin-left:0;margin-top:75.35pt;width:378.75pt;height:456pt;z-index:251661312;v-text-anchor:bottom" filled="f" stroked="f">
            <v:textbox style="mso-next-textbox:#_x0000_s1038" inset="0,,0">
              <w:txbxContent>
                <w:p w:rsidR="00FD16F4" w:rsidRPr="00590C4D" w:rsidRDefault="00FD16F4" w:rsidP="00457947">
                  <w:pPr>
                    <w:pStyle w:val="Imprint"/>
                    <w:rPr>
                      <w:b/>
                    </w:rPr>
                  </w:pPr>
                  <w:r w:rsidRPr="00590C4D">
                    <w:rPr>
                      <w:b/>
                    </w:rPr>
                    <w:t xml:space="preserve">© Commonwealth of Australia, </w:t>
                  </w:r>
                  <w:r>
                    <w:rPr>
                      <w:b/>
                    </w:rPr>
                    <w:t>2012</w:t>
                  </w:r>
                </w:p>
                <w:p w:rsidR="00FD16F4" w:rsidRDefault="00FD16F4" w:rsidP="00457947">
                  <w:pPr>
                    <w:pStyle w:val="Imprint"/>
                    <w:rPr>
                      <w:sz w:val="20"/>
                    </w:rPr>
                  </w:pPr>
                  <w:r w:rsidRPr="00E80270">
                    <w:rPr>
                      <w:noProof/>
                      <w:sz w:val="20"/>
                      <w:lang w:eastAsia="en-AU"/>
                    </w:rPr>
                    <w:drawing>
                      <wp:inline distT="0" distB="0" distL="0" distR="0">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D16F4" w:rsidRPr="00590C4D" w:rsidRDefault="00FD16F4" w:rsidP="00457947">
                  <w:pPr>
                    <w:pStyle w:val="Imprint"/>
                    <w:rPr>
                      <w:szCs w:val="16"/>
                    </w:rPr>
                  </w:pPr>
                  <w:r w:rsidRPr="00590C4D">
                    <w:rPr>
                      <w:szCs w:val="16"/>
                    </w:rPr>
                    <w:t>With the exception of the Commonwealth Coat of Arms, the Department</w:t>
                  </w:r>
                  <w:r>
                    <w:rPr>
                      <w:szCs w:val="16"/>
                    </w:rPr>
                    <w:t>’</w:t>
                  </w:r>
                  <w:r w:rsidRPr="00590C4D">
                    <w:rPr>
                      <w:szCs w:val="16"/>
                    </w:rPr>
                    <w:t xml:space="preserve">s logo, any material protected by a trade mark and where otherwise noted all material presented in this document is provided under a Creative Commons Attribution 3.0 Australia &lt;http://creativecommons.org/licenses/by/3.0/au&gt; licence. </w:t>
                  </w:r>
                </w:p>
                <w:p w:rsidR="00FD16F4" w:rsidRPr="00590C4D" w:rsidRDefault="00FD16F4" w:rsidP="00561022">
                  <w:pPr>
                    <w:pStyle w:val="Imprint"/>
                    <w:spacing w:before="80"/>
                    <w:rPr>
                      <w:szCs w:val="16"/>
                    </w:rPr>
                  </w:pPr>
                  <w:r w:rsidRPr="00590C4D">
                    <w:rPr>
                      <w:szCs w:val="16"/>
                    </w:rPr>
                    <w:t>The details of the relevant licence conditions are available on the Creative Commons website (accessible</w:t>
                  </w:r>
                  <w:r>
                    <w:rPr>
                      <w:szCs w:val="16"/>
                    </w:rPr>
                    <w:t> </w:t>
                  </w:r>
                  <w:r w:rsidRPr="00590C4D">
                    <w:rPr>
                      <w:szCs w:val="16"/>
                    </w:rPr>
                    <w:t>using the links provided) as is the full legal code for the CC BY 3.0 AU licence &lt;http://creativecommons.org/licenses/by/3.0/legalcode&gt;.</w:t>
                  </w:r>
                </w:p>
                <w:p w:rsidR="00FD16F4" w:rsidRPr="00590C4D" w:rsidRDefault="00FD16F4" w:rsidP="00561022">
                  <w:pPr>
                    <w:pStyle w:val="Imprint"/>
                    <w:spacing w:before="80"/>
                    <w:rPr>
                      <w:szCs w:val="16"/>
                    </w:rPr>
                  </w:pPr>
                  <w:r w:rsidRPr="00590C4D">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FD16F4" w:rsidRPr="00590C4D" w:rsidRDefault="00FD16F4" w:rsidP="00457947">
                  <w:pPr>
                    <w:pStyle w:val="Imprint"/>
                    <w:rPr>
                      <w:szCs w:val="16"/>
                    </w:rPr>
                  </w:pPr>
                  <w:r w:rsidRPr="00590C4D">
                    <w:rPr>
                      <w:szCs w:val="16"/>
                    </w:rPr>
                    <w:t xml:space="preserve">This document should be attributed as </w:t>
                  </w:r>
                  <w:r>
                    <w:rPr>
                      <w:szCs w:val="16"/>
                    </w:rPr>
                    <w:t xml:space="preserve">Stromback, T 2012, </w:t>
                  </w:r>
                  <w:proofErr w:type="gramStart"/>
                  <w:r>
                    <w:rPr>
                      <w:i/>
                      <w:szCs w:val="16"/>
                    </w:rPr>
                    <w:t>The</w:t>
                  </w:r>
                  <w:proofErr w:type="gramEnd"/>
                  <w:r>
                    <w:rPr>
                      <w:i/>
                      <w:szCs w:val="16"/>
                    </w:rPr>
                    <w:t xml:space="preserve"> effect of a pre-apprenticeship on getting an apprenticeship</w:t>
                  </w:r>
                  <w:r w:rsidRPr="00590C4D">
                    <w:rPr>
                      <w:szCs w:val="16"/>
                    </w:rPr>
                    <w:t>, NCVER, Adelaide.</w:t>
                  </w:r>
                </w:p>
                <w:p w:rsidR="00FD16F4" w:rsidRPr="005C2FCF" w:rsidRDefault="00FD16F4" w:rsidP="00561022">
                  <w:pPr>
                    <w:pStyle w:val="Imprint"/>
                    <w:spacing w:before="80"/>
                    <w:rPr>
                      <w:color w:val="000000"/>
                    </w:rPr>
                  </w:pPr>
                  <w:r w:rsidRPr="005C2FCF">
                    <w:rPr>
                      <w:color w:val="000000"/>
                    </w:rPr>
                    <w:t>ISBN</w:t>
                  </w:r>
                  <w:r w:rsidRPr="005C2FCF">
                    <w:rPr>
                      <w:color w:val="000000"/>
                    </w:rPr>
                    <w:tab/>
                  </w:r>
                  <w:r w:rsidRPr="00F128FF">
                    <w:rPr>
                      <w:color w:val="000000"/>
                    </w:rPr>
                    <w:t>978 1 922056 31 3</w:t>
                  </w:r>
                  <w:r>
                    <w:rPr>
                      <w:color w:val="000000"/>
                    </w:rPr>
                    <w:br/>
                  </w:r>
                  <w:r w:rsidRPr="005C2FCF">
                    <w:rPr>
                      <w:color w:val="000000"/>
                    </w:rPr>
                    <w:t>TD/TNC</w:t>
                  </w:r>
                  <w:r w:rsidRPr="005C2FCF">
                    <w:rPr>
                      <w:color w:val="000000"/>
                    </w:rPr>
                    <w:tab/>
                  </w:r>
                  <w:r w:rsidRPr="00F128FF">
                    <w:rPr>
                      <w:color w:val="000000"/>
                    </w:rPr>
                    <w:t>110.03</w:t>
                  </w:r>
                </w:p>
                <w:p w:rsidR="00FD16F4" w:rsidRPr="005C2FCF" w:rsidRDefault="00FD16F4" w:rsidP="00561022">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FD16F4" w:rsidRPr="005C2FCF" w:rsidRDefault="00FD16F4" w:rsidP="00561022">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D16F4" w:rsidRDefault="00FD16F4" w:rsidP="00561022">
                  <w:pPr>
                    <w:pStyle w:val="Imprint"/>
                    <w:spacing w:before="80"/>
                    <w:rPr>
                      <w:color w:val="000000"/>
                    </w:rPr>
                  </w:pPr>
                  <w:r w:rsidRPr="00457947">
                    <w:rPr>
                      <w:b/>
                      <w:color w:val="000000"/>
                    </w:rPr>
                    <w:t>P</w:t>
                  </w:r>
                  <w:r w:rsidRPr="005C2FCF">
                    <w:rPr>
                      <w:color w:val="000000"/>
                    </w:rPr>
                    <w:t xml:space="preserve"> +61 8 8230 8400 </w:t>
                  </w:r>
                  <w:r>
                    <w:rPr>
                      <w:color w:val="000000"/>
                    </w:rPr>
                    <w:t xml:space="preserve">  </w:t>
                  </w:r>
                  <w:r w:rsidRPr="00457947">
                    <w:rPr>
                      <w:b/>
                      <w:color w:val="000000"/>
                    </w:rPr>
                    <w:t>F</w:t>
                  </w:r>
                  <w:r w:rsidRPr="005C2FCF">
                    <w:rPr>
                      <w:color w:val="000000"/>
                    </w:rPr>
                    <w:t xml:space="preserve"> +61 8 8212 3436</w:t>
                  </w:r>
                  <w:r>
                    <w:rPr>
                      <w:color w:val="000000"/>
                    </w:rPr>
                    <w:t xml:space="preserve">   </w:t>
                  </w:r>
                  <w:r w:rsidRPr="00457947">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457947">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bookmarkStart w:id="17" w:name="_Toc495748330"/>
      <w:bookmarkStart w:id="18" w:name="_Toc495810630"/>
      <w:bookmarkStart w:id="19" w:name="_Toc6031787"/>
      <w:bookmarkStart w:id="20" w:name="_Toc6031844"/>
      <w:r w:rsidR="00FE4A2D"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p>
    <w:p w:rsidR="001B43CF" w:rsidRDefault="00644A21" w:rsidP="00F93048">
      <w:pPr>
        <w:pStyle w:val="Abouttheresearchpubtitle"/>
      </w:pPr>
      <w:bookmarkStart w:id="21" w:name="_Toc98394877"/>
      <w:r>
        <w:t>The effect of a pre-apprenticeship on getting an apprenticeship</w:t>
      </w:r>
    </w:p>
    <w:p w:rsidR="009E231A" w:rsidRPr="001B43CF" w:rsidRDefault="00644A21" w:rsidP="00874DA5">
      <w:pPr>
        <w:pStyle w:val="Heading3"/>
      </w:pPr>
      <w:bookmarkStart w:id="22" w:name="_Toc296423681"/>
      <w:bookmarkStart w:id="23" w:name="_Toc296497512"/>
      <w:r>
        <w:t>Thorsten Stromback</w:t>
      </w:r>
      <w:r w:rsidR="00FE4A2D" w:rsidRPr="005C2FCF">
        <w:t xml:space="preserve">, </w:t>
      </w:r>
      <w:bookmarkEnd w:id="21"/>
      <w:bookmarkEnd w:id="22"/>
      <w:bookmarkEnd w:id="23"/>
      <w:r>
        <w:t>Centre for Labour Market Research, Curtin University</w:t>
      </w:r>
    </w:p>
    <w:p w:rsidR="00CC2673" w:rsidRDefault="00091816" w:rsidP="0051582D">
      <w:pPr>
        <w:pStyle w:val="Text"/>
      </w:pPr>
      <w:bookmarkStart w:id="24" w:name="_Toc98394878"/>
      <w:bookmarkStart w:id="25" w:name="_Toc296423682"/>
      <w:bookmarkStart w:id="26" w:name="_Toc296497513"/>
      <w:r>
        <w:t xml:space="preserve">Pre-apprenticeships have been popular for many years with both prospective </w:t>
      </w:r>
      <w:r w:rsidR="00AA125F">
        <w:t>apprentices</w:t>
      </w:r>
      <w:r>
        <w:t xml:space="preserve"> and </w:t>
      </w:r>
      <w:r w:rsidR="00CC2673">
        <w:t>employers</w:t>
      </w:r>
      <w:r w:rsidR="00050329">
        <w:t xml:space="preserve"> —</w:t>
      </w:r>
      <w:r>
        <w:t xml:space="preserve"> they give prospective appre</w:t>
      </w:r>
      <w:r w:rsidR="00CC2673">
        <w:t>n</w:t>
      </w:r>
      <w:r>
        <w:t>tices a taste of the relevant tr</w:t>
      </w:r>
      <w:r w:rsidR="00CC2673">
        <w:t>ade and therefore should be hel</w:t>
      </w:r>
      <w:r>
        <w:t xml:space="preserve">pful in ensuring a </w:t>
      </w:r>
      <w:r w:rsidR="00AA125F">
        <w:t>match</w:t>
      </w:r>
      <w:r>
        <w:t xml:space="preserve"> between the expectations of a new apprentice and the reality of the trade. However, pre-</w:t>
      </w:r>
      <w:r w:rsidR="00AA125F">
        <w:t>apprenticeships</w:t>
      </w:r>
      <w:r>
        <w:t xml:space="preserve"> </w:t>
      </w:r>
      <w:r w:rsidR="00050329">
        <w:t xml:space="preserve">are by no means </w:t>
      </w:r>
      <w:r>
        <w:t>the onl</w:t>
      </w:r>
      <w:r w:rsidR="00CC2673">
        <w:t>y route into an apprenticeship.</w:t>
      </w:r>
    </w:p>
    <w:p w:rsidR="00091816" w:rsidRDefault="00091816" w:rsidP="0051582D">
      <w:pPr>
        <w:pStyle w:val="Text"/>
      </w:pPr>
      <w:r>
        <w:t xml:space="preserve">The purpose of this research is to look at the relative </w:t>
      </w:r>
      <w:r w:rsidR="00FE1E95">
        <w:t>impact</w:t>
      </w:r>
      <w:r>
        <w:t xml:space="preserve"> of pre-</w:t>
      </w:r>
      <w:r w:rsidR="00AA125F">
        <w:t>apprenticeship</w:t>
      </w:r>
      <w:r w:rsidR="00FE1E95">
        <w:t xml:space="preserve"> programs on the probability of undertaking an apprenticeship</w:t>
      </w:r>
      <w:r>
        <w:t>.</w:t>
      </w:r>
    </w:p>
    <w:p w:rsidR="000C4A70" w:rsidRDefault="00091816" w:rsidP="0051582D">
      <w:pPr>
        <w:pStyle w:val="Text"/>
      </w:pPr>
      <w:r>
        <w:t>Any comparison of the effectiveness of pre-apprenticeships in lead</w:t>
      </w:r>
      <w:r w:rsidR="00CC2673">
        <w:t>ing</w:t>
      </w:r>
      <w:r>
        <w:t xml:space="preserve"> to an apprenticeship must be relative to a counterfactual. In this case the counterfactual is students who are undertaking the same courses in Western Austral</w:t>
      </w:r>
      <w:r w:rsidR="00CC2673">
        <w:t xml:space="preserve">ia but not as part of a formal </w:t>
      </w:r>
      <w:r>
        <w:t>pre-</w:t>
      </w:r>
      <w:r w:rsidR="00CC2673">
        <w:t>apprenticeship</w:t>
      </w:r>
      <w:r>
        <w:t xml:space="preserve"> program</w:t>
      </w:r>
      <w:r w:rsidR="000C4A70">
        <w:t xml:space="preserve">. In order to take into account that the students undertaking a course as </w:t>
      </w:r>
      <w:r w:rsidR="00CC2673">
        <w:t>part</w:t>
      </w:r>
      <w:r w:rsidR="000C4A70">
        <w:t xml:space="preserve"> of a pre-apprenticeship program are likely to have different </w:t>
      </w:r>
      <w:r w:rsidR="00CC2673">
        <w:t>background</w:t>
      </w:r>
      <w:r w:rsidR="000C4A70">
        <w:t xml:space="preserve"> characteristics compared </w:t>
      </w:r>
      <w:r w:rsidR="00050329">
        <w:t>with</w:t>
      </w:r>
      <w:r w:rsidR="000C4A70">
        <w:t xml:space="preserve"> other students </w:t>
      </w:r>
      <w:r w:rsidR="00CC2673">
        <w:t>undertaking</w:t>
      </w:r>
      <w:r w:rsidR="000C4A70">
        <w:t xml:space="preserve"> the course, Stromback employs propensity score matching</w:t>
      </w:r>
      <w:r w:rsidR="00050329">
        <w:t>,</w:t>
      </w:r>
      <w:r w:rsidR="000C4A70">
        <w:t xml:space="preserve"> which matches an individual in the comparison group with an individual in the pre-apprenticeship program. </w:t>
      </w:r>
      <w:r w:rsidR="00CC2673">
        <w:t>The</w:t>
      </w:r>
      <w:r w:rsidR="000C4A70">
        <w:t xml:space="preserve"> match is based on factors that </w:t>
      </w:r>
      <w:r w:rsidR="00CC2673">
        <w:t>explain</w:t>
      </w:r>
      <w:r w:rsidR="000C4A70">
        <w:t xml:space="preserve"> statistically whether a student i</w:t>
      </w:r>
      <w:r w:rsidR="00FE1E95">
        <w:t>s</w:t>
      </w:r>
      <w:r w:rsidR="000C4A70">
        <w:t xml:space="preserve"> part of the pre-apprenticeship program or not. The</w:t>
      </w:r>
      <w:r w:rsidR="00AA125F">
        <w:t xml:space="preserve"> most important characteristics turn out to be sex, age and Indigenous status.</w:t>
      </w:r>
    </w:p>
    <w:p w:rsidR="00CC2673" w:rsidRPr="005C2FCF" w:rsidRDefault="00CC2673" w:rsidP="00CC2673">
      <w:pPr>
        <w:pStyle w:val="Keymessages"/>
      </w:pPr>
      <w:r w:rsidRPr="005C2FCF">
        <w:t>Key messages</w:t>
      </w:r>
    </w:p>
    <w:p w:rsidR="00CC2673" w:rsidRDefault="00AA125F" w:rsidP="00AA125F">
      <w:pPr>
        <w:pStyle w:val="Dotpoint1"/>
      </w:pPr>
      <w:r>
        <w:t>F</w:t>
      </w:r>
      <w:r w:rsidR="00992DCC">
        <w:t>or the not-at-</w:t>
      </w:r>
      <w:r w:rsidR="00CC2673">
        <w:t>school group, the increase in the probability of going on to an apprenticeship</w:t>
      </w:r>
      <w:r w:rsidR="009358AC">
        <w:t xml:space="preserve"> the following year is around 11</w:t>
      </w:r>
      <w:r w:rsidR="00CC2673">
        <w:t xml:space="preserve"> percentage points if the student is in </w:t>
      </w:r>
      <w:r w:rsidR="009358AC">
        <w:t>a pre-apprenticeship program (23</w:t>
      </w:r>
      <w:r w:rsidR="00CC2673">
        <w:t xml:space="preserve">% compared </w:t>
      </w:r>
      <w:r w:rsidR="00050329">
        <w:t>with</w:t>
      </w:r>
      <w:r w:rsidR="009358AC">
        <w:t xml:space="preserve"> 12</w:t>
      </w:r>
      <w:r w:rsidR="00CC2673">
        <w:t>% for the comparison group).</w:t>
      </w:r>
    </w:p>
    <w:p w:rsidR="00CC2673" w:rsidRDefault="000C4A70" w:rsidP="00AA125F">
      <w:pPr>
        <w:pStyle w:val="Dotpoint1"/>
      </w:pPr>
      <w:r>
        <w:t xml:space="preserve">This effect is much smaller than a simple </w:t>
      </w:r>
      <w:r w:rsidR="00CC2673">
        <w:t>comparison</w:t>
      </w:r>
      <w:r>
        <w:t xml:space="preserve"> of the two groups, indicating that</w:t>
      </w:r>
      <w:r w:rsidR="00CC2673">
        <w:t xml:space="preserve"> the differences in personal characteristics are quite</w:t>
      </w:r>
      <w:r w:rsidR="00AA125F">
        <w:t xml:space="preserve"> important</w:t>
      </w:r>
      <w:r w:rsidR="00CC2673">
        <w:t>.</w:t>
      </w:r>
    </w:p>
    <w:p w:rsidR="00AA125F" w:rsidRDefault="00AA125F" w:rsidP="0036346B">
      <w:pPr>
        <w:pStyle w:val="Text"/>
      </w:pPr>
      <w:r>
        <w:t>The one caveat to these results is that it is likely that those undertaking the pre-apprenticeship program are inherently more interested in the possibility of an apprenticeship</w:t>
      </w:r>
      <w:r w:rsidR="00813CA5">
        <w:t xml:space="preserve"> than those in the comparison group</w:t>
      </w:r>
      <w:r>
        <w:t>. Thus the impact of pre-apprenticeship program</w:t>
      </w:r>
      <w:r w:rsidR="00346F59">
        <w:t>s</w:t>
      </w:r>
      <w:r>
        <w:t xml:space="preserve"> cannot really be deduced from the comparison</w:t>
      </w:r>
      <w:r w:rsidR="00B412A3">
        <w:t>s</w:t>
      </w:r>
      <w:r>
        <w:t xml:space="preserve"> of the pre-apprenticeship program students with the other students, but </w:t>
      </w:r>
      <w:r w:rsidR="00B412A3">
        <w:t xml:space="preserve">they </w:t>
      </w:r>
      <w:r>
        <w:t xml:space="preserve">do </w:t>
      </w:r>
      <w:r w:rsidR="00346F59">
        <w:t>provide</w:t>
      </w:r>
      <w:r>
        <w:t xml:space="preserve"> a useful indication of the order of </w:t>
      </w:r>
      <w:r w:rsidR="00346F59">
        <w:t>magnitude of the</w:t>
      </w:r>
      <w:r w:rsidR="00FE1E95">
        <w:t xml:space="preserve"> program</w:t>
      </w:r>
      <w:r w:rsidR="00D6113B">
        <w:t>’</w:t>
      </w:r>
      <w:r w:rsidR="00050329">
        <w:t>s</w:t>
      </w:r>
      <w:r w:rsidR="00346F59">
        <w:t xml:space="preserve"> effect</w:t>
      </w:r>
      <w:r>
        <w:t>.</w:t>
      </w:r>
    </w:p>
    <w:bookmarkEnd w:id="24"/>
    <w:bookmarkEnd w:id="25"/>
    <w:bookmarkEnd w:id="26"/>
    <w:p w:rsidR="00E72647" w:rsidRPr="005C2FCF" w:rsidRDefault="00E72647" w:rsidP="0036346B">
      <w:pPr>
        <w:pStyle w:val="Text"/>
      </w:pPr>
    </w:p>
    <w:p w:rsidR="009E231A" w:rsidRPr="005C2FCF" w:rsidRDefault="00FE4A2D" w:rsidP="0036346B">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7" w:name="_Toc98394880"/>
      <w:bookmarkStart w:id="28" w:name="_Toc296423683"/>
      <w:bookmarkStart w:id="29" w:name="_Toc296497514"/>
      <w:r w:rsidRPr="00DC5F5C">
        <w:lastRenderedPageBreak/>
        <w:t>Contents</w:t>
      </w:r>
      <w:bookmarkEnd w:id="27"/>
      <w:bookmarkEnd w:id="28"/>
      <w:bookmarkEnd w:id="29"/>
    </w:p>
    <w:p w:rsidR="00DD2B1A" w:rsidRDefault="004F5037">
      <w:pPr>
        <w:pStyle w:val="TOC1"/>
        <w:rPr>
          <w:rFonts w:asciiTheme="minorHAnsi" w:eastAsiaTheme="minorEastAsia" w:hAnsiTheme="minorHAnsi" w:cstheme="minorBidi"/>
          <w:color w:val="auto"/>
          <w:sz w:val="22"/>
          <w:szCs w:val="22"/>
          <w:lang w:eastAsia="en-AU"/>
        </w:rPr>
      </w:pPr>
      <w:r w:rsidRPr="004F5037">
        <w:rPr>
          <w:rFonts w:ascii="Avant Garde" w:hAnsi="Avant Garde"/>
        </w:rPr>
        <w:fldChar w:fldCharType="begin"/>
      </w:r>
      <w:r w:rsidR="00FE4A2D" w:rsidRPr="009775C7">
        <w:rPr>
          <w:rFonts w:ascii="Avant Garde" w:hAnsi="Avant Garde"/>
        </w:rPr>
        <w:instrText xml:space="preserve"> TOC \o "1-2" </w:instrText>
      </w:r>
      <w:r w:rsidRPr="004F5037">
        <w:rPr>
          <w:rFonts w:ascii="Avant Garde" w:hAnsi="Avant Garde"/>
        </w:rPr>
        <w:fldChar w:fldCharType="separate"/>
      </w:r>
      <w:r w:rsidR="00DD2B1A">
        <w:t>Tables and figures</w:t>
      </w:r>
      <w:r w:rsidR="00DD2B1A">
        <w:tab/>
      </w:r>
      <w:r>
        <w:fldChar w:fldCharType="begin"/>
      </w:r>
      <w:r w:rsidR="00DD2B1A">
        <w:instrText xml:space="preserve"> PAGEREF _Toc338161246 \h </w:instrText>
      </w:r>
      <w:r>
        <w:fldChar w:fldCharType="separate"/>
      </w:r>
      <w:r w:rsidR="00845FAE">
        <w:t>6</w:t>
      </w:r>
      <w:r>
        <w:fldChar w:fldCharType="end"/>
      </w:r>
    </w:p>
    <w:p w:rsidR="00DD2B1A" w:rsidRDefault="00DD2B1A">
      <w:pPr>
        <w:pStyle w:val="TOC2"/>
        <w:rPr>
          <w:rFonts w:asciiTheme="minorHAnsi" w:eastAsiaTheme="minorEastAsia" w:hAnsiTheme="minorHAnsi" w:cstheme="minorBidi"/>
          <w:color w:val="auto"/>
          <w:sz w:val="22"/>
          <w:szCs w:val="22"/>
          <w:lang w:eastAsia="en-AU"/>
        </w:rPr>
      </w:pPr>
      <w:r>
        <w:t>Tables</w:t>
      </w:r>
      <w:r>
        <w:tab/>
      </w:r>
      <w:r w:rsidR="004F5037">
        <w:fldChar w:fldCharType="begin"/>
      </w:r>
      <w:r>
        <w:instrText xml:space="preserve"> PAGEREF _Toc338161247 \h </w:instrText>
      </w:r>
      <w:r w:rsidR="004F5037">
        <w:fldChar w:fldCharType="separate"/>
      </w:r>
      <w:r w:rsidR="00845FAE">
        <w:t>6</w:t>
      </w:r>
      <w:r w:rsidR="004F5037">
        <w:fldChar w:fldCharType="end"/>
      </w:r>
    </w:p>
    <w:p w:rsidR="00DD2B1A" w:rsidRDefault="00DD2B1A">
      <w:pPr>
        <w:pStyle w:val="TOC2"/>
        <w:rPr>
          <w:rFonts w:asciiTheme="minorHAnsi" w:eastAsiaTheme="minorEastAsia" w:hAnsiTheme="minorHAnsi" w:cstheme="minorBidi"/>
          <w:color w:val="auto"/>
          <w:sz w:val="22"/>
          <w:szCs w:val="22"/>
          <w:lang w:eastAsia="en-AU"/>
        </w:rPr>
      </w:pPr>
      <w:r>
        <w:t>Figures</w:t>
      </w:r>
      <w:r>
        <w:tab/>
      </w:r>
      <w:r w:rsidR="004F5037">
        <w:fldChar w:fldCharType="begin"/>
      </w:r>
      <w:r>
        <w:instrText xml:space="preserve"> PAGEREF _Toc338161248 \h </w:instrText>
      </w:r>
      <w:r w:rsidR="004F5037">
        <w:fldChar w:fldCharType="separate"/>
      </w:r>
      <w:r w:rsidR="00845FAE">
        <w:t>6</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Introduction</w:t>
      </w:r>
      <w:r>
        <w:tab/>
      </w:r>
      <w:r w:rsidR="004F5037">
        <w:fldChar w:fldCharType="begin"/>
      </w:r>
      <w:r>
        <w:instrText xml:space="preserve"> PAGEREF _Toc338161249 \h </w:instrText>
      </w:r>
      <w:r w:rsidR="004F5037">
        <w:fldChar w:fldCharType="separate"/>
      </w:r>
      <w:r w:rsidR="00845FAE">
        <w:t>7</w:t>
      </w:r>
      <w:r w:rsidR="004F5037">
        <w:fldChar w:fldCharType="end"/>
      </w:r>
    </w:p>
    <w:p w:rsidR="00DD2B1A" w:rsidRDefault="00DD2B1A">
      <w:pPr>
        <w:pStyle w:val="TOC2"/>
        <w:rPr>
          <w:rFonts w:asciiTheme="minorHAnsi" w:eastAsiaTheme="minorEastAsia" w:hAnsiTheme="minorHAnsi" w:cstheme="minorBidi"/>
          <w:color w:val="auto"/>
          <w:sz w:val="22"/>
          <w:szCs w:val="22"/>
          <w:lang w:eastAsia="en-AU"/>
        </w:rPr>
      </w:pPr>
      <w:r>
        <w:t>Background</w:t>
      </w:r>
      <w:r>
        <w:tab/>
      </w:r>
      <w:r w:rsidR="004F5037">
        <w:fldChar w:fldCharType="begin"/>
      </w:r>
      <w:r>
        <w:instrText xml:space="preserve"> PAGEREF _Toc338161250 \h </w:instrText>
      </w:r>
      <w:r w:rsidR="004F5037">
        <w:fldChar w:fldCharType="separate"/>
      </w:r>
      <w:r w:rsidR="00845FAE">
        <w:t>7</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The role of pre-apprenticeships</w:t>
      </w:r>
      <w:r>
        <w:tab/>
      </w:r>
      <w:r w:rsidR="004F5037">
        <w:fldChar w:fldCharType="begin"/>
      </w:r>
      <w:r>
        <w:instrText xml:space="preserve"> PAGEREF _Toc338161251 \h </w:instrText>
      </w:r>
      <w:r w:rsidR="004F5037">
        <w:fldChar w:fldCharType="separate"/>
      </w:r>
      <w:r w:rsidR="00845FAE">
        <w:t>9</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Method</w:t>
      </w:r>
      <w:r>
        <w:tab/>
      </w:r>
      <w:r w:rsidR="004F5037">
        <w:fldChar w:fldCharType="begin"/>
      </w:r>
      <w:r>
        <w:instrText xml:space="preserve"> PAGEREF _Toc338161252 \h </w:instrText>
      </w:r>
      <w:r w:rsidR="004F5037">
        <w:fldChar w:fldCharType="separate"/>
      </w:r>
      <w:r w:rsidR="00845FAE">
        <w:t>11</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Data</w:t>
      </w:r>
      <w:r>
        <w:tab/>
      </w:r>
      <w:r w:rsidR="004F5037">
        <w:fldChar w:fldCharType="begin"/>
      </w:r>
      <w:r>
        <w:instrText xml:space="preserve"> PAGEREF _Toc338161253 \h </w:instrText>
      </w:r>
      <w:r w:rsidR="004F5037">
        <w:fldChar w:fldCharType="separate"/>
      </w:r>
      <w:r w:rsidR="00845FAE">
        <w:t>12</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Empirical method</w:t>
      </w:r>
      <w:r>
        <w:tab/>
      </w:r>
      <w:r w:rsidR="004F5037">
        <w:fldChar w:fldCharType="begin"/>
      </w:r>
      <w:r>
        <w:instrText xml:space="preserve"> PAGEREF _Toc338161254 \h </w:instrText>
      </w:r>
      <w:r w:rsidR="004F5037">
        <w:fldChar w:fldCharType="separate"/>
      </w:r>
      <w:r w:rsidR="00845FAE">
        <w:t>13</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Descriptive analysis</w:t>
      </w:r>
      <w:r>
        <w:tab/>
      </w:r>
      <w:r w:rsidR="004F5037">
        <w:fldChar w:fldCharType="begin"/>
      </w:r>
      <w:r>
        <w:instrText xml:space="preserve"> PAGEREF _Toc338161255 \h </w:instrText>
      </w:r>
      <w:r w:rsidR="004F5037">
        <w:fldChar w:fldCharType="separate"/>
      </w:r>
      <w:r w:rsidR="00845FAE">
        <w:t>14</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Estimating a treatment effect</w:t>
      </w:r>
      <w:r>
        <w:tab/>
      </w:r>
      <w:r w:rsidR="004F5037">
        <w:fldChar w:fldCharType="begin"/>
      </w:r>
      <w:r>
        <w:instrText xml:space="preserve"> PAGEREF _Toc338161256 \h </w:instrText>
      </w:r>
      <w:r w:rsidR="004F5037">
        <w:fldChar w:fldCharType="separate"/>
      </w:r>
      <w:r w:rsidR="00845FAE">
        <w:t>16</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Sensitivity analysis</w:t>
      </w:r>
      <w:r>
        <w:tab/>
      </w:r>
      <w:r w:rsidR="004F5037">
        <w:fldChar w:fldCharType="begin"/>
      </w:r>
      <w:r>
        <w:instrText xml:space="preserve"> PAGEREF _Toc338161257 \h </w:instrText>
      </w:r>
      <w:r w:rsidR="004F5037">
        <w:fldChar w:fldCharType="separate"/>
      </w:r>
      <w:r w:rsidR="00845FAE">
        <w:t>21</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Conclusions</w:t>
      </w:r>
      <w:r>
        <w:tab/>
      </w:r>
      <w:r w:rsidR="004F5037">
        <w:fldChar w:fldCharType="begin"/>
      </w:r>
      <w:r>
        <w:instrText xml:space="preserve"> PAGEREF _Toc338161258 \h </w:instrText>
      </w:r>
      <w:r w:rsidR="004F5037">
        <w:fldChar w:fldCharType="separate"/>
      </w:r>
      <w:r w:rsidR="00845FAE">
        <w:t>23</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References</w:t>
      </w:r>
      <w:r>
        <w:tab/>
      </w:r>
      <w:r w:rsidR="004F5037">
        <w:fldChar w:fldCharType="begin"/>
      </w:r>
      <w:r>
        <w:instrText xml:space="preserve"> PAGEREF _Toc338161259 \h </w:instrText>
      </w:r>
      <w:r w:rsidR="004F5037">
        <w:fldChar w:fldCharType="separate"/>
      </w:r>
      <w:r w:rsidR="00845FAE">
        <w:t>24</w:t>
      </w:r>
      <w:r w:rsidR="004F5037">
        <w:fldChar w:fldCharType="end"/>
      </w:r>
    </w:p>
    <w:p w:rsidR="00DD2B1A" w:rsidRDefault="00DD2B1A">
      <w:pPr>
        <w:pStyle w:val="TOC1"/>
        <w:rPr>
          <w:rFonts w:asciiTheme="minorHAnsi" w:eastAsiaTheme="minorEastAsia" w:hAnsiTheme="minorHAnsi" w:cstheme="minorBidi"/>
          <w:color w:val="auto"/>
          <w:sz w:val="22"/>
          <w:szCs w:val="22"/>
          <w:lang w:eastAsia="en-AU"/>
        </w:rPr>
      </w:pPr>
      <w:r>
        <w:t>NVETR Program funding</w:t>
      </w:r>
      <w:r>
        <w:tab/>
      </w:r>
      <w:r w:rsidR="004F5037">
        <w:fldChar w:fldCharType="begin"/>
      </w:r>
      <w:r>
        <w:instrText xml:space="preserve"> PAGEREF _Toc338161260 \h </w:instrText>
      </w:r>
      <w:r w:rsidR="004F5037">
        <w:fldChar w:fldCharType="separate"/>
      </w:r>
      <w:r w:rsidR="00845FAE">
        <w:t>25</w:t>
      </w:r>
      <w:r w:rsidR="004F5037">
        <w:fldChar w:fldCharType="end"/>
      </w:r>
    </w:p>
    <w:p w:rsidR="004E7227" w:rsidRDefault="004F5037"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30" w:name="_Toc338161246"/>
      <w:r>
        <w:lastRenderedPageBreak/>
        <w:t>Tables and figures</w:t>
      </w:r>
      <w:bookmarkEnd w:id="30"/>
    </w:p>
    <w:p w:rsidR="00644A21" w:rsidRDefault="00644A21" w:rsidP="00644A21">
      <w:pPr>
        <w:pStyle w:val="Heading2"/>
      </w:pPr>
      <w:bookmarkStart w:id="31" w:name="_Toc296497516"/>
      <w:bookmarkStart w:id="32" w:name="_Toc298162801"/>
      <w:bookmarkStart w:id="33" w:name="_Toc316371580"/>
      <w:bookmarkStart w:id="34" w:name="_Toc337199594"/>
      <w:bookmarkStart w:id="35" w:name="_Toc338161247"/>
      <w:r>
        <w:t>Tables</w:t>
      </w:r>
      <w:bookmarkEnd w:id="31"/>
      <w:bookmarkEnd w:id="32"/>
      <w:bookmarkEnd w:id="33"/>
      <w:bookmarkEnd w:id="34"/>
      <w:bookmarkEnd w:id="35"/>
    </w:p>
    <w:p w:rsidR="00182BE0" w:rsidRDefault="004F5037">
      <w:pPr>
        <w:pStyle w:val="TableofFigures"/>
        <w:tabs>
          <w:tab w:val="left" w:pos="880"/>
        </w:tabs>
        <w:rPr>
          <w:rFonts w:asciiTheme="minorHAnsi" w:eastAsiaTheme="minorEastAsia" w:hAnsiTheme="minorHAnsi" w:cstheme="minorBidi"/>
          <w:color w:val="auto"/>
          <w:sz w:val="22"/>
          <w:szCs w:val="22"/>
          <w:lang w:eastAsia="en-AU"/>
        </w:rPr>
      </w:pPr>
      <w:r w:rsidRPr="004F5037">
        <w:fldChar w:fldCharType="begin"/>
      </w:r>
      <w:r w:rsidR="00644A21">
        <w:instrText xml:space="preserve"> TOC \f F \t "tabletitle" \c </w:instrText>
      </w:r>
      <w:r w:rsidRPr="004F5037">
        <w:fldChar w:fldCharType="separate"/>
      </w:r>
      <w:r w:rsidR="00182BE0">
        <w:t>1</w:t>
      </w:r>
      <w:r w:rsidR="00182BE0">
        <w:rPr>
          <w:rFonts w:asciiTheme="minorHAnsi" w:eastAsiaTheme="minorEastAsia" w:hAnsiTheme="minorHAnsi" w:cstheme="minorBidi"/>
          <w:color w:val="auto"/>
          <w:sz w:val="22"/>
          <w:szCs w:val="22"/>
          <w:lang w:eastAsia="en-AU"/>
        </w:rPr>
        <w:tab/>
      </w:r>
      <w:r w:rsidR="00182BE0">
        <w:t>2009 enrolments in pre-apprenticeship courses</w:t>
      </w:r>
      <w:r w:rsidR="00182BE0">
        <w:tab/>
      </w:r>
      <w:r>
        <w:fldChar w:fldCharType="begin"/>
      </w:r>
      <w:r w:rsidR="00182BE0">
        <w:instrText xml:space="preserve"> PAGEREF _Toc337199617 \h </w:instrText>
      </w:r>
      <w:r>
        <w:fldChar w:fldCharType="separate"/>
      </w:r>
      <w:r w:rsidR="00845FAE">
        <w:t>14</w:t>
      </w:r>
      <w:r>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Origins of 2010 apprentice enrolment</w:t>
      </w:r>
      <w:r>
        <w:tab/>
      </w:r>
      <w:r w:rsidR="004F5037">
        <w:fldChar w:fldCharType="begin"/>
      </w:r>
      <w:r>
        <w:instrText xml:space="preserve"> PAGEREF _Toc337199618 \h </w:instrText>
      </w:r>
      <w:r w:rsidR="004F5037">
        <w:fldChar w:fldCharType="separate"/>
      </w:r>
      <w:r w:rsidR="00845FAE">
        <w:t>14</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Students enrolled in a pre-apprenticeship course in 2009: means </w:t>
      </w:r>
      <w:r>
        <w:br/>
        <w:t>of outcome indicators by school status and treatment status</w:t>
      </w:r>
      <w:r>
        <w:tab/>
      </w:r>
      <w:r w:rsidR="004F5037">
        <w:fldChar w:fldCharType="begin"/>
      </w:r>
      <w:r>
        <w:instrText xml:space="preserve"> PAGEREF _Toc337199619 \h </w:instrText>
      </w:r>
      <w:r w:rsidR="004F5037">
        <w:fldChar w:fldCharType="separate"/>
      </w:r>
      <w:r w:rsidR="00845FAE">
        <w:t>15</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Proportion with an apprentice contract in 2010: completers and </w:t>
      </w:r>
      <w:r>
        <w:br/>
        <w:t>non-completers of 2009 course</w:t>
      </w:r>
      <w:r>
        <w:tab/>
      </w:r>
      <w:r w:rsidR="004F5037">
        <w:fldChar w:fldCharType="begin"/>
      </w:r>
      <w:r>
        <w:instrText xml:space="preserve"> PAGEREF _Toc337199620 \h </w:instrText>
      </w:r>
      <w:r w:rsidR="004F5037">
        <w:fldChar w:fldCharType="separate"/>
      </w:r>
      <w:r w:rsidR="00845FAE">
        <w:t>15</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List of covariates and their values</w:t>
      </w:r>
      <w:r>
        <w:tab/>
      </w:r>
      <w:r w:rsidR="004F5037">
        <w:fldChar w:fldCharType="begin"/>
      </w:r>
      <w:r>
        <w:instrText xml:space="preserve"> PAGEREF _Toc337199621 \h </w:instrText>
      </w:r>
      <w:r w:rsidR="004F5037">
        <w:fldChar w:fldCharType="separate"/>
      </w:r>
      <w:r w:rsidR="00845FAE">
        <w:t>16</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Summary of the distribution of the standardised absolute bias </w:t>
      </w:r>
      <w:r>
        <w:br/>
        <w:t>before and after matching</w:t>
      </w:r>
      <w:r>
        <w:tab/>
      </w:r>
      <w:r w:rsidR="004F5037">
        <w:fldChar w:fldCharType="begin"/>
      </w:r>
      <w:r>
        <w:instrText xml:space="preserve"> PAGEREF _Toc337199622 \h </w:instrText>
      </w:r>
      <w:r w:rsidR="004F5037">
        <w:fldChar w:fldCharType="separate"/>
      </w:r>
      <w:r w:rsidR="00845FAE">
        <w:t>19</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Estimates of the average effect of treatment on the treated</w:t>
      </w:r>
      <w:r>
        <w:tab/>
      </w:r>
      <w:r w:rsidR="004F5037">
        <w:fldChar w:fldCharType="begin"/>
      </w:r>
      <w:r>
        <w:instrText xml:space="preserve"> PAGEREF _Toc337199623 \h </w:instrText>
      </w:r>
      <w:r w:rsidR="004F5037">
        <w:fldChar w:fldCharType="separate"/>
      </w:r>
      <w:r w:rsidR="00845FAE">
        <w:t>20</w:t>
      </w:r>
      <w:r w:rsidR="004F5037">
        <w:fldChar w:fldCharType="end"/>
      </w:r>
    </w:p>
    <w:p w:rsidR="00182BE0" w:rsidRDefault="00182BE0">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Manter-Haenszel test statistics for a positive treatment effect</w:t>
      </w:r>
      <w:r>
        <w:tab/>
      </w:r>
      <w:r w:rsidR="004F5037">
        <w:fldChar w:fldCharType="begin"/>
      </w:r>
      <w:r>
        <w:instrText xml:space="preserve"> PAGEREF _Toc337199624 \h </w:instrText>
      </w:r>
      <w:r w:rsidR="004F5037">
        <w:fldChar w:fldCharType="separate"/>
      </w:r>
      <w:r w:rsidR="00845FAE">
        <w:t>22</w:t>
      </w:r>
      <w:r w:rsidR="004F5037">
        <w:fldChar w:fldCharType="end"/>
      </w:r>
    </w:p>
    <w:p w:rsidR="00182BE0" w:rsidRDefault="004F5037" w:rsidP="00644A21">
      <w:pPr>
        <w:pStyle w:val="Heading2"/>
        <w:rPr>
          <w:noProof/>
        </w:rPr>
      </w:pPr>
      <w:r>
        <w:fldChar w:fldCharType="end"/>
      </w:r>
      <w:bookmarkStart w:id="36" w:name="_Toc296497517"/>
      <w:bookmarkStart w:id="37" w:name="_Toc298162802"/>
      <w:bookmarkStart w:id="38" w:name="_Toc316371581"/>
      <w:bookmarkStart w:id="39" w:name="_Toc337199595"/>
      <w:bookmarkStart w:id="40" w:name="_Toc338161248"/>
      <w:r w:rsidR="00644A21">
        <w:t>Figures</w:t>
      </w:r>
      <w:bookmarkEnd w:id="36"/>
      <w:bookmarkEnd w:id="37"/>
      <w:bookmarkEnd w:id="38"/>
      <w:bookmarkEnd w:id="39"/>
      <w:bookmarkEnd w:id="40"/>
      <w:r w:rsidRPr="004F5037">
        <w:rPr>
          <w:rFonts w:ascii="Garamond" w:hAnsi="Garamond"/>
          <w:sz w:val="22"/>
        </w:rPr>
        <w:fldChar w:fldCharType="begin"/>
      </w:r>
      <w:r w:rsidR="00644A21">
        <w:instrText xml:space="preserve"> TOC \t "Figuretitle" \c </w:instrText>
      </w:r>
      <w:r w:rsidRPr="004F5037">
        <w:rPr>
          <w:rFonts w:ascii="Garamond" w:hAnsi="Garamond"/>
          <w:sz w:val="22"/>
        </w:rPr>
        <w:fldChar w:fldCharType="separate"/>
      </w:r>
    </w:p>
    <w:p w:rsidR="00182BE0" w:rsidRDefault="00182BE0">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Distribution </w:t>
      </w:r>
      <w:r w:rsidR="00992DCC">
        <w:t>of the propensity score: not-at-</w:t>
      </w:r>
      <w:r>
        <w:t>school students</w:t>
      </w:r>
      <w:r>
        <w:tab/>
      </w:r>
      <w:r w:rsidR="004F5037">
        <w:fldChar w:fldCharType="begin"/>
      </w:r>
      <w:r>
        <w:instrText xml:space="preserve"> PAGEREF _Toc337199625 \h </w:instrText>
      </w:r>
      <w:r w:rsidR="004F5037">
        <w:fldChar w:fldCharType="separate"/>
      </w:r>
      <w:r w:rsidR="00845FAE">
        <w:t>17</w:t>
      </w:r>
      <w:r w:rsidR="004F5037">
        <w:fldChar w:fldCharType="end"/>
      </w:r>
    </w:p>
    <w:p w:rsidR="00182BE0" w:rsidRDefault="00182BE0">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Distribution of the propensity score: school students</w:t>
      </w:r>
      <w:r>
        <w:tab/>
      </w:r>
      <w:r w:rsidR="004F5037">
        <w:fldChar w:fldCharType="begin"/>
      </w:r>
      <w:r>
        <w:instrText xml:space="preserve"> PAGEREF _Toc337199626 \h </w:instrText>
      </w:r>
      <w:r w:rsidR="004F5037">
        <w:fldChar w:fldCharType="separate"/>
      </w:r>
      <w:r w:rsidR="00845FAE">
        <w:t>18</w:t>
      </w:r>
      <w:r w:rsidR="004F5037">
        <w:fldChar w:fldCharType="end"/>
      </w:r>
    </w:p>
    <w:p w:rsidR="004E7227" w:rsidRDefault="004F5037" w:rsidP="00182BE0">
      <w:pPr>
        <w:pStyle w:val="Heading2"/>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3778F2" w:rsidP="008C0A74">
      <w:pPr>
        <w:pStyle w:val="Heading1"/>
      </w:pPr>
      <w:bookmarkStart w:id="41" w:name="_Toc338161249"/>
      <w:r>
        <w:lastRenderedPageBreak/>
        <w:t>Introduction</w:t>
      </w:r>
      <w:bookmarkEnd w:id="41"/>
    </w:p>
    <w:p w:rsidR="00096227" w:rsidRPr="002D1DA4" w:rsidRDefault="00096227" w:rsidP="002146F7">
      <w:pPr>
        <w:pStyle w:val="Text"/>
      </w:pPr>
      <w:bookmarkStart w:id="42" w:name="_Toc296423685"/>
      <w:bookmarkStart w:id="43" w:name="_Toc296497519"/>
      <w:bookmarkStart w:id="44" w:name="_Toc298162804"/>
      <w:r w:rsidRPr="002D1DA4">
        <w:t xml:space="preserve">Using Western Australian data from the </w:t>
      </w:r>
      <w:r w:rsidR="00C35504">
        <w:t>National Centre for Vocational Education</w:t>
      </w:r>
      <w:r w:rsidR="00D6113B">
        <w:t>’</w:t>
      </w:r>
      <w:r w:rsidR="00C35504">
        <w:t xml:space="preserve">s (NCVER) </w:t>
      </w:r>
      <w:r w:rsidR="0092104D">
        <w:t>VET Provider Collection</w:t>
      </w:r>
      <w:r w:rsidRPr="002D1DA4">
        <w:t xml:space="preserve"> </w:t>
      </w:r>
      <w:r w:rsidR="00C35504">
        <w:t xml:space="preserve">for </w:t>
      </w:r>
      <w:r w:rsidR="00C35504" w:rsidRPr="002D1DA4">
        <w:t>2009 and 2010</w:t>
      </w:r>
      <w:r w:rsidR="00C35504">
        <w:t>,</w:t>
      </w:r>
      <w:r w:rsidR="00C35504" w:rsidRPr="002D1DA4">
        <w:t xml:space="preserve"> </w:t>
      </w:r>
      <w:r w:rsidRPr="002D1DA4">
        <w:t xml:space="preserve">this paper uses matching to estimate the effects of pre-apprenticeship activities on student outcomes. Pre-apprenticeship activity is defined as the enrolment in certain courses with the aim of improving </w:t>
      </w:r>
      <w:r w:rsidR="00992DCC">
        <w:t>a</w:t>
      </w:r>
      <w:r w:rsidRPr="002D1DA4">
        <w:t xml:space="preserve"> student</w:t>
      </w:r>
      <w:r w:rsidR="00D6113B">
        <w:t>’</w:t>
      </w:r>
      <w:r w:rsidRPr="002D1DA4">
        <w:t xml:space="preserve">s prospect of obtaining an apprenticeship. The primary indicator of outcomes is whether a student obtained an apprenticeship during the following year. The point estimates suggests that </w:t>
      </w:r>
      <w:r w:rsidR="0092104D">
        <w:t>undertaking</w:t>
      </w:r>
      <w:r w:rsidRPr="002D1DA4">
        <w:t xml:space="preserve"> a pre-apprenticeship a</w:t>
      </w:r>
      <w:r>
        <w:t>pproximately</w:t>
      </w:r>
      <w:r w:rsidR="008609C9">
        <w:t xml:space="preserve"> doubles </w:t>
      </w:r>
      <w:r w:rsidR="00992DCC">
        <w:t xml:space="preserve">a </w:t>
      </w:r>
      <w:r>
        <w:t>student</w:t>
      </w:r>
      <w:r w:rsidR="00992DCC">
        <w:t>’</w:t>
      </w:r>
      <w:r>
        <w:t>s</w:t>
      </w:r>
      <w:r w:rsidRPr="002D1DA4">
        <w:t xml:space="preserve"> chances of obtaining an apprenticeship, but from a low base of about 10</w:t>
      </w:r>
      <w:r w:rsidR="00C158DE">
        <w:t>%</w:t>
      </w:r>
      <w:r w:rsidRPr="002D1DA4">
        <w:t>. These estimates are conditional on an independence assumption that is unlikely to hold. Examining the sensitivity of the results to this assumption indicate</w:t>
      </w:r>
      <w:r w:rsidR="0092104D">
        <w:t>s</w:t>
      </w:r>
      <w:r w:rsidRPr="002D1DA4">
        <w:t xml:space="preserve"> that a pre-apprenticeship has a positive effect on students </w:t>
      </w:r>
      <w:r>
        <w:t>who are not at school</w:t>
      </w:r>
      <w:r w:rsidR="00C158DE">
        <w:t>,</w:t>
      </w:r>
      <w:r>
        <w:t xml:space="preserve"> </w:t>
      </w:r>
      <w:r w:rsidRPr="002D1DA4">
        <w:t>while the effect on students at school is uncertain.</w:t>
      </w:r>
      <w:r w:rsidR="00C158DE">
        <w:t xml:space="preserve">  </w:t>
      </w:r>
    </w:p>
    <w:p w:rsidR="009E231A" w:rsidRDefault="008609C9" w:rsidP="003778F2">
      <w:pPr>
        <w:pStyle w:val="Heading2"/>
      </w:pPr>
      <w:bookmarkStart w:id="45" w:name="_Toc338161250"/>
      <w:bookmarkEnd w:id="42"/>
      <w:bookmarkEnd w:id="43"/>
      <w:bookmarkEnd w:id="44"/>
      <w:r>
        <w:t>Background</w:t>
      </w:r>
      <w:bookmarkEnd w:id="45"/>
    </w:p>
    <w:p w:rsidR="008609C9" w:rsidRPr="002D1DA4" w:rsidRDefault="008609C9" w:rsidP="002146F7">
      <w:pPr>
        <w:pStyle w:val="Text"/>
      </w:pPr>
      <w:r w:rsidRPr="002D1DA4">
        <w:t xml:space="preserve">Pre-apprenticeships are courses </w:t>
      </w:r>
      <w:r w:rsidR="00992DCC">
        <w:t>that</w:t>
      </w:r>
      <w:r w:rsidRPr="002D1DA4">
        <w:t xml:space="preserve"> provide initial training in a particular trade</w:t>
      </w:r>
      <w:r w:rsidR="00C158DE">
        <w:t>, which</w:t>
      </w:r>
      <w:r w:rsidRPr="002D1DA4">
        <w:t xml:space="preserve"> enables potential apprentices to gain an appreciation of the trade and</w:t>
      </w:r>
      <w:r w:rsidR="0092104D">
        <w:t>,</w:t>
      </w:r>
      <w:r w:rsidRPr="002D1DA4">
        <w:t xml:space="preserve"> </w:t>
      </w:r>
      <w:r w:rsidR="0092104D">
        <w:t>furthermore,</w:t>
      </w:r>
      <w:r w:rsidRPr="002D1DA4">
        <w:t xml:space="preserve"> assist</w:t>
      </w:r>
      <w:r w:rsidR="0092104D">
        <w:t>s</w:t>
      </w:r>
      <w:r w:rsidRPr="002D1DA4">
        <w:t xml:space="preserve"> them to obtain an apprenticeship. The current fo</w:t>
      </w:r>
      <w:r w:rsidR="0092104D">
        <w:t>rm of pre-apprenticeship course</w:t>
      </w:r>
      <w:r w:rsidRPr="002D1DA4">
        <w:t xml:space="preserve"> has </w:t>
      </w:r>
      <w:r w:rsidR="0092104D">
        <w:t>its</w:t>
      </w:r>
      <w:r w:rsidR="00992DCC">
        <w:t xml:space="preserve"> origin in the pre</w:t>
      </w:r>
      <w:r w:rsidRPr="002D1DA4">
        <w:t>vocational course</w:t>
      </w:r>
      <w:r w:rsidR="004B488C">
        <w:t>s</w:t>
      </w:r>
      <w:r w:rsidRPr="002D1DA4">
        <w:t xml:space="preserve"> that emerged in the early 1970</w:t>
      </w:r>
      <w:r w:rsidR="003778F2">
        <w:t>s</w:t>
      </w:r>
      <w:r w:rsidRPr="002D1DA4">
        <w:t>. At that time youth labour market conditions</w:t>
      </w:r>
      <w:r w:rsidR="00C158DE">
        <w:t xml:space="preserve"> had</w:t>
      </w:r>
      <w:r w:rsidRPr="002D1DA4">
        <w:t xml:space="preserve"> deteriorated and many you</w:t>
      </w:r>
      <w:r w:rsidR="00C158DE">
        <w:t>ng people</w:t>
      </w:r>
      <w:r w:rsidRPr="002D1DA4">
        <w:t xml:space="preserve"> </w:t>
      </w:r>
      <w:r w:rsidR="0092104D">
        <w:t xml:space="preserve">were </w:t>
      </w:r>
      <w:r w:rsidRPr="002D1DA4">
        <w:t>experienc</w:t>
      </w:r>
      <w:r w:rsidR="0092104D">
        <w:t>ing</w:t>
      </w:r>
      <w:r w:rsidRPr="002D1DA4">
        <w:t xml:space="preserve"> problem</w:t>
      </w:r>
      <w:r>
        <w:t>s in the</w:t>
      </w:r>
      <w:r w:rsidRPr="002D1DA4">
        <w:t xml:space="preserve"> transition from school to work (</w:t>
      </w:r>
      <w:proofErr w:type="spellStart"/>
      <w:r w:rsidRPr="002D1DA4">
        <w:t>Merri</w:t>
      </w:r>
      <w:r w:rsidR="0092104D">
        <w:t>lees</w:t>
      </w:r>
      <w:proofErr w:type="spellEnd"/>
      <w:r w:rsidR="0092104D">
        <w:t xml:space="preserve"> 1983). </w:t>
      </w:r>
      <w:r w:rsidR="00992DCC">
        <w:t>Prevocational</w:t>
      </w:r>
      <w:r w:rsidR="0092104D">
        <w:t xml:space="preserve"> full-</w:t>
      </w:r>
      <w:r w:rsidRPr="002D1DA4">
        <w:t>time courses were thou</w:t>
      </w:r>
      <w:r w:rsidR="0092104D">
        <w:t>ght to be part of the answer, with</w:t>
      </w:r>
      <w:r w:rsidRPr="002D1DA4">
        <w:t xml:space="preserve"> many such courses developed during the 1970</w:t>
      </w:r>
      <w:r w:rsidR="003778F2">
        <w:t>s</w:t>
      </w:r>
      <w:r w:rsidRPr="002D1DA4">
        <w:t xml:space="preserve">. These courses took many forms, but pre-apprenticeship courses quickly became the dominant form of </w:t>
      </w:r>
      <w:r w:rsidR="00992DCC">
        <w:t>prevocational</w:t>
      </w:r>
      <w:r w:rsidRPr="002D1DA4">
        <w:t xml:space="preserve"> training. Pre-apprenticeships have also proved to be more enduring than other </w:t>
      </w:r>
      <w:r w:rsidR="00992DCC">
        <w:t>prevocational</w:t>
      </w:r>
      <w:r w:rsidRPr="002D1DA4">
        <w:t xml:space="preserve"> programs and have continued to play a useful part of the</w:t>
      </w:r>
      <w:r w:rsidR="003778F2">
        <w:t xml:space="preserve"> </w:t>
      </w:r>
      <w:r w:rsidR="00C158DE">
        <w:t>vocational education and training (</w:t>
      </w:r>
      <w:r w:rsidR="003778F2">
        <w:t>VET</w:t>
      </w:r>
      <w:r w:rsidR="00C158DE">
        <w:t>)</w:t>
      </w:r>
      <w:r w:rsidR="003778F2">
        <w:t xml:space="preserve"> system.</w:t>
      </w:r>
      <w:r w:rsidR="00C158DE">
        <w:t xml:space="preserve"> </w:t>
      </w:r>
      <w:r w:rsidR="003778F2">
        <w:t>In the early 1970</w:t>
      </w:r>
      <w:r w:rsidRPr="002D1DA4">
        <w:t>s, New South Wales led the development of pre-apprenticeship courses (</w:t>
      </w:r>
      <w:proofErr w:type="spellStart"/>
      <w:r w:rsidRPr="002D1DA4">
        <w:t>Ainley</w:t>
      </w:r>
      <w:proofErr w:type="spellEnd"/>
      <w:r w:rsidRPr="002D1DA4">
        <w:t xml:space="preserve"> </w:t>
      </w:r>
      <w:r w:rsidR="008902A3">
        <w:t>&amp;</w:t>
      </w:r>
      <w:r w:rsidRPr="002D1DA4">
        <w:t xml:space="preserve"> Fordham 1979). First instituted in 1973 under the name of pre-employment courses, by 1980 enrolment</w:t>
      </w:r>
      <w:r w:rsidR="0092104D">
        <w:t>s</w:t>
      </w:r>
      <w:r w:rsidRPr="002D1DA4">
        <w:t xml:space="preserve"> had grown to about 2000 students</w:t>
      </w:r>
      <w:r w:rsidR="0092104D">
        <w:t>,</w:t>
      </w:r>
      <w:r w:rsidRPr="002D1DA4">
        <w:t xml:space="preserve"> who were given training in some 30 occupati</w:t>
      </w:r>
      <w:r>
        <w:t>ons (</w:t>
      </w:r>
      <w:proofErr w:type="spellStart"/>
      <w:r w:rsidR="008902A3">
        <w:t>Birkin</w:t>
      </w:r>
      <w:proofErr w:type="spellEnd"/>
      <w:r>
        <w:t xml:space="preserve"> </w:t>
      </w:r>
      <w:r w:rsidR="008902A3">
        <w:t>&amp;</w:t>
      </w:r>
      <w:r>
        <w:t xml:space="preserve"> Daniels 1981) and </w:t>
      </w:r>
      <w:r w:rsidR="0092104D">
        <w:t xml:space="preserve">who </w:t>
      </w:r>
      <w:r>
        <w:t>account</w:t>
      </w:r>
      <w:r w:rsidR="0092104D">
        <w:t xml:space="preserve">ed </w:t>
      </w:r>
      <w:r w:rsidRPr="002D1DA4">
        <w:t>for about 15</w:t>
      </w:r>
      <w:r w:rsidR="00C158DE">
        <w:t>%</w:t>
      </w:r>
      <w:r w:rsidRPr="002D1DA4">
        <w:t xml:space="preserve"> of the yearly intake of apprentices. In other states, pre-apprenticeships played a smaller but still significant role (Australian Advisory Apprenticeship </w:t>
      </w:r>
      <w:r w:rsidR="008902A3">
        <w:t>Committee</w:t>
      </w:r>
      <w:r w:rsidR="00BF07D8">
        <w:t xml:space="preserve"> 1976</w:t>
      </w:r>
      <w:r w:rsidR="008902A3">
        <w:t>;</w:t>
      </w:r>
      <w:r w:rsidR="00BF07D8">
        <w:t xml:space="preserve"> </w:t>
      </w:r>
      <w:proofErr w:type="spellStart"/>
      <w:r w:rsidR="00BF07D8">
        <w:t>Brindley</w:t>
      </w:r>
      <w:proofErr w:type="spellEnd"/>
      <w:r w:rsidR="00BF07D8">
        <w:t xml:space="preserve"> 1976).</w:t>
      </w:r>
    </w:p>
    <w:p w:rsidR="00121FC1" w:rsidRPr="002D1DA4" w:rsidRDefault="008609C9" w:rsidP="002146F7">
      <w:pPr>
        <w:pStyle w:val="Text"/>
      </w:pPr>
      <w:r w:rsidRPr="002D1DA4">
        <w:t>In view of</w:t>
      </w:r>
      <w:r w:rsidR="003778F2">
        <w:t xml:space="preserve"> the numerous changes </w:t>
      </w:r>
      <w:r w:rsidR="0092104D">
        <w:t xml:space="preserve">in </w:t>
      </w:r>
      <w:r w:rsidR="003778F2">
        <w:t xml:space="preserve">and </w:t>
      </w:r>
      <w:r w:rsidRPr="002D1DA4">
        <w:t>expansion of the VET system since that time</w:t>
      </w:r>
      <w:r w:rsidR="003778F2">
        <w:t>,</w:t>
      </w:r>
      <w:r w:rsidRPr="002D1DA4">
        <w:t xml:space="preserve"> the development of pre-apprenticeship training over time is difficult to follow. Generally speaking, its role has been counter-cyclical, expanding at times when school students have experienced a dif</w:t>
      </w:r>
      <w:r w:rsidR="00CA02CD">
        <w:t>ficult transition and contracting</w:t>
      </w:r>
      <w:r w:rsidRPr="002D1DA4">
        <w:t xml:space="preserve"> at other times. One estimate put the </w:t>
      </w:r>
      <w:r w:rsidR="008902A3">
        <w:t xml:space="preserve">number of pre-apprentices at 10 </w:t>
      </w:r>
      <w:r w:rsidRPr="002D1DA4">
        <w:t>000 in 2000 but by 2004 the n</w:t>
      </w:r>
      <w:r w:rsidR="008902A3">
        <w:t>umbers had fallen to a low of 5</w:t>
      </w:r>
      <w:r w:rsidRPr="002D1DA4">
        <w:t>500 (</w:t>
      </w:r>
      <w:proofErr w:type="spellStart"/>
      <w:r w:rsidRPr="002D1DA4">
        <w:t>Dumbrell</w:t>
      </w:r>
      <w:proofErr w:type="spellEnd"/>
      <w:r w:rsidRPr="002D1DA4">
        <w:t xml:space="preserve"> </w:t>
      </w:r>
      <w:r w:rsidR="009565EC">
        <w:t>&amp;</w:t>
      </w:r>
      <w:r w:rsidRPr="002D1DA4">
        <w:t xml:space="preserve"> Smith 2007). Since that time there has been a veritabl</w:t>
      </w:r>
      <w:r w:rsidR="00CA02CD">
        <w:t>e explosion in enrolments</w:t>
      </w:r>
      <w:r w:rsidR="00992DCC">
        <w:t>,</w:t>
      </w:r>
      <w:r w:rsidR="00CA02CD">
        <w:t xml:space="preserve"> to 64 </w:t>
      </w:r>
      <w:r w:rsidRPr="002D1DA4">
        <w:t>800 in 2009 (Fo</w:t>
      </w:r>
      <w:r w:rsidR="006458DD">
        <w:t xml:space="preserve">ley </w:t>
      </w:r>
      <w:r w:rsidR="009565EC">
        <w:t>&amp;</w:t>
      </w:r>
      <w:r w:rsidR="006458DD">
        <w:t xml:space="preserve"> Blomberg 2011). Most </w:t>
      </w:r>
      <w:r w:rsidRPr="002D1DA4">
        <w:t>enrolments are in two trade groups: electro-technical and building and architecture. Some of this recent revival of pre-apprenticeship courses has been a response to</w:t>
      </w:r>
      <w:r w:rsidR="009565EC">
        <w:t xml:space="preserve"> the economic downturn in </w:t>
      </w:r>
      <w:r w:rsidR="0036346B">
        <w:br/>
      </w:r>
      <w:r w:rsidR="009565EC">
        <w:t>2008—</w:t>
      </w:r>
      <w:r w:rsidRPr="002D1DA4">
        <w:t xml:space="preserve">09. During </w:t>
      </w:r>
      <w:r w:rsidR="00432402">
        <w:t xml:space="preserve">the 12 months ending in June </w:t>
      </w:r>
      <w:r w:rsidRPr="002D1DA4">
        <w:t>2009 the intake of</w:t>
      </w:r>
      <w:r w:rsidR="009358AC">
        <w:t xml:space="preserve"> new apprentices fell by 15</w:t>
      </w:r>
      <w:r w:rsidR="00C158DE">
        <w:t>%</w:t>
      </w:r>
      <w:r w:rsidRPr="002D1DA4">
        <w:t xml:space="preserve"> and consequently many young pe</w:t>
      </w:r>
      <w:r w:rsidR="009565EC">
        <w:t>ople</w:t>
      </w:r>
      <w:r w:rsidRPr="002D1DA4">
        <w:t xml:space="preserve"> found it difficult to gain an apprenticeship in their preferred trade</w:t>
      </w:r>
      <w:r w:rsidR="00432402">
        <w:t xml:space="preserve"> (NCVER 2010)</w:t>
      </w:r>
      <w:r w:rsidRPr="002D1DA4">
        <w:t xml:space="preserve">. In May 2010 the Commonwealth </w:t>
      </w:r>
      <w:r w:rsidR="00CA02CD">
        <w:t>Government announced that it had</w:t>
      </w:r>
      <w:r w:rsidRPr="002D1DA4">
        <w:t xml:space="preserve"> allocated $20 million to projects</w:t>
      </w:r>
      <w:r w:rsidR="009565EC">
        <w:t xml:space="preserve"> with the aim of increasing </w:t>
      </w:r>
      <w:r w:rsidRPr="002D1DA4">
        <w:t xml:space="preserve">pre-apprentice training. This funding was expected to be translated into the partial funding of 5000 pre-apprenticeship places during 2011. But there are also indications that there is a </w:t>
      </w:r>
      <w:r w:rsidR="00121FC1">
        <w:t>growing preference for the pre-apprenticeship</w:t>
      </w:r>
      <w:r w:rsidR="003E4725">
        <w:t xml:space="preserve"> pathway among</w:t>
      </w:r>
      <w:r w:rsidRPr="002D1DA4">
        <w:t xml:space="preserve"> </w:t>
      </w:r>
      <w:r w:rsidRPr="002D1DA4">
        <w:lastRenderedPageBreak/>
        <w:t>employers</w:t>
      </w:r>
      <w:r w:rsidR="003E4725">
        <w:t>, students and training providers</w:t>
      </w:r>
      <w:r w:rsidR="00121FC1">
        <w:t>.</w:t>
      </w:r>
      <w:r w:rsidR="00121FC1" w:rsidRPr="002D1DA4">
        <w:t xml:space="preserve"> </w:t>
      </w:r>
      <w:r w:rsidR="00121FC1">
        <w:t>In 2010 n</w:t>
      </w:r>
      <w:r w:rsidR="00121FC1" w:rsidRPr="002D1DA4">
        <w:t>o less than 28</w:t>
      </w:r>
      <w:r w:rsidR="00C158DE">
        <w:t>%</w:t>
      </w:r>
      <w:r w:rsidR="00121FC1">
        <w:t xml:space="preserve"> of completing apprentices </w:t>
      </w:r>
      <w:r w:rsidR="009358AC">
        <w:t xml:space="preserve">in the trade occupations </w:t>
      </w:r>
      <w:r w:rsidR="00121FC1">
        <w:t>had some kind of</w:t>
      </w:r>
      <w:r w:rsidR="00121FC1" w:rsidRPr="002D1DA4">
        <w:t xml:space="preserve"> </w:t>
      </w:r>
      <w:r w:rsidR="00992DCC">
        <w:t>prevocational</w:t>
      </w:r>
      <w:r w:rsidR="00121FC1">
        <w:t xml:space="preserve"> qualification (NCVER 2011).</w:t>
      </w:r>
      <w:r w:rsidR="00C158DE">
        <w:t xml:space="preserve"> </w:t>
      </w:r>
    </w:p>
    <w:p w:rsidR="008609C9" w:rsidRPr="002D1DA4" w:rsidRDefault="008609C9" w:rsidP="002146F7">
      <w:pPr>
        <w:pStyle w:val="Text"/>
      </w:pPr>
      <w:r w:rsidRPr="002D1DA4">
        <w:t xml:space="preserve">Reviews of pre-apprenticeship training have been uniformly positive. </w:t>
      </w:r>
      <w:r w:rsidR="009565EC">
        <w:t>A</w:t>
      </w:r>
      <w:r w:rsidRPr="002D1DA4">
        <w:t xml:space="preserve"> 1981 </w:t>
      </w:r>
      <w:r w:rsidR="009565EC">
        <w:t>New South Wales review</w:t>
      </w:r>
      <w:r w:rsidRPr="002D1DA4">
        <w:t xml:space="preserve"> </w:t>
      </w:r>
      <w:r w:rsidR="009565EC">
        <w:t>considered</w:t>
      </w:r>
      <w:r w:rsidRPr="002D1DA4">
        <w:t xml:space="preserve"> that pre-apprenticeship provides basic training that increases students</w:t>
      </w:r>
      <w:r w:rsidR="00D6113B">
        <w:t>’</w:t>
      </w:r>
      <w:r w:rsidRPr="002D1DA4">
        <w:t xml:space="preserve"> prospects</w:t>
      </w:r>
      <w:r w:rsidR="00CA02CD">
        <w:t xml:space="preserve"> of obtaining an apprenticeship,</w:t>
      </w:r>
      <w:r w:rsidRPr="002D1DA4">
        <w:t xml:space="preserve"> </w:t>
      </w:r>
      <w:r w:rsidR="00CA02CD">
        <w:t xml:space="preserve">with </w:t>
      </w:r>
      <w:r w:rsidRPr="002D1DA4">
        <w:t>the teachers</w:t>
      </w:r>
      <w:r w:rsidR="00CA02CD">
        <w:t xml:space="preserve"> fully endorsing</w:t>
      </w:r>
      <w:r w:rsidRPr="002D1DA4">
        <w:t xml:space="preserve"> the value of and need for </w:t>
      </w:r>
      <w:r w:rsidR="00CA02CD">
        <w:t>pre-apprenticeship courses. T</w:t>
      </w:r>
      <w:r w:rsidRPr="002D1DA4">
        <w:t>he students themselves rated the courses as interesting and expected that it will (or has) helped them t</w:t>
      </w:r>
      <w:r w:rsidR="009565EC">
        <w:t>o get an apprenticeship (</w:t>
      </w:r>
      <w:proofErr w:type="spellStart"/>
      <w:r w:rsidR="009565EC">
        <w:t>Birkin</w:t>
      </w:r>
      <w:proofErr w:type="spellEnd"/>
      <w:r w:rsidR="009565EC">
        <w:t xml:space="preserve"> &amp;</w:t>
      </w:r>
      <w:r w:rsidRPr="002D1DA4">
        <w:t xml:space="preserve"> Dan</w:t>
      </w:r>
      <w:r w:rsidR="009565EC">
        <w:t>iels</w:t>
      </w:r>
      <w:r w:rsidRPr="002D1DA4">
        <w:t xml:space="preserve"> 1981). The regular surveys of pre-apprenti</w:t>
      </w:r>
      <w:r w:rsidR="009565EC">
        <w:t>ceship students during the 1977—</w:t>
      </w:r>
      <w:r w:rsidRPr="002D1DA4">
        <w:t>82 period lent ample support</w:t>
      </w:r>
      <w:r w:rsidR="00531D67">
        <w:t xml:space="preserve"> to these views</w:t>
      </w:r>
      <w:r w:rsidR="00CA02CD">
        <w:t>,</w:t>
      </w:r>
      <w:r w:rsidR="00531D67">
        <w:t xml:space="preserve"> showing that 57—</w:t>
      </w:r>
      <w:r w:rsidRPr="002D1DA4">
        <w:t>71</w:t>
      </w:r>
      <w:r w:rsidR="00C158DE">
        <w:t>%</w:t>
      </w:r>
      <w:r w:rsidRPr="002D1DA4">
        <w:t xml:space="preserve"> of completing student</w:t>
      </w:r>
      <w:r w:rsidR="00531D67">
        <w:t>s obtained an apprenticeship (Pu</w:t>
      </w:r>
      <w:r w:rsidRPr="002D1DA4">
        <w:t>tt 1978). An earlier review of the more modest schemes in Queensland found that 53</w:t>
      </w:r>
      <w:r w:rsidR="00C158DE">
        <w:t>%</w:t>
      </w:r>
      <w:r w:rsidRPr="002D1DA4">
        <w:t xml:space="preserve"> of completers obtained an apprenticeship (Technical Education Branch </w:t>
      </w:r>
      <w:r w:rsidR="00CA02CD">
        <w:t>&amp;</w:t>
      </w:r>
      <w:r w:rsidRPr="002D1DA4">
        <w:t xml:space="preserve"> Department of Labour Relations 1978). The many reports and reviews of the apprenticeship system and vocational training at the time were accordingly in favour of expanding pre-apprenti</w:t>
      </w:r>
      <w:r w:rsidR="00531D67">
        <w:t>ceship training (</w:t>
      </w:r>
      <w:r w:rsidR="0099172F">
        <w:t>Williams</w:t>
      </w:r>
      <w:r w:rsidR="00531D67">
        <w:t xml:space="preserve"> 1979;</w:t>
      </w:r>
      <w:r w:rsidRPr="002D1DA4">
        <w:t xml:space="preserve"> National Training Council 1985).</w:t>
      </w:r>
      <w:r w:rsidR="00C158DE">
        <w:t xml:space="preserve">   </w:t>
      </w:r>
    </w:p>
    <w:p w:rsidR="008609C9" w:rsidRPr="002D1DA4" w:rsidRDefault="008609C9" w:rsidP="002146F7">
      <w:pPr>
        <w:pStyle w:val="Text"/>
      </w:pPr>
      <w:r w:rsidRPr="002D1DA4">
        <w:t>Recent studies of pre-apprenticeships echo the same message. Employers and prospective appren</w:t>
      </w:r>
      <w:r w:rsidR="006458DD">
        <w:t>tices regard pre-apprenticeship</w:t>
      </w:r>
      <w:r w:rsidRPr="002D1DA4">
        <w:t xml:space="preserve"> courses as useful. To employers</w:t>
      </w:r>
      <w:r w:rsidR="00CA02CD">
        <w:t>,</w:t>
      </w:r>
      <w:r w:rsidRPr="002D1DA4">
        <w:t xml:space="preserve"> they sort the suitable f</w:t>
      </w:r>
      <w:r w:rsidR="00CA02CD">
        <w:t>rom the less suitable, while p</w:t>
      </w:r>
      <w:r w:rsidRPr="002D1DA4">
        <w:t xml:space="preserve">rospective apprentices </w:t>
      </w:r>
      <w:r w:rsidR="00992DCC">
        <w:t>appreciate</w:t>
      </w:r>
      <w:r w:rsidRPr="002D1DA4">
        <w:t xml:space="preserve"> them and believe they are helpful in getting </w:t>
      </w:r>
      <w:r w:rsidR="00CA02CD">
        <w:t xml:space="preserve">them </w:t>
      </w:r>
      <w:r w:rsidRPr="002D1DA4">
        <w:t>an apprenticeship (</w:t>
      </w:r>
      <w:proofErr w:type="spellStart"/>
      <w:r w:rsidRPr="002D1DA4">
        <w:t>Dumbrell</w:t>
      </w:r>
      <w:proofErr w:type="spellEnd"/>
      <w:r w:rsidRPr="002D1DA4">
        <w:t xml:space="preserve"> </w:t>
      </w:r>
      <w:r w:rsidR="00531D67">
        <w:t>&amp;</w:t>
      </w:r>
      <w:r w:rsidRPr="002D1DA4">
        <w:t xml:space="preserve"> Smith 2007).</w:t>
      </w:r>
      <w:r w:rsidR="00C158DE">
        <w:t xml:space="preserve"> </w:t>
      </w:r>
      <w:r w:rsidR="00427AB7">
        <w:t xml:space="preserve">In a review of </w:t>
      </w:r>
      <w:r w:rsidR="00992DCC">
        <w:t>prevocational</w:t>
      </w:r>
      <w:r w:rsidR="00427AB7">
        <w:t xml:space="preserve"> programs in</w:t>
      </w:r>
      <w:r w:rsidR="009F4287">
        <w:t xml:space="preserve"> New South Wales </w:t>
      </w:r>
      <w:r w:rsidR="00427AB7">
        <w:t>it was found that 28</w:t>
      </w:r>
      <w:r w:rsidR="00C158DE">
        <w:t>%</w:t>
      </w:r>
      <w:r w:rsidR="00427AB7">
        <w:t xml:space="preserve"> of students who beg</w:t>
      </w:r>
      <w:r w:rsidR="004B488C">
        <w:t>a</w:t>
      </w:r>
      <w:r w:rsidR="00427AB7">
        <w:t xml:space="preserve">n the </w:t>
      </w:r>
      <w:r w:rsidR="009F4287">
        <w:t>Trade Star</w:t>
      </w:r>
      <w:r w:rsidR="00427AB7">
        <w:t>t program obtained an apprenticeship</w:t>
      </w:r>
      <w:r w:rsidR="002941A6">
        <w:t xml:space="preserve"> (Toner </w:t>
      </w:r>
      <w:r w:rsidR="00531D67">
        <w:t>&amp;</w:t>
      </w:r>
      <w:r w:rsidR="002941A6">
        <w:t xml:space="preserve"> Wo</w:t>
      </w:r>
      <w:r w:rsidR="00992DCC">
        <w:t>o</w:t>
      </w:r>
      <w:r w:rsidR="002941A6">
        <w:t xml:space="preserve">lley </w:t>
      </w:r>
      <w:r w:rsidR="002941A6" w:rsidRPr="006B0105">
        <w:t>2007)</w:t>
      </w:r>
      <w:r w:rsidR="00427AB7" w:rsidRPr="006B0105">
        <w:t>.</w:t>
      </w:r>
      <w:r w:rsidR="00427AB7">
        <w:t xml:space="preserve"> While this figure is much lower than comparable figures </w:t>
      </w:r>
      <w:r w:rsidR="00992DCC">
        <w:t>of</w:t>
      </w:r>
      <w:r w:rsidR="00427AB7">
        <w:t xml:space="preserve"> the past, it is nevertheless regarded as a satisfactory outcome. Compared </w:t>
      </w:r>
      <w:r w:rsidR="00BB40D6">
        <w:t>with</w:t>
      </w:r>
      <w:r w:rsidR="00427AB7">
        <w:t xml:space="preserve"> the 1970s, there </w:t>
      </w:r>
      <w:r w:rsidR="00CA02CD">
        <w:t>is</w:t>
      </w:r>
      <w:r w:rsidR="00427AB7">
        <w:t xml:space="preserve"> now a multiplicity o</w:t>
      </w:r>
      <w:r w:rsidR="002941A6">
        <w:t>f options in the VET system</w:t>
      </w:r>
      <w:r w:rsidR="00CA02CD">
        <w:t>,</w:t>
      </w:r>
      <w:r w:rsidR="002941A6">
        <w:t xml:space="preserve"> and the apprenticeship path is just one of many alternatives. </w:t>
      </w:r>
      <w:r w:rsidR="00CA02CD">
        <w:t>For example</w:t>
      </w:r>
      <w:r w:rsidR="002941A6">
        <w:t>, almost as many, 21</w:t>
      </w:r>
      <w:r w:rsidR="00C158DE">
        <w:t>%</w:t>
      </w:r>
      <w:r w:rsidR="002941A6">
        <w:t>, of Trade Start students undertook further education and training instead of an apprenticeship.</w:t>
      </w:r>
      <w:r w:rsidR="0081475E">
        <w:t xml:space="preserve"> The recent studies have also seen a move from using the transition</w:t>
      </w:r>
      <w:r w:rsidR="000D4B15">
        <w:t xml:space="preserve"> </w:t>
      </w:r>
      <w:r w:rsidR="0081475E">
        <w:t>from pre-apprenticeships to app</w:t>
      </w:r>
      <w:r w:rsidR="000D4B15">
        <w:t>renticeship as the sole</w:t>
      </w:r>
      <w:r w:rsidR="0081475E">
        <w:t xml:space="preserve"> outcome indicator. Thus, Toner and Wo</w:t>
      </w:r>
      <w:r w:rsidR="00992DCC">
        <w:t>o</w:t>
      </w:r>
      <w:r w:rsidR="0081475E">
        <w:t>lley</w:t>
      </w:r>
      <w:r w:rsidR="00432402">
        <w:t xml:space="preserve"> (2007) </w:t>
      </w:r>
      <w:r w:rsidR="004D7CE2">
        <w:t>note</w:t>
      </w:r>
      <w:r w:rsidR="0081475E">
        <w:t xml:space="preserve"> that the apprentice completion rate</w:t>
      </w:r>
      <w:r w:rsidR="00432402">
        <w:t xml:space="preserve"> in New South Wales</w:t>
      </w:r>
      <w:r w:rsidR="0081475E">
        <w:t xml:space="preserve"> was 11</w:t>
      </w:r>
      <w:r w:rsidR="00C158DE">
        <w:t>%</w:t>
      </w:r>
      <w:r w:rsidR="0081475E">
        <w:t xml:space="preserve"> higher for students with prior </w:t>
      </w:r>
      <w:r w:rsidR="00992DCC">
        <w:t>prevocational</w:t>
      </w:r>
      <w:r w:rsidR="0081475E">
        <w:t xml:space="preserve"> education and training compared </w:t>
      </w:r>
      <w:r w:rsidR="00BB40D6">
        <w:t>with</w:t>
      </w:r>
      <w:r w:rsidR="0081475E">
        <w:t xml:space="preserve"> those without a prior VET qualification. </w:t>
      </w:r>
      <w:r w:rsidR="000D4B15">
        <w:t>Using regression methods to control for differences between the two groups</w:t>
      </w:r>
      <w:r w:rsidR="001C6A4B">
        <w:t>,</w:t>
      </w:r>
      <w:r w:rsidR="00A16A56">
        <w:t xml:space="preserve"> </w:t>
      </w:r>
      <w:r w:rsidRPr="002D1DA4">
        <w:t xml:space="preserve">Karmel and Oliver </w:t>
      </w:r>
      <w:r w:rsidR="00E409DE">
        <w:t>(</w:t>
      </w:r>
      <w:r w:rsidRPr="002D1DA4">
        <w:t>2011)</w:t>
      </w:r>
      <w:r w:rsidR="000D4B15">
        <w:t xml:space="preserve"> also</w:t>
      </w:r>
      <w:r w:rsidRPr="002D1DA4">
        <w:t xml:space="preserve"> </w:t>
      </w:r>
      <w:r w:rsidR="0078711C">
        <w:t xml:space="preserve">provide some evidence that </w:t>
      </w:r>
      <w:r w:rsidR="00811090">
        <w:t xml:space="preserve">doing a pre-apprenticeship </w:t>
      </w:r>
      <w:r w:rsidR="0078711C">
        <w:t xml:space="preserve">might </w:t>
      </w:r>
      <w:r w:rsidR="00E409DE">
        <w:t>increase</w:t>
      </w:r>
      <w:r w:rsidRPr="002D1DA4">
        <w:t xml:space="preserve"> the likelihood of completing an apprenticeship</w:t>
      </w:r>
      <w:r w:rsidR="0078711C">
        <w:t>. However, the estimates are imprecise and vary considerably between occupations and according to prior educational qualification</w:t>
      </w:r>
      <w:r w:rsidR="00432402">
        <w:t>s</w:t>
      </w:r>
      <w:r w:rsidR="0078711C">
        <w:t>.</w:t>
      </w:r>
      <w:r w:rsidR="00C158DE">
        <w:t xml:space="preserve">  </w:t>
      </w:r>
    </w:p>
    <w:p w:rsidR="00E409DE" w:rsidRDefault="00E409DE">
      <w:pPr>
        <w:spacing w:before="0" w:line="240" w:lineRule="auto"/>
        <w:rPr>
          <w:rFonts w:ascii="Tahoma" w:hAnsi="Tahoma" w:cs="Tahoma"/>
          <w:sz w:val="28"/>
        </w:rPr>
      </w:pPr>
      <w:r>
        <w:br w:type="page"/>
      </w:r>
    </w:p>
    <w:p w:rsidR="008609C9" w:rsidRDefault="008609C9" w:rsidP="00E409DE">
      <w:pPr>
        <w:pStyle w:val="Heading1"/>
      </w:pPr>
      <w:bookmarkStart w:id="46" w:name="_Toc338161251"/>
      <w:r>
        <w:lastRenderedPageBreak/>
        <w:t>The role of pre-apprenticeships</w:t>
      </w:r>
      <w:bookmarkEnd w:id="46"/>
    </w:p>
    <w:p w:rsidR="008609C9" w:rsidRPr="002D1DA4" w:rsidRDefault="008609C9" w:rsidP="002146F7">
      <w:pPr>
        <w:pStyle w:val="Text"/>
      </w:pPr>
      <w:r w:rsidRPr="002D1DA4">
        <w:t xml:space="preserve">In conceptual terms </w:t>
      </w:r>
      <w:r w:rsidR="00992DCC">
        <w:t xml:space="preserve">a </w:t>
      </w:r>
      <w:r w:rsidRPr="002D1DA4">
        <w:t xml:space="preserve">pre-apprenticeship has three </w:t>
      </w:r>
      <w:r w:rsidR="00901AA5">
        <w:t>functions. Being a mainly class</w:t>
      </w:r>
      <w:r w:rsidR="00BB40D6">
        <w:t>room-</w:t>
      </w:r>
      <w:r w:rsidRPr="002D1DA4">
        <w:t>based mod</w:t>
      </w:r>
      <w:r w:rsidR="00923EA4">
        <w:t>e of training</w:t>
      </w:r>
      <w:r w:rsidR="00992DCC">
        <w:t>,</w:t>
      </w:r>
      <w:r w:rsidR="00923EA4">
        <w:t xml:space="preserve"> it provides trade-</w:t>
      </w:r>
      <w:r w:rsidRPr="002D1DA4">
        <w:t xml:space="preserve">specific and general skills that prepare a student for an apprenticeship. From the perspective of a potential employer a pre-apprenticeship lowers the cost of training an apprentice. Thus an employer who once rejected an applicant for an apprentice place without a pre-apprenticeship may well accept this same applicant after </w:t>
      </w:r>
      <w:r w:rsidR="00BB40D6">
        <w:t>s/</w:t>
      </w:r>
      <w:r w:rsidRPr="002D1DA4">
        <w:t>he has done a pre-apprenticeship. In short, pre-apprenticeships shift the cost of training from the employer to th</w:t>
      </w:r>
      <w:r w:rsidR="00923EA4">
        <w:t>e government and the apprentice, which means that</w:t>
      </w:r>
      <w:r w:rsidRPr="002D1DA4">
        <w:t xml:space="preserve"> </w:t>
      </w:r>
      <w:r w:rsidR="00923EA4">
        <w:t>individuals</w:t>
      </w:r>
      <w:r w:rsidR="00923EA4" w:rsidRPr="002D1DA4">
        <w:t xml:space="preserve"> can be trained at a cost that make</w:t>
      </w:r>
      <w:r w:rsidR="009358AC">
        <w:t>s</w:t>
      </w:r>
      <w:r w:rsidR="00923EA4" w:rsidRPr="002D1DA4">
        <w:t xml:space="preserve"> apprenticeship training viable to employers</w:t>
      </w:r>
      <w:r w:rsidR="00923EA4">
        <w:t>.</w:t>
      </w:r>
      <w:r w:rsidR="00923EA4" w:rsidRPr="002D1DA4">
        <w:t xml:space="preserve"> In contrast to employer subsidies</w:t>
      </w:r>
      <w:r w:rsidR="00992DCC">
        <w:t>,</w:t>
      </w:r>
      <w:r w:rsidR="00923EA4" w:rsidRPr="002D1DA4">
        <w:t xml:space="preserve"> it does this at the margin, by converting applicants below the cut-off mark to above the mark. In contrast, subsidies are payable for all apprentices, including those who would have been trained in the absence of subsidies.</w:t>
      </w:r>
      <w:r w:rsidR="00923EA4">
        <w:t xml:space="preserve"> P</w:t>
      </w:r>
      <w:r w:rsidR="00923EA4" w:rsidRPr="002D1DA4">
        <w:t xml:space="preserve">re-apprenticeships </w:t>
      </w:r>
      <w:r w:rsidR="00923EA4">
        <w:t>expand</w:t>
      </w:r>
      <w:r w:rsidRPr="002D1DA4">
        <w:t xml:space="preserve"> the pool of suitabl</w:t>
      </w:r>
      <w:r w:rsidR="00BB40D6">
        <w:t>e candidates for apprenticeship</w:t>
      </w:r>
      <w:r w:rsidR="00923EA4">
        <w:t xml:space="preserve"> and have the potential</w:t>
      </w:r>
      <w:r w:rsidRPr="002D1DA4">
        <w:t xml:space="preserve"> </w:t>
      </w:r>
      <w:r w:rsidR="00923EA4">
        <w:t>to</w:t>
      </w:r>
      <w:r w:rsidRPr="002D1DA4">
        <w:t xml:space="preserve"> expand the number of apprentices trained</w:t>
      </w:r>
      <w:r w:rsidR="00923EA4">
        <w:t>.</w:t>
      </w:r>
      <w:r w:rsidRPr="002D1DA4">
        <w:t xml:space="preserve"> </w:t>
      </w:r>
    </w:p>
    <w:p w:rsidR="008609C9" w:rsidRPr="002D1DA4" w:rsidRDefault="008609C9" w:rsidP="002146F7">
      <w:pPr>
        <w:pStyle w:val="Text"/>
      </w:pPr>
      <w:r w:rsidRPr="002D1DA4">
        <w:t xml:space="preserve">The second role of </w:t>
      </w:r>
      <w:r w:rsidR="00CD20F8">
        <w:t xml:space="preserve">a </w:t>
      </w:r>
      <w:r w:rsidRPr="002D1DA4">
        <w:t xml:space="preserve">pre-apprenticeship is </w:t>
      </w:r>
      <w:r w:rsidR="00992DCC">
        <w:t xml:space="preserve">as </w:t>
      </w:r>
      <w:r w:rsidRPr="002D1DA4">
        <w:t>a screening device. In that case, it is not the skills or knowledge acquired in a pre-apprenticeship that is the critical factor, but what the successful completion reveals about a prospective apprentice. A screen is useful when the quality of the job match or the quality of the worker cannot be observed by the employer at the time of hiring. The initial probationary period of an apprenticeship fulfils the same role. However, the probationary period is short, and unless the initial training is structured to identify unsuitable apprentices</w:t>
      </w:r>
      <w:r w:rsidR="00992DCC">
        <w:t>,</w:t>
      </w:r>
      <w:r w:rsidRPr="002D1DA4">
        <w:t xml:space="preserve"> it can be difficult to do so. Since the offer of an apprenticeship by an employer is in many ways a stronger commitment than permanent employment, a pre-apprenticeship may well be a useful complement to the probationary period.</w:t>
      </w:r>
      <w:r w:rsidR="00C158DE">
        <w:t xml:space="preserve"> </w:t>
      </w:r>
      <w:r w:rsidRPr="002D1DA4">
        <w:t>A</w:t>
      </w:r>
      <w:r w:rsidR="00BB40D6">
        <w:t>part</w:t>
      </w:r>
      <w:r w:rsidRPr="002D1DA4">
        <w:t xml:space="preserve"> from the wage</w:t>
      </w:r>
      <w:r w:rsidR="00BB40D6">
        <w:t>,</w:t>
      </w:r>
      <w:r w:rsidRPr="002D1DA4">
        <w:t xml:space="preserve"> the employer incurs significant training costs, and since most apprentices are young and inexperienced</w:t>
      </w:r>
      <w:r w:rsidR="00BB40D6">
        <w:t>,</w:t>
      </w:r>
      <w:r w:rsidRPr="002D1DA4">
        <w:t xml:space="preserve"> the quality of prospective apprentices and their suitability for a trade can be particularly difficult to judge. </w:t>
      </w:r>
    </w:p>
    <w:p w:rsidR="008609C9" w:rsidRPr="002D1DA4" w:rsidRDefault="008609C9" w:rsidP="002146F7">
      <w:pPr>
        <w:pStyle w:val="Text"/>
      </w:pPr>
      <w:r w:rsidRPr="002D1DA4">
        <w:t xml:space="preserve">A third role of </w:t>
      </w:r>
      <w:r w:rsidR="00CD20F8">
        <w:t xml:space="preserve">a </w:t>
      </w:r>
      <w:r w:rsidRPr="002D1DA4">
        <w:t>pre-apprentice is to bridge temporary gaps between the supply and demand for new apprentices. As is well known, the recruitment of apprentices is highly sensitive to variations in</w:t>
      </w:r>
      <w:r w:rsidR="00CD20F8">
        <w:t xml:space="preserve"> economic activity. In the 1930</w:t>
      </w:r>
      <w:r w:rsidRPr="002D1DA4">
        <w:t>s depression</w:t>
      </w:r>
      <w:r w:rsidR="00CD20F8">
        <w:t>,</w:t>
      </w:r>
      <w:r w:rsidRPr="002D1DA4">
        <w:t xml:space="preserve"> a</w:t>
      </w:r>
      <w:r w:rsidR="00CD20F8">
        <w:t>pprentice recruitment collapsed</w:t>
      </w:r>
      <w:r w:rsidRPr="002D1DA4">
        <w:t xml:space="preserve"> and a large cohort of youth missed out on the opportunity to become skilled tradesmen. Subsequent downturns have had a less dramatic effect on recruitment, but even a relatively mild recession has been accompanied by a significant fall in the apprentice intake. Less pronounced, b</w:t>
      </w:r>
      <w:r w:rsidR="00CA02CD">
        <w:t xml:space="preserve">ut still important at times, </w:t>
      </w:r>
      <w:proofErr w:type="gramStart"/>
      <w:r w:rsidR="00CA02CD">
        <w:t>have</w:t>
      </w:r>
      <w:proofErr w:type="gramEnd"/>
      <w:r w:rsidRPr="002D1DA4">
        <w:t xml:space="preserve"> been variations in the size of the relevant youth cohort.</w:t>
      </w:r>
      <w:r w:rsidR="00C158DE">
        <w:t xml:space="preserve"> </w:t>
      </w:r>
    </w:p>
    <w:p w:rsidR="008609C9" w:rsidRPr="002D1DA4" w:rsidRDefault="008609C9" w:rsidP="002146F7">
      <w:pPr>
        <w:pStyle w:val="Text"/>
      </w:pPr>
      <w:r w:rsidRPr="002D1DA4">
        <w:t xml:space="preserve">The </w:t>
      </w:r>
      <w:r w:rsidR="00F05129">
        <w:t xml:space="preserve">main </w:t>
      </w:r>
      <w:r w:rsidRPr="002D1DA4">
        <w:t xml:space="preserve">reason why students </w:t>
      </w:r>
      <w:r w:rsidR="00BB40D6">
        <w:t>undertake</w:t>
      </w:r>
      <w:r w:rsidRPr="002D1DA4">
        <w:t xml:space="preserve"> pre-apprenticeships can be </w:t>
      </w:r>
      <w:r w:rsidR="00F05129">
        <w:t xml:space="preserve">traced to these roles. The </w:t>
      </w:r>
      <w:r w:rsidRPr="002D1DA4">
        <w:t>majority of st</w:t>
      </w:r>
      <w:r w:rsidR="00CD20F8">
        <w:t>udents do a pre-apprenticeship</w:t>
      </w:r>
      <w:r w:rsidRPr="002D1DA4">
        <w:t xml:space="preserve"> because they could not get an apprenticeship but wish to</w:t>
      </w:r>
      <w:r w:rsidR="00992DCC">
        <w:t xml:space="preserve"> undertake one</w:t>
      </w:r>
      <w:r w:rsidRPr="002D1DA4">
        <w:t xml:space="preserve"> (</w:t>
      </w:r>
      <w:proofErr w:type="spellStart"/>
      <w:r w:rsidR="006B0105">
        <w:t>Dumbrell</w:t>
      </w:r>
      <w:proofErr w:type="spellEnd"/>
      <w:r w:rsidR="006B0105">
        <w:t xml:space="preserve"> &amp; </w:t>
      </w:r>
      <w:r w:rsidRPr="002D1DA4">
        <w:t>Smith 2007</w:t>
      </w:r>
      <w:r w:rsidR="006B0105">
        <w:t xml:space="preserve">). </w:t>
      </w:r>
      <w:r w:rsidRPr="002D1DA4">
        <w:t>Their prior skills and knowledge made them too costly to train, employers were not confident about their suitability</w:t>
      </w:r>
      <w:r w:rsidR="00992DCC">
        <w:t>,</w:t>
      </w:r>
      <w:r w:rsidRPr="002D1DA4">
        <w:t xml:space="preserve"> or there was an exce</w:t>
      </w:r>
      <w:r>
        <w:t>ss demand for apprentice places.</w:t>
      </w:r>
      <w:r w:rsidR="00F05129">
        <w:t xml:space="preserve"> It is also the case that pre-apprenticeship courses are </w:t>
      </w:r>
      <w:r w:rsidR="00EC1DD3">
        <w:t>designed to meet these roles.</w:t>
      </w:r>
      <w:r w:rsidR="00C158DE">
        <w:t xml:space="preserve">   </w:t>
      </w:r>
    </w:p>
    <w:p w:rsidR="00992DCC" w:rsidRDefault="00F05129" w:rsidP="00992DCC">
      <w:pPr>
        <w:pStyle w:val="Text"/>
      </w:pPr>
      <w:r>
        <w:t>There</w:t>
      </w:r>
      <w:r w:rsidR="00ED3E4A">
        <w:t xml:space="preserve"> </w:t>
      </w:r>
      <w:r>
        <w:t>is</w:t>
      </w:r>
      <w:r w:rsidR="00CA02CD">
        <w:t>,</w:t>
      </w:r>
      <w:r>
        <w:t xml:space="preserve"> n</w:t>
      </w:r>
      <w:r w:rsidR="00833709">
        <w:t>evertheless, an important caveat</w:t>
      </w:r>
      <w:r>
        <w:t>. As noted above</w:t>
      </w:r>
      <w:r w:rsidR="008F5BAC">
        <w:t>,</w:t>
      </w:r>
      <w:r>
        <w:t xml:space="preserve"> a significant proportion of pre-apprenticeship students in the Trades Start program do not</w:t>
      </w:r>
      <w:r w:rsidR="00833709">
        <w:t xml:space="preserve"> move into</w:t>
      </w:r>
      <w:r>
        <w:t xml:space="preserve"> apprenticeship</w:t>
      </w:r>
      <w:r w:rsidR="00833709">
        <w:t>s</w:t>
      </w:r>
      <w:r>
        <w:t xml:space="preserve"> but choose some other form of </w:t>
      </w:r>
      <w:r w:rsidR="00833709">
        <w:t>further vocational education or training. This reflects a</w:t>
      </w:r>
      <w:r w:rsidR="008F5BAC">
        <w:t xml:space="preserve"> broader pattern, </w:t>
      </w:r>
      <w:r w:rsidR="00CA02CD">
        <w:t>whereby</w:t>
      </w:r>
      <w:r w:rsidR="008F5BAC">
        <w:t xml:space="preserve"> lower-</w:t>
      </w:r>
      <w:r w:rsidR="00833709">
        <w:t>level VET courses</w:t>
      </w:r>
      <w:r w:rsidR="00EC1DD3">
        <w:t>, including pre-apprenticeships,</w:t>
      </w:r>
      <w:r w:rsidR="00833709">
        <w:t xml:space="preserve"> are increasingly used for orientation or </w:t>
      </w:r>
      <w:r w:rsidR="00992DCC">
        <w:br w:type="page"/>
      </w:r>
    </w:p>
    <w:p w:rsidR="003778F2" w:rsidRPr="00CD20F8" w:rsidRDefault="00833709" w:rsidP="002146F7">
      <w:pPr>
        <w:pStyle w:val="Text"/>
      </w:pPr>
      <w:proofErr w:type="gramStart"/>
      <w:r>
        <w:lastRenderedPageBreak/>
        <w:t>enabling</w:t>
      </w:r>
      <w:proofErr w:type="gramEnd"/>
      <w:r>
        <w:t xml:space="preserve"> purposes</w:t>
      </w:r>
      <w:r w:rsidR="00EC1DD3">
        <w:t xml:space="preserve"> (NCVER 2011)</w:t>
      </w:r>
      <w:r>
        <w:t xml:space="preserve">. </w:t>
      </w:r>
      <w:r w:rsidR="00ED3E4A">
        <w:t>Many s</w:t>
      </w:r>
      <w:r>
        <w:t>tudents are uncertain about what they want and can do and use these courses to inform themselves about the alternatives and their own capabilities</w:t>
      </w:r>
      <w:r w:rsidR="00ED3E4A">
        <w:t>. A</w:t>
      </w:r>
      <w:r>
        <w:t xml:space="preserve">t the same time </w:t>
      </w:r>
      <w:r w:rsidR="00ED3E4A">
        <w:t>they gain useful skills that enable them to av</w:t>
      </w:r>
      <w:r w:rsidR="00EC1DD3">
        <w:t>ail themselves of</w:t>
      </w:r>
      <w:r w:rsidR="00ED3E4A">
        <w:t xml:space="preserve"> options</w:t>
      </w:r>
      <w:r w:rsidR="00EC1DD3">
        <w:t xml:space="preserve"> that would otherwise not be available to them.</w:t>
      </w:r>
      <w:r w:rsidR="00ED3E4A">
        <w:t xml:space="preserve"> </w:t>
      </w:r>
      <w:r w:rsidR="003778F2">
        <w:br w:type="page"/>
      </w:r>
    </w:p>
    <w:p w:rsidR="008609C9" w:rsidRDefault="006C5BF6" w:rsidP="006C5BF6">
      <w:pPr>
        <w:pStyle w:val="Heading1"/>
      </w:pPr>
      <w:bookmarkStart w:id="47" w:name="_Toc338161252"/>
      <w:r>
        <w:lastRenderedPageBreak/>
        <w:t>Method</w:t>
      </w:r>
      <w:bookmarkEnd w:id="47"/>
    </w:p>
    <w:p w:rsidR="00EC1DD3" w:rsidRDefault="00EC1DD3" w:rsidP="002146F7">
      <w:pPr>
        <w:pStyle w:val="Text"/>
      </w:pPr>
      <w:r>
        <w:t>The previous section</w:t>
      </w:r>
      <w:r w:rsidR="0022687E">
        <w:t>s</w:t>
      </w:r>
      <w:r w:rsidR="00D14DA4">
        <w:t xml:space="preserve"> est</w:t>
      </w:r>
      <w:r w:rsidR="00EA0982">
        <w:t xml:space="preserve">ablished that most students </w:t>
      </w:r>
      <w:r w:rsidR="008F5BAC">
        <w:t>undertake</w:t>
      </w:r>
      <w:r w:rsidR="00EA0982">
        <w:t xml:space="preserve"> a pre-apprenticeship in order to get an apprenticeship</w:t>
      </w:r>
      <w:r w:rsidR="008F5BAC">
        <w:t xml:space="preserve">, </w:t>
      </w:r>
      <w:r w:rsidR="00CA02CD">
        <w:t>and</w:t>
      </w:r>
      <w:r w:rsidR="0022687E">
        <w:t xml:space="preserve"> </w:t>
      </w:r>
      <w:r w:rsidR="00EA0982">
        <w:t>pre-ap</w:t>
      </w:r>
      <w:r w:rsidR="0022687E">
        <w:t>prenticeship courses are designed</w:t>
      </w:r>
      <w:r w:rsidR="00EA0982">
        <w:t xml:space="preserve"> to </w:t>
      </w:r>
      <w:r w:rsidR="008F5BAC">
        <w:t>fulfil</w:t>
      </w:r>
      <w:r w:rsidR="00EA0982">
        <w:t xml:space="preserve"> this</w:t>
      </w:r>
      <w:r w:rsidR="0022687E">
        <w:t xml:space="preserve"> aim. </w:t>
      </w:r>
      <w:r w:rsidR="00E55731">
        <w:t>It was also noted that</w:t>
      </w:r>
      <w:r w:rsidR="0022687E">
        <w:t xml:space="preserve"> some students may do a pre-apprenticeship for a variety of other reasons. </w:t>
      </w:r>
      <w:r w:rsidR="009C2F7A">
        <w:t xml:space="preserve">The possibility of multiple aims is clearly a problem. </w:t>
      </w:r>
      <w:r w:rsidR="0022687E">
        <w:t>Ideally, pre-apprenticeship</w:t>
      </w:r>
      <w:r w:rsidR="00A15304">
        <w:t xml:space="preserve"> courses</w:t>
      </w:r>
      <w:r w:rsidR="0022687E">
        <w:t xml:space="preserve"> should be evaluated </w:t>
      </w:r>
      <w:r w:rsidR="00A15304">
        <w:t>with reference to the aims</w:t>
      </w:r>
      <w:r w:rsidR="0022687E">
        <w:t xml:space="preserve"> of </w:t>
      </w:r>
      <w:r w:rsidR="00A15304">
        <w:t>the participant</w:t>
      </w:r>
      <w:r w:rsidR="009C2F7A">
        <w:t>s</w:t>
      </w:r>
      <w:r w:rsidR="00E55731">
        <w:t>. T</w:t>
      </w:r>
      <w:r w:rsidR="00A15304">
        <w:t>his is not possible</w:t>
      </w:r>
      <w:r w:rsidR="008F5BAC">
        <w:t>,</w:t>
      </w:r>
      <w:r w:rsidR="00E55731">
        <w:t xml:space="preserve"> however</w:t>
      </w:r>
      <w:r w:rsidR="008F5BAC">
        <w:t>, since</w:t>
      </w:r>
      <w:r w:rsidR="00A15304">
        <w:t xml:space="preserve"> </w:t>
      </w:r>
      <w:r w:rsidR="00E55731">
        <w:t>far too little is known</w:t>
      </w:r>
      <w:r w:rsidR="00696BF9">
        <w:t> </w:t>
      </w:r>
      <w:r w:rsidR="00E55731">
        <w:t xml:space="preserve">about </w:t>
      </w:r>
      <w:r w:rsidR="00A15304">
        <w:t>the</w:t>
      </w:r>
      <w:r w:rsidR="00E55731">
        <w:t xml:space="preserve"> aims at the individual level. </w:t>
      </w:r>
      <w:r w:rsidR="009C2F7A">
        <w:t xml:space="preserve">The best that can be done is </w:t>
      </w:r>
      <w:r w:rsidR="00E55731">
        <w:t xml:space="preserve">to </w:t>
      </w:r>
      <w:r w:rsidR="009C2F7A">
        <w:t>evaluate the effect of pre-apprenticeship</w:t>
      </w:r>
      <w:r w:rsidR="00992DCC">
        <w:t>s</w:t>
      </w:r>
      <w:r w:rsidR="009C2F7A">
        <w:t xml:space="preserve"> with reference to the principal </w:t>
      </w:r>
      <w:r w:rsidR="00E55731">
        <w:t xml:space="preserve">aim for </w:t>
      </w:r>
      <w:r w:rsidR="008F5BAC">
        <w:t>undertaking</w:t>
      </w:r>
      <w:r w:rsidR="00E55731">
        <w:t xml:space="preserve"> a pre-apprenticeship</w:t>
      </w:r>
      <w:r w:rsidR="008F5BAC">
        <w:t xml:space="preserve"> —</w:t>
      </w:r>
      <w:r w:rsidR="009C2F7A">
        <w:t xml:space="preserve"> </w:t>
      </w:r>
      <w:r w:rsidR="00E55731">
        <w:t xml:space="preserve">to get an apprenticeship. </w:t>
      </w:r>
    </w:p>
    <w:p w:rsidR="006C5BF6" w:rsidRPr="002D1DA4" w:rsidRDefault="00B87D2C" w:rsidP="002146F7">
      <w:pPr>
        <w:pStyle w:val="Text"/>
      </w:pPr>
      <w:r>
        <w:t xml:space="preserve">In </w:t>
      </w:r>
      <w:r w:rsidR="00E55731">
        <w:t>this</w:t>
      </w:r>
      <w:r w:rsidR="006C5BF6" w:rsidRPr="002D1DA4">
        <w:t xml:space="preserve"> paper we use propensity score matching to estimate the effect of doing a pre-apprenticeship</w:t>
      </w:r>
      <w:r w:rsidR="008F5BAC">
        <w:t>,</w:t>
      </w:r>
      <w:r w:rsidR="006C5BF6" w:rsidRPr="002D1DA4">
        <w:t xml:space="preserve"> using whether a student obtained an</w:t>
      </w:r>
      <w:r w:rsidR="009C2F7A">
        <w:t xml:space="preserve"> apprenticeship as the </w:t>
      </w:r>
      <w:r w:rsidR="006C5BF6" w:rsidRPr="002D1DA4">
        <w:t xml:space="preserve">indicator of the outcome. In the </w:t>
      </w:r>
      <w:r w:rsidR="008F5BAC">
        <w:t>technical language</w:t>
      </w:r>
      <w:r w:rsidR="006C5BF6" w:rsidRPr="002D1DA4">
        <w:t xml:space="preserve"> of matching, doing a pre-apprenticeship is the treatment and the aim of the analysis is to estimate the causal effect of t</w:t>
      </w:r>
      <w:r>
        <w:t>his treatment</w:t>
      </w:r>
      <w:r w:rsidR="006C5BF6" w:rsidRPr="002D1DA4">
        <w:t xml:space="preserve">. </w:t>
      </w:r>
    </w:p>
    <w:p w:rsidR="006C5BF6" w:rsidRDefault="008F5BAC" w:rsidP="00696BF9">
      <w:pPr>
        <w:pStyle w:val="Text"/>
        <w:ind w:right="141"/>
      </w:pPr>
      <w:r>
        <w:t>Evaluating</w:t>
      </w:r>
      <w:r w:rsidR="006C5BF6" w:rsidRPr="002D1DA4">
        <w:t xml:space="preserve"> the effect of a treatment </w:t>
      </w:r>
      <w:r>
        <w:t>involves comparing</w:t>
      </w:r>
      <w:r w:rsidR="006C5BF6" w:rsidRPr="002D1DA4">
        <w:t xml:space="preserve"> the expected outcome with and without a particular treatment. </w:t>
      </w:r>
      <w:r w:rsidR="00CD20F8">
        <w:t>We d</w:t>
      </w:r>
      <w:r w:rsidR="006C5BF6" w:rsidRPr="002D1DA4">
        <w:t>efine (Y,</w:t>
      </w:r>
      <w:r w:rsidR="006C5BF6" w:rsidRPr="002D1DA4">
        <w:rPr>
          <w:vertAlign w:val="superscript"/>
        </w:rPr>
        <w:t>0</w:t>
      </w:r>
      <w:r w:rsidR="006C5BF6" w:rsidRPr="002D1DA4">
        <w:t>, Y</w:t>
      </w:r>
      <w:r w:rsidR="006C5BF6" w:rsidRPr="002D1DA4">
        <w:rPr>
          <w:vertAlign w:val="subscript"/>
        </w:rPr>
        <w:t>i</w:t>
      </w:r>
      <w:r w:rsidR="006C5BF6" w:rsidRPr="002D1DA4">
        <w:rPr>
          <w:vertAlign w:val="superscript"/>
        </w:rPr>
        <w:t>1</w:t>
      </w:r>
      <w:r w:rsidR="006C5BF6" w:rsidRPr="002D1DA4">
        <w:t xml:space="preserve">) as the potential outcomes for the </w:t>
      </w:r>
      <w:proofErr w:type="spellStart"/>
      <w:r w:rsidR="006C5BF6" w:rsidRPr="002D1DA4">
        <w:t>i</w:t>
      </w:r>
      <w:r w:rsidR="00D6113B">
        <w:t>’</w:t>
      </w:r>
      <w:r w:rsidR="006C5BF6" w:rsidRPr="002D1DA4">
        <w:t>th</w:t>
      </w:r>
      <w:proofErr w:type="spellEnd"/>
      <w:r w:rsidR="006C5BF6" w:rsidRPr="002D1DA4">
        <w:t xml:space="preserve"> individual if the individual was not tre</w:t>
      </w:r>
      <w:r w:rsidR="00CD20F8">
        <w:t xml:space="preserve">ated or treated, respectively, </w:t>
      </w:r>
      <w:r w:rsidR="006C5BF6" w:rsidRPr="002D1DA4">
        <w:t>and let D</w:t>
      </w:r>
      <w:r w:rsidR="00CA02CD">
        <w:t xml:space="preserve"> </w:t>
      </w:r>
      <w:r w:rsidR="006C5BF6" w:rsidRPr="002D1DA4">
        <w:t>=</w:t>
      </w:r>
      <w:r w:rsidR="00CA02CD">
        <w:t xml:space="preserve"> </w:t>
      </w:r>
      <w:r w:rsidR="006C5BF6" w:rsidRPr="002D1DA4">
        <w:t xml:space="preserve">[0,1] indicate whether an individual received treatment or not. Then the average effect of the treatment on the treated is measured by </w:t>
      </w:r>
      <w:proofErr w:type="gramStart"/>
      <w:r w:rsidR="006C5BF6" w:rsidRPr="002D1DA4">
        <w:t>E[</w:t>
      </w:r>
      <w:proofErr w:type="gramEnd"/>
      <w:r w:rsidR="006C5BF6" w:rsidRPr="002D1DA4">
        <w:t>Y</w:t>
      </w:r>
      <w:r w:rsidR="006C5BF6" w:rsidRPr="002D1DA4">
        <w:rPr>
          <w:vertAlign w:val="superscript"/>
        </w:rPr>
        <w:t>1</w:t>
      </w:r>
      <w:r w:rsidR="006C5BF6" w:rsidRPr="002D1DA4">
        <w:t>-Y</w:t>
      </w:r>
      <w:r w:rsidR="006C5BF6" w:rsidRPr="002D1DA4">
        <w:rPr>
          <w:vertAlign w:val="superscript"/>
        </w:rPr>
        <w:t>0</w:t>
      </w:r>
      <w:r w:rsidR="006C5BF6" w:rsidRPr="002D1DA4">
        <w:t>|D</w:t>
      </w:r>
      <w:r w:rsidR="00CA02CD">
        <w:t xml:space="preserve"> </w:t>
      </w:r>
      <w:r w:rsidR="006C5BF6" w:rsidRPr="002D1DA4">
        <w:t>=</w:t>
      </w:r>
      <w:r w:rsidR="00CA02CD">
        <w:t xml:space="preserve"> </w:t>
      </w:r>
      <w:r w:rsidR="006C5BF6" w:rsidRPr="002D1DA4">
        <w:t xml:space="preserve">1]. This quantity is not identified since the counterfactual mean, </w:t>
      </w:r>
      <w:proofErr w:type="gramStart"/>
      <w:r w:rsidR="006C5BF6" w:rsidRPr="002D1DA4">
        <w:t>E[</w:t>
      </w:r>
      <w:proofErr w:type="gramEnd"/>
      <w:r w:rsidR="006C5BF6" w:rsidRPr="002D1DA4">
        <w:t>Y</w:t>
      </w:r>
      <w:r w:rsidR="006C5BF6" w:rsidRPr="002D1DA4">
        <w:rPr>
          <w:vertAlign w:val="superscript"/>
        </w:rPr>
        <w:t>0</w:t>
      </w:r>
      <w:r w:rsidR="006C5BF6" w:rsidRPr="002D1DA4">
        <w:t>|D</w:t>
      </w:r>
      <w:r w:rsidR="00CA02CD">
        <w:t xml:space="preserve"> </w:t>
      </w:r>
      <w:r w:rsidR="006C5BF6" w:rsidRPr="002D1DA4">
        <w:t>=</w:t>
      </w:r>
      <w:r w:rsidR="00CA02CD">
        <w:t xml:space="preserve"> </w:t>
      </w:r>
      <w:r w:rsidR="006C5BF6" w:rsidRPr="002D1DA4">
        <w:t>1] is unobservable. If, however, all the variables that influence the selection into treatment as well as the potential outcomes are observed, then conditional on these confounding variables X, the potential outcomes are stochastically independent of D.</w:t>
      </w:r>
      <w:r w:rsidR="00C158DE">
        <w:t xml:space="preserve"> </w:t>
      </w:r>
      <w:r w:rsidR="006C5BF6" w:rsidRPr="002D1DA4">
        <w:t>This assumption, known as ignorable treatment assignment or conditional independence assumption, means that the counterfactual mean outcome</w:t>
      </w:r>
      <w:r w:rsidR="00C158DE">
        <w:t xml:space="preserve"> </w:t>
      </w:r>
      <w:proofErr w:type="gramStart"/>
      <w:r w:rsidR="006C5BF6" w:rsidRPr="002D1DA4">
        <w:t>E[</w:t>
      </w:r>
      <w:proofErr w:type="gramEnd"/>
      <w:r w:rsidR="006C5BF6" w:rsidRPr="002D1DA4">
        <w:t>Y</w:t>
      </w:r>
      <w:r w:rsidR="006C5BF6" w:rsidRPr="002D1DA4">
        <w:rPr>
          <w:vertAlign w:val="superscript"/>
        </w:rPr>
        <w:t>0</w:t>
      </w:r>
      <w:r w:rsidR="006C5BF6" w:rsidRPr="002D1DA4">
        <w:t>|D</w:t>
      </w:r>
      <w:r w:rsidR="00CA02CD">
        <w:t xml:space="preserve"> </w:t>
      </w:r>
      <w:r w:rsidR="006C5BF6" w:rsidRPr="002D1DA4">
        <w:t>=</w:t>
      </w:r>
      <w:r w:rsidR="00CA02CD">
        <w:t xml:space="preserve"> </w:t>
      </w:r>
      <w:r w:rsidR="006C5BF6" w:rsidRPr="002D1DA4">
        <w:t>1] is identified by adjusting the mean of Y among the non-treated for the distribution of X among the treated. Furthermore, Rosenbaum and Rubin (1983) showed that, if the conditional independence assumption is valid, then the potential outcomes are also independent of the assignment to treatment</w:t>
      </w:r>
      <w:r w:rsidR="00853266">
        <w:t>,</w:t>
      </w:r>
      <w:r w:rsidR="006C5BF6" w:rsidRPr="002D1DA4">
        <w:t xml:space="preserve"> conditional on a one-dimensional propensity score p(x) = Pr(D=1|X=x).</w:t>
      </w:r>
      <w:r w:rsidR="00C158DE">
        <w:t xml:space="preserve"> </w:t>
      </w:r>
      <w:r w:rsidR="006C5BF6" w:rsidRPr="002D1DA4">
        <w:t>Because of this dimension reduction property, propensity score matching is widely used in evaluation studies. Propensity score matching, however, requires an additional identification assumption, that the probability of assignment is bounded away from zero and one. This is simply a requirement that there is a counterpart for each treated in the population of the non-treated.</w:t>
      </w:r>
      <w:r w:rsidR="00C158DE">
        <w:t xml:space="preserve"> </w:t>
      </w:r>
      <w:r w:rsidR="006C5BF6" w:rsidRPr="002D1DA4">
        <w:t xml:space="preserve">If all individuals with a certain propensity score are treated, there are no observations of similar individuals who were not treated. </w:t>
      </w:r>
    </w:p>
    <w:p w:rsidR="006C5BF6" w:rsidRDefault="006C5BF6" w:rsidP="006C5BF6">
      <w:pPr>
        <w:spacing w:line="300" w:lineRule="exact"/>
      </w:pPr>
    </w:p>
    <w:p w:rsidR="004D7CE2" w:rsidRDefault="004D7CE2">
      <w:pPr>
        <w:spacing w:before="0" w:line="240" w:lineRule="auto"/>
        <w:rPr>
          <w:rFonts w:ascii="Tahoma" w:hAnsi="Tahoma" w:cs="Tahoma"/>
          <w:color w:val="000000"/>
          <w:kern w:val="28"/>
          <w:sz w:val="56"/>
          <w:szCs w:val="56"/>
        </w:rPr>
      </w:pPr>
      <w:r>
        <w:br w:type="page"/>
      </w:r>
    </w:p>
    <w:p w:rsidR="006C5BF6" w:rsidRDefault="006C5BF6" w:rsidP="006C5BF6">
      <w:pPr>
        <w:pStyle w:val="Heading1"/>
      </w:pPr>
      <w:bookmarkStart w:id="48" w:name="_Toc338161253"/>
      <w:r>
        <w:lastRenderedPageBreak/>
        <w:t>Data</w:t>
      </w:r>
      <w:bookmarkEnd w:id="48"/>
    </w:p>
    <w:p w:rsidR="006C5BF6" w:rsidRPr="002D1DA4" w:rsidRDefault="006C5BF6" w:rsidP="002146F7">
      <w:pPr>
        <w:pStyle w:val="Text"/>
      </w:pPr>
      <w:r w:rsidRPr="002D1DA4">
        <w:t>In this paper we use administrative data from the VET Provider Collection to estimate the effects of doing a pre-apprenticeship. Precisely what effects can be estimated is highly conditioned by the limited information in the data. Thus we first describe the data and then explain the effects to be estimated and the method used.</w:t>
      </w:r>
      <w:r w:rsidR="00C158DE">
        <w:t xml:space="preserve"> </w:t>
      </w:r>
    </w:p>
    <w:p w:rsidR="006C5BF6" w:rsidRPr="002D1DA4" w:rsidRDefault="006C5BF6" w:rsidP="00696BF9">
      <w:pPr>
        <w:pStyle w:val="Text"/>
        <w:ind w:right="-143"/>
      </w:pPr>
      <w:r w:rsidRPr="002D1DA4">
        <w:t>The Western Australian pre-apprenticeship program</w:t>
      </w:r>
      <w:r w:rsidR="00C2009A">
        <w:t xml:space="preserve"> comprises a set of designated c</w:t>
      </w:r>
      <w:r w:rsidRPr="002D1DA4">
        <w:t>ertificate I/II course</w:t>
      </w:r>
      <w:r w:rsidR="00226F02">
        <w:t>s</w:t>
      </w:r>
      <w:r w:rsidRPr="002D1DA4">
        <w:t xml:space="preserve"> that also form part of the ordinary apprenticeship program. This means that courses designated</w:t>
      </w:r>
      <w:r w:rsidR="00696BF9">
        <w:t> </w:t>
      </w:r>
      <w:r w:rsidRPr="002D1DA4">
        <w:t>as pre-apprenticeship are also undertaken by apprentices, some trainees</w:t>
      </w:r>
      <w:r w:rsidR="00853266">
        <w:t>,</w:t>
      </w:r>
      <w:r w:rsidRPr="002D1DA4">
        <w:t xml:space="preserve"> as well as other students for a variety of reasons. For students who are not at school, pre-apprenticeships are generally full-time for six months</w:t>
      </w:r>
      <w:r w:rsidR="00C2009A">
        <w:t>,</w:t>
      </w:r>
      <w:r w:rsidRPr="002D1DA4">
        <w:t xml:space="preserve"> with about 60</w:t>
      </w:r>
      <w:r w:rsidR="00C158DE">
        <w:t>%</w:t>
      </w:r>
      <w:r w:rsidR="00C2009A">
        <w:t xml:space="preserve"> being classroom-</w:t>
      </w:r>
      <w:r w:rsidRPr="002D1DA4">
        <w:t>based and the remaining 40</w:t>
      </w:r>
      <w:r w:rsidR="00C158DE">
        <w:t>%</w:t>
      </w:r>
      <w:r w:rsidRPr="002D1DA4">
        <w:t xml:space="preserve"> allocated to practical experience and work placements. Students still at school do the course under </w:t>
      </w:r>
      <w:r w:rsidR="00226F02">
        <w:t>the School Apprentice Link</w:t>
      </w:r>
      <w:r w:rsidR="00187E05">
        <w:t xml:space="preserve"> program over an 18-</w:t>
      </w:r>
      <w:r w:rsidRPr="002D1DA4">
        <w:t>month period. The pre-apprenticeship co</w:t>
      </w:r>
      <w:r w:rsidR="00187E05">
        <w:t xml:space="preserve">urse </w:t>
      </w:r>
      <w:r w:rsidR="00853266">
        <w:t>covers</w:t>
      </w:r>
      <w:r w:rsidR="00187E05">
        <w:t xml:space="preserve"> two days per week —</w:t>
      </w:r>
      <w:r w:rsidRPr="002D1DA4">
        <w:t xml:space="preserve"> one day with a VET training provider and </w:t>
      </w:r>
      <w:r w:rsidR="00853266">
        <w:t>a one-</w:t>
      </w:r>
      <w:r w:rsidRPr="002D1DA4">
        <w:t xml:space="preserve">day work placement. For school </w:t>
      </w:r>
      <w:r w:rsidR="00187E05">
        <w:t>students there are two versions:</w:t>
      </w:r>
      <w:r w:rsidRPr="002D1DA4">
        <w:t xml:space="preserve"> a family of </w:t>
      </w:r>
      <w:proofErr w:type="gramStart"/>
      <w:r w:rsidRPr="002D1DA4">
        <w:t>trades</w:t>
      </w:r>
      <w:proofErr w:type="gramEnd"/>
      <w:r w:rsidRPr="002D1DA4">
        <w:t xml:space="preserve"> version for those who are not quite sure what to do</w:t>
      </w:r>
      <w:r w:rsidR="00187E05">
        <w:t xml:space="preserve"> and a trade-</w:t>
      </w:r>
      <w:r w:rsidRPr="002D1DA4">
        <w:t>specific version for those who are. Irrespective of how the course is done</w:t>
      </w:r>
      <w:r w:rsidR="00D14DA4">
        <w:t>,</w:t>
      </w:r>
      <w:r w:rsidR="00187E05">
        <w:t xml:space="preserve"> there is a mandated three-</w:t>
      </w:r>
      <w:r w:rsidRPr="002D1DA4">
        <w:t>month time credit towards the completion of an apprenticeship for those who successfully complete a pre-apprent</w:t>
      </w:r>
      <w:r w:rsidR="00187E05">
        <w:t xml:space="preserve">ice course. In 2010 there were </w:t>
      </w:r>
      <w:proofErr w:type="gramStart"/>
      <w:r w:rsidR="00187E05">
        <w:t>ten</w:t>
      </w:r>
      <w:proofErr w:type="gramEnd"/>
      <w:r w:rsidRPr="002D1DA4">
        <w:t xml:space="preserve"> S</w:t>
      </w:r>
      <w:r w:rsidR="00226F02">
        <w:t xml:space="preserve">chool Apprenticeship Link </w:t>
      </w:r>
      <w:r w:rsidRPr="002D1DA4">
        <w:t xml:space="preserve">pathways, 39 certificate I pre-apprenticeship pathways and 31 certificate II pre-apprenticeship pathways listed </w:t>
      </w:r>
      <w:r w:rsidR="00853266">
        <w:t>o</w:t>
      </w:r>
      <w:r w:rsidR="00187E05">
        <w:t>n</w:t>
      </w:r>
      <w:r w:rsidRPr="002D1DA4">
        <w:t xml:space="preserve"> the Western Australian Department of Training and Workforce Development</w:t>
      </w:r>
      <w:r w:rsidR="00D6113B">
        <w:t>’</w:t>
      </w:r>
      <w:r w:rsidRPr="002D1DA4">
        <w:t>s database.</w:t>
      </w:r>
    </w:p>
    <w:p w:rsidR="006C5BF6" w:rsidRPr="002D1DA4" w:rsidRDefault="006C5BF6" w:rsidP="002146F7">
      <w:pPr>
        <w:pStyle w:val="Text"/>
      </w:pPr>
      <w:r w:rsidRPr="002D1DA4">
        <w:t xml:space="preserve">The primary data source is a </w:t>
      </w:r>
      <w:r w:rsidR="00992DCC">
        <w:t xml:space="preserve">2009 </w:t>
      </w:r>
      <w:r w:rsidRPr="002D1DA4">
        <w:t>unit record enrolment file provided by the Department of Training and Workplace Development. This file includes an additional field distinguishing pre-apprenticeships from apprenticeships, traineeships and other VET enrolments in Western Australia. The file identifies 34 courses with students classified as doing the courses as a pre-apprenticeship activity. Ten of the 34 courses were nationally accredited courses. The remaining 24 courses were training package qual</w:t>
      </w:r>
      <w:r w:rsidR="00187E05">
        <w:t xml:space="preserve">ifications. A total of about 16 </w:t>
      </w:r>
      <w:r w:rsidRPr="002D1DA4">
        <w:t>400 students were enrolled in the 34 courses in Western Australia in 2009. Of these, approximately 3200 students were identified as pre-apprenticeship enrolments. There were 13 200 additional students enrolled in the same courses but not as a pr</w:t>
      </w:r>
      <w:r w:rsidR="00187E05">
        <w:t xml:space="preserve">e-apprenticeship enrolment type: </w:t>
      </w:r>
      <w:r w:rsidRPr="002D1DA4">
        <w:t xml:space="preserve">7700 as an apprenticeship, 300 as a traineeship and 5100 as an </w:t>
      </w:r>
      <w:r w:rsidR="00D6113B">
        <w:t>‘</w:t>
      </w:r>
      <w:r w:rsidRPr="002D1DA4">
        <w:t>other</w:t>
      </w:r>
      <w:r w:rsidR="00D6113B">
        <w:t>’</w:t>
      </w:r>
      <w:r w:rsidRPr="002D1DA4">
        <w:t xml:space="preserve"> enrolment type. Th</w:t>
      </w:r>
      <w:r w:rsidR="00187E05">
        <w:t>ese</w:t>
      </w:r>
      <w:r w:rsidRPr="002D1DA4">
        <w:t xml:space="preserve"> data </w:t>
      </w:r>
      <w:r w:rsidR="00187E05">
        <w:t>are</w:t>
      </w:r>
      <w:r w:rsidRPr="002D1DA4">
        <w:t xml:space="preserve"> linked to the </w:t>
      </w:r>
      <w:r w:rsidRPr="00226F02">
        <w:t>A</w:t>
      </w:r>
      <w:r w:rsidR="00226F02" w:rsidRPr="00226F02">
        <w:t xml:space="preserve">ustralian </w:t>
      </w:r>
      <w:r w:rsidRPr="00226F02">
        <w:t>V</w:t>
      </w:r>
      <w:r w:rsidR="00226F02" w:rsidRPr="00226F02">
        <w:t xml:space="preserve">ocational </w:t>
      </w:r>
      <w:r w:rsidRPr="00226F02">
        <w:t>E</w:t>
      </w:r>
      <w:r w:rsidR="00226F02" w:rsidRPr="00226F02">
        <w:t xml:space="preserve">ducation and </w:t>
      </w:r>
      <w:r w:rsidRPr="00226F02">
        <w:t>T</w:t>
      </w:r>
      <w:r w:rsidR="00226F02" w:rsidRPr="00226F02">
        <w:t xml:space="preserve">raining </w:t>
      </w:r>
      <w:r w:rsidRPr="00226F02">
        <w:t>M</w:t>
      </w:r>
      <w:r w:rsidR="00226F02" w:rsidRPr="00226F02">
        <w:t xml:space="preserve">anagement </w:t>
      </w:r>
      <w:r w:rsidRPr="00226F02">
        <w:t>I</w:t>
      </w:r>
      <w:r w:rsidR="00226F02" w:rsidRPr="00226F02">
        <w:t xml:space="preserve">nformation </w:t>
      </w:r>
      <w:r w:rsidRPr="00226F02">
        <w:t>S</w:t>
      </w:r>
      <w:r w:rsidR="00226F02" w:rsidRPr="00226F02">
        <w:t xml:space="preserve">tatistical </w:t>
      </w:r>
      <w:r w:rsidRPr="00226F02">
        <w:t>S</w:t>
      </w:r>
      <w:r w:rsidR="00226F02" w:rsidRPr="00226F02">
        <w:t>tandard</w:t>
      </w:r>
      <w:r w:rsidR="00226F02">
        <w:t xml:space="preserve"> (AVETMISS)</w:t>
      </w:r>
      <w:r w:rsidRPr="002D1DA4">
        <w:t>, the n</w:t>
      </w:r>
      <w:r w:rsidR="00187E05">
        <w:t>ational administrative VET data</w:t>
      </w:r>
      <w:r w:rsidRPr="002D1DA4">
        <w:t>bas</w:t>
      </w:r>
      <w:r w:rsidR="00187E05">
        <w:t>e, for 2009 and 2010. This data</w:t>
      </w:r>
      <w:r w:rsidRPr="002D1DA4">
        <w:t xml:space="preserve">set includes information about the students and the observed outcomes. In addition to the </w:t>
      </w:r>
      <w:r w:rsidR="00226F02">
        <w:t>W</w:t>
      </w:r>
      <w:r w:rsidR="00992DCC">
        <w:t xml:space="preserve">estern </w:t>
      </w:r>
      <w:r w:rsidR="00226F02">
        <w:t>A</w:t>
      </w:r>
      <w:r w:rsidR="00992DCC">
        <w:t>ustralia</w:t>
      </w:r>
      <w:r w:rsidR="00226F02">
        <w:t xml:space="preserve"> 2009 enrolment file, we use </w:t>
      </w:r>
      <w:r w:rsidR="00187E05">
        <w:t>data from the N</w:t>
      </w:r>
      <w:r w:rsidRPr="002D1DA4">
        <w:t>ational VET Provider Collection for 2009 and 2010. Th</w:t>
      </w:r>
      <w:r w:rsidR="00226F02">
        <w:t>ese</w:t>
      </w:r>
      <w:r w:rsidRPr="002D1DA4">
        <w:t xml:space="preserve"> data contain additional enrolment information</w:t>
      </w:r>
      <w:r w:rsidR="00187E05">
        <w:t>,</w:t>
      </w:r>
      <w:r w:rsidRPr="002D1DA4">
        <w:t xml:space="preserve"> including the personal characteristics of the students concerned. </w:t>
      </w:r>
    </w:p>
    <w:p w:rsidR="00226F02" w:rsidRDefault="006C5BF6" w:rsidP="00696BF9">
      <w:pPr>
        <w:pStyle w:val="Text"/>
      </w:pPr>
      <w:r w:rsidRPr="002D1DA4">
        <w:t xml:space="preserve">Apprentices and trainees who are enrolled in </w:t>
      </w:r>
      <w:r w:rsidR="00226F02">
        <w:t xml:space="preserve">a </w:t>
      </w:r>
      <w:r w:rsidRPr="002D1DA4">
        <w:t>pre-apprentice course as defined above cannot be regarded as doing a pre-apprenticeship. The reason they are enrolled in such a course is because it is part of their apprenticeship or trainees</w:t>
      </w:r>
      <w:r w:rsidR="00187E05">
        <w:t>hip. The course has a dual role:</w:t>
      </w:r>
      <w:r w:rsidRPr="002D1DA4">
        <w:t xml:space="preserve"> </w:t>
      </w:r>
      <w:r w:rsidR="00853266">
        <w:t>for</w:t>
      </w:r>
      <w:r w:rsidRPr="002D1DA4">
        <w:t xml:space="preserve"> apprentices/trainees and as a pre-apprenticeship course. The distinction between the two remaining types of enrolment hinges on the motives of students doing the course. Thus students are desig</w:t>
      </w:r>
      <w:r w:rsidR="00187E05">
        <w:t xml:space="preserve">nated as pre-apprentices (type </w:t>
      </w:r>
      <w:r w:rsidR="00D6113B">
        <w:t>‘</w:t>
      </w:r>
      <w:r w:rsidR="00187E05">
        <w:t>P</w:t>
      </w:r>
      <w:r w:rsidR="00D6113B">
        <w:t>’</w:t>
      </w:r>
      <w:r w:rsidRPr="002D1DA4">
        <w:t>) if at the time of enrolment they express an interest in progressing to an appre</w:t>
      </w:r>
      <w:r w:rsidR="00187E05">
        <w:t xml:space="preserve">nticeship and as </w:t>
      </w:r>
      <w:r w:rsidR="00D6113B">
        <w:t>‘</w:t>
      </w:r>
      <w:r w:rsidR="00187E05">
        <w:t>other</w:t>
      </w:r>
      <w:r w:rsidR="00D6113B">
        <w:t>’</w:t>
      </w:r>
      <w:r w:rsidR="00187E05">
        <w:t xml:space="preserve"> (type </w:t>
      </w:r>
      <w:r w:rsidR="00D6113B">
        <w:t>‘</w:t>
      </w:r>
      <w:r w:rsidR="00187E05">
        <w:t>O</w:t>
      </w:r>
      <w:r w:rsidR="00D6113B">
        <w:t>’</w:t>
      </w:r>
      <w:r w:rsidRPr="002D1DA4">
        <w:t>) students otherwise. In many cases, this can be a fine distinction. The interest in doing an apprenticeship can range from weak to strong</w:t>
      </w:r>
      <w:r w:rsidR="009C4B8B">
        <w:t>,</w:t>
      </w:r>
      <w:r w:rsidRPr="002D1DA4">
        <w:t xml:space="preserve"> and lack of interest among </w:t>
      </w:r>
      <w:r w:rsidR="00D6113B">
        <w:t>‘</w:t>
      </w:r>
      <w:r w:rsidRPr="002D1DA4">
        <w:t>other</w:t>
      </w:r>
      <w:r w:rsidR="00D6113B">
        <w:t>’</w:t>
      </w:r>
      <w:r w:rsidRPr="002D1DA4">
        <w:t xml:space="preserve"> students can simply reflect an unwillingness to </w:t>
      </w:r>
      <w:r w:rsidR="009C4B8B">
        <w:t>make</w:t>
      </w:r>
      <w:r w:rsidRPr="002D1DA4">
        <w:t xml:space="preserve"> any form of commitment.</w:t>
      </w:r>
      <w:r w:rsidR="00226F02">
        <w:br w:type="page"/>
      </w:r>
    </w:p>
    <w:p w:rsidR="006C5BF6" w:rsidRDefault="006C5BF6" w:rsidP="006C5BF6">
      <w:pPr>
        <w:pStyle w:val="Heading1"/>
      </w:pPr>
      <w:bookmarkStart w:id="49" w:name="_Toc338161254"/>
      <w:r>
        <w:lastRenderedPageBreak/>
        <w:t>Empirical method</w:t>
      </w:r>
      <w:bookmarkEnd w:id="49"/>
    </w:p>
    <w:p w:rsidR="006C5BF6" w:rsidRPr="002D1DA4" w:rsidRDefault="006C5BF6" w:rsidP="002146F7">
      <w:pPr>
        <w:pStyle w:val="Text"/>
      </w:pPr>
      <w:r w:rsidRPr="002D1DA4">
        <w:t xml:space="preserve">For the purpose of estimating the effect of doing a pre-apprenticeship there are two main limitations </w:t>
      </w:r>
      <w:r w:rsidR="00853266">
        <w:t>to</w:t>
      </w:r>
      <w:r w:rsidRPr="002D1DA4">
        <w:t xml:space="preserve"> the data. </w:t>
      </w:r>
    </w:p>
    <w:p w:rsidR="006C5BF6" w:rsidRPr="002D1DA4" w:rsidRDefault="006C5BF6" w:rsidP="002146F7">
      <w:pPr>
        <w:pStyle w:val="Text"/>
      </w:pPr>
      <w:r w:rsidRPr="002D1DA4">
        <w:t>First, it is not clear who the treated are. Pre-apprentices and other students enrol in the same course</w:t>
      </w:r>
      <w:r w:rsidR="007465C6">
        <w:t>,</w:t>
      </w:r>
      <w:r w:rsidRPr="002D1DA4">
        <w:t xml:space="preserve"> so in a </w:t>
      </w:r>
      <w:r w:rsidR="00226F02">
        <w:t xml:space="preserve">sense both groups are treated. </w:t>
      </w:r>
      <w:r w:rsidRPr="002D1DA4">
        <w:t>However, their treatment might differ because of associated differences in enrolment status (internal v</w:t>
      </w:r>
      <w:r w:rsidR="00226F02">
        <w:t>ersus</w:t>
      </w:r>
      <w:r w:rsidRPr="002D1DA4">
        <w:t xml:space="preserve"> external), the support (work placement and mentoring) they receive and differences in their propensity to complete.</w:t>
      </w:r>
      <w:r w:rsidR="00C158DE">
        <w:t xml:space="preserve"> </w:t>
      </w:r>
      <w:r w:rsidRPr="002D1DA4">
        <w:t>In addition</w:t>
      </w:r>
      <w:r w:rsidR="00853266">
        <w:t>,</w:t>
      </w:r>
      <w:r w:rsidRPr="002D1DA4">
        <w:t xml:space="preserve"> their motives for doing the course differ.</w:t>
      </w:r>
    </w:p>
    <w:p w:rsidR="006C5BF6" w:rsidRPr="002D1DA4" w:rsidRDefault="006C5BF6" w:rsidP="002146F7">
      <w:pPr>
        <w:pStyle w:val="Text"/>
      </w:pPr>
      <w:r w:rsidRPr="002D1DA4">
        <w:t xml:space="preserve">The second problem is that the estimation of the causal effect of pre-apprenticeships depends on having a control group from which the counterfactual outcome can be estimated. After matching the treated with this control group on observable variables, the identifying assumption requires that the potential outcomes are independent of selection into treatment, </w:t>
      </w:r>
      <w:r w:rsidR="007465C6">
        <w:t>that is,</w:t>
      </w:r>
      <w:r w:rsidRPr="002D1DA4">
        <w:t xml:space="preserve"> does not depend on any unobservable factors.</w:t>
      </w:r>
    </w:p>
    <w:p w:rsidR="006C5BF6" w:rsidRPr="002D1DA4" w:rsidRDefault="006C5BF6" w:rsidP="002146F7">
      <w:pPr>
        <w:pStyle w:val="Text"/>
      </w:pPr>
      <w:r w:rsidRPr="002D1DA4">
        <w:t xml:space="preserve">For the empirical analysis we have taken pre-apprenticeship students as the treated and the other students as controls. This implies that the treatment is not doing a pre-apprenticeship course </w:t>
      </w:r>
      <w:r w:rsidRPr="007465C6">
        <w:t>per se</w:t>
      </w:r>
      <w:r w:rsidRPr="002D1DA4">
        <w:t>, but doing the course as a pre-apprenticeship student.</w:t>
      </w:r>
      <w:r w:rsidR="00C158DE">
        <w:t xml:space="preserve"> </w:t>
      </w:r>
      <w:r w:rsidRPr="002D1DA4">
        <w:t>Alternative definitions of the treated do</w:t>
      </w:r>
      <w:r w:rsidR="00226F02">
        <w:t xml:space="preserve"> not solve the second problem. </w:t>
      </w:r>
      <w:r w:rsidRPr="002D1DA4">
        <w:t>The selection into treatment, who becomes a pre-apprenticeship or other student, is based on unobservable factors that shape the students</w:t>
      </w:r>
      <w:r w:rsidR="00D6113B">
        <w:t>’</w:t>
      </w:r>
      <w:r w:rsidRPr="002D1DA4">
        <w:t xml:space="preserve"> interest</w:t>
      </w:r>
      <w:r w:rsidR="00226F02">
        <w:t xml:space="preserve"> in doing pre-apprenticeships. </w:t>
      </w:r>
      <w:r w:rsidRPr="002D1DA4">
        <w:t>Furthermore, the same unobservable factors shape the students</w:t>
      </w:r>
      <w:r w:rsidR="00D6113B">
        <w:t>’</w:t>
      </w:r>
      <w:r w:rsidRPr="002D1DA4">
        <w:t xml:space="preserve"> motivation for obtaining an apprenticeship and their success in achieving this outcome. In short, pre-apprenticeship students are more likely to obtain an apprenticeship than other students due to their greater motivation to secure this ou</w:t>
      </w:r>
      <w:r w:rsidR="00226F02">
        <w:t xml:space="preserve">tcome. </w:t>
      </w:r>
      <w:r w:rsidRPr="002D1DA4">
        <w:t xml:space="preserve">More formally, the conditional independence assumption is unlikely to hold. </w:t>
      </w:r>
    </w:p>
    <w:p w:rsidR="006C5BF6" w:rsidRPr="002D1DA4" w:rsidRDefault="006C5BF6" w:rsidP="002146F7">
      <w:pPr>
        <w:pStyle w:val="Text"/>
      </w:pPr>
      <w:r w:rsidRPr="002D1DA4">
        <w:t xml:space="preserve">The conditional independence assumption is often seen </w:t>
      </w:r>
      <w:r w:rsidR="009C552E">
        <w:t>as an all-or-</w:t>
      </w:r>
      <w:r w:rsidR="007465C6">
        <w:t>nothing assumption:</w:t>
      </w:r>
      <w:r w:rsidRPr="002D1DA4">
        <w:t xml:space="preserve"> either it is satisfied and one can then proceed to use matching to estimate a treatment effect, or</w:t>
      </w:r>
      <w:r w:rsidR="00E10FC0">
        <w:t xml:space="preserve"> it</w:t>
      </w:r>
      <w:r w:rsidRPr="002D1DA4">
        <w:t xml:space="preserve"> is deemed implausible and </w:t>
      </w:r>
      <w:r w:rsidR="007465C6" w:rsidRPr="002D1DA4">
        <w:t xml:space="preserve">other methods </w:t>
      </w:r>
      <w:r w:rsidRPr="002D1DA4">
        <w:t xml:space="preserve">should </w:t>
      </w:r>
      <w:r w:rsidR="007465C6">
        <w:t xml:space="preserve">be </w:t>
      </w:r>
      <w:r w:rsidRPr="002D1DA4">
        <w:t>consider</w:t>
      </w:r>
      <w:r w:rsidR="007465C6">
        <w:t>ed</w:t>
      </w:r>
      <w:r w:rsidRPr="002D1DA4">
        <w:t>. An alternative, whic</w:t>
      </w:r>
      <w:r w:rsidR="00E10FC0">
        <w:t>h has received much attention in</w:t>
      </w:r>
      <w:r w:rsidRPr="002D1DA4">
        <w:t xml:space="preserve"> the recent literat</w:t>
      </w:r>
      <w:r w:rsidR="007465C6">
        <w:t>ure, is to relax the assumption and use</w:t>
      </w:r>
      <w:r w:rsidRPr="002D1DA4">
        <w:t xml:space="preserve"> sensitivity analysis to investigate whether the results obtained are substantially changed by modest violations of the assumption (</w:t>
      </w:r>
      <w:proofErr w:type="spellStart"/>
      <w:r w:rsidRPr="002D1DA4">
        <w:t>Imbens</w:t>
      </w:r>
      <w:proofErr w:type="spellEnd"/>
      <w:r w:rsidRPr="002D1DA4">
        <w:t xml:space="preserve"> </w:t>
      </w:r>
      <w:r w:rsidR="007465C6">
        <w:t>&amp;</w:t>
      </w:r>
      <w:r w:rsidRPr="002D1DA4">
        <w:t xml:space="preserve"> </w:t>
      </w:r>
      <w:proofErr w:type="spellStart"/>
      <w:r w:rsidRPr="002D1DA4">
        <w:t>Woolridge</w:t>
      </w:r>
      <w:proofErr w:type="spellEnd"/>
      <w:r w:rsidRPr="002D1DA4">
        <w:t xml:space="preserve"> 2008). The reason this approach is adopted is that the use of other methods depend</w:t>
      </w:r>
      <w:r w:rsidR="007465C6">
        <w:t>s</w:t>
      </w:r>
      <w:r w:rsidRPr="002D1DA4">
        <w:t xml:space="preserve"> on informativ</w:t>
      </w:r>
      <w:r w:rsidR="00E10FC0">
        <w:t>e data and/</w:t>
      </w:r>
      <w:r w:rsidRPr="002D1DA4">
        <w:t>or other identifying assumptions that may also be questionable.</w:t>
      </w:r>
    </w:p>
    <w:p w:rsidR="006C5BF6" w:rsidRPr="002D1DA4" w:rsidRDefault="006C5BF6" w:rsidP="002146F7">
      <w:pPr>
        <w:pStyle w:val="Text"/>
      </w:pPr>
      <w:r w:rsidRPr="002D1DA4">
        <w:t xml:space="preserve">In the case at hand, the limited data preclude using another method that </w:t>
      </w:r>
      <w:r w:rsidR="007465C6">
        <w:t>does</w:t>
      </w:r>
      <w:r w:rsidR="007465C6" w:rsidRPr="002D1DA4">
        <w:t xml:space="preserve"> </w:t>
      </w:r>
      <w:r w:rsidRPr="002D1DA4">
        <w:t xml:space="preserve">not depend on the conditional independence assumption. Thus we </w:t>
      </w:r>
      <w:r w:rsidR="00853266">
        <w:t>follow the alternative approach</w:t>
      </w:r>
      <w:r w:rsidR="009C552E">
        <w:t>:</w:t>
      </w:r>
      <w:r w:rsidRPr="002D1DA4">
        <w:t xml:space="preserve"> using matching</w:t>
      </w:r>
      <w:r w:rsidR="009C552E">
        <w:t>,</w:t>
      </w:r>
      <w:r w:rsidRPr="002D1DA4">
        <w:t xml:space="preserve"> in conjunction with sensitivity analysis. </w:t>
      </w:r>
    </w:p>
    <w:p w:rsidR="00E10FC0" w:rsidRDefault="006C5BF6" w:rsidP="002146F7">
      <w:pPr>
        <w:pStyle w:val="Text"/>
      </w:pPr>
      <w:r w:rsidRPr="002D1DA4">
        <w:t>Propensity score matching proceeds by first estimating the propensity score, the probability that an individual is treated as a function of the observed confounding variables. For each individual, a matching estimator then imputes the missing outcome by using the outcomes of other individuals with similar propensity scores who were not exposed to the treatment. Averaging over the treated units yields the average treat</w:t>
      </w:r>
      <w:r w:rsidR="00E10FC0">
        <w:t>ment effect on the treated</w:t>
      </w:r>
      <w:r w:rsidRPr="002D1DA4">
        <w:t xml:space="preserve">. The </w:t>
      </w:r>
      <w:r w:rsidR="00E10FC0">
        <w:t>average treatment effect on the treated</w:t>
      </w:r>
      <w:r w:rsidRPr="002D1DA4">
        <w:t xml:space="preserve"> is an estimate of the effect of doing a pre-apprenticeship on the outcome, getting an apprenticeship, compared </w:t>
      </w:r>
      <w:r w:rsidR="007465C6">
        <w:t>with</w:t>
      </w:r>
      <w:r w:rsidRPr="002D1DA4">
        <w:t xml:space="preserve"> enrolling in the same course as an </w:t>
      </w:r>
      <w:r w:rsidR="00D6113B">
        <w:t>‘</w:t>
      </w:r>
      <w:r w:rsidRPr="002D1DA4">
        <w:t>other</w:t>
      </w:r>
      <w:r w:rsidR="00D6113B">
        <w:t>’</w:t>
      </w:r>
      <w:r w:rsidRPr="002D1DA4">
        <w:t xml:space="preserve"> student. Finally, the estimated effect is then subjected to a sensitivity analysis </w:t>
      </w:r>
      <w:r w:rsidR="009C4B8B">
        <w:t>through the introduction of</w:t>
      </w:r>
      <w:r w:rsidRPr="002D1DA4">
        <w:t xml:space="preserve"> a hypothetical unobserved factor.</w:t>
      </w:r>
    </w:p>
    <w:p w:rsidR="00E10FC0" w:rsidRDefault="00E10FC0">
      <w:pPr>
        <w:spacing w:before="0" w:line="240" w:lineRule="auto"/>
      </w:pPr>
      <w:r>
        <w:br w:type="page"/>
      </w:r>
    </w:p>
    <w:p w:rsidR="006C5BF6" w:rsidRDefault="006C5BF6" w:rsidP="006C5BF6">
      <w:pPr>
        <w:pStyle w:val="Heading1"/>
      </w:pPr>
      <w:bookmarkStart w:id="50" w:name="_Toc338161255"/>
      <w:r>
        <w:lastRenderedPageBreak/>
        <w:t>Descriptive analysis</w:t>
      </w:r>
      <w:bookmarkEnd w:id="50"/>
    </w:p>
    <w:p w:rsidR="006C5BF6" w:rsidRPr="002D1DA4" w:rsidRDefault="006C5BF6" w:rsidP="007D510F">
      <w:pPr>
        <w:pStyle w:val="Text"/>
      </w:pPr>
      <w:r w:rsidRPr="002D1DA4">
        <w:t>The 2009 enrolment file contains obse</w:t>
      </w:r>
      <w:r w:rsidR="00020832">
        <w:t>rvation</w:t>
      </w:r>
      <w:r w:rsidR="00D14DA4">
        <w:t>s</w:t>
      </w:r>
      <w:r w:rsidR="007465C6">
        <w:t xml:space="preserve"> on 173 </w:t>
      </w:r>
      <w:r w:rsidR="00020832">
        <w:t>447 students enrolled in</w:t>
      </w:r>
      <w:r w:rsidR="007465C6">
        <w:t xml:space="preserve"> 216 </w:t>
      </w:r>
      <w:r w:rsidRPr="002D1DA4">
        <w:t>562 courses. In the analysis we use students rather than courses.</w:t>
      </w:r>
      <w:r w:rsidR="00C158DE">
        <w:t xml:space="preserve"> </w:t>
      </w:r>
      <w:r w:rsidRPr="002D1DA4">
        <w:t xml:space="preserve">To </w:t>
      </w:r>
      <w:r w:rsidR="007465C6">
        <w:t>implement</w:t>
      </w:r>
      <w:r w:rsidR="00853266">
        <w:t xml:space="preserve"> this principle:</w:t>
      </w:r>
      <w:r w:rsidRPr="002D1DA4">
        <w:t xml:space="preserve"> if a student was enrolled in several courses, one course was selected at random to re</w:t>
      </w:r>
      <w:r w:rsidR="00853266">
        <w:t>present the course the student wa</w:t>
      </w:r>
      <w:r w:rsidRPr="002D1DA4">
        <w:t>s doing. For courses identified as pre-apprenticeship courses, the enrolments are classified into one of four enrolment types; apart from being a pre-apprenticeship</w:t>
      </w:r>
      <w:r w:rsidR="009C552E">
        <w:t>,</w:t>
      </w:r>
      <w:r w:rsidRPr="002D1DA4">
        <w:t xml:space="preserve"> the enrolment can also be part of an apprenticeship or traineeship. Alternatively</w:t>
      </w:r>
      <w:r w:rsidR="007465C6">
        <w:t>,</w:t>
      </w:r>
      <w:r w:rsidRPr="002D1DA4">
        <w:t xml:space="preserve"> it is classified as being an </w:t>
      </w:r>
      <w:r w:rsidR="00D6113B">
        <w:t>‘</w:t>
      </w:r>
      <w:r w:rsidRPr="002D1DA4">
        <w:t>other</w:t>
      </w:r>
      <w:r w:rsidR="00D6113B">
        <w:t>’</w:t>
      </w:r>
      <w:r w:rsidRPr="002D1DA4">
        <w:t xml:space="preserve"> enrolment type. </w:t>
      </w:r>
    </w:p>
    <w:p w:rsidR="006C5BF6" w:rsidRPr="002D1DA4" w:rsidRDefault="006C5BF6" w:rsidP="007D510F">
      <w:pPr>
        <w:pStyle w:val="Text"/>
      </w:pPr>
      <w:r w:rsidRPr="002D1DA4">
        <w:t>The distribution of enrolment type in pre-appr</w:t>
      </w:r>
      <w:r w:rsidR="007465C6">
        <w:t>enticeship courses is given in t</w:t>
      </w:r>
      <w:r w:rsidRPr="002D1DA4">
        <w:t>able 1</w:t>
      </w:r>
      <w:r w:rsidR="007465C6">
        <w:t>,</w:t>
      </w:r>
      <w:r w:rsidRPr="002D1DA4">
        <w:t xml:space="preserve"> distinguishing between students who are doing a VET</w:t>
      </w:r>
      <w:r>
        <w:t xml:space="preserve"> program while still at school.</w:t>
      </w:r>
    </w:p>
    <w:p w:rsidR="000639C2" w:rsidRDefault="000639C2" w:rsidP="000639C2">
      <w:pPr>
        <w:pStyle w:val="tabletitle"/>
      </w:pPr>
      <w:bookmarkStart w:id="51" w:name="_Toc331076999"/>
      <w:bookmarkStart w:id="52" w:name="_Toc337199617"/>
      <w:r>
        <w:t>Table 1</w:t>
      </w:r>
      <w:r>
        <w:tab/>
        <w:t>2009 enrolments in pre-apprenticeship courses</w:t>
      </w:r>
      <w:bookmarkEnd w:id="51"/>
      <w:bookmarkEnd w:id="52"/>
      <w:r>
        <w:t xml:space="preserve"> </w:t>
      </w:r>
    </w:p>
    <w:tbl>
      <w:tblPr>
        <w:tblW w:w="8789" w:type="dxa"/>
        <w:tblInd w:w="108" w:type="dxa"/>
        <w:tblBorders>
          <w:top w:val="single" w:sz="4" w:space="0" w:color="auto"/>
          <w:bottom w:val="single" w:sz="4" w:space="0" w:color="auto"/>
        </w:tblBorders>
        <w:tblLayout w:type="fixed"/>
        <w:tblLook w:val="0000"/>
      </w:tblPr>
      <w:tblGrid>
        <w:gridCol w:w="1134"/>
        <w:gridCol w:w="1559"/>
        <w:gridCol w:w="1559"/>
        <w:gridCol w:w="1559"/>
        <w:gridCol w:w="1560"/>
        <w:gridCol w:w="1418"/>
      </w:tblGrid>
      <w:tr w:rsidR="00187713" w:rsidTr="00696BF9">
        <w:trPr>
          <w:cantSplit/>
        </w:trPr>
        <w:tc>
          <w:tcPr>
            <w:tcW w:w="1134" w:type="dxa"/>
            <w:tcBorders>
              <w:top w:val="single" w:sz="4" w:space="0" w:color="auto"/>
              <w:bottom w:val="single" w:sz="4" w:space="0" w:color="auto"/>
              <w:right w:val="nil"/>
            </w:tcBorders>
          </w:tcPr>
          <w:p w:rsidR="00187713" w:rsidRDefault="00187713" w:rsidP="00696BF9">
            <w:pPr>
              <w:pStyle w:val="Tablehead1"/>
            </w:pPr>
          </w:p>
        </w:tc>
        <w:tc>
          <w:tcPr>
            <w:tcW w:w="1559" w:type="dxa"/>
            <w:tcBorders>
              <w:top w:val="single" w:sz="4" w:space="0" w:color="auto"/>
              <w:bottom w:val="single" w:sz="4" w:space="0" w:color="auto"/>
              <w:right w:val="nil"/>
            </w:tcBorders>
          </w:tcPr>
          <w:p w:rsidR="00187713" w:rsidRPr="00187713" w:rsidRDefault="00187713" w:rsidP="00696BF9">
            <w:pPr>
              <w:pStyle w:val="Tablehead1"/>
              <w:jc w:val="center"/>
            </w:pPr>
            <w:r>
              <w:t>Apprenticeship</w:t>
            </w:r>
          </w:p>
        </w:tc>
        <w:tc>
          <w:tcPr>
            <w:tcW w:w="1559" w:type="dxa"/>
            <w:tcBorders>
              <w:top w:val="single" w:sz="4" w:space="0" w:color="auto"/>
              <w:left w:val="nil"/>
              <w:bottom w:val="single" w:sz="4" w:space="0" w:color="auto"/>
              <w:right w:val="nil"/>
            </w:tcBorders>
          </w:tcPr>
          <w:p w:rsidR="00187713" w:rsidRPr="00187713" w:rsidRDefault="00187713" w:rsidP="00696BF9">
            <w:pPr>
              <w:pStyle w:val="Tablehead1"/>
              <w:jc w:val="center"/>
            </w:pPr>
            <w:r>
              <w:t>Other</w:t>
            </w:r>
          </w:p>
        </w:tc>
        <w:tc>
          <w:tcPr>
            <w:tcW w:w="1559" w:type="dxa"/>
            <w:tcBorders>
              <w:top w:val="single" w:sz="4" w:space="0" w:color="auto"/>
              <w:left w:val="nil"/>
              <w:bottom w:val="single" w:sz="4" w:space="0" w:color="auto"/>
              <w:right w:val="nil"/>
            </w:tcBorders>
            <w:tcMar>
              <w:left w:w="0" w:type="dxa"/>
              <w:right w:w="0" w:type="dxa"/>
            </w:tcMar>
          </w:tcPr>
          <w:p w:rsidR="00187713" w:rsidRPr="00187713" w:rsidRDefault="00187713" w:rsidP="00696BF9">
            <w:pPr>
              <w:pStyle w:val="Tablehead1"/>
              <w:jc w:val="center"/>
            </w:pPr>
            <w:r>
              <w:t>Pre-apprenticeship</w:t>
            </w:r>
          </w:p>
        </w:tc>
        <w:tc>
          <w:tcPr>
            <w:tcW w:w="1560" w:type="dxa"/>
            <w:tcBorders>
              <w:top w:val="single" w:sz="4" w:space="0" w:color="auto"/>
              <w:left w:val="nil"/>
              <w:bottom w:val="single" w:sz="4" w:space="0" w:color="auto"/>
              <w:right w:val="nil"/>
            </w:tcBorders>
          </w:tcPr>
          <w:p w:rsidR="00187713" w:rsidRPr="00187713" w:rsidRDefault="00187713" w:rsidP="00696BF9">
            <w:pPr>
              <w:pStyle w:val="Tablehead1"/>
              <w:jc w:val="center"/>
            </w:pPr>
            <w:r>
              <w:t>Traineeship</w:t>
            </w:r>
          </w:p>
        </w:tc>
        <w:tc>
          <w:tcPr>
            <w:tcW w:w="1418" w:type="dxa"/>
            <w:tcBorders>
              <w:top w:val="single" w:sz="4" w:space="0" w:color="auto"/>
              <w:left w:val="nil"/>
              <w:bottom w:val="single" w:sz="4" w:space="0" w:color="auto"/>
            </w:tcBorders>
          </w:tcPr>
          <w:p w:rsidR="00187713" w:rsidRPr="00187713" w:rsidRDefault="00187713" w:rsidP="00696BF9">
            <w:pPr>
              <w:pStyle w:val="Tablehead1"/>
              <w:jc w:val="center"/>
            </w:pPr>
            <w:r>
              <w:t>Total</w:t>
            </w:r>
          </w:p>
        </w:tc>
      </w:tr>
      <w:tr w:rsidR="00187713" w:rsidTr="00696BF9">
        <w:trPr>
          <w:cantSplit/>
        </w:trPr>
        <w:tc>
          <w:tcPr>
            <w:tcW w:w="1134" w:type="dxa"/>
            <w:tcBorders>
              <w:top w:val="nil"/>
              <w:bottom w:val="nil"/>
              <w:right w:val="nil"/>
            </w:tcBorders>
            <w:tcMar>
              <w:right w:w="0" w:type="dxa"/>
            </w:tcMar>
          </w:tcPr>
          <w:p w:rsidR="00187713" w:rsidRDefault="00187713" w:rsidP="00696BF9">
            <w:pPr>
              <w:pStyle w:val="Tabletext"/>
            </w:pPr>
            <w:r>
              <w:t>Not at school</w:t>
            </w:r>
          </w:p>
        </w:tc>
        <w:tc>
          <w:tcPr>
            <w:tcW w:w="1559" w:type="dxa"/>
            <w:tcBorders>
              <w:top w:val="nil"/>
              <w:bottom w:val="nil"/>
              <w:right w:val="nil"/>
            </w:tcBorders>
          </w:tcPr>
          <w:p w:rsidR="00187713" w:rsidRPr="007D510F" w:rsidRDefault="00187713" w:rsidP="00696BF9">
            <w:pPr>
              <w:pStyle w:val="Tabletext"/>
              <w:ind w:right="454"/>
              <w:jc w:val="right"/>
            </w:pPr>
            <w:r w:rsidRPr="007D510F">
              <w:t>7</w:t>
            </w:r>
            <w:r w:rsidR="00696BF9">
              <w:t xml:space="preserve"> </w:t>
            </w:r>
            <w:r w:rsidRPr="007D510F">
              <w:t>606</w:t>
            </w:r>
          </w:p>
        </w:tc>
        <w:tc>
          <w:tcPr>
            <w:tcW w:w="1559" w:type="dxa"/>
            <w:tcBorders>
              <w:top w:val="nil"/>
              <w:left w:val="nil"/>
              <w:bottom w:val="nil"/>
              <w:right w:val="nil"/>
            </w:tcBorders>
          </w:tcPr>
          <w:p w:rsidR="00187713" w:rsidRPr="007D510F" w:rsidRDefault="00187713" w:rsidP="00696BF9">
            <w:pPr>
              <w:pStyle w:val="Tabletext"/>
              <w:ind w:right="454"/>
              <w:jc w:val="right"/>
            </w:pPr>
            <w:r w:rsidRPr="007D510F">
              <w:t>2</w:t>
            </w:r>
            <w:r w:rsidR="00696BF9">
              <w:t xml:space="preserve"> </w:t>
            </w:r>
            <w:r w:rsidRPr="007D510F">
              <w:t>949</w:t>
            </w:r>
          </w:p>
        </w:tc>
        <w:tc>
          <w:tcPr>
            <w:tcW w:w="1559" w:type="dxa"/>
            <w:tcBorders>
              <w:top w:val="nil"/>
              <w:left w:val="nil"/>
              <w:bottom w:val="nil"/>
              <w:right w:val="nil"/>
            </w:tcBorders>
          </w:tcPr>
          <w:p w:rsidR="00187713" w:rsidRPr="007D510F" w:rsidRDefault="00187713" w:rsidP="00696BF9">
            <w:pPr>
              <w:pStyle w:val="Tabletext"/>
              <w:ind w:right="454"/>
              <w:jc w:val="right"/>
            </w:pPr>
            <w:r w:rsidRPr="007D510F">
              <w:t>2</w:t>
            </w:r>
            <w:r w:rsidR="00696BF9">
              <w:t xml:space="preserve"> </w:t>
            </w:r>
            <w:r w:rsidRPr="007D510F">
              <w:t>253</w:t>
            </w:r>
          </w:p>
        </w:tc>
        <w:tc>
          <w:tcPr>
            <w:tcW w:w="1560" w:type="dxa"/>
            <w:tcBorders>
              <w:top w:val="nil"/>
              <w:left w:val="nil"/>
              <w:bottom w:val="nil"/>
              <w:right w:val="nil"/>
            </w:tcBorders>
          </w:tcPr>
          <w:p w:rsidR="00187713" w:rsidRPr="007D510F" w:rsidRDefault="00187713" w:rsidP="00696BF9">
            <w:pPr>
              <w:pStyle w:val="Tabletext"/>
              <w:ind w:right="510"/>
              <w:jc w:val="right"/>
            </w:pPr>
            <w:r w:rsidRPr="007D510F">
              <w:t>159</w:t>
            </w:r>
          </w:p>
        </w:tc>
        <w:tc>
          <w:tcPr>
            <w:tcW w:w="1418" w:type="dxa"/>
            <w:tcBorders>
              <w:top w:val="nil"/>
              <w:left w:val="nil"/>
              <w:bottom w:val="nil"/>
            </w:tcBorders>
          </w:tcPr>
          <w:p w:rsidR="00187713" w:rsidRPr="00F43A69" w:rsidRDefault="00187713" w:rsidP="00696BF9">
            <w:pPr>
              <w:pStyle w:val="Tabletext"/>
              <w:ind w:right="340"/>
              <w:jc w:val="right"/>
              <w:rPr>
                <w:b/>
              </w:rPr>
            </w:pPr>
            <w:r w:rsidRPr="00F43A69">
              <w:rPr>
                <w:b/>
              </w:rPr>
              <w:t>12</w:t>
            </w:r>
            <w:r w:rsidR="00696BF9" w:rsidRPr="00F43A69">
              <w:rPr>
                <w:b/>
              </w:rPr>
              <w:t xml:space="preserve"> </w:t>
            </w:r>
            <w:r w:rsidRPr="00F43A69">
              <w:rPr>
                <w:b/>
              </w:rPr>
              <w:t>967</w:t>
            </w:r>
          </w:p>
        </w:tc>
      </w:tr>
      <w:tr w:rsidR="00187713" w:rsidTr="00696BF9">
        <w:trPr>
          <w:cantSplit/>
        </w:trPr>
        <w:tc>
          <w:tcPr>
            <w:tcW w:w="1134" w:type="dxa"/>
            <w:tcBorders>
              <w:top w:val="nil"/>
              <w:bottom w:val="nil"/>
              <w:right w:val="nil"/>
            </w:tcBorders>
          </w:tcPr>
          <w:p w:rsidR="00187713" w:rsidRDefault="00187713" w:rsidP="00696BF9">
            <w:pPr>
              <w:pStyle w:val="Tabletext"/>
            </w:pPr>
            <w:r>
              <w:t>At school</w:t>
            </w:r>
          </w:p>
        </w:tc>
        <w:tc>
          <w:tcPr>
            <w:tcW w:w="1559" w:type="dxa"/>
            <w:tcBorders>
              <w:top w:val="nil"/>
              <w:bottom w:val="nil"/>
              <w:right w:val="nil"/>
            </w:tcBorders>
          </w:tcPr>
          <w:p w:rsidR="00187713" w:rsidRPr="007D510F" w:rsidRDefault="00187713" w:rsidP="00696BF9">
            <w:pPr>
              <w:pStyle w:val="Tabletext"/>
              <w:ind w:right="454"/>
              <w:jc w:val="right"/>
            </w:pPr>
            <w:r w:rsidRPr="007D510F">
              <w:t>118</w:t>
            </w:r>
          </w:p>
        </w:tc>
        <w:tc>
          <w:tcPr>
            <w:tcW w:w="1559" w:type="dxa"/>
            <w:tcBorders>
              <w:top w:val="nil"/>
              <w:left w:val="nil"/>
              <w:bottom w:val="nil"/>
              <w:right w:val="nil"/>
            </w:tcBorders>
          </w:tcPr>
          <w:p w:rsidR="00187713" w:rsidRPr="007D510F" w:rsidRDefault="00187713" w:rsidP="00696BF9">
            <w:pPr>
              <w:pStyle w:val="Tabletext"/>
              <w:ind w:right="454"/>
              <w:jc w:val="right"/>
            </w:pPr>
            <w:r w:rsidRPr="007D510F">
              <w:t>2</w:t>
            </w:r>
            <w:r w:rsidR="00696BF9">
              <w:t xml:space="preserve"> </w:t>
            </w:r>
            <w:r w:rsidRPr="007D510F">
              <w:t>177</w:t>
            </w:r>
          </w:p>
        </w:tc>
        <w:tc>
          <w:tcPr>
            <w:tcW w:w="1559" w:type="dxa"/>
            <w:tcBorders>
              <w:top w:val="nil"/>
              <w:left w:val="nil"/>
              <w:bottom w:val="nil"/>
              <w:right w:val="nil"/>
            </w:tcBorders>
          </w:tcPr>
          <w:p w:rsidR="00187713" w:rsidRPr="007D510F" w:rsidRDefault="00187713" w:rsidP="00696BF9">
            <w:pPr>
              <w:pStyle w:val="Tabletext"/>
              <w:ind w:right="454"/>
              <w:jc w:val="right"/>
            </w:pPr>
            <w:r w:rsidRPr="007D510F">
              <w:t>989</w:t>
            </w:r>
          </w:p>
        </w:tc>
        <w:tc>
          <w:tcPr>
            <w:tcW w:w="1560" w:type="dxa"/>
            <w:tcBorders>
              <w:top w:val="nil"/>
              <w:left w:val="nil"/>
              <w:bottom w:val="nil"/>
              <w:right w:val="nil"/>
            </w:tcBorders>
          </w:tcPr>
          <w:p w:rsidR="00187713" w:rsidRPr="007D510F" w:rsidRDefault="00187713" w:rsidP="00696BF9">
            <w:pPr>
              <w:pStyle w:val="Tabletext"/>
              <w:ind w:right="510"/>
              <w:jc w:val="right"/>
            </w:pPr>
            <w:r w:rsidRPr="007D510F">
              <w:t>161</w:t>
            </w:r>
          </w:p>
        </w:tc>
        <w:tc>
          <w:tcPr>
            <w:tcW w:w="1418" w:type="dxa"/>
            <w:tcBorders>
              <w:top w:val="nil"/>
              <w:left w:val="nil"/>
              <w:bottom w:val="nil"/>
            </w:tcBorders>
          </w:tcPr>
          <w:p w:rsidR="00187713" w:rsidRPr="00F43A69" w:rsidRDefault="00187713" w:rsidP="00696BF9">
            <w:pPr>
              <w:pStyle w:val="Tabletext"/>
              <w:ind w:right="340"/>
              <w:jc w:val="right"/>
              <w:rPr>
                <w:b/>
              </w:rPr>
            </w:pPr>
            <w:r w:rsidRPr="00F43A69">
              <w:rPr>
                <w:b/>
              </w:rPr>
              <w:t>3</w:t>
            </w:r>
            <w:r w:rsidR="00696BF9" w:rsidRPr="00F43A69">
              <w:rPr>
                <w:b/>
              </w:rPr>
              <w:t xml:space="preserve"> </w:t>
            </w:r>
            <w:r w:rsidRPr="00F43A69">
              <w:rPr>
                <w:b/>
              </w:rPr>
              <w:t>445</w:t>
            </w:r>
          </w:p>
        </w:tc>
      </w:tr>
      <w:tr w:rsidR="00187713" w:rsidRPr="00696BF9" w:rsidTr="00696BF9">
        <w:trPr>
          <w:cantSplit/>
        </w:trPr>
        <w:tc>
          <w:tcPr>
            <w:tcW w:w="1134" w:type="dxa"/>
            <w:tcBorders>
              <w:top w:val="nil"/>
              <w:bottom w:val="single" w:sz="4" w:space="0" w:color="auto"/>
              <w:right w:val="nil"/>
            </w:tcBorders>
          </w:tcPr>
          <w:p w:rsidR="00187713" w:rsidRPr="00696BF9" w:rsidRDefault="00187713" w:rsidP="00696BF9">
            <w:pPr>
              <w:pStyle w:val="Tabletext"/>
              <w:rPr>
                <w:b/>
              </w:rPr>
            </w:pPr>
            <w:r w:rsidRPr="00696BF9">
              <w:rPr>
                <w:b/>
              </w:rPr>
              <w:t>Total</w:t>
            </w:r>
          </w:p>
        </w:tc>
        <w:tc>
          <w:tcPr>
            <w:tcW w:w="1559" w:type="dxa"/>
            <w:tcBorders>
              <w:top w:val="nil"/>
              <w:bottom w:val="single" w:sz="4" w:space="0" w:color="auto"/>
              <w:right w:val="nil"/>
            </w:tcBorders>
          </w:tcPr>
          <w:p w:rsidR="00187713" w:rsidRPr="00696BF9" w:rsidRDefault="00187713" w:rsidP="00696BF9">
            <w:pPr>
              <w:pStyle w:val="Tabletext"/>
              <w:ind w:right="454"/>
              <w:jc w:val="right"/>
              <w:rPr>
                <w:b/>
              </w:rPr>
            </w:pPr>
            <w:r w:rsidRPr="00696BF9">
              <w:rPr>
                <w:b/>
              </w:rPr>
              <w:t>7</w:t>
            </w:r>
            <w:r w:rsidR="00696BF9">
              <w:rPr>
                <w:b/>
              </w:rPr>
              <w:t xml:space="preserve"> </w:t>
            </w:r>
            <w:r w:rsidRPr="00696BF9">
              <w:rPr>
                <w:b/>
              </w:rPr>
              <w:t>724</w:t>
            </w:r>
          </w:p>
        </w:tc>
        <w:tc>
          <w:tcPr>
            <w:tcW w:w="1559" w:type="dxa"/>
            <w:tcBorders>
              <w:top w:val="nil"/>
              <w:left w:val="nil"/>
              <w:bottom w:val="single" w:sz="4" w:space="0" w:color="auto"/>
              <w:right w:val="nil"/>
            </w:tcBorders>
          </w:tcPr>
          <w:p w:rsidR="00187713" w:rsidRPr="00696BF9" w:rsidRDefault="00187713" w:rsidP="00696BF9">
            <w:pPr>
              <w:pStyle w:val="Tabletext"/>
              <w:ind w:right="454"/>
              <w:jc w:val="right"/>
              <w:rPr>
                <w:b/>
              </w:rPr>
            </w:pPr>
            <w:r w:rsidRPr="00696BF9">
              <w:rPr>
                <w:b/>
              </w:rPr>
              <w:t>5</w:t>
            </w:r>
            <w:r w:rsidR="00696BF9">
              <w:rPr>
                <w:b/>
              </w:rPr>
              <w:t xml:space="preserve"> </w:t>
            </w:r>
            <w:r w:rsidRPr="00696BF9">
              <w:rPr>
                <w:b/>
              </w:rPr>
              <w:t>126</w:t>
            </w:r>
          </w:p>
        </w:tc>
        <w:tc>
          <w:tcPr>
            <w:tcW w:w="1559" w:type="dxa"/>
            <w:tcBorders>
              <w:top w:val="nil"/>
              <w:left w:val="nil"/>
              <w:bottom w:val="single" w:sz="4" w:space="0" w:color="auto"/>
              <w:right w:val="nil"/>
            </w:tcBorders>
          </w:tcPr>
          <w:p w:rsidR="00187713" w:rsidRPr="00696BF9" w:rsidRDefault="00187713" w:rsidP="00696BF9">
            <w:pPr>
              <w:pStyle w:val="Tabletext"/>
              <w:ind w:right="454"/>
              <w:jc w:val="right"/>
              <w:rPr>
                <w:b/>
              </w:rPr>
            </w:pPr>
            <w:r w:rsidRPr="00696BF9">
              <w:rPr>
                <w:b/>
              </w:rPr>
              <w:t>3</w:t>
            </w:r>
            <w:r w:rsidR="00696BF9">
              <w:rPr>
                <w:b/>
              </w:rPr>
              <w:t xml:space="preserve"> </w:t>
            </w:r>
            <w:r w:rsidRPr="00696BF9">
              <w:rPr>
                <w:b/>
              </w:rPr>
              <w:t>242</w:t>
            </w:r>
          </w:p>
        </w:tc>
        <w:tc>
          <w:tcPr>
            <w:tcW w:w="1560" w:type="dxa"/>
            <w:tcBorders>
              <w:top w:val="nil"/>
              <w:left w:val="nil"/>
              <w:bottom w:val="single" w:sz="4" w:space="0" w:color="auto"/>
              <w:right w:val="nil"/>
            </w:tcBorders>
          </w:tcPr>
          <w:p w:rsidR="00187713" w:rsidRPr="00696BF9" w:rsidRDefault="00187713" w:rsidP="00696BF9">
            <w:pPr>
              <w:pStyle w:val="Tabletext"/>
              <w:ind w:right="510"/>
              <w:jc w:val="right"/>
              <w:rPr>
                <w:b/>
              </w:rPr>
            </w:pPr>
            <w:r w:rsidRPr="00696BF9">
              <w:rPr>
                <w:b/>
              </w:rPr>
              <w:t>320</w:t>
            </w:r>
          </w:p>
        </w:tc>
        <w:tc>
          <w:tcPr>
            <w:tcW w:w="1418" w:type="dxa"/>
            <w:tcBorders>
              <w:top w:val="nil"/>
              <w:left w:val="nil"/>
              <w:bottom w:val="single" w:sz="4" w:space="0" w:color="auto"/>
            </w:tcBorders>
          </w:tcPr>
          <w:p w:rsidR="00187713" w:rsidRPr="00696BF9" w:rsidRDefault="00187713" w:rsidP="00696BF9">
            <w:pPr>
              <w:pStyle w:val="Tabletext"/>
              <w:ind w:right="340"/>
              <w:jc w:val="right"/>
              <w:rPr>
                <w:b/>
              </w:rPr>
            </w:pPr>
            <w:r w:rsidRPr="00696BF9">
              <w:rPr>
                <w:b/>
              </w:rPr>
              <w:t>16</w:t>
            </w:r>
            <w:r w:rsidR="00696BF9">
              <w:rPr>
                <w:b/>
              </w:rPr>
              <w:t xml:space="preserve"> </w:t>
            </w:r>
            <w:r w:rsidRPr="00696BF9">
              <w:rPr>
                <w:b/>
              </w:rPr>
              <w:t>412</w:t>
            </w:r>
          </w:p>
        </w:tc>
      </w:tr>
    </w:tbl>
    <w:p w:rsidR="00213A16" w:rsidRPr="001B49D3" w:rsidRDefault="00213A16" w:rsidP="007D510F">
      <w:pPr>
        <w:pStyle w:val="Source"/>
      </w:pPr>
      <w:r w:rsidRPr="001B49D3">
        <w:t>Source:</w:t>
      </w:r>
      <w:r w:rsidR="00696BF9">
        <w:tab/>
      </w:r>
      <w:r w:rsidR="001B49D3" w:rsidRPr="001B49D3">
        <w:t>AVETMISS Provider Collection data for Western Australia</w:t>
      </w:r>
      <w:r w:rsidR="007465C6">
        <w:t>.</w:t>
      </w:r>
    </w:p>
    <w:p w:rsidR="00187713" w:rsidRPr="002D1DA4" w:rsidRDefault="00187713" w:rsidP="00F43A69">
      <w:pPr>
        <w:pStyle w:val="Textmorebefore"/>
      </w:pPr>
      <w:r w:rsidRPr="002D1DA4">
        <w:t>Table 2 summarises the informat</w:t>
      </w:r>
      <w:r w:rsidR="00614A8B">
        <w:t>ion about the principal outcome:</w:t>
      </w:r>
      <w:r w:rsidRPr="002D1DA4">
        <w:t xml:space="preserve"> whether a student was enrolled in an ap</w:t>
      </w:r>
      <w:r w:rsidR="00614A8B">
        <w:t xml:space="preserve">prenticeship in 2010. Of the 19 </w:t>
      </w:r>
      <w:r w:rsidRPr="002D1DA4">
        <w:t xml:space="preserve">200 apprentice students, the new apprenticeship students comprise the 6325 students who </w:t>
      </w:r>
      <w:r w:rsidR="007B000E">
        <w:t xml:space="preserve">were </w:t>
      </w:r>
      <w:r w:rsidRPr="002D1DA4">
        <w:t>not enrolled in 2009 plus the transfers from non-apprenticeship enrolments in 2009. The vast majority of students who start an apprenticeship come from outside the VET system. By implication, pre-apprenticeship is not a quantitatively important pathway to an apprenticeship</w:t>
      </w:r>
      <w:r w:rsidR="00614A8B">
        <w:t>,</w:t>
      </w:r>
      <w:r w:rsidRPr="002D1DA4">
        <w:t xml:space="preserve"> accounting for only 544 of the 7749 apprenticeship starts. </w:t>
      </w:r>
    </w:p>
    <w:p w:rsidR="00187713" w:rsidRDefault="00187713" w:rsidP="00187713">
      <w:pPr>
        <w:pStyle w:val="tabletitle"/>
      </w:pPr>
      <w:bookmarkStart w:id="53" w:name="_Toc331077000"/>
      <w:bookmarkStart w:id="54" w:name="_Toc337199618"/>
      <w:r>
        <w:t>Table 2</w:t>
      </w:r>
      <w:r>
        <w:tab/>
      </w:r>
      <w:r w:rsidR="0001331D">
        <w:t>Origins of 2010 apprentice enrolment</w:t>
      </w:r>
      <w:bookmarkEnd w:id="53"/>
      <w:bookmarkEnd w:id="54"/>
      <w:r>
        <w:t xml:space="preserve"> </w:t>
      </w:r>
    </w:p>
    <w:tbl>
      <w:tblPr>
        <w:tblW w:w="8789" w:type="dxa"/>
        <w:tblInd w:w="57" w:type="dxa"/>
        <w:tblBorders>
          <w:top w:val="single" w:sz="4" w:space="0" w:color="auto"/>
          <w:bottom w:val="single" w:sz="4" w:space="0" w:color="auto"/>
        </w:tblBorders>
        <w:tblLayout w:type="fixed"/>
        <w:tblCellMar>
          <w:left w:w="57" w:type="dxa"/>
          <w:right w:w="57" w:type="dxa"/>
        </w:tblCellMar>
        <w:tblLook w:val="0000"/>
      </w:tblPr>
      <w:tblGrid>
        <w:gridCol w:w="948"/>
        <w:gridCol w:w="1120"/>
        <w:gridCol w:w="1120"/>
        <w:gridCol w:w="1120"/>
        <w:gridCol w:w="1120"/>
        <w:gridCol w:w="1120"/>
        <w:gridCol w:w="1120"/>
        <w:gridCol w:w="1121"/>
      </w:tblGrid>
      <w:tr w:rsidR="009C552E" w:rsidTr="009C552E">
        <w:trPr>
          <w:cantSplit/>
        </w:trPr>
        <w:tc>
          <w:tcPr>
            <w:tcW w:w="948" w:type="dxa"/>
            <w:tcBorders>
              <w:top w:val="single" w:sz="4" w:space="0" w:color="auto"/>
              <w:bottom w:val="nil"/>
              <w:right w:val="nil"/>
            </w:tcBorders>
          </w:tcPr>
          <w:p w:rsidR="009C552E" w:rsidRDefault="009C552E" w:rsidP="00F43A69">
            <w:pPr>
              <w:pStyle w:val="Tablehead1"/>
            </w:pPr>
          </w:p>
        </w:tc>
        <w:tc>
          <w:tcPr>
            <w:tcW w:w="1120" w:type="dxa"/>
            <w:tcBorders>
              <w:top w:val="single" w:sz="4" w:space="0" w:color="auto"/>
              <w:bottom w:val="nil"/>
            </w:tcBorders>
          </w:tcPr>
          <w:p w:rsidR="009C552E" w:rsidRPr="00187713" w:rsidRDefault="009C552E" w:rsidP="00F43A69">
            <w:pPr>
              <w:pStyle w:val="Tablehead1"/>
              <w:jc w:val="center"/>
            </w:pPr>
            <w:r>
              <w:t>Enrolled in 2009</w:t>
            </w:r>
          </w:p>
        </w:tc>
        <w:tc>
          <w:tcPr>
            <w:tcW w:w="1120" w:type="dxa"/>
            <w:tcBorders>
              <w:top w:val="single" w:sz="4" w:space="0" w:color="auto"/>
              <w:bottom w:val="nil"/>
            </w:tcBorders>
          </w:tcPr>
          <w:p w:rsidR="009C552E" w:rsidRPr="00187713" w:rsidRDefault="009C552E" w:rsidP="00F43A69">
            <w:pPr>
              <w:pStyle w:val="Tablehead1"/>
              <w:jc w:val="center"/>
            </w:pPr>
          </w:p>
        </w:tc>
        <w:tc>
          <w:tcPr>
            <w:tcW w:w="1120" w:type="dxa"/>
            <w:tcBorders>
              <w:top w:val="single" w:sz="4" w:space="0" w:color="auto"/>
              <w:bottom w:val="nil"/>
            </w:tcBorders>
          </w:tcPr>
          <w:p w:rsidR="009C552E" w:rsidRPr="00187713" w:rsidRDefault="009C552E" w:rsidP="00F43A69">
            <w:pPr>
              <w:pStyle w:val="Tablehead1"/>
              <w:jc w:val="center"/>
            </w:pPr>
          </w:p>
        </w:tc>
        <w:tc>
          <w:tcPr>
            <w:tcW w:w="1120" w:type="dxa"/>
            <w:tcBorders>
              <w:top w:val="single" w:sz="4" w:space="0" w:color="auto"/>
              <w:bottom w:val="nil"/>
            </w:tcBorders>
          </w:tcPr>
          <w:p w:rsidR="009C552E" w:rsidRPr="00187713" w:rsidRDefault="009C552E" w:rsidP="00F43A69">
            <w:pPr>
              <w:pStyle w:val="Tablehead1"/>
              <w:jc w:val="center"/>
            </w:pPr>
          </w:p>
        </w:tc>
        <w:tc>
          <w:tcPr>
            <w:tcW w:w="1120" w:type="dxa"/>
            <w:tcBorders>
              <w:top w:val="single" w:sz="4" w:space="0" w:color="auto"/>
              <w:bottom w:val="nil"/>
            </w:tcBorders>
          </w:tcPr>
          <w:p w:rsidR="009C552E" w:rsidRPr="00187713" w:rsidRDefault="009C552E" w:rsidP="00F43A69">
            <w:pPr>
              <w:pStyle w:val="Tablehead1"/>
              <w:jc w:val="center"/>
            </w:pPr>
          </w:p>
        </w:tc>
        <w:tc>
          <w:tcPr>
            <w:tcW w:w="1120" w:type="dxa"/>
            <w:vMerge w:val="restart"/>
            <w:tcBorders>
              <w:top w:val="single" w:sz="4" w:space="0" w:color="auto"/>
              <w:left w:val="nil"/>
            </w:tcBorders>
          </w:tcPr>
          <w:p w:rsidR="009C552E" w:rsidRPr="00187713" w:rsidRDefault="009C552E" w:rsidP="00F43A69">
            <w:pPr>
              <w:pStyle w:val="Tablehead1"/>
              <w:jc w:val="center"/>
            </w:pPr>
            <w:r>
              <w:t>Not enrolled in 2009</w:t>
            </w:r>
          </w:p>
        </w:tc>
        <w:tc>
          <w:tcPr>
            <w:tcW w:w="1121" w:type="dxa"/>
            <w:vMerge w:val="restart"/>
            <w:tcBorders>
              <w:top w:val="single" w:sz="4" w:space="0" w:color="auto"/>
              <w:left w:val="nil"/>
            </w:tcBorders>
          </w:tcPr>
          <w:p w:rsidR="009C552E" w:rsidRPr="00187713" w:rsidRDefault="009C552E" w:rsidP="00F43A69">
            <w:pPr>
              <w:pStyle w:val="Tablehead1"/>
              <w:jc w:val="center"/>
            </w:pPr>
            <w:r>
              <w:t>Total apprentice enrolment in 2010</w:t>
            </w:r>
          </w:p>
        </w:tc>
      </w:tr>
      <w:tr w:rsidR="009C552E" w:rsidTr="009C552E">
        <w:trPr>
          <w:cantSplit/>
        </w:trPr>
        <w:tc>
          <w:tcPr>
            <w:tcW w:w="948" w:type="dxa"/>
            <w:tcBorders>
              <w:top w:val="nil"/>
              <w:bottom w:val="single" w:sz="4" w:space="0" w:color="auto"/>
              <w:right w:val="nil"/>
            </w:tcBorders>
          </w:tcPr>
          <w:p w:rsidR="009C552E" w:rsidRDefault="009C552E" w:rsidP="00F43A69">
            <w:pPr>
              <w:pStyle w:val="Tablehead2"/>
            </w:pPr>
          </w:p>
        </w:tc>
        <w:tc>
          <w:tcPr>
            <w:tcW w:w="1120" w:type="dxa"/>
            <w:tcBorders>
              <w:top w:val="nil"/>
              <w:bottom w:val="single" w:sz="4" w:space="0" w:color="auto"/>
              <w:right w:val="nil"/>
            </w:tcBorders>
          </w:tcPr>
          <w:p w:rsidR="009C552E" w:rsidRPr="008B7278" w:rsidRDefault="009C552E" w:rsidP="00F43A69">
            <w:pPr>
              <w:pStyle w:val="Tablehead2"/>
              <w:jc w:val="center"/>
            </w:pPr>
            <w:r w:rsidRPr="008B7278">
              <w:t>Apprentice</w:t>
            </w:r>
          </w:p>
        </w:tc>
        <w:tc>
          <w:tcPr>
            <w:tcW w:w="1120" w:type="dxa"/>
            <w:tcBorders>
              <w:top w:val="nil"/>
              <w:left w:val="nil"/>
              <w:bottom w:val="single" w:sz="4" w:space="0" w:color="auto"/>
              <w:right w:val="nil"/>
            </w:tcBorders>
          </w:tcPr>
          <w:p w:rsidR="009C552E" w:rsidRPr="008B7278" w:rsidRDefault="009C552E" w:rsidP="00F43A69">
            <w:pPr>
              <w:pStyle w:val="Tablehead2"/>
              <w:jc w:val="center"/>
            </w:pPr>
            <w:r w:rsidRPr="008B7278">
              <w:t>Other</w:t>
            </w:r>
          </w:p>
        </w:tc>
        <w:tc>
          <w:tcPr>
            <w:tcW w:w="1120" w:type="dxa"/>
            <w:tcBorders>
              <w:top w:val="nil"/>
              <w:left w:val="nil"/>
              <w:bottom w:val="single" w:sz="4" w:space="0" w:color="auto"/>
              <w:right w:val="nil"/>
            </w:tcBorders>
            <w:tcMar>
              <w:left w:w="0" w:type="dxa"/>
              <w:right w:w="0" w:type="dxa"/>
            </w:tcMar>
          </w:tcPr>
          <w:p w:rsidR="009C552E" w:rsidRPr="008B7278" w:rsidRDefault="009C552E" w:rsidP="00F43A69">
            <w:pPr>
              <w:pStyle w:val="Tablehead2"/>
              <w:jc w:val="center"/>
            </w:pPr>
            <w:r w:rsidRPr="008B7278">
              <w:t>Pre-apprentice</w:t>
            </w:r>
          </w:p>
        </w:tc>
        <w:tc>
          <w:tcPr>
            <w:tcW w:w="1120" w:type="dxa"/>
            <w:tcBorders>
              <w:top w:val="nil"/>
              <w:left w:val="nil"/>
              <w:bottom w:val="single" w:sz="4" w:space="0" w:color="auto"/>
              <w:right w:val="nil"/>
            </w:tcBorders>
          </w:tcPr>
          <w:p w:rsidR="009C552E" w:rsidRPr="008B7278" w:rsidRDefault="009C552E" w:rsidP="00F43A69">
            <w:pPr>
              <w:pStyle w:val="Tablehead2"/>
              <w:jc w:val="center"/>
            </w:pPr>
            <w:r w:rsidRPr="008B7278">
              <w:t>Trainee</w:t>
            </w:r>
          </w:p>
        </w:tc>
        <w:tc>
          <w:tcPr>
            <w:tcW w:w="1120" w:type="dxa"/>
            <w:tcBorders>
              <w:top w:val="nil"/>
              <w:left w:val="nil"/>
              <w:bottom w:val="single" w:sz="4" w:space="0" w:color="auto"/>
            </w:tcBorders>
          </w:tcPr>
          <w:p w:rsidR="009C552E" w:rsidRPr="008B7278" w:rsidRDefault="009C552E" w:rsidP="00F43A69">
            <w:pPr>
              <w:pStyle w:val="Tablehead2"/>
              <w:jc w:val="center"/>
            </w:pPr>
            <w:r w:rsidRPr="008B7278">
              <w:t>Total</w:t>
            </w:r>
          </w:p>
        </w:tc>
        <w:tc>
          <w:tcPr>
            <w:tcW w:w="1120" w:type="dxa"/>
            <w:vMerge/>
            <w:tcBorders>
              <w:left w:val="nil"/>
              <w:bottom w:val="single" w:sz="4" w:space="0" w:color="auto"/>
            </w:tcBorders>
          </w:tcPr>
          <w:p w:rsidR="009C552E" w:rsidRDefault="009C552E" w:rsidP="00F43A69">
            <w:pPr>
              <w:pStyle w:val="Tablehead2"/>
              <w:jc w:val="center"/>
            </w:pPr>
          </w:p>
        </w:tc>
        <w:tc>
          <w:tcPr>
            <w:tcW w:w="1121" w:type="dxa"/>
            <w:vMerge/>
            <w:tcBorders>
              <w:left w:val="nil"/>
              <w:bottom w:val="single" w:sz="4" w:space="0" w:color="auto"/>
            </w:tcBorders>
          </w:tcPr>
          <w:p w:rsidR="009C552E" w:rsidRDefault="009C552E" w:rsidP="00F43A69">
            <w:pPr>
              <w:pStyle w:val="Tablehead2"/>
              <w:jc w:val="center"/>
            </w:pPr>
          </w:p>
        </w:tc>
      </w:tr>
      <w:tr w:rsidR="0001331D" w:rsidTr="00F43A69">
        <w:trPr>
          <w:cantSplit/>
        </w:trPr>
        <w:tc>
          <w:tcPr>
            <w:tcW w:w="948" w:type="dxa"/>
            <w:tcBorders>
              <w:top w:val="single" w:sz="4" w:space="0" w:color="auto"/>
              <w:bottom w:val="nil"/>
              <w:right w:val="nil"/>
            </w:tcBorders>
          </w:tcPr>
          <w:p w:rsidR="0001331D" w:rsidRDefault="0001331D" w:rsidP="00F43A69">
            <w:pPr>
              <w:pStyle w:val="Tabletext"/>
            </w:pPr>
            <w:r>
              <w:t>Not at school</w:t>
            </w:r>
          </w:p>
        </w:tc>
        <w:tc>
          <w:tcPr>
            <w:tcW w:w="1120" w:type="dxa"/>
            <w:tcBorders>
              <w:top w:val="single" w:sz="4" w:space="0" w:color="auto"/>
              <w:bottom w:val="nil"/>
              <w:right w:val="nil"/>
            </w:tcBorders>
          </w:tcPr>
          <w:p w:rsidR="0001331D" w:rsidRPr="007D510F" w:rsidRDefault="0001331D" w:rsidP="00DB30BC">
            <w:pPr>
              <w:pStyle w:val="Tabletext"/>
              <w:ind w:right="255"/>
              <w:jc w:val="right"/>
            </w:pPr>
            <w:r w:rsidRPr="007D510F">
              <w:t>11</w:t>
            </w:r>
            <w:r w:rsidR="00DB30BC">
              <w:t xml:space="preserve"> </w:t>
            </w:r>
            <w:r w:rsidRPr="007D510F">
              <w:t>353</w:t>
            </w:r>
          </w:p>
        </w:tc>
        <w:tc>
          <w:tcPr>
            <w:tcW w:w="1120" w:type="dxa"/>
            <w:tcBorders>
              <w:top w:val="single" w:sz="4" w:space="0" w:color="auto"/>
              <w:left w:val="nil"/>
              <w:bottom w:val="nil"/>
              <w:right w:val="nil"/>
            </w:tcBorders>
          </w:tcPr>
          <w:p w:rsidR="0001331D" w:rsidRPr="007D510F" w:rsidRDefault="0001331D" w:rsidP="00DB30BC">
            <w:pPr>
              <w:pStyle w:val="Tabletext"/>
              <w:tabs>
                <w:tab w:val="decimal" w:pos="652"/>
              </w:tabs>
            </w:pPr>
            <w:r w:rsidRPr="007D510F">
              <w:t>477</w:t>
            </w:r>
          </w:p>
        </w:tc>
        <w:tc>
          <w:tcPr>
            <w:tcW w:w="1120" w:type="dxa"/>
            <w:tcBorders>
              <w:top w:val="single" w:sz="4" w:space="0" w:color="auto"/>
              <w:left w:val="nil"/>
              <w:bottom w:val="nil"/>
              <w:right w:val="nil"/>
            </w:tcBorders>
          </w:tcPr>
          <w:p w:rsidR="0001331D" w:rsidRPr="007D510F" w:rsidRDefault="0001331D" w:rsidP="00DB30BC">
            <w:pPr>
              <w:pStyle w:val="Tabletext"/>
              <w:tabs>
                <w:tab w:val="decimal" w:pos="652"/>
              </w:tabs>
            </w:pPr>
            <w:r w:rsidRPr="007D510F">
              <w:t>424</w:t>
            </w:r>
          </w:p>
        </w:tc>
        <w:tc>
          <w:tcPr>
            <w:tcW w:w="1120" w:type="dxa"/>
            <w:tcBorders>
              <w:top w:val="single" w:sz="4" w:space="0" w:color="auto"/>
              <w:left w:val="nil"/>
              <w:bottom w:val="nil"/>
              <w:right w:val="nil"/>
            </w:tcBorders>
          </w:tcPr>
          <w:p w:rsidR="0001331D" w:rsidRPr="007D510F" w:rsidRDefault="0001331D" w:rsidP="00DB30BC">
            <w:pPr>
              <w:pStyle w:val="Tabletext"/>
              <w:tabs>
                <w:tab w:val="decimal" w:pos="624"/>
              </w:tabs>
            </w:pPr>
            <w:r w:rsidRPr="007D510F">
              <w:t>70</w:t>
            </w:r>
          </w:p>
        </w:tc>
        <w:tc>
          <w:tcPr>
            <w:tcW w:w="1120" w:type="dxa"/>
            <w:tcBorders>
              <w:top w:val="single" w:sz="4" w:space="0" w:color="auto"/>
              <w:left w:val="nil"/>
              <w:bottom w:val="nil"/>
            </w:tcBorders>
          </w:tcPr>
          <w:p w:rsidR="0001331D" w:rsidRPr="00DB30BC" w:rsidRDefault="0001331D" w:rsidP="00DB30BC">
            <w:pPr>
              <w:pStyle w:val="Tabletext"/>
              <w:ind w:right="255"/>
              <w:jc w:val="right"/>
              <w:rPr>
                <w:b/>
              </w:rPr>
            </w:pPr>
            <w:r w:rsidRPr="00DB30BC">
              <w:rPr>
                <w:b/>
              </w:rPr>
              <w:t>12</w:t>
            </w:r>
            <w:r w:rsidR="00DB30BC" w:rsidRPr="00DB30BC">
              <w:rPr>
                <w:b/>
              </w:rPr>
              <w:t xml:space="preserve"> </w:t>
            </w:r>
            <w:r w:rsidRPr="00DB30BC">
              <w:rPr>
                <w:b/>
              </w:rPr>
              <w:t>324</w:t>
            </w:r>
          </w:p>
        </w:tc>
        <w:tc>
          <w:tcPr>
            <w:tcW w:w="1120" w:type="dxa"/>
            <w:tcBorders>
              <w:top w:val="single" w:sz="4" w:space="0" w:color="auto"/>
              <w:left w:val="nil"/>
              <w:bottom w:val="nil"/>
            </w:tcBorders>
          </w:tcPr>
          <w:p w:rsidR="0001331D" w:rsidRPr="007D510F" w:rsidRDefault="0001331D" w:rsidP="00DB30BC">
            <w:pPr>
              <w:pStyle w:val="Tabletext"/>
              <w:jc w:val="right"/>
            </w:pPr>
          </w:p>
        </w:tc>
        <w:tc>
          <w:tcPr>
            <w:tcW w:w="1121" w:type="dxa"/>
            <w:tcBorders>
              <w:top w:val="single" w:sz="4" w:space="0" w:color="auto"/>
              <w:left w:val="nil"/>
              <w:bottom w:val="nil"/>
            </w:tcBorders>
          </w:tcPr>
          <w:p w:rsidR="0001331D" w:rsidRPr="007D510F" w:rsidRDefault="0001331D" w:rsidP="00DB30BC">
            <w:pPr>
              <w:pStyle w:val="Tabletext"/>
              <w:jc w:val="right"/>
            </w:pPr>
          </w:p>
        </w:tc>
      </w:tr>
      <w:tr w:rsidR="0001331D" w:rsidTr="00F43A69">
        <w:trPr>
          <w:cantSplit/>
        </w:trPr>
        <w:tc>
          <w:tcPr>
            <w:tcW w:w="948" w:type="dxa"/>
            <w:tcBorders>
              <w:top w:val="nil"/>
              <w:bottom w:val="nil"/>
              <w:right w:val="nil"/>
            </w:tcBorders>
          </w:tcPr>
          <w:p w:rsidR="0001331D" w:rsidRDefault="0001331D" w:rsidP="00F43A69">
            <w:pPr>
              <w:pStyle w:val="Tabletext"/>
            </w:pPr>
            <w:r>
              <w:t>At school</w:t>
            </w:r>
          </w:p>
        </w:tc>
        <w:tc>
          <w:tcPr>
            <w:tcW w:w="1120" w:type="dxa"/>
            <w:tcBorders>
              <w:top w:val="nil"/>
              <w:bottom w:val="nil"/>
              <w:right w:val="nil"/>
            </w:tcBorders>
          </w:tcPr>
          <w:p w:rsidR="0001331D" w:rsidRPr="007D510F" w:rsidRDefault="0001331D" w:rsidP="00DB30BC">
            <w:pPr>
              <w:pStyle w:val="Tabletext"/>
              <w:ind w:right="255"/>
              <w:jc w:val="right"/>
            </w:pPr>
            <w:r w:rsidRPr="007D510F">
              <w:t>98</w:t>
            </w:r>
          </w:p>
        </w:tc>
        <w:tc>
          <w:tcPr>
            <w:tcW w:w="1120" w:type="dxa"/>
            <w:tcBorders>
              <w:top w:val="nil"/>
              <w:left w:val="nil"/>
              <w:bottom w:val="nil"/>
              <w:right w:val="nil"/>
            </w:tcBorders>
          </w:tcPr>
          <w:p w:rsidR="0001331D" w:rsidRPr="007D510F" w:rsidRDefault="0001331D" w:rsidP="00DB30BC">
            <w:pPr>
              <w:pStyle w:val="Tabletext"/>
              <w:tabs>
                <w:tab w:val="decimal" w:pos="652"/>
              </w:tabs>
            </w:pPr>
            <w:r w:rsidRPr="007D510F">
              <w:t>276</w:t>
            </w:r>
          </w:p>
        </w:tc>
        <w:tc>
          <w:tcPr>
            <w:tcW w:w="1120" w:type="dxa"/>
            <w:tcBorders>
              <w:top w:val="nil"/>
              <w:left w:val="nil"/>
              <w:bottom w:val="nil"/>
              <w:right w:val="nil"/>
            </w:tcBorders>
          </w:tcPr>
          <w:p w:rsidR="0001331D" w:rsidRPr="007D510F" w:rsidRDefault="0001331D" w:rsidP="00DB30BC">
            <w:pPr>
              <w:pStyle w:val="Tabletext"/>
              <w:tabs>
                <w:tab w:val="decimal" w:pos="652"/>
              </w:tabs>
            </w:pPr>
            <w:r w:rsidRPr="007D510F">
              <w:t>120</w:t>
            </w:r>
          </w:p>
        </w:tc>
        <w:tc>
          <w:tcPr>
            <w:tcW w:w="1120" w:type="dxa"/>
            <w:tcBorders>
              <w:top w:val="nil"/>
              <w:left w:val="nil"/>
              <w:bottom w:val="nil"/>
              <w:right w:val="nil"/>
            </w:tcBorders>
          </w:tcPr>
          <w:p w:rsidR="0001331D" w:rsidRPr="007D510F" w:rsidRDefault="0001331D" w:rsidP="00DB30BC">
            <w:pPr>
              <w:pStyle w:val="Tabletext"/>
              <w:tabs>
                <w:tab w:val="decimal" w:pos="624"/>
              </w:tabs>
            </w:pPr>
            <w:r w:rsidRPr="007D510F">
              <w:t>57</w:t>
            </w:r>
          </w:p>
        </w:tc>
        <w:tc>
          <w:tcPr>
            <w:tcW w:w="1120" w:type="dxa"/>
            <w:tcBorders>
              <w:top w:val="nil"/>
              <w:left w:val="nil"/>
              <w:bottom w:val="nil"/>
            </w:tcBorders>
          </w:tcPr>
          <w:p w:rsidR="0001331D" w:rsidRPr="00DB30BC" w:rsidRDefault="0001331D" w:rsidP="00DB30BC">
            <w:pPr>
              <w:pStyle w:val="Tabletext"/>
              <w:ind w:right="255"/>
              <w:jc w:val="right"/>
              <w:rPr>
                <w:b/>
              </w:rPr>
            </w:pPr>
            <w:r w:rsidRPr="00DB30BC">
              <w:rPr>
                <w:b/>
              </w:rPr>
              <w:t>551</w:t>
            </w:r>
          </w:p>
        </w:tc>
        <w:tc>
          <w:tcPr>
            <w:tcW w:w="1120" w:type="dxa"/>
            <w:tcBorders>
              <w:top w:val="nil"/>
              <w:left w:val="nil"/>
              <w:bottom w:val="nil"/>
            </w:tcBorders>
          </w:tcPr>
          <w:p w:rsidR="0001331D" w:rsidRPr="007D510F" w:rsidRDefault="0001331D" w:rsidP="00DB30BC">
            <w:pPr>
              <w:pStyle w:val="Tabletext"/>
              <w:jc w:val="right"/>
            </w:pPr>
          </w:p>
        </w:tc>
        <w:tc>
          <w:tcPr>
            <w:tcW w:w="1121" w:type="dxa"/>
            <w:tcBorders>
              <w:top w:val="nil"/>
              <w:left w:val="nil"/>
              <w:bottom w:val="nil"/>
            </w:tcBorders>
          </w:tcPr>
          <w:p w:rsidR="0001331D" w:rsidRPr="007D510F" w:rsidRDefault="0001331D" w:rsidP="00DB30BC">
            <w:pPr>
              <w:pStyle w:val="Tabletext"/>
              <w:jc w:val="right"/>
            </w:pPr>
          </w:p>
        </w:tc>
      </w:tr>
      <w:tr w:rsidR="0001331D" w:rsidRPr="00DB30BC" w:rsidTr="00F43A69">
        <w:trPr>
          <w:cantSplit/>
        </w:trPr>
        <w:tc>
          <w:tcPr>
            <w:tcW w:w="948" w:type="dxa"/>
            <w:tcBorders>
              <w:top w:val="nil"/>
              <w:bottom w:val="single" w:sz="4" w:space="0" w:color="auto"/>
              <w:right w:val="nil"/>
            </w:tcBorders>
          </w:tcPr>
          <w:p w:rsidR="0001331D" w:rsidRPr="00DB30BC" w:rsidRDefault="0001331D" w:rsidP="00F43A69">
            <w:pPr>
              <w:pStyle w:val="Tabletext"/>
              <w:rPr>
                <w:b/>
              </w:rPr>
            </w:pPr>
            <w:r w:rsidRPr="00DB30BC">
              <w:rPr>
                <w:b/>
              </w:rPr>
              <w:t>Total</w:t>
            </w:r>
          </w:p>
        </w:tc>
        <w:tc>
          <w:tcPr>
            <w:tcW w:w="1120" w:type="dxa"/>
            <w:tcBorders>
              <w:top w:val="nil"/>
              <w:bottom w:val="single" w:sz="4" w:space="0" w:color="auto"/>
              <w:right w:val="nil"/>
            </w:tcBorders>
          </w:tcPr>
          <w:p w:rsidR="0001331D" w:rsidRPr="00DB30BC" w:rsidRDefault="0001331D" w:rsidP="00DB30BC">
            <w:pPr>
              <w:pStyle w:val="Tabletext"/>
              <w:ind w:right="255"/>
              <w:jc w:val="right"/>
              <w:rPr>
                <w:b/>
              </w:rPr>
            </w:pPr>
            <w:r w:rsidRPr="00DB30BC">
              <w:rPr>
                <w:b/>
              </w:rPr>
              <w:t>11</w:t>
            </w:r>
            <w:r w:rsidR="00DB30BC">
              <w:rPr>
                <w:b/>
              </w:rPr>
              <w:t xml:space="preserve"> </w:t>
            </w:r>
            <w:r w:rsidRPr="00DB30BC">
              <w:rPr>
                <w:b/>
              </w:rPr>
              <w:t>451</w:t>
            </w:r>
          </w:p>
        </w:tc>
        <w:tc>
          <w:tcPr>
            <w:tcW w:w="1120" w:type="dxa"/>
            <w:tcBorders>
              <w:top w:val="nil"/>
              <w:left w:val="nil"/>
              <w:bottom w:val="single" w:sz="4" w:space="0" w:color="auto"/>
              <w:right w:val="nil"/>
            </w:tcBorders>
          </w:tcPr>
          <w:p w:rsidR="0001331D" w:rsidRPr="00DB30BC" w:rsidRDefault="00B35729" w:rsidP="00DB30BC">
            <w:pPr>
              <w:pStyle w:val="Tabletext"/>
              <w:tabs>
                <w:tab w:val="decimal" w:pos="652"/>
              </w:tabs>
              <w:rPr>
                <w:b/>
              </w:rPr>
            </w:pPr>
            <w:r w:rsidRPr="00DB30BC">
              <w:rPr>
                <w:b/>
              </w:rPr>
              <w:t>753</w:t>
            </w:r>
          </w:p>
        </w:tc>
        <w:tc>
          <w:tcPr>
            <w:tcW w:w="1120" w:type="dxa"/>
            <w:tcBorders>
              <w:top w:val="nil"/>
              <w:left w:val="nil"/>
              <w:bottom w:val="single" w:sz="4" w:space="0" w:color="auto"/>
              <w:right w:val="nil"/>
            </w:tcBorders>
          </w:tcPr>
          <w:p w:rsidR="0001331D" w:rsidRPr="00DB30BC" w:rsidRDefault="00B35729" w:rsidP="00DB30BC">
            <w:pPr>
              <w:pStyle w:val="Tabletext"/>
              <w:tabs>
                <w:tab w:val="decimal" w:pos="652"/>
              </w:tabs>
              <w:rPr>
                <w:b/>
              </w:rPr>
            </w:pPr>
            <w:r w:rsidRPr="00DB30BC">
              <w:rPr>
                <w:b/>
              </w:rPr>
              <w:t>544</w:t>
            </w:r>
          </w:p>
        </w:tc>
        <w:tc>
          <w:tcPr>
            <w:tcW w:w="1120" w:type="dxa"/>
            <w:tcBorders>
              <w:top w:val="nil"/>
              <w:left w:val="nil"/>
              <w:bottom w:val="single" w:sz="4" w:space="0" w:color="auto"/>
              <w:right w:val="nil"/>
            </w:tcBorders>
          </w:tcPr>
          <w:p w:rsidR="0001331D" w:rsidRPr="00DB30BC" w:rsidRDefault="00B35729" w:rsidP="00DB30BC">
            <w:pPr>
              <w:pStyle w:val="Tabletext"/>
              <w:tabs>
                <w:tab w:val="decimal" w:pos="624"/>
              </w:tabs>
              <w:rPr>
                <w:b/>
              </w:rPr>
            </w:pPr>
            <w:r w:rsidRPr="00DB30BC">
              <w:rPr>
                <w:b/>
              </w:rPr>
              <w:t>127</w:t>
            </w:r>
          </w:p>
        </w:tc>
        <w:tc>
          <w:tcPr>
            <w:tcW w:w="1120" w:type="dxa"/>
            <w:tcBorders>
              <w:top w:val="nil"/>
              <w:left w:val="nil"/>
              <w:bottom w:val="single" w:sz="4" w:space="0" w:color="auto"/>
            </w:tcBorders>
          </w:tcPr>
          <w:p w:rsidR="0001331D" w:rsidRPr="00DB30BC" w:rsidRDefault="00B35729" w:rsidP="00DB30BC">
            <w:pPr>
              <w:pStyle w:val="Tabletext"/>
              <w:ind w:right="255"/>
              <w:jc w:val="right"/>
              <w:rPr>
                <w:b/>
              </w:rPr>
            </w:pPr>
            <w:r w:rsidRPr="00DB30BC">
              <w:rPr>
                <w:b/>
              </w:rPr>
              <w:t>12</w:t>
            </w:r>
            <w:r w:rsidR="00DB30BC">
              <w:rPr>
                <w:b/>
              </w:rPr>
              <w:t xml:space="preserve"> </w:t>
            </w:r>
            <w:r w:rsidRPr="00DB30BC">
              <w:rPr>
                <w:b/>
              </w:rPr>
              <w:t>875</w:t>
            </w:r>
          </w:p>
        </w:tc>
        <w:tc>
          <w:tcPr>
            <w:tcW w:w="1120" w:type="dxa"/>
            <w:tcBorders>
              <w:top w:val="nil"/>
              <w:left w:val="nil"/>
              <w:bottom w:val="single" w:sz="4" w:space="0" w:color="auto"/>
            </w:tcBorders>
          </w:tcPr>
          <w:p w:rsidR="0001331D" w:rsidRPr="00DB30BC" w:rsidRDefault="00B35729" w:rsidP="00DB30BC">
            <w:pPr>
              <w:pStyle w:val="Tabletext"/>
              <w:ind w:right="284"/>
              <w:jc w:val="right"/>
              <w:rPr>
                <w:b/>
              </w:rPr>
            </w:pPr>
            <w:r w:rsidRPr="00DB30BC">
              <w:rPr>
                <w:b/>
              </w:rPr>
              <w:t>6</w:t>
            </w:r>
            <w:r w:rsidR="00DB30BC">
              <w:rPr>
                <w:b/>
              </w:rPr>
              <w:t xml:space="preserve"> </w:t>
            </w:r>
            <w:r w:rsidRPr="00DB30BC">
              <w:rPr>
                <w:b/>
              </w:rPr>
              <w:t>325</w:t>
            </w:r>
          </w:p>
        </w:tc>
        <w:tc>
          <w:tcPr>
            <w:tcW w:w="1121" w:type="dxa"/>
            <w:tcBorders>
              <w:top w:val="nil"/>
              <w:left w:val="nil"/>
              <w:bottom w:val="single" w:sz="4" w:space="0" w:color="auto"/>
            </w:tcBorders>
          </w:tcPr>
          <w:p w:rsidR="0001331D" w:rsidRPr="00DB30BC" w:rsidRDefault="00B35729" w:rsidP="00DB30BC">
            <w:pPr>
              <w:pStyle w:val="Tabletext"/>
              <w:ind w:right="255"/>
              <w:jc w:val="right"/>
              <w:rPr>
                <w:b/>
              </w:rPr>
            </w:pPr>
            <w:r w:rsidRPr="00DB30BC">
              <w:rPr>
                <w:b/>
              </w:rPr>
              <w:t>19</w:t>
            </w:r>
            <w:r w:rsidR="00DB30BC">
              <w:rPr>
                <w:b/>
              </w:rPr>
              <w:t xml:space="preserve"> </w:t>
            </w:r>
            <w:r w:rsidRPr="00DB30BC">
              <w:rPr>
                <w:b/>
              </w:rPr>
              <w:t>200</w:t>
            </w:r>
          </w:p>
        </w:tc>
      </w:tr>
    </w:tbl>
    <w:p w:rsidR="001B49D3" w:rsidRPr="001B49D3" w:rsidRDefault="00DB30BC" w:rsidP="007D510F">
      <w:pPr>
        <w:pStyle w:val="Source"/>
      </w:pPr>
      <w:r>
        <w:t>Source:</w:t>
      </w:r>
      <w:r>
        <w:tab/>
      </w:r>
      <w:r w:rsidR="001B49D3" w:rsidRPr="001B49D3">
        <w:t>AVETMISS Provider Collection data for Western Australia</w:t>
      </w:r>
      <w:r w:rsidR="00614A8B">
        <w:t>.</w:t>
      </w:r>
    </w:p>
    <w:p w:rsidR="008B7278" w:rsidRPr="002D1DA4" w:rsidRDefault="008B7278" w:rsidP="00F43A69">
      <w:pPr>
        <w:pStyle w:val="Textmorebefore"/>
      </w:pPr>
      <w:r w:rsidRPr="002D1DA4">
        <w:t>Restricting the attention to the treated and their control (pre-apprentices and other students)</w:t>
      </w:r>
      <w:r w:rsidR="00614A8B">
        <w:t>,</w:t>
      </w:r>
      <w:r w:rsidRPr="002D1DA4">
        <w:t xml:space="preserve"> the means of selected outcome indicators by </w:t>
      </w:r>
      <w:r w:rsidR="00614A8B">
        <w:t>treatment category is given in t</w:t>
      </w:r>
      <w:r w:rsidRPr="002D1DA4">
        <w:t>able 3.</w:t>
      </w:r>
      <w:r w:rsidR="00C158DE">
        <w:t xml:space="preserve"> </w:t>
      </w:r>
      <w:r w:rsidR="009B72E1">
        <w:t>This table records what happened to students enrolled in pre-apprenticeship courses in 2009</w:t>
      </w:r>
      <w:r w:rsidR="0007584A">
        <w:t xml:space="preserve"> until the end of 2010. </w:t>
      </w:r>
      <w:r w:rsidRPr="002D1DA4">
        <w:t>The figures show that pre-apprentices did better than the other students for four of the five indicators.</w:t>
      </w:r>
      <w:r w:rsidR="00C158DE">
        <w:t xml:space="preserve"> </w:t>
      </w:r>
      <w:r w:rsidRPr="002D1DA4">
        <w:t>For students not at school</w:t>
      </w:r>
      <w:r w:rsidR="00614A8B">
        <w:t>,</w:t>
      </w:r>
      <w:r w:rsidRPr="002D1DA4">
        <w:t xml:space="preserve"> 2</w:t>
      </w:r>
      <w:r w:rsidR="00E10FC0">
        <w:t>3</w:t>
      </w:r>
      <w:r w:rsidR="00C158DE">
        <w:t>%</w:t>
      </w:r>
      <w:r w:rsidRPr="002D1DA4">
        <w:t xml:space="preserve"> of the student</w:t>
      </w:r>
      <w:r w:rsidR="00531904">
        <w:t>s</w:t>
      </w:r>
      <w:r w:rsidRPr="002D1DA4">
        <w:t xml:space="preserve"> who did a pre-apprenticeship progressed to an apprenticeship in the following year. By comparison, only 3</w:t>
      </w:r>
      <w:r w:rsidR="00C158DE">
        <w:t>%</w:t>
      </w:r>
      <w:r w:rsidRPr="002D1DA4">
        <w:t xml:space="preserve"> of other students made this transition. </w:t>
      </w:r>
    </w:p>
    <w:p w:rsidR="008B7278" w:rsidRPr="002D1DA4" w:rsidRDefault="008B7278" w:rsidP="007D510F">
      <w:pPr>
        <w:pStyle w:val="Text"/>
      </w:pPr>
      <w:r w:rsidRPr="002D1DA4">
        <w:t>For the other outcome indicators the differences are smaller.</w:t>
      </w:r>
      <w:r w:rsidR="00C158DE">
        <w:t xml:space="preserve"> </w:t>
      </w:r>
      <w:r w:rsidRPr="002D1DA4">
        <w:t>Only a very small proportion transit</w:t>
      </w:r>
      <w:r w:rsidR="00531904">
        <w:t>ion</w:t>
      </w:r>
      <w:r w:rsidRPr="002D1DA4">
        <w:t>ed to a traineeship. The attachment to VET, as indicated by whether the students were enrolled in 2010, differs little between the two categories.</w:t>
      </w:r>
      <w:r w:rsidR="00C158DE">
        <w:t xml:space="preserve"> </w:t>
      </w:r>
      <w:r w:rsidRPr="002D1DA4">
        <w:t xml:space="preserve">Students who did a pre-apprenticeship are also more likely to have completed their course, either in 2009 or 2010. These figures in particular are </w:t>
      </w:r>
      <w:r w:rsidRPr="002D1DA4">
        <w:lastRenderedPageBreak/>
        <w:t>incomplete in the sense that completion is measured up to a point in time only.</w:t>
      </w:r>
      <w:r w:rsidR="00C158DE">
        <w:t xml:space="preserve"> </w:t>
      </w:r>
      <w:r w:rsidRPr="002D1DA4">
        <w:t>Of course, all indicators are incomplete in some res</w:t>
      </w:r>
      <w:r w:rsidR="00B37FD4">
        <w:t>pects. Not all students in pre-apprenticeship</w:t>
      </w:r>
      <w:r w:rsidRPr="002D1DA4">
        <w:t xml:space="preserve"> course</w:t>
      </w:r>
      <w:r w:rsidR="00B37FD4">
        <w:t>s</w:t>
      </w:r>
      <w:r w:rsidRPr="002D1DA4">
        <w:t xml:space="preserve"> in 2009 who progress to an apprenticeship would have done so during 2010. However, the figures permit at least a preliminary assessment of the succes</w:t>
      </w:r>
      <w:r w:rsidR="00D37BDD">
        <w:t>s of pre-apprenticeship schemes.</w:t>
      </w:r>
      <w:r w:rsidR="00C158DE">
        <w:t xml:space="preserve"> </w:t>
      </w:r>
      <w:r w:rsidRPr="002D1DA4">
        <w:t xml:space="preserve"> </w:t>
      </w:r>
    </w:p>
    <w:p w:rsidR="008B7278" w:rsidRDefault="008B7278" w:rsidP="008B7278">
      <w:pPr>
        <w:pStyle w:val="tabletitle"/>
      </w:pPr>
      <w:bookmarkStart w:id="55" w:name="_Toc331077001"/>
      <w:bookmarkStart w:id="56" w:name="_Toc337199619"/>
      <w:r>
        <w:t>Table 3</w:t>
      </w:r>
      <w:r>
        <w:tab/>
      </w:r>
      <w:r w:rsidR="0007584A">
        <w:t xml:space="preserve">Students enrolled in a pre-apprenticeship course in 2009: </w:t>
      </w:r>
      <w:r w:rsidR="00614A8B">
        <w:t>m</w:t>
      </w:r>
      <w:r>
        <w:t>eans of outcome indicators by school status and treatment status</w:t>
      </w:r>
      <w:bookmarkEnd w:id="55"/>
      <w:bookmarkEnd w:id="56"/>
      <w:r>
        <w:t xml:space="preserve"> </w:t>
      </w:r>
    </w:p>
    <w:tbl>
      <w:tblPr>
        <w:tblW w:w="8789" w:type="dxa"/>
        <w:tblInd w:w="57" w:type="dxa"/>
        <w:tblBorders>
          <w:top w:val="single" w:sz="4" w:space="0" w:color="auto"/>
          <w:bottom w:val="single" w:sz="4" w:space="0" w:color="auto"/>
        </w:tblBorders>
        <w:tblLayout w:type="fixed"/>
        <w:tblCellMar>
          <w:left w:w="57" w:type="dxa"/>
          <w:right w:w="57" w:type="dxa"/>
        </w:tblCellMar>
        <w:tblLook w:val="0000"/>
      </w:tblPr>
      <w:tblGrid>
        <w:gridCol w:w="1137"/>
        <w:gridCol w:w="1420"/>
        <w:gridCol w:w="1246"/>
        <w:gridCol w:w="1246"/>
        <w:gridCol w:w="1248"/>
        <w:gridCol w:w="1246"/>
        <w:gridCol w:w="1246"/>
      </w:tblGrid>
      <w:tr w:rsidR="00DB30BC" w:rsidTr="00DB30BC">
        <w:trPr>
          <w:cantSplit/>
        </w:trPr>
        <w:tc>
          <w:tcPr>
            <w:tcW w:w="646" w:type="pct"/>
            <w:tcBorders>
              <w:top w:val="single" w:sz="4" w:space="0" w:color="auto"/>
              <w:bottom w:val="nil"/>
              <w:right w:val="nil"/>
            </w:tcBorders>
          </w:tcPr>
          <w:p w:rsidR="00DB30BC" w:rsidRDefault="00DB30BC" w:rsidP="008B7278">
            <w:pPr>
              <w:pStyle w:val="Tablehead1"/>
            </w:pPr>
          </w:p>
        </w:tc>
        <w:tc>
          <w:tcPr>
            <w:tcW w:w="808" w:type="pct"/>
            <w:tcBorders>
              <w:top w:val="single" w:sz="4" w:space="0" w:color="auto"/>
              <w:bottom w:val="nil"/>
              <w:right w:val="nil"/>
            </w:tcBorders>
          </w:tcPr>
          <w:p w:rsidR="00DB30BC" w:rsidRDefault="00DB30BC" w:rsidP="008B7278">
            <w:pPr>
              <w:pStyle w:val="Tablehead1"/>
            </w:pPr>
          </w:p>
        </w:tc>
        <w:tc>
          <w:tcPr>
            <w:tcW w:w="3546" w:type="pct"/>
            <w:gridSpan w:val="5"/>
            <w:tcBorders>
              <w:top w:val="single" w:sz="4" w:space="0" w:color="auto"/>
              <w:left w:val="nil"/>
              <w:bottom w:val="nil"/>
            </w:tcBorders>
          </w:tcPr>
          <w:p w:rsidR="00DB30BC" w:rsidRDefault="00DB30BC" w:rsidP="008B7278">
            <w:pPr>
              <w:pStyle w:val="Tablehead1"/>
              <w:jc w:val="center"/>
            </w:pPr>
            <w:r w:rsidRPr="007D510F">
              <w:t>Outcome indicators</w:t>
            </w:r>
          </w:p>
        </w:tc>
      </w:tr>
      <w:tr w:rsidR="003B2FD0" w:rsidTr="00DB30BC">
        <w:trPr>
          <w:cantSplit/>
        </w:trPr>
        <w:tc>
          <w:tcPr>
            <w:tcW w:w="646" w:type="pct"/>
            <w:tcBorders>
              <w:top w:val="nil"/>
              <w:bottom w:val="single" w:sz="4" w:space="0" w:color="auto"/>
              <w:right w:val="nil"/>
            </w:tcBorders>
          </w:tcPr>
          <w:p w:rsidR="003B2FD0" w:rsidRDefault="003B2FD0" w:rsidP="00DB30BC">
            <w:pPr>
              <w:pStyle w:val="Tablehead2"/>
              <w:jc w:val="center"/>
            </w:pPr>
          </w:p>
        </w:tc>
        <w:tc>
          <w:tcPr>
            <w:tcW w:w="808" w:type="pct"/>
            <w:tcBorders>
              <w:top w:val="nil"/>
              <w:bottom w:val="single" w:sz="4" w:space="0" w:color="auto"/>
              <w:right w:val="nil"/>
            </w:tcBorders>
          </w:tcPr>
          <w:p w:rsidR="003B2FD0" w:rsidRDefault="003B2FD0" w:rsidP="00DB30BC">
            <w:pPr>
              <w:pStyle w:val="Tablehead2"/>
              <w:jc w:val="center"/>
            </w:pPr>
          </w:p>
        </w:tc>
        <w:tc>
          <w:tcPr>
            <w:tcW w:w="709" w:type="pct"/>
            <w:tcBorders>
              <w:top w:val="nil"/>
              <w:left w:val="nil"/>
              <w:bottom w:val="single" w:sz="4" w:space="0" w:color="auto"/>
              <w:right w:val="nil"/>
            </w:tcBorders>
          </w:tcPr>
          <w:p w:rsidR="003B2FD0" w:rsidRDefault="003B2FD0" w:rsidP="00DB30BC">
            <w:pPr>
              <w:pStyle w:val="Tablehead2"/>
              <w:jc w:val="center"/>
            </w:pPr>
            <w:r>
              <w:t xml:space="preserve">Had an apprentice training contract </w:t>
            </w:r>
            <w:r w:rsidR="00907C72">
              <w:br/>
            </w:r>
            <w:r>
              <w:t>in 2010</w:t>
            </w:r>
          </w:p>
        </w:tc>
        <w:tc>
          <w:tcPr>
            <w:tcW w:w="709" w:type="pct"/>
            <w:tcBorders>
              <w:top w:val="nil"/>
              <w:left w:val="nil"/>
              <w:bottom w:val="single" w:sz="4" w:space="0" w:color="auto"/>
              <w:right w:val="nil"/>
            </w:tcBorders>
          </w:tcPr>
          <w:p w:rsidR="003B2FD0" w:rsidRDefault="003B2FD0" w:rsidP="00DB30BC">
            <w:pPr>
              <w:pStyle w:val="Tablehead2"/>
              <w:jc w:val="center"/>
            </w:pPr>
            <w:r>
              <w:t xml:space="preserve">Had a trainee contract </w:t>
            </w:r>
            <w:r w:rsidR="00907C72">
              <w:br/>
            </w:r>
            <w:r>
              <w:t>in 2010</w:t>
            </w:r>
          </w:p>
        </w:tc>
        <w:tc>
          <w:tcPr>
            <w:tcW w:w="710" w:type="pct"/>
            <w:tcBorders>
              <w:top w:val="nil"/>
              <w:left w:val="nil"/>
              <w:bottom w:val="single" w:sz="4" w:space="0" w:color="auto"/>
              <w:right w:val="nil"/>
            </w:tcBorders>
          </w:tcPr>
          <w:p w:rsidR="003B2FD0" w:rsidRDefault="003B2FD0" w:rsidP="00DB30BC">
            <w:pPr>
              <w:pStyle w:val="Tablehead2"/>
              <w:jc w:val="center"/>
            </w:pPr>
            <w:r>
              <w:t xml:space="preserve">Was enrolled in a VET course </w:t>
            </w:r>
            <w:r w:rsidR="00907C72">
              <w:br/>
            </w:r>
            <w:r>
              <w:t>in 2010</w:t>
            </w:r>
          </w:p>
        </w:tc>
        <w:tc>
          <w:tcPr>
            <w:tcW w:w="709" w:type="pct"/>
            <w:tcBorders>
              <w:top w:val="nil"/>
              <w:left w:val="nil"/>
              <w:bottom w:val="single" w:sz="4" w:space="0" w:color="auto"/>
            </w:tcBorders>
          </w:tcPr>
          <w:p w:rsidR="003B2FD0" w:rsidRDefault="003B2FD0" w:rsidP="00DB30BC">
            <w:pPr>
              <w:pStyle w:val="Tablehead2"/>
              <w:jc w:val="center"/>
            </w:pPr>
            <w:r>
              <w:t xml:space="preserve">Completed </w:t>
            </w:r>
            <w:r w:rsidR="00907C72">
              <w:br/>
            </w:r>
            <w:r w:rsidR="009B72E1">
              <w:t>the pre-apprenticeship course</w:t>
            </w:r>
            <w:r>
              <w:t xml:space="preserve"> </w:t>
            </w:r>
            <w:r w:rsidR="00907C72">
              <w:br/>
            </w:r>
            <w:r>
              <w:t>in 2009</w:t>
            </w:r>
          </w:p>
        </w:tc>
        <w:tc>
          <w:tcPr>
            <w:tcW w:w="710" w:type="pct"/>
            <w:tcBorders>
              <w:top w:val="nil"/>
              <w:left w:val="nil"/>
              <w:bottom w:val="single" w:sz="4" w:space="0" w:color="auto"/>
            </w:tcBorders>
          </w:tcPr>
          <w:p w:rsidR="003B2FD0" w:rsidRDefault="003B2FD0" w:rsidP="00DB30BC">
            <w:pPr>
              <w:pStyle w:val="Tablehead2"/>
              <w:jc w:val="center"/>
            </w:pPr>
            <w:r>
              <w:t xml:space="preserve">Completed </w:t>
            </w:r>
            <w:r w:rsidR="00907C72">
              <w:br/>
            </w:r>
            <w:r w:rsidR="009B72E1">
              <w:t>the pre-apprenticeship in 2</w:t>
            </w:r>
            <w:r>
              <w:t>0</w:t>
            </w:r>
            <w:r w:rsidR="009B72E1">
              <w:t>10</w:t>
            </w:r>
          </w:p>
        </w:tc>
      </w:tr>
      <w:tr w:rsidR="003B2FD0" w:rsidTr="00DB30BC">
        <w:trPr>
          <w:cantSplit/>
        </w:trPr>
        <w:tc>
          <w:tcPr>
            <w:tcW w:w="646" w:type="pct"/>
            <w:tcBorders>
              <w:top w:val="nil"/>
              <w:bottom w:val="nil"/>
              <w:right w:val="nil"/>
            </w:tcBorders>
          </w:tcPr>
          <w:p w:rsidR="003B2FD0" w:rsidRDefault="003B2FD0" w:rsidP="00DB30BC">
            <w:pPr>
              <w:pStyle w:val="Tabletext"/>
            </w:pPr>
            <w:r>
              <w:t>Not at school</w:t>
            </w:r>
          </w:p>
        </w:tc>
        <w:tc>
          <w:tcPr>
            <w:tcW w:w="808" w:type="pct"/>
            <w:tcBorders>
              <w:top w:val="nil"/>
              <w:bottom w:val="nil"/>
              <w:right w:val="nil"/>
            </w:tcBorders>
            <w:tcMar>
              <w:right w:w="0" w:type="dxa"/>
            </w:tcMar>
          </w:tcPr>
          <w:p w:rsidR="003B2FD0" w:rsidRPr="00907C72" w:rsidRDefault="003B2FD0" w:rsidP="00DB30BC">
            <w:pPr>
              <w:pStyle w:val="Tabletext"/>
              <w:rPr>
                <w:i/>
              </w:rPr>
            </w:pPr>
            <w:r w:rsidRPr="00907C72">
              <w:rPr>
                <w:i/>
              </w:rPr>
              <w:t>Pre-apprenticeship students</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0.233</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0.001</w:t>
            </w:r>
          </w:p>
        </w:tc>
        <w:tc>
          <w:tcPr>
            <w:tcW w:w="710" w:type="pct"/>
            <w:tcBorders>
              <w:top w:val="nil"/>
              <w:left w:val="nil"/>
              <w:bottom w:val="nil"/>
              <w:right w:val="nil"/>
            </w:tcBorders>
          </w:tcPr>
          <w:p w:rsidR="003B2FD0" w:rsidRPr="007D510F" w:rsidRDefault="003B2FD0" w:rsidP="00907C72">
            <w:pPr>
              <w:pStyle w:val="Tabletext"/>
              <w:tabs>
                <w:tab w:val="decimal" w:pos="425"/>
              </w:tabs>
            </w:pPr>
            <w:r w:rsidRPr="007D510F">
              <w:t>0.373</w:t>
            </w:r>
          </w:p>
        </w:tc>
        <w:tc>
          <w:tcPr>
            <w:tcW w:w="709" w:type="pct"/>
            <w:tcBorders>
              <w:top w:val="nil"/>
              <w:left w:val="nil"/>
              <w:bottom w:val="nil"/>
            </w:tcBorders>
          </w:tcPr>
          <w:p w:rsidR="003B2FD0" w:rsidRPr="007D510F" w:rsidRDefault="003B2FD0" w:rsidP="00907C72">
            <w:pPr>
              <w:pStyle w:val="Tabletext"/>
              <w:tabs>
                <w:tab w:val="decimal" w:pos="425"/>
              </w:tabs>
            </w:pPr>
            <w:r w:rsidRPr="007D510F">
              <w:t>0.304</w:t>
            </w:r>
          </w:p>
        </w:tc>
        <w:tc>
          <w:tcPr>
            <w:tcW w:w="710" w:type="pct"/>
            <w:tcBorders>
              <w:top w:val="nil"/>
              <w:left w:val="nil"/>
              <w:bottom w:val="nil"/>
            </w:tcBorders>
          </w:tcPr>
          <w:p w:rsidR="003B2FD0" w:rsidRPr="007D510F" w:rsidRDefault="003B2FD0" w:rsidP="00907C72">
            <w:pPr>
              <w:pStyle w:val="Tabletext"/>
              <w:tabs>
                <w:tab w:val="decimal" w:pos="425"/>
              </w:tabs>
            </w:pPr>
            <w:r w:rsidRPr="007D510F">
              <w:t>0.061</w:t>
            </w:r>
          </w:p>
        </w:tc>
      </w:tr>
      <w:tr w:rsidR="003B2FD0" w:rsidTr="00DB30BC">
        <w:trPr>
          <w:cantSplit/>
        </w:trPr>
        <w:tc>
          <w:tcPr>
            <w:tcW w:w="646" w:type="pct"/>
            <w:tcBorders>
              <w:top w:val="nil"/>
              <w:bottom w:val="nil"/>
              <w:right w:val="nil"/>
            </w:tcBorders>
          </w:tcPr>
          <w:p w:rsidR="003B2FD0" w:rsidRDefault="003B2FD0" w:rsidP="00DB30BC">
            <w:pPr>
              <w:pStyle w:val="Tabletext"/>
            </w:pPr>
          </w:p>
        </w:tc>
        <w:tc>
          <w:tcPr>
            <w:tcW w:w="808" w:type="pct"/>
            <w:tcBorders>
              <w:top w:val="nil"/>
              <w:bottom w:val="nil"/>
              <w:right w:val="nil"/>
            </w:tcBorders>
          </w:tcPr>
          <w:p w:rsidR="003B2FD0" w:rsidRPr="00907C72" w:rsidRDefault="003B2FD0" w:rsidP="00DB30BC">
            <w:pPr>
              <w:pStyle w:val="Tabletext"/>
              <w:rPr>
                <w:i/>
              </w:rPr>
            </w:pPr>
            <w:r w:rsidRPr="00907C72">
              <w:rPr>
                <w:i/>
              </w:rPr>
              <w:t>Other students</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0.032</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0.009</w:t>
            </w:r>
          </w:p>
        </w:tc>
        <w:tc>
          <w:tcPr>
            <w:tcW w:w="710" w:type="pct"/>
            <w:tcBorders>
              <w:top w:val="nil"/>
              <w:left w:val="nil"/>
              <w:bottom w:val="nil"/>
              <w:right w:val="nil"/>
            </w:tcBorders>
          </w:tcPr>
          <w:p w:rsidR="003B2FD0" w:rsidRPr="007D510F" w:rsidRDefault="003B2FD0" w:rsidP="00907C72">
            <w:pPr>
              <w:pStyle w:val="Tabletext"/>
              <w:tabs>
                <w:tab w:val="decimal" w:pos="425"/>
              </w:tabs>
            </w:pPr>
            <w:r w:rsidRPr="007D510F">
              <w:t>0.349</w:t>
            </w:r>
          </w:p>
        </w:tc>
        <w:tc>
          <w:tcPr>
            <w:tcW w:w="709" w:type="pct"/>
            <w:tcBorders>
              <w:top w:val="nil"/>
              <w:left w:val="nil"/>
              <w:bottom w:val="nil"/>
            </w:tcBorders>
          </w:tcPr>
          <w:p w:rsidR="003B2FD0" w:rsidRPr="007D510F" w:rsidRDefault="003B2FD0" w:rsidP="00907C72">
            <w:pPr>
              <w:pStyle w:val="Tabletext"/>
              <w:tabs>
                <w:tab w:val="decimal" w:pos="425"/>
              </w:tabs>
            </w:pPr>
            <w:r w:rsidRPr="007D510F">
              <w:t>0.166</w:t>
            </w:r>
          </w:p>
        </w:tc>
        <w:tc>
          <w:tcPr>
            <w:tcW w:w="710" w:type="pct"/>
            <w:tcBorders>
              <w:top w:val="nil"/>
              <w:left w:val="nil"/>
              <w:bottom w:val="nil"/>
            </w:tcBorders>
          </w:tcPr>
          <w:p w:rsidR="003B2FD0" w:rsidRPr="007D510F" w:rsidRDefault="003B2FD0" w:rsidP="00907C72">
            <w:pPr>
              <w:pStyle w:val="Tabletext"/>
              <w:tabs>
                <w:tab w:val="decimal" w:pos="425"/>
              </w:tabs>
            </w:pPr>
            <w:r w:rsidRPr="007D510F">
              <w:t>0.011</w:t>
            </w:r>
          </w:p>
        </w:tc>
      </w:tr>
      <w:tr w:rsidR="003B2FD0" w:rsidTr="00DB30BC">
        <w:trPr>
          <w:cantSplit/>
        </w:trPr>
        <w:tc>
          <w:tcPr>
            <w:tcW w:w="646" w:type="pct"/>
            <w:tcBorders>
              <w:top w:val="nil"/>
              <w:bottom w:val="nil"/>
              <w:right w:val="nil"/>
            </w:tcBorders>
          </w:tcPr>
          <w:p w:rsidR="003B2FD0" w:rsidRDefault="003B2FD0" w:rsidP="00DB30BC">
            <w:pPr>
              <w:pStyle w:val="Tabletext"/>
            </w:pPr>
          </w:p>
        </w:tc>
        <w:tc>
          <w:tcPr>
            <w:tcW w:w="808" w:type="pct"/>
            <w:tcBorders>
              <w:top w:val="nil"/>
              <w:bottom w:val="nil"/>
              <w:right w:val="nil"/>
            </w:tcBorders>
          </w:tcPr>
          <w:p w:rsidR="003B2FD0" w:rsidRPr="00907C72" w:rsidRDefault="003B2FD0" w:rsidP="00DB30BC">
            <w:pPr>
              <w:pStyle w:val="Tabletext"/>
              <w:rPr>
                <w:i/>
              </w:rPr>
            </w:pPr>
            <w:r w:rsidRPr="00907C72">
              <w:rPr>
                <w:i/>
              </w:rPr>
              <w:t>Difference</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0.190</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-0.008</w:t>
            </w:r>
          </w:p>
        </w:tc>
        <w:tc>
          <w:tcPr>
            <w:tcW w:w="710" w:type="pct"/>
            <w:tcBorders>
              <w:top w:val="nil"/>
              <w:left w:val="nil"/>
              <w:bottom w:val="nil"/>
              <w:right w:val="nil"/>
            </w:tcBorders>
          </w:tcPr>
          <w:p w:rsidR="003B2FD0" w:rsidRPr="007D510F" w:rsidRDefault="003B2FD0" w:rsidP="00907C72">
            <w:pPr>
              <w:pStyle w:val="Tabletext"/>
              <w:tabs>
                <w:tab w:val="decimal" w:pos="425"/>
              </w:tabs>
            </w:pPr>
            <w:r w:rsidRPr="007D510F">
              <w:t>0.024</w:t>
            </w:r>
          </w:p>
        </w:tc>
        <w:tc>
          <w:tcPr>
            <w:tcW w:w="709" w:type="pct"/>
            <w:tcBorders>
              <w:top w:val="nil"/>
              <w:left w:val="nil"/>
              <w:bottom w:val="nil"/>
            </w:tcBorders>
          </w:tcPr>
          <w:p w:rsidR="003B2FD0" w:rsidRPr="007D510F" w:rsidRDefault="003B2FD0" w:rsidP="00907C72">
            <w:pPr>
              <w:pStyle w:val="Tabletext"/>
              <w:tabs>
                <w:tab w:val="decimal" w:pos="425"/>
              </w:tabs>
            </w:pPr>
            <w:r w:rsidRPr="007D510F">
              <w:t>0.138</w:t>
            </w:r>
          </w:p>
        </w:tc>
        <w:tc>
          <w:tcPr>
            <w:tcW w:w="710" w:type="pct"/>
            <w:tcBorders>
              <w:top w:val="nil"/>
              <w:left w:val="nil"/>
              <w:bottom w:val="nil"/>
            </w:tcBorders>
          </w:tcPr>
          <w:p w:rsidR="003B2FD0" w:rsidRPr="007D510F" w:rsidRDefault="003B2FD0" w:rsidP="00907C72">
            <w:pPr>
              <w:pStyle w:val="Tabletext"/>
              <w:tabs>
                <w:tab w:val="decimal" w:pos="425"/>
              </w:tabs>
            </w:pPr>
            <w:r w:rsidRPr="007D510F">
              <w:t>0.050</w:t>
            </w:r>
          </w:p>
        </w:tc>
      </w:tr>
      <w:tr w:rsidR="003B2FD0" w:rsidTr="00DB30BC">
        <w:trPr>
          <w:cantSplit/>
        </w:trPr>
        <w:tc>
          <w:tcPr>
            <w:tcW w:w="646" w:type="pct"/>
            <w:tcBorders>
              <w:top w:val="nil"/>
              <w:bottom w:val="nil"/>
              <w:right w:val="nil"/>
            </w:tcBorders>
          </w:tcPr>
          <w:p w:rsidR="003B2FD0" w:rsidRDefault="003B2FD0" w:rsidP="00DB30BC">
            <w:pPr>
              <w:pStyle w:val="Tabletext"/>
            </w:pPr>
            <w:r>
              <w:t>At school</w:t>
            </w:r>
          </w:p>
        </w:tc>
        <w:tc>
          <w:tcPr>
            <w:tcW w:w="808" w:type="pct"/>
            <w:tcBorders>
              <w:top w:val="nil"/>
              <w:bottom w:val="nil"/>
              <w:right w:val="nil"/>
            </w:tcBorders>
            <w:tcMar>
              <w:right w:w="0" w:type="dxa"/>
            </w:tcMar>
          </w:tcPr>
          <w:p w:rsidR="003B2FD0" w:rsidRPr="00907C72" w:rsidRDefault="003B2FD0" w:rsidP="00DB30BC">
            <w:pPr>
              <w:pStyle w:val="Tabletext"/>
              <w:rPr>
                <w:i/>
              </w:rPr>
            </w:pPr>
            <w:r w:rsidRPr="00907C72">
              <w:rPr>
                <w:i/>
              </w:rPr>
              <w:t>Pre-apprenticeship students</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0.159</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0.030</w:t>
            </w:r>
          </w:p>
        </w:tc>
        <w:tc>
          <w:tcPr>
            <w:tcW w:w="710" w:type="pct"/>
            <w:tcBorders>
              <w:top w:val="nil"/>
              <w:left w:val="nil"/>
              <w:bottom w:val="nil"/>
              <w:right w:val="nil"/>
            </w:tcBorders>
          </w:tcPr>
          <w:p w:rsidR="003B2FD0" w:rsidRPr="007D510F" w:rsidRDefault="003B2FD0" w:rsidP="00907C72">
            <w:pPr>
              <w:pStyle w:val="Tabletext"/>
              <w:tabs>
                <w:tab w:val="decimal" w:pos="425"/>
              </w:tabs>
            </w:pPr>
            <w:r w:rsidRPr="007D510F">
              <w:t>0.423</w:t>
            </w:r>
          </w:p>
        </w:tc>
        <w:tc>
          <w:tcPr>
            <w:tcW w:w="709" w:type="pct"/>
            <w:tcBorders>
              <w:top w:val="nil"/>
              <w:left w:val="nil"/>
              <w:bottom w:val="nil"/>
            </w:tcBorders>
          </w:tcPr>
          <w:p w:rsidR="003B2FD0" w:rsidRPr="007D510F" w:rsidRDefault="003B2FD0" w:rsidP="00907C72">
            <w:pPr>
              <w:pStyle w:val="Tabletext"/>
              <w:tabs>
                <w:tab w:val="decimal" w:pos="425"/>
              </w:tabs>
            </w:pPr>
            <w:r w:rsidRPr="007D510F">
              <w:t>0.219</w:t>
            </w:r>
          </w:p>
        </w:tc>
        <w:tc>
          <w:tcPr>
            <w:tcW w:w="710" w:type="pct"/>
            <w:tcBorders>
              <w:top w:val="nil"/>
              <w:left w:val="nil"/>
              <w:bottom w:val="nil"/>
            </w:tcBorders>
          </w:tcPr>
          <w:p w:rsidR="003B2FD0" w:rsidRPr="007D510F" w:rsidRDefault="003B2FD0" w:rsidP="00907C72">
            <w:pPr>
              <w:pStyle w:val="Tabletext"/>
              <w:tabs>
                <w:tab w:val="decimal" w:pos="425"/>
              </w:tabs>
            </w:pPr>
            <w:r w:rsidRPr="007D510F">
              <w:t>0.062</w:t>
            </w:r>
          </w:p>
        </w:tc>
      </w:tr>
      <w:tr w:rsidR="003B2FD0" w:rsidTr="00DB30BC">
        <w:trPr>
          <w:cantSplit/>
        </w:trPr>
        <w:tc>
          <w:tcPr>
            <w:tcW w:w="646" w:type="pct"/>
            <w:tcBorders>
              <w:top w:val="nil"/>
              <w:bottom w:val="nil"/>
              <w:right w:val="nil"/>
            </w:tcBorders>
          </w:tcPr>
          <w:p w:rsidR="003B2FD0" w:rsidRDefault="003B2FD0" w:rsidP="00DB30BC">
            <w:pPr>
              <w:pStyle w:val="Tabletext"/>
            </w:pPr>
          </w:p>
        </w:tc>
        <w:tc>
          <w:tcPr>
            <w:tcW w:w="808" w:type="pct"/>
            <w:tcBorders>
              <w:top w:val="nil"/>
              <w:bottom w:val="nil"/>
              <w:right w:val="nil"/>
            </w:tcBorders>
          </w:tcPr>
          <w:p w:rsidR="003B2FD0" w:rsidRPr="00907C72" w:rsidRDefault="003B2FD0" w:rsidP="00DB30BC">
            <w:pPr>
              <w:pStyle w:val="Tabletext"/>
              <w:rPr>
                <w:i/>
              </w:rPr>
            </w:pPr>
            <w:r w:rsidRPr="00907C72">
              <w:rPr>
                <w:i/>
              </w:rPr>
              <w:t>Other students</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0.096</w:t>
            </w:r>
          </w:p>
        </w:tc>
        <w:tc>
          <w:tcPr>
            <w:tcW w:w="709" w:type="pct"/>
            <w:tcBorders>
              <w:top w:val="nil"/>
              <w:left w:val="nil"/>
              <w:bottom w:val="nil"/>
              <w:right w:val="nil"/>
            </w:tcBorders>
          </w:tcPr>
          <w:p w:rsidR="003B2FD0" w:rsidRPr="007D510F" w:rsidRDefault="003B2FD0" w:rsidP="00907C72">
            <w:pPr>
              <w:pStyle w:val="Tabletext"/>
              <w:tabs>
                <w:tab w:val="decimal" w:pos="425"/>
              </w:tabs>
            </w:pPr>
            <w:r w:rsidRPr="007D510F">
              <w:t>0.015</w:t>
            </w:r>
          </w:p>
        </w:tc>
        <w:tc>
          <w:tcPr>
            <w:tcW w:w="710" w:type="pct"/>
            <w:tcBorders>
              <w:top w:val="nil"/>
              <w:left w:val="nil"/>
              <w:bottom w:val="nil"/>
              <w:right w:val="nil"/>
            </w:tcBorders>
          </w:tcPr>
          <w:p w:rsidR="003B2FD0" w:rsidRPr="007D510F" w:rsidRDefault="003B2FD0" w:rsidP="00907C72">
            <w:pPr>
              <w:pStyle w:val="Tabletext"/>
              <w:tabs>
                <w:tab w:val="decimal" w:pos="425"/>
              </w:tabs>
            </w:pPr>
            <w:r w:rsidRPr="007D510F">
              <w:t>0.382</w:t>
            </w:r>
          </w:p>
        </w:tc>
        <w:tc>
          <w:tcPr>
            <w:tcW w:w="709" w:type="pct"/>
            <w:tcBorders>
              <w:top w:val="nil"/>
              <w:left w:val="nil"/>
              <w:bottom w:val="nil"/>
            </w:tcBorders>
          </w:tcPr>
          <w:p w:rsidR="003B2FD0" w:rsidRPr="007D510F" w:rsidRDefault="003B2FD0" w:rsidP="00907C72">
            <w:pPr>
              <w:pStyle w:val="Tabletext"/>
              <w:tabs>
                <w:tab w:val="decimal" w:pos="425"/>
              </w:tabs>
            </w:pPr>
            <w:r w:rsidRPr="007D510F">
              <w:t>0.224</w:t>
            </w:r>
          </w:p>
        </w:tc>
        <w:tc>
          <w:tcPr>
            <w:tcW w:w="710" w:type="pct"/>
            <w:tcBorders>
              <w:top w:val="nil"/>
              <w:left w:val="nil"/>
              <w:bottom w:val="nil"/>
            </w:tcBorders>
          </w:tcPr>
          <w:p w:rsidR="003B2FD0" w:rsidRPr="007D510F" w:rsidRDefault="003B2FD0" w:rsidP="00907C72">
            <w:pPr>
              <w:pStyle w:val="Tabletext"/>
              <w:tabs>
                <w:tab w:val="decimal" w:pos="425"/>
              </w:tabs>
            </w:pPr>
            <w:r w:rsidRPr="007D510F">
              <w:t>0.065</w:t>
            </w:r>
          </w:p>
        </w:tc>
      </w:tr>
      <w:tr w:rsidR="003B2FD0" w:rsidTr="00DB30BC">
        <w:trPr>
          <w:cantSplit/>
        </w:trPr>
        <w:tc>
          <w:tcPr>
            <w:tcW w:w="646" w:type="pct"/>
            <w:tcBorders>
              <w:top w:val="nil"/>
              <w:bottom w:val="single" w:sz="4" w:space="0" w:color="auto"/>
              <w:right w:val="nil"/>
            </w:tcBorders>
          </w:tcPr>
          <w:p w:rsidR="003B2FD0" w:rsidRDefault="003B2FD0" w:rsidP="00DB30BC">
            <w:pPr>
              <w:pStyle w:val="Tabletext"/>
            </w:pPr>
          </w:p>
        </w:tc>
        <w:tc>
          <w:tcPr>
            <w:tcW w:w="808" w:type="pct"/>
            <w:tcBorders>
              <w:top w:val="nil"/>
              <w:bottom w:val="single" w:sz="4" w:space="0" w:color="auto"/>
              <w:right w:val="nil"/>
            </w:tcBorders>
          </w:tcPr>
          <w:p w:rsidR="003B2FD0" w:rsidRPr="00907C72" w:rsidRDefault="003B2FD0" w:rsidP="00DB30BC">
            <w:pPr>
              <w:pStyle w:val="Tabletext"/>
              <w:rPr>
                <w:i/>
              </w:rPr>
            </w:pPr>
            <w:r w:rsidRPr="00907C72">
              <w:rPr>
                <w:i/>
              </w:rPr>
              <w:t>Difference</w:t>
            </w:r>
          </w:p>
        </w:tc>
        <w:tc>
          <w:tcPr>
            <w:tcW w:w="709" w:type="pct"/>
            <w:tcBorders>
              <w:top w:val="nil"/>
              <w:left w:val="nil"/>
              <w:bottom w:val="single" w:sz="4" w:space="0" w:color="auto"/>
              <w:right w:val="nil"/>
            </w:tcBorders>
          </w:tcPr>
          <w:p w:rsidR="003B2FD0" w:rsidRPr="007D510F" w:rsidRDefault="003B2FD0" w:rsidP="00907C72">
            <w:pPr>
              <w:pStyle w:val="Tabletext"/>
              <w:tabs>
                <w:tab w:val="decimal" w:pos="425"/>
              </w:tabs>
            </w:pPr>
            <w:r w:rsidRPr="007D510F">
              <w:t>0.063</w:t>
            </w:r>
          </w:p>
        </w:tc>
        <w:tc>
          <w:tcPr>
            <w:tcW w:w="709" w:type="pct"/>
            <w:tcBorders>
              <w:top w:val="nil"/>
              <w:left w:val="nil"/>
              <w:bottom w:val="single" w:sz="4" w:space="0" w:color="auto"/>
              <w:right w:val="nil"/>
            </w:tcBorders>
          </w:tcPr>
          <w:p w:rsidR="003B2FD0" w:rsidRPr="007D510F" w:rsidRDefault="003B2FD0" w:rsidP="00907C72">
            <w:pPr>
              <w:pStyle w:val="Tabletext"/>
              <w:tabs>
                <w:tab w:val="decimal" w:pos="425"/>
              </w:tabs>
            </w:pPr>
            <w:r w:rsidRPr="007D510F">
              <w:t>-0.015</w:t>
            </w:r>
          </w:p>
        </w:tc>
        <w:tc>
          <w:tcPr>
            <w:tcW w:w="710" w:type="pct"/>
            <w:tcBorders>
              <w:top w:val="nil"/>
              <w:left w:val="nil"/>
              <w:bottom w:val="single" w:sz="4" w:space="0" w:color="auto"/>
              <w:right w:val="nil"/>
            </w:tcBorders>
          </w:tcPr>
          <w:p w:rsidR="003B2FD0" w:rsidRPr="007D510F" w:rsidRDefault="003B2FD0" w:rsidP="00907C72">
            <w:pPr>
              <w:pStyle w:val="Tabletext"/>
              <w:tabs>
                <w:tab w:val="decimal" w:pos="425"/>
              </w:tabs>
            </w:pPr>
            <w:r w:rsidRPr="007D510F">
              <w:t>0.041</w:t>
            </w:r>
          </w:p>
        </w:tc>
        <w:tc>
          <w:tcPr>
            <w:tcW w:w="709" w:type="pct"/>
            <w:tcBorders>
              <w:top w:val="nil"/>
              <w:left w:val="nil"/>
              <w:bottom w:val="single" w:sz="4" w:space="0" w:color="auto"/>
            </w:tcBorders>
          </w:tcPr>
          <w:p w:rsidR="003B2FD0" w:rsidRPr="007D510F" w:rsidRDefault="003B2FD0" w:rsidP="00907C72">
            <w:pPr>
              <w:pStyle w:val="Tabletext"/>
              <w:tabs>
                <w:tab w:val="decimal" w:pos="425"/>
              </w:tabs>
            </w:pPr>
            <w:r w:rsidRPr="007D510F">
              <w:t>-0.025</w:t>
            </w:r>
          </w:p>
        </w:tc>
        <w:tc>
          <w:tcPr>
            <w:tcW w:w="710" w:type="pct"/>
            <w:tcBorders>
              <w:top w:val="nil"/>
              <w:left w:val="nil"/>
              <w:bottom w:val="single" w:sz="4" w:space="0" w:color="auto"/>
            </w:tcBorders>
          </w:tcPr>
          <w:p w:rsidR="003B2FD0" w:rsidRPr="007D510F" w:rsidRDefault="003B2FD0" w:rsidP="00907C72">
            <w:pPr>
              <w:pStyle w:val="Tabletext"/>
              <w:tabs>
                <w:tab w:val="decimal" w:pos="425"/>
              </w:tabs>
            </w:pPr>
            <w:r w:rsidRPr="007D510F">
              <w:t>-0.003</w:t>
            </w:r>
          </w:p>
        </w:tc>
      </w:tr>
    </w:tbl>
    <w:p w:rsidR="001B49D3" w:rsidRPr="001B49D3" w:rsidRDefault="001B49D3" w:rsidP="007D510F">
      <w:pPr>
        <w:pStyle w:val="Source"/>
      </w:pPr>
      <w:r w:rsidRPr="001B49D3">
        <w:t>Source:</w:t>
      </w:r>
      <w:r w:rsidR="00DB30BC">
        <w:tab/>
      </w:r>
      <w:r w:rsidRPr="001B49D3">
        <w:t>AVETMISS Provider Collection data for Western Australia</w:t>
      </w:r>
      <w:r w:rsidR="00614A8B">
        <w:t>.</w:t>
      </w:r>
    </w:p>
    <w:p w:rsidR="009E1577" w:rsidRDefault="009E1577" w:rsidP="00907C72">
      <w:pPr>
        <w:pStyle w:val="Textmorebefore"/>
      </w:pPr>
      <w:r w:rsidRPr="002D1DA4">
        <w:t>Any assessment of these figures is necessarily</w:t>
      </w:r>
      <w:r w:rsidR="00531904">
        <w:t xml:space="preserve"> subject to many caveats. The 23</w:t>
      </w:r>
      <w:r w:rsidR="00C158DE">
        <w:t>%</w:t>
      </w:r>
      <w:r w:rsidRPr="002D1DA4">
        <w:t xml:space="preserve"> success rate in obtaining an apprenticeship</w:t>
      </w:r>
      <w:r w:rsidR="00531904">
        <w:t xml:space="preserve"> for those not at school</w:t>
      </w:r>
      <w:r w:rsidRPr="002D1DA4">
        <w:t xml:space="preserve"> is hardly an impressive outcome.</w:t>
      </w:r>
      <w:r w:rsidR="00EA0982">
        <w:t xml:space="preserve"> We note, however, that the figure is not mater</w:t>
      </w:r>
      <w:r w:rsidR="001D06CA">
        <w:t>ially different from the 28</w:t>
      </w:r>
      <w:r w:rsidR="00C158DE">
        <w:t>%</w:t>
      </w:r>
      <w:r w:rsidR="001D06CA">
        <w:t xml:space="preserve"> achiev</w:t>
      </w:r>
      <w:r w:rsidR="00553DF9">
        <w:t>ed by the New South Wales Trade</w:t>
      </w:r>
      <w:r w:rsidR="00614A8B">
        <w:t xml:space="preserve"> </w:t>
      </w:r>
      <w:r w:rsidR="001D06CA">
        <w:t>Start program.</w:t>
      </w:r>
      <w:r w:rsidRPr="002D1DA4">
        <w:t xml:space="preserve"> The success rate for completers of a pre-apprenticeship course is higher at 30</w:t>
      </w:r>
      <w:r w:rsidR="00C158DE">
        <w:t>%</w:t>
      </w:r>
      <w:r w:rsidRPr="002D1DA4">
        <w:t>, b</w:t>
      </w:r>
      <w:r w:rsidR="00614A8B">
        <w:t>ut even this figure is modest (t</w:t>
      </w:r>
      <w:r w:rsidRPr="002D1DA4">
        <w:t>able 4).</w:t>
      </w:r>
      <w:r w:rsidR="00C158DE">
        <w:t xml:space="preserve"> </w:t>
      </w:r>
      <w:r w:rsidR="00614A8B">
        <w:t>For school-</w:t>
      </w:r>
      <w:r w:rsidRPr="002D1DA4">
        <w:t>based pre-apprenticeships the relevant proportions are smaller</w:t>
      </w:r>
      <w:r w:rsidR="00614A8B">
        <w:t>,</w:t>
      </w:r>
      <w:r w:rsidRPr="002D1DA4">
        <w:t xml:space="preserve"> reflecting the fact that these programs take longer to complete. Overall, 16</w:t>
      </w:r>
      <w:r w:rsidR="00C158DE">
        <w:t>%</w:t>
      </w:r>
      <w:r w:rsidRPr="002D1DA4">
        <w:t xml:space="preserve"> recorded a successful outcome</w:t>
      </w:r>
      <w:r w:rsidR="009358AC">
        <w:t xml:space="preserve"> (table 3).</w:t>
      </w:r>
    </w:p>
    <w:p w:rsidR="009E1577" w:rsidRDefault="009E1577" w:rsidP="009E1577">
      <w:pPr>
        <w:pStyle w:val="tabletitle"/>
      </w:pPr>
      <w:bookmarkStart w:id="57" w:name="_Toc331077002"/>
      <w:bookmarkStart w:id="58" w:name="_Toc337199620"/>
      <w:r>
        <w:t>Table</w:t>
      </w:r>
      <w:r w:rsidR="00BF07D8">
        <w:t xml:space="preserve"> </w:t>
      </w:r>
      <w:r>
        <w:t>4</w:t>
      </w:r>
      <w:r>
        <w:tab/>
        <w:t>Proportion with a</w:t>
      </w:r>
      <w:r w:rsidR="00614A8B">
        <w:t>n apprentice contract in 2010: c</w:t>
      </w:r>
      <w:r>
        <w:t>ompleters and non-completers of 2009 course</w:t>
      </w:r>
      <w:bookmarkEnd w:id="57"/>
      <w:bookmarkEnd w:id="58"/>
      <w:r>
        <w:t xml:space="preserve"> </w:t>
      </w:r>
    </w:p>
    <w:tbl>
      <w:tblPr>
        <w:tblW w:w="8789" w:type="dxa"/>
        <w:tblInd w:w="108" w:type="dxa"/>
        <w:tblBorders>
          <w:top w:val="single" w:sz="4" w:space="0" w:color="auto"/>
          <w:bottom w:val="single" w:sz="4" w:space="0" w:color="auto"/>
        </w:tblBorders>
        <w:tblLayout w:type="fixed"/>
        <w:tblLook w:val="0000"/>
      </w:tblPr>
      <w:tblGrid>
        <w:gridCol w:w="1702"/>
        <w:gridCol w:w="2695"/>
        <w:gridCol w:w="2197"/>
        <w:gridCol w:w="2195"/>
      </w:tblGrid>
      <w:tr w:rsidR="003B2FD0" w:rsidRPr="00187713" w:rsidTr="00907C72">
        <w:trPr>
          <w:cantSplit/>
        </w:trPr>
        <w:tc>
          <w:tcPr>
            <w:tcW w:w="968" w:type="pct"/>
            <w:tcBorders>
              <w:top w:val="single" w:sz="4" w:space="0" w:color="auto"/>
              <w:bottom w:val="single" w:sz="4" w:space="0" w:color="auto"/>
              <w:right w:val="nil"/>
            </w:tcBorders>
          </w:tcPr>
          <w:p w:rsidR="003B2FD0" w:rsidRDefault="003B2FD0" w:rsidP="007D510F">
            <w:pPr>
              <w:pStyle w:val="Tablehead1"/>
            </w:pPr>
          </w:p>
        </w:tc>
        <w:tc>
          <w:tcPr>
            <w:tcW w:w="1533" w:type="pct"/>
            <w:tcBorders>
              <w:top w:val="single" w:sz="4" w:space="0" w:color="auto"/>
              <w:bottom w:val="single" w:sz="4" w:space="0" w:color="auto"/>
              <w:right w:val="nil"/>
            </w:tcBorders>
          </w:tcPr>
          <w:p w:rsidR="003B2FD0" w:rsidRDefault="003B2FD0" w:rsidP="007D510F">
            <w:pPr>
              <w:pStyle w:val="Tablehead1"/>
            </w:pPr>
          </w:p>
        </w:tc>
        <w:tc>
          <w:tcPr>
            <w:tcW w:w="1250" w:type="pct"/>
            <w:tcBorders>
              <w:top w:val="single" w:sz="4" w:space="0" w:color="auto"/>
              <w:bottom w:val="single" w:sz="4" w:space="0" w:color="auto"/>
              <w:right w:val="nil"/>
            </w:tcBorders>
          </w:tcPr>
          <w:p w:rsidR="003B2FD0" w:rsidRPr="007D510F" w:rsidRDefault="003B2FD0" w:rsidP="00907C72">
            <w:pPr>
              <w:pStyle w:val="Tablehead1"/>
              <w:jc w:val="center"/>
            </w:pPr>
            <w:r w:rsidRPr="007D510F">
              <w:t>Completers</w:t>
            </w:r>
          </w:p>
        </w:tc>
        <w:tc>
          <w:tcPr>
            <w:tcW w:w="1250" w:type="pct"/>
            <w:tcBorders>
              <w:top w:val="single" w:sz="4" w:space="0" w:color="auto"/>
              <w:left w:val="nil"/>
              <w:bottom w:val="single" w:sz="4" w:space="0" w:color="auto"/>
              <w:right w:val="nil"/>
            </w:tcBorders>
          </w:tcPr>
          <w:p w:rsidR="003B2FD0" w:rsidRPr="007D510F" w:rsidRDefault="003B2FD0" w:rsidP="00907C72">
            <w:pPr>
              <w:pStyle w:val="Tablehead1"/>
              <w:jc w:val="center"/>
            </w:pPr>
            <w:r w:rsidRPr="007D510F">
              <w:t>Non-completers</w:t>
            </w:r>
          </w:p>
        </w:tc>
      </w:tr>
      <w:tr w:rsidR="003B2FD0" w:rsidTr="00907C72">
        <w:trPr>
          <w:cantSplit/>
        </w:trPr>
        <w:tc>
          <w:tcPr>
            <w:tcW w:w="968" w:type="pct"/>
            <w:tcBorders>
              <w:top w:val="nil"/>
              <w:bottom w:val="nil"/>
              <w:right w:val="nil"/>
            </w:tcBorders>
          </w:tcPr>
          <w:p w:rsidR="003B2FD0" w:rsidRPr="007D510F" w:rsidRDefault="003B2FD0" w:rsidP="00907C72">
            <w:pPr>
              <w:pStyle w:val="Tabletext"/>
            </w:pPr>
            <w:r w:rsidRPr="007D510F">
              <w:t>Not at school</w:t>
            </w:r>
          </w:p>
        </w:tc>
        <w:tc>
          <w:tcPr>
            <w:tcW w:w="1533" w:type="pct"/>
            <w:tcBorders>
              <w:top w:val="nil"/>
              <w:bottom w:val="nil"/>
              <w:right w:val="nil"/>
            </w:tcBorders>
          </w:tcPr>
          <w:p w:rsidR="003B2FD0" w:rsidRPr="00907C72" w:rsidRDefault="003B2FD0" w:rsidP="00907C72">
            <w:pPr>
              <w:pStyle w:val="Tabletext"/>
              <w:rPr>
                <w:i/>
              </w:rPr>
            </w:pPr>
            <w:r w:rsidRPr="00907C72">
              <w:rPr>
                <w:i/>
              </w:rPr>
              <w:t>Pre-apprenticeship students</w:t>
            </w:r>
          </w:p>
        </w:tc>
        <w:tc>
          <w:tcPr>
            <w:tcW w:w="1250" w:type="pct"/>
            <w:tcBorders>
              <w:top w:val="nil"/>
              <w:bottom w:val="nil"/>
              <w:right w:val="nil"/>
            </w:tcBorders>
          </w:tcPr>
          <w:p w:rsidR="003B2FD0" w:rsidRPr="007D510F" w:rsidRDefault="003B2FD0" w:rsidP="00907C72">
            <w:pPr>
              <w:pStyle w:val="Tabletext"/>
              <w:tabs>
                <w:tab w:val="decimal" w:pos="879"/>
              </w:tabs>
            </w:pPr>
            <w:r w:rsidRPr="007D510F">
              <w:t>0.301</w:t>
            </w:r>
          </w:p>
        </w:tc>
        <w:tc>
          <w:tcPr>
            <w:tcW w:w="1250" w:type="pct"/>
            <w:tcBorders>
              <w:top w:val="nil"/>
              <w:left w:val="nil"/>
              <w:bottom w:val="nil"/>
              <w:right w:val="nil"/>
            </w:tcBorders>
          </w:tcPr>
          <w:p w:rsidR="003B2FD0" w:rsidRPr="007D510F" w:rsidRDefault="003B2FD0" w:rsidP="00907C72">
            <w:pPr>
              <w:pStyle w:val="Tabletext"/>
              <w:tabs>
                <w:tab w:val="decimal" w:pos="879"/>
              </w:tabs>
            </w:pPr>
            <w:r w:rsidRPr="007D510F">
              <w:t>0.187</w:t>
            </w:r>
          </w:p>
        </w:tc>
      </w:tr>
      <w:tr w:rsidR="003B2FD0" w:rsidTr="00907C72">
        <w:trPr>
          <w:cantSplit/>
        </w:trPr>
        <w:tc>
          <w:tcPr>
            <w:tcW w:w="968" w:type="pct"/>
            <w:tcBorders>
              <w:top w:val="nil"/>
              <w:bottom w:val="nil"/>
              <w:right w:val="nil"/>
            </w:tcBorders>
          </w:tcPr>
          <w:p w:rsidR="003B2FD0" w:rsidRPr="007D510F" w:rsidRDefault="003B2FD0" w:rsidP="00907C72">
            <w:pPr>
              <w:pStyle w:val="Tabletext"/>
            </w:pPr>
          </w:p>
        </w:tc>
        <w:tc>
          <w:tcPr>
            <w:tcW w:w="1533" w:type="pct"/>
            <w:tcBorders>
              <w:top w:val="nil"/>
              <w:bottom w:val="nil"/>
              <w:right w:val="nil"/>
            </w:tcBorders>
          </w:tcPr>
          <w:p w:rsidR="003B2FD0" w:rsidRPr="00907C72" w:rsidRDefault="003B2FD0" w:rsidP="00907C72">
            <w:pPr>
              <w:pStyle w:val="Tabletext"/>
              <w:rPr>
                <w:i/>
              </w:rPr>
            </w:pPr>
            <w:r w:rsidRPr="00907C72">
              <w:rPr>
                <w:i/>
              </w:rPr>
              <w:t>Other students</w:t>
            </w:r>
          </w:p>
        </w:tc>
        <w:tc>
          <w:tcPr>
            <w:tcW w:w="1250" w:type="pct"/>
            <w:tcBorders>
              <w:top w:val="nil"/>
              <w:bottom w:val="nil"/>
              <w:right w:val="nil"/>
            </w:tcBorders>
          </w:tcPr>
          <w:p w:rsidR="003B2FD0" w:rsidRPr="007D510F" w:rsidRDefault="003B2FD0" w:rsidP="00907C72">
            <w:pPr>
              <w:pStyle w:val="Tabletext"/>
              <w:tabs>
                <w:tab w:val="decimal" w:pos="879"/>
              </w:tabs>
            </w:pPr>
            <w:r w:rsidRPr="007D510F">
              <w:t>0.035</w:t>
            </w:r>
          </w:p>
        </w:tc>
        <w:tc>
          <w:tcPr>
            <w:tcW w:w="1250" w:type="pct"/>
            <w:tcBorders>
              <w:top w:val="nil"/>
              <w:left w:val="nil"/>
              <w:bottom w:val="nil"/>
              <w:right w:val="nil"/>
            </w:tcBorders>
          </w:tcPr>
          <w:p w:rsidR="003B2FD0" w:rsidRPr="007D510F" w:rsidRDefault="003B2FD0" w:rsidP="00907C72">
            <w:pPr>
              <w:pStyle w:val="Tabletext"/>
              <w:tabs>
                <w:tab w:val="decimal" w:pos="879"/>
              </w:tabs>
            </w:pPr>
            <w:r w:rsidRPr="007D510F">
              <w:t>0.031</w:t>
            </w:r>
          </w:p>
        </w:tc>
      </w:tr>
      <w:tr w:rsidR="003B2FD0" w:rsidTr="00907C72">
        <w:trPr>
          <w:cantSplit/>
        </w:trPr>
        <w:tc>
          <w:tcPr>
            <w:tcW w:w="968" w:type="pct"/>
            <w:tcBorders>
              <w:top w:val="nil"/>
              <w:bottom w:val="nil"/>
              <w:right w:val="nil"/>
            </w:tcBorders>
          </w:tcPr>
          <w:p w:rsidR="003B2FD0" w:rsidRPr="007D510F" w:rsidRDefault="003B2FD0" w:rsidP="00907C72">
            <w:pPr>
              <w:pStyle w:val="Tabletext"/>
            </w:pPr>
          </w:p>
        </w:tc>
        <w:tc>
          <w:tcPr>
            <w:tcW w:w="1533" w:type="pct"/>
            <w:tcBorders>
              <w:top w:val="nil"/>
              <w:bottom w:val="nil"/>
              <w:right w:val="nil"/>
            </w:tcBorders>
          </w:tcPr>
          <w:p w:rsidR="003B2FD0" w:rsidRPr="00907C72" w:rsidRDefault="003B2FD0" w:rsidP="00907C72">
            <w:pPr>
              <w:pStyle w:val="Tabletext"/>
              <w:rPr>
                <w:i/>
              </w:rPr>
            </w:pPr>
            <w:r w:rsidRPr="00907C72">
              <w:rPr>
                <w:i/>
              </w:rPr>
              <w:t>Difference</w:t>
            </w:r>
          </w:p>
        </w:tc>
        <w:tc>
          <w:tcPr>
            <w:tcW w:w="1250" w:type="pct"/>
            <w:tcBorders>
              <w:top w:val="nil"/>
              <w:bottom w:val="nil"/>
              <w:right w:val="nil"/>
            </w:tcBorders>
          </w:tcPr>
          <w:p w:rsidR="003B2FD0" w:rsidRPr="007D510F" w:rsidRDefault="003B2FD0" w:rsidP="00907C72">
            <w:pPr>
              <w:pStyle w:val="Tabletext"/>
              <w:tabs>
                <w:tab w:val="decimal" w:pos="879"/>
              </w:tabs>
            </w:pPr>
            <w:r w:rsidRPr="007D510F">
              <w:t>0.266</w:t>
            </w:r>
          </w:p>
        </w:tc>
        <w:tc>
          <w:tcPr>
            <w:tcW w:w="1250" w:type="pct"/>
            <w:tcBorders>
              <w:top w:val="nil"/>
              <w:left w:val="nil"/>
              <w:bottom w:val="nil"/>
              <w:right w:val="nil"/>
            </w:tcBorders>
          </w:tcPr>
          <w:p w:rsidR="003B2FD0" w:rsidRPr="007D510F" w:rsidRDefault="003B2FD0" w:rsidP="00907C72">
            <w:pPr>
              <w:pStyle w:val="Tabletext"/>
              <w:tabs>
                <w:tab w:val="decimal" w:pos="879"/>
              </w:tabs>
            </w:pPr>
            <w:r w:rsidRPr="007D510F">
              <w:t>0.156</w:t>
            </w:r>
          </w:p>
        </w:tc>
      </w:tr>
      <w:tr w:rsidR="003B2FD0" w:rsidTr="00907C72">
        <w:trPr>
          <w:cantSplit/>
        </w:trPr>
        <w:tc>
          <w:tcPr>
            <w:tcW w:w="968" w:type="pct"/>
            <w:tcBorders>
              <w:top w:val="nil"/>
              <w:bottom w:val="nil"/>
              <w:right w:val="nil"/>
            </w:tcBorders>
          </w:tcPr>
          <w:p w:rsidR="003B2FD0" w:rsidRPr="007D510F" w:rsidRDefault="003B2FD0" w:rsidP="00907C72">
            <w:pPr>
              <w:pStyle w:val="Tabletext"/>
            </w:pPr>
            <w:r w:rsidRPr="007D510F">
              <w:t>At school</w:t>
            </w:r>
          </w:p>
        </w:tc>
        <w:tc>
          <w:tcPr>
            <w:tcW w:w="1533" w:type="pct"/>
            <w:tcBorders>
              <w:top w:val="nil"/>
              <w:bottom w:val="nil"/>
              <w:right w:val="nil"/>
            </w:tcBorders>
          </w:tcPr>
          <w:p w:rsidR="003B2FD0" w:rsidRPr="00907C72" w:rsidRDefault="003B2FD0" w:rsidP="00907C72">
            <w:pPr>
              <w:pStyle w:val="Tabletext"/>
              <w:rPr>
                <w:i/>
              </w:rPr>
            </w:pPr>
            <w:r w:rsidRPr="00907C72">
              <w:rPr>
                <w:i/>
              </w:rPr>
              <w:t>Pre-apprenticeship students</w:t>
            </w:r>
          </w:p>
        </w:tc>
        <w:tc>
          <w:tcPr>
            <w:tcW w:w="1250" w:type="pct"/>
            <w:tcBorders>
              <w:top w:val="nil"/>
              <w:bottom w:val="nil"/>
              <w:right w:val="nil"/>
            </w:tcBorders>
          </w:tcPr>
          <w:p w:rsidR="003B2FD0" w:rsidRPr="007D510F" w:rsidRDefault="003B2FD0" w:rsidP="00907C72">
            <w:pPr>
              <w:pStyle w:val="Tabletext"/>
              <w:tabs>
                <w:tab w:val="decimal" w:pos="879"/>
              </w:tabs>
            </w:pPr>
            <w:r w:rsidRPr="007D510F">
              <w:t>0.232</w:t>
            </w:r>
          </w:p>
        </w:tc>
        <w:tc>
          <w:tcPr>
            <w:tcW w:w="1250" w:type="pct"/>
            <w:tcBorders>
              <w:top w:val="nil"/>
              <w:left w:val="nil"/>
              <w:bottom w:val="nil"/>
              <w:right w:val="nil"/>
            </w:tcBorders>
          </w:tcPr>
          <w:p w:rsidR="003B2FD0" w:rsidRPr="007D510F" w:rsidRDefault="003B2FD0" w:rsidP="00907C72">
            <w:pPr>
              <w:pStyle w:val="Tabletext"/>
              <w:tabs>
                <w:tab w:val="decimal" w:pos="879"/>
              </w:tabs>
            </w:pPr>
            <w:r w:rsidRPr="007D510F">
              <w:t>0.129</w:t>
            </w:r>
          </w:p>
        </w:tc>
      </w:tr>
      <w:tr w:rsidR="003B2FD0" w:rsidTr="00907C72">
        <w:trPr>
          <w:cantSplit/>
        </w:trPr>
        <w:tc>
          <w:tcPr>
            <w:tcW w:w="968" w:type="pct"/>
            <w:tcBorders>
              <w:top w:val="nil"/>
              <w:bottom w:val="nil"/>
              <w:right w:val="nil"/>
            </w:tcBorders>
          </w:tcPr>
          <w:p w:rsidR="003B2FD0" w:rsidRPr="007D510F" w:rsidRDefault="003B2FD0" w:rsidP="00907C72">
            <w:pPr>
              <w:pStyle w:val="Tabletext"/>
            </w:pPr>
          </w:p>
        </w:tc>
        <w:tc>
          <w:tcPr>
            <w:tcW w:w="1533" w:type="pct"/>
            <w:tcBorders>
              <w:top w:val="nil"/>
              <w:bottom w:val="nil"/>
              <w:right w:val="nil"/>
            </w:tcBorders>
          </w:tcPr>
          <w:p w:rsidR="003B2FD0" w:rsidRPr="00907C72" w:rsidRDefault="003B2FD0" w:rsidP="00907C72">
            <w:pPr>
              <w:pStyle w:val="Tabletext"/>
              <w:rPr>
                <w:i/>
              </w:rPr>
            </w:pPr>
            <w:r w:rsidRPr="00907C72">
              <w:rPr>
                <w:i/>
              </w:rPr>
              <w:t>Other students</w:t>
            </w:r>
          </w:p>
        </w:tc>
        <w:tc>
          <w:tcPr>
            <w:tcW w:w="1250" w:type="pct"/>
            <w:tcBorders>
              <w:top w:val="nil"/>
              <w:bottom w:val="nil"/>
              <w:right w:val="nil"/>
            </w:tcBorders>
          </w:tcPr>
          <w:p w:rsidR="003B2FD0" w:rsidRPr="007D510F" w:rsidRDefault="003B2FD0" w:rsidP="00907C72">
            <w:pPr>
              <w:pStyle w:val="Tabletext"/>
              <w:tabs>
                <w:tab w:val="decimal" w:pos="879"/>
              </w:tabs>
            </w:pPr>
            <w:r w:rsidRPr="007D510F">
              <w:t>0.123</w:t>
            </w:r>
          </w:p>
        </w:tc>
        <w:tc>
          <w:tcPr>
            <w:tcW w:w="1250" w:type="pct"/>
            <w:tcBorders>
              <w:top w:val="nil"/>
              <w:left w:val="nil"/>
              <w:bottom w:val="nil"/>
              <w:right w:val="nil"/>
            </w:tcBorders>
          </w:tcPr>
          <w:p w:rsidR="003B2FD0" w:rsidRPr="007D510F" w:rsidRDefault="003B2FD0" w:rsidP="00907C72">
            <w:pPr>
              <w:pStyle w:val="Tabletext"/>
              <w:tabs>
                <w:tab w:val="decimal" w:pos="879"/>
              </w:tabs>
            </w:pPr>
            <w:r w:rsidRPr="007D510F">
              <w:t>0.085</w:t>
            </w:r>
          </w:p>
        </w:tc>
      </w:tr>
      <w:tr w:rsidR="003B2FD0" w:rsidTr="00907C72">
        <w:trPr>
          <w:cantSplit/>
        </w:trPr>
        <w:tc>
          <w:tcPr>
            <w:tcW w:w="968" w:type="pct"/>
            <w:tcBorders>
              <w:top w:val="nil"/>
              <w:bottom w:val="single" w:sz="4" w:space="0" w:color="auto"/>
              <w:right w:val="nil"/>
            </w:tcBorders>
          </w:tcPr>
          <w:p w:rsidR="003B2FD0" w:rsidRPr="007D510F" w:rsidRDefault="003B2FD0" w:rsidP="00907C72">
            <w:pPr>
              <w:pStyle w:val="Tabletext"/>
            </w:pPr>
          </w:p>
        </w:tc>
        <w:tc>
          <w:tcPr>
            <w:tcW w:w="1533" w:type="pct"/>
            <w:tcBorders>
              <w:top w:val="nil"/>
              <w:bottom w:val="single" w:sz="4" w:space="0" w:color="auto"/>
              <w:right w:val="nil"/>
            </w:tcBorders>
          </w:tcPr>
          <w:p w:rsidR="003B2FD0" w:rsidRPr="00907C72" w:rsidRDefault="003B2FD0" w:rsidP="00907C72">
            <w:pPr>
              <w:pStyle w:val="Tabletext"/>
              <w:rPr>
                <w:i/>
              </w:rPr>
            </w:pPr>
            <w:r w:rsidRPr="00907C72">
              <w:rPr>
                <w:i/>
              </w:rPr>
              <w:t>Difference</w:t>
            </w:r>
          </w:p>
        </w:tc>
        <w:tc>
          <w:tcPr>
            <w:tcW w:w="1250" w:type="pct"/>
            <w:tcBorders>
              <w:top w:val="nil"/>
              <w:bottom w:val="single" w:sz="4" w:space="0" w:color="auto"/>
              <w:right w:val="nil"/>
            </w:tcBorders>
          </w:tcPr>
          <w:p w:rsidR="003B2FD0" w:rsidRPr="007D510F" w:rsidRDefault="003B2FD0" w:rsidP="00907C72">
            <w:pPr>
              <w:pStyle w:val="Tabletext"/>
              <w:tabs>
                <w:tab w:val="decimal" w:pos="879"/>
              </w:tabs>
            </w:pPr>
            <w:r w:rsidRPr="007D510F">
              <w:t>0.109</w:t>
            </w:r>
          </w:p>
        </w:tc>
        <w:tc>
          <w:tcPr>
            <w:tcW w:w="1250" w:type="pct"/>
            <w:tcBorders>
              <w:top w:val="nil"/>
              <w:left w:val="nil"/>
              <w:bottom w:val="single" w:sz="4" w:space="0" w:color="auto"/>
              <w:right w:val="nil"/>
            </w:tcBorders>
          </w:tcPr>
          <w:p w:rsidR="003B2FD0" w:rsidRPr="007D510F" w:rsidRDefault="003B2FD0" w:rsidP="00907C72">
            <w:pPr>
              <w:pStyle w:val="Tabletext"/>
              <w:tabs>
                <w:tab w:val="decimal" w:pos="879"/>
              </w:tabs>
            </w:pPr>
            <w:r w:rsidRPr="007D510F">
              <w:t>0.044</w:t>
            </w:r>
          </w:p>
        </w:tc>
      </w:tr>
    </w:tbl>
    <w:p w:rsidR="001B49D3" w:rsidRPr="001B49D3" w:rsidRDefault="001B49D3" w:rsidP="007D510F">
      <w:pPr>
        <w:pStyle w:val="Source"/>
      </w:pPr>
      <w:r w:rsidRPr="001B49D3">
        <w:t>Source:</w:t>
      </w:r>
      <w:r w:rsidR="00907C72">
        <w:tab/>
      </w:r>
      <w:r w:rsidRPr="001B49D3">
        <w:t>AVETMISS Provider Collection data for Western Australia</w:t>
      </w:r>
      <w:r w:rsidR="00614A8B">
        <w:t>.</w:t>
      </w:r>
    </w:p>
    <w:p w:rsidR="00907C72" w:rsidRDefault="00907C72">
      <w:pPr>
        <w:spacing w:before="0" w:line="240" w:lineRule="auto"/>
        <w:rPr>
          <w:rFonts w:ascii="Tahoma" w:hAnsi="Tahoma" w:cs="Tahoma"/>
          <w:color w:val="000000"/>
          <w:kern w:val="28"/>
          <w:sz w:val="56"/>
          <w:szCs w:val="56"/>
        </w:rPr>
      </w:pPr>
      <w:r>
        <w:rPr>
          <w:rFonts w:ascii="Tahoma" w:hAnsi="Tahoma" w:cs="Tahoma"/>
          <w:color w:val="000000"/>
          <w:kern w:val="28"/>
          <w:sz w:val="56"/>
          <w:szCs w:val="56"/>
        </w:rPr>
        <w:br w:type="page"/>
      </w:r>
    </w:p>
    <w:p w:rsidR="006C5BF6" w:rsidRDefault="006D14FF" w:rsidP="006D14FF">
      <w:pPr>
        <w:pStyle w:val="Heading1"/>
      </w:pPr>
      <w:bookmarkStart w:id="59" w:name="_Toc338161256"/>
      <w:r>
        <w:lastRenderedPageBreak/>
        <w:t>Estimating a treatment effect</w:t>
      </w:r>
      <w:bookmarkEnd w:id="59"/>
    </w:p>
    <w:p w:rsidR="006D14FF" w:rsidRPr="002D1DA4" w:rsidRDefault="006D14FF" w:rsidP="007D510F">
      <w:pPr>
        <w:pStyle w:val="Text"/>
      </w:pPr>
      <w:r w:rsidRPr="002D1DA4">
        <w:t>The AVETMISS client file records a limited set of personal characteristics</w:t>
      </w:r>
      <w:r w:rsidR="00614A8B">
        <w:t>,</w:t>
      </w:r>
      <w:r w:rsidRPr="002D1DA4">
        <w:t xml:space="preserve"> including age, sex and level of education. In total there are </w:t>
      </w:r>
      <w:r w:rsidR="00614A8B">
        <w:t>13</w:t>
      </w:r>
      <w:r w:rsidRPr="002D1DA4">
        <w:t xml:space="preserve"> personal characteristics</w:t>
      </w:r>
      <w:r w:rsidR="00614A8B">
        <w:t>,</w:t>
      </w:r>
      <w:r w:rsidRPr="002D1DA4">
        <w:t xml:space="preserve"> of which </w:t>
      </w:r>
      <w:r w:rsidR="00614A8B">
        <w:t>11</w:t>
      </w:r>
      <w:r w:rsidRPr="002D1DA4">
        <w:t xml:space="preserve"> are included in the analysis. Several of these variables have a large number of missing values. Omitting all observations with at least one missing value would reduce the</w:t>
      </w:r>
      <w:r w:rsidR="009C552E">
        <w:t xml:space="preserve"> sample to almost one-</w:t>
      </w:r>
      <w:r w:rsidR="0049216E">
        <w:t>half. T</w:t>
      </w:r>
      <w:r w:rsidRPr="002D1DA4">
        <w:t>hree methods are used to deal with missing covariate values to avoid discarding much of the sample. In some cases, missing values are included as a separate category; in other cases</w:t>
      </w:r>
      <w:r w:rsidR="00614A8B">
        <w:t>,</w:t>
      </w:r>
      <w:r w:rsidRPr="002D1DA4">
        <w:t xml:space="preserve"> missing values are assigned the default value of the variable. If neither of these two methods is appropriate, observations with missing values are deleted from the analysis. Table 5 provides the details and also lists the values the covariates take. To make the sample more homogenous we also deleted observations on </w:t>
      </w:r>
      <w:r w:rsidR="009C552E">
        <w:t>individuals</w:t>
      </w:r>
      <w:r w:rsidRPr="002D1DA4">
        <w:t xml:space="preserve"> aged 50 and above and those who completed their highest level of schooling before 1990.</w:t>
      </w:r>
      <w:r w:rsidR="00063988">
        <w:t xml:space="preserve"> These exclusions reduced the sample by less than </w:t>
      </w:r>
      <w:r w:rsidR="00614A8B">
        <w:t>1%</w:t>
      </w:r>
      <w:r w:rsidR="00063988">
        <w:t xml:space="preserve">. </w:t>
      </w:r>
    </w:p>
    <w:p w:rsidR="006D14FF" w:rsidRDefault="006D14FF" w:rsidP="006D14FF">
      <w:pPr>
        <w:pStyle w:val="tabletitle"/>
      </w:pPr>
      <w:bookmarkStart w:id="60" w:name="_Toc331077003"/>
      <w:bookmarkStart w:id="61" w:name="_Toc337199621"/>
      <w:bookmarkStart w:id="62" w:name="_Toc188077642"/>
      <w:r>
        <w:t>Table 5</w:t>
      </w:r>
      <w:r>
        <w:tab/>
        <w:t>List of covariates and their values</w:t>
      </w:r>
      <w:bookmarkEnd w:id="60"/>
      <w:bookmarkEnd w:id="61"/>
      <w:r>
        <w:t xml:space="preserve"> </w:t>
      </w:r>
    </w:p>
    <w:tbl>
      <w:tblPr>
        <w:tblW w:w="8789" w:type="dxa"/>
        <w:tblInd w:w="108" w:type="dxa"/>
        <w:tblBorders>
          <w:top w:val="single" w:sz="4" w:space="0" w:color="auto"/>
          <w:bottom w:val="single" w:sz="4" w:space="0" w:color="auto"/>
        </w:tblBorders>
        <w:tblLayout w:type="fixed"/>
        <w:tblLook w:val="0000"/>
      </w:tblPr>
      <w:tblGrid>
        <w:gridCol w:w="2929"/>
        <w:gridCol w:w="2930"/>
        <w:gridCol w:w="2930"/>
      </w:tblGrid>
      <w:tr w:rsidR="006D14FF" w:rsidRPr="00187713" w:rsidTr="00E35C74">
        <w:trPr>
          <w:cantSplit/>
        </w:trPr>
        <w:tc>
          <w:tcPr>
            <w:tcW w:w="2929" w:type="dxa"/>
            <w:tcBorders>
              <w:top w:val="single" w:sz="4" w:space="0" w:color="auto"/>
              <w:bottom w:val="single" w:sz="4" w:space="0" w:color="auto"/>
              <w:right w:val="nil"/>
            </w:tcBorders>
          </w:tcPr>
          <w:p w:rsidR="006D14FF" w:rsidRPr="0043465D" w:rsidRDefault="0043465D" w:rsidP="007D510F">
            <w:pPr>
              <w:pStyle w:val="Tablehead1"/>
            </w:pPr>
            <w:r>
              <w:t>Covariate</w:t>
            </w:r>
          </w:p>
        </w:tc>
        <w:tc>
          <w:tcPr>
            <w:tcW w:w="2930" w:type="dxa"/>
            <w:tcBorders>
              <w:top w:val="single" w:sz="4" w:space="0" w:color="auto"/>
              <w:bottom w:val="single" w:sz="4" w:space="0" w:color="auto"/>
              <w:right w:val="nil"/>
            </w:tcBorders>
          </w:tcPr>
          <w:p w:rsidR="006D14FF" w:rsidRPr="00187713" w:rsidRDefault="0043465D" w:rsidP="007D510F">
            <w:pPr>
              <w:pStyle w:val="Tablehead1"/>
            </w:pPr>
            <w:r>
              <w:t>Values</w:t>
            </w:r>
          </w:p>
        </w:tc>
        <w:tc>
          <w:tcPr>
            <w:tcW w:w="2930" w:type="dxa"/>
            <w:tcBorders>
              <w:top w:val="single" w:sz="4" w:space="0" w:color="auto"/>
              <w:left w:val="nil"/>
              <w:bottom w:val="single" w:sz="4" w:space="0" w:color="auto"/>
              <w:right w:val="nil"/>
            </w:tcBorders>
          </w:tcPr>
          <w:p w:rsidR="006D14FF" w:rsidRPr="00187713" w:rsidRDefault="0043465D" w:rsidP="007D510F">
            <w:pPr>
              <w:pStyle w:val="Tablehead1"/>
            </w:pPr>
            <w:r>
              <w:t>Missing values</w:t>
            </w: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Highest school level completed</w:t>
            </w:r>
          </w:p>
        </w:tc>
        <w:tc>
          <w:tcPr>
            <w:tcW w:w="2930" w:type="dxa"/>
            <w:tcBorders>
              <w:top w:val="nil"/>
              <w:bottom w:val="nil"/>
              <w:right w:val="nil"/>
            </w:tcBorders>
          </w:tcPr>
          <w:p w:rsidR="006D14FF" w:rsidRPr="007D510F" w:rsidRDefault="0043465D" w:rsidP="007D510F">
            <w:pPr>
              <w:pStyle w:val="Tabletext"/>
            </w:pPr>
            <w:r w:rsidRPr="007D510F">
              <w:t>Four levels from Year 9 and below Year 12</w:t>
            </w:r>
          </w:p>
        </w:tc>
        <w:tc>
          <w:tcPr>
            <w:tcW w:w="2930" w:type="dxa"/>
            <w:tcBorders>
              <w:top w:val="nil"/>
              <w:left w:val="nil"/>
              <w:bottom w:val="nil"/>
              <w:right w:val="nil"/>
            </w:tcBorders>
          </w:tcPr>
          <w:p w:rsidR="006D14FF" w:rsidRPr="007D510F" w:rsidRDefault="00F35CB8" w:rsidP="007D510F">
            <w:pPr>
              <w:pStyle w:val="Tabletext"/>
            </w:pPr>
            <w:r w:rsidRPr="007D510F">
              <w:t>Separate category for missing values</w:t>
            </w: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Year highest school level completed</w:t>
            </w:r>
          </w:p>
        </w:tc>
        <w:tc>
          <w:tcPr>
            <w:tcW w:w="2930" w:type="dxa"/>
            <w:tcBorders>
              <w:top w:val="nil"/>
              <w:bottom w:val="nil"/>
              <w:right w:val="nil"/>
            </w:tcBorders>
          </w:tcPr>
          <w:p w:rsidR="006D14FF" w:rsidRPr="007D510F" w:rsidRDefault="00614A8B" w:rsidP="007D510F">
            <w:pPr>
              <w:pStyle w:val="Tabletext"/>
            </w:pPr>
            <w:r>
              <w:t>Five-</w:t>
            </w:r>
            <w:r w:rsidR="0043465D" w:rsidRPr="007D510F">
              <w:t>year intervals</w:t>
            </w:r>
          </w:p>
        </w:tc>
        <w:tc>
          <w:tcPr>
            <w:tcW w:w="2930" w:type="dxa"/>
            <w:tcBorders>
              <w:top w:val="nil"/>
              <w:left w:val="nil"/>
              <w:bottom w:val="nil"/>
              <w:right w:val="nil"/>
            </w:tcBorders>
          </w:tcPr>
          <w:p w:rsidR="006D14FF" w:rsidRPr="007D510F" w:rsidRDefault="006D14FF" w:rsidP="007D510F">
            <w:pPr>
              <w:pStyle w:val="Tabletext"/>
            </w:pP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Sex</w:t>
            </w:r>
          </w:p>
        </w:tc>
        <w:tc>
          <w:tcPr>
            <w:tcW w:w="2930" w:type="dxa"/>
            <w:tcBorders>
              <w:top w:val="nil"/>
              <w:bottom w:val="nil"/>
              <w:right w:val="nil"/>
            </w:tcBorders>
          </w:tcPr>
          <w:p w:rsidR="006D14FF" w:rsidRPr="007D510F" w:rsidRDefault="00F35CB8" w:rsidP="007D510F">
            <w:pPr>
              <w:pStyle w:val="Tabletext"/>
            </w:pPr>
            <w:r w:rsidRPr="007D510F">
              <w:t>Male/female</w:t>
            </w:r>
          </w:p>
        </w:tc>
        <w:tc>
          <w:tcPr>
            <w:tcW w:w="2930" w:type="dxa"/>
            <w:tcBorders>
              <w:top w:val="nil"/>
              <w:left w:val="nil"/>
              <w:bottom w:val="nil"/>
              <w:right w:val="nil"/>
            </w:tcBorders>
          </w:tcPr>
          <w:p w:rsidR="006D14FF" w:rsidRPr="007D510F" w:rsidRDefault="006D14FF" w:rsidP="007D510F">
            <w:pPr>
              <w:pStyle w:val="Tabletext"/>
            </w:pP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Date of birth</w:t>
            </w:r>
          </w:p>
        </w:tc>
        <w:tc>
          <w:tcPr>
            <w:tcW w:w="2930" w:type="dxa"/>
            <w:tcBorders>
              <w:top w:val="nil"/>
              <w:bottom w:val="nil"/>
              <w:right w:val="nil"/>
            </w:tcBorders>
          </w:tcPr>
          <w:p w:rsidR="006D14FF" w:rsidRPr="007D510F" w:rsidRDefault="00853266" w:rsidP="007D510F">
            <w:pPr>
              <w:pStyle w:val="Tabletext"/>
            </w:pPr>
            <w:r>
              <w:t>Age in five-</w:t>
            </w:r>
            <w:r w:rsidR="00F35CB8" w:rsidRPr="007D510F">
              <w:t>year intervals</w:t>
            </w:r>
          </w:p>
        </w:tc>
        <w:tc>
          <w:tcPr>
            <w:tcW w:w="2930" w:type="dxa"/>
            <w:tcBorders>
              <w:top w:val="nil"/>
              <w:left w:val="nil"/>
              <w:bottom w:val="nil"/>
              <w:right w:val="nil"/>
            </w:tcBorders>
          </w:tcPr>
          <w:p w:rsidR="006D14FF" w:rsidRPr="007D510F" w:rsidRDefault="006D14FF" w:rsidP="007D510F">
            <w:pPr>
              <w:pStyle w:val="Tabletext"/>
            </w:pP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Postcode</w:t>
            </w:r>
          </w:p>
        </w:tc>
        <w:tc>
          <w:tcPr>
            <w:tcW w:w="2930" w:type="dxa"/>
            <w:tcBorders>
              <w:top w:val="nil"/>
              <w:bottom w:val="nil"/>
              <w:right w:val="nil"/>
            </w:tcBorders>
          </w:tcPr>
          <w:p w:rsidR="006D14FF" w:rsidRPr="007D510F" w:rsidRDefault="00F35CB8" w:rsidP="007D510F">
            <w:pPr>
              <w:pStyle w:val="Tabletext"/>
            </w:pPr>
            <w:r w:rsidRPr="007D510F">
              <w:t>Not included</w:t>
            </w:r>
          </w:p>
        </w:tc>
        <w:tc>
          <w:tcPr>
            <w:tcW w:w="2930" w:type="dxa"/>
            <w:tcBorders>
              <w:top w:val="nil"/>
              <w:left w:val="nil"/>
              <w:bottom w:val="nil"/>
              <w:right w:val="nil"/>
            </w:tcBorders>
          </w:tcPr>
          <w:p w:rsidR="006D14FF" w:rsidRPr="007D510F" w:rsidRDefault="006D14FF" w:rsidP="007D510F">
            <w:pPr>
              <w:pStyle w:val="Tabletext"/>
            </w:pPr>
          </w:p>
        </w:tc>
      </w:tr>
      <w:tr w:rsidR="006D14FF" w:rsidTr="00E35C74">
        <w:trPr>
          <w:cantSplit/>
        </w:trPr>
        <w:tc>
          <w:tcPr>
            <w:tcW w:w="2929" w:type="dxa"/>
            <w:tcBorders>
              <w:top w:val="nil"/>
              <w:bottom w:val="nil"/>
              <w:right w:val="nil"/>
            </w:tcBorders>
          </w:tcPr>
          <w:p w:rsidR="006D14FF" w:rsidRPr="007D510F" w:rsidRDefault="0043465D" w:rsidP="007D510F">
            <w:pPr>
              <w:pStyle w:val="Tabletext"/>
            </w:pPr>
            <w:r w:rsidRPr="007D510F">
              <w:t>Indigenous status</w:t>
            </w:r>
          </w:p>
        </w:tc>
        <w:tc>
          <w:tcPr>
            <w:tcW w:w="2930" w:type="dxa"/>
            <w:tcBorders>
              <w:top w:val="nil"/>
              <w:bottom w:val="nil"/>
              <w:right w:val="nil"/>
            </w:tcBorders>
          </w:tcPr>
          <w:p w:rsidR="006D14FF" w:rsidRPr="007D510F" w:rsidRDefault="00F35CB8" w:rsidP="007D510F">
            <w:pPr>
              <w:pStyle w:val="Tabletext"/>
            </w:pPr>
            <w:r w:rsidRPr="007D510F">
              <w:t>Indigenous/not Indigenous</w:t>
            </w:r>
          </w:p>
        </w:tc>
        <w:tc>
          <w:tcPr>
            <w:tcW w:w="2930" w:type="dxa"/>
            <w:tcBorders>
              <w:top w:val="nil"/>
              <w:left w:val="nil"/>
              <w:bottom w:val="nil"/>
              <w:right w:val="nil"/>
            </w:tcBorders>
          </w:tcPr>
          <w:p w:rsidR="006D14FF" w:rsidRPr="007D510F" w:rsidRDefault="00F35CB8" w:rsidP="007D510F">
            <w:pPr>
              <w:pStyle w:val="Tabletext"/>
            </w:pPr>
            <w:r w:rsidRPr="007D510F">
              <w:t>Missing coded as non-Indigenous</w:t>
            </w: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Language other than English spoken at home</w:t>
            </w:r>
          </w:p>
        </w:tc>
        <w:tc>
          <w:tcPr>
            <w:tcW w:w="2930" w:type="dxa"/>
            <w:tcBorders>
              <w:top w:val="nil"/>
              <w:bottom w:val="nil"/>
              <w:right w:val="nil"/>
            </w:tcBorders>
          </w:tcPr>
          <w:p w:rsidR="0043465D" w:rsidRPr="007D510F" w:rsidRDefault="00F35CB8" w:rsidP="007D510F">
            <w:pPr>
              <w:pStyle w:val="Tabletext"/>
            </w:pPr>
            <w:r w:rsidRPr="007D510F">
              <w:t>Other language/English only</w:t>
            </w:r>
          </w:p>
        </w:tc>
        <w:tc>
          <w:tcPr>
            <w:tcW w:w="2930" w:type="dxa"/>
            <w:tcBorders>
              <w:top w:val="nil"/>
              <w:left w:val="nil"/>
              <w:bottom w:val="nil"/>
              <w:right w:val="nil"/>
            </w:tcBorders>
          </w:tcPr>
          <w:p w:rsidR="0043465D" w:rsidRPr="007D510F" w:rsidRDefault="00F35CB8" w:rsidP="007D510F">
            <w:pPr>
              <w:pStyle w:val="Tabletext"/>
            </w:pPr>
            <w:r w:rsidRPr="007D510F">
              <w:t>Missing coded as English only</w:t>
            </w: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Labour force status</w:t>
            </w:r>
          </w:p>
        </w:tc>
        <w:tc>
          <w:tcPr>
            <w:tcW w:w="2930" w:type="dxa"/>
            <w:tcBorders>
              <w:top w:val="nil"/>
              <w:bottom w:val="nil"/>
              <w:right w:val="nil"/>
            </w:tcBorders>
          </w:tcPr>
          <w:p w:rsidR="0043465D" w:rsidRPr="007D510F" w:rsidRDefault="00F35CB8" w:rsidP="007D510F">
            <w:pPr>
              <w:pStyle w:val="Tabletext"/>
            </w:pPr>
            <w:r w:rsidRPr="007D510F">
              <w:t>Employed/unemployed/not in the labour force</w:t>
            </w:r>
          </w:p>
        </w:tc>
        <w:tc>
          <w:tcPr>
            <w:tcW w:w="2930" w:type="dxa"/>
            <w:tcBorders>
              <w:top w:val="nil"/>
              <w:left w:val="nil"/>
              <w:bottom w:val="nil"/>
              <w:right w:val="nil"/>
            </w:tcBorders>
          </w:tcPr>
          <w:p w:rsidR="0043465D" w:rsidRPr="007D510F" w:rsidRDefault="0043465D" w:rsidP="007D510F">
            <w:pPr>
              <w:pStyle w:val="Tabletext"/>
            </w:pP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Country of birth</w:t>
            </w:r>
          </w:p>
        </w:tc>
        <w:tc>
          <w:tcPr>
            <w:tcW w:w="2930" w:type="dxa"/>
            <w:tcBorders>
              <w:top w:val="nil"/>
              <w:bottom w:val="nil"/>
              <w:right w:val="nil"/>
            </w:tcBorders>
          </w:tcPr>
          <w:p w:rsidR="0043465D" w:rsidRPr="007D510F" w:rsidRDefault="00F35CB8" w:rsidP="007D510F">
            <w:pPr>
              <w:pStyle w:val="Tabletext"/>
            </w:pPr>
            <w:r w:rsidRPr="007D510F">
              <w:t>Born in Australia/overseas</w:t>
            </w:r>
          </w:p>
        </w:tc>
        <w:tc>
          <w:tcPr>
            <w:tcW w:w="2930" w:type="dxa"/>
            <w:tcBorders>
              <w:top w:val="nil"/>
              <w:left w:val="nil"/>
              <w:bottom w:val="nil"/>
              <w:right w:val="nil"/>
            </w:tcBorders>
          </w:tcPr>
          <w:p w:rsidR="0043465D" w:rsidRPr="007D510F" w:rsidRDefault="00161E46" w:rsidP="007D510F">
            <w:pPr>
              <w:pStyle w:val="Tabletext"/>
            </w:pPr>
            <w:r w:rsidRPr="007D510F">
              <w:t>Missing coded as born in Australia</w:t>
            </w: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Disability</w:t>
            </w:r>
          </w:p>
        </w:tc>
        <w:tc>
          <w:tcPr>
            <w:tcW w:w="2930" w:type="dxa"/>
            <w:tcBorders>
              <w:top w:val="nil"/>
              <w:bottom w:val="nil"/>
              <w:right w:val="nil"/>
            </w:tcBorders>
          </w:tcPr>
          <w:p w:rsidR="0043465D" w:rsidRPr="007D510F" w:rsidRDefault="00F35CB8" w:rsidP="007D510F">
            <w:pPr>
              <w:pStyle w:val="Tabletext"/>
            </w:pPr>
            <w:r w:rsidRPr="007D510F">
              <w:t>Has disability/no disability</w:t>
            </w:r>
          </w:p>
        </w:tc>
        <w:tc>
          <w:tcPr>
            <w:tcW w:w="2930" w:type="dxa"/>
            <w:tcBorders>
              <w:top w:val="nil"/>
              <w:left w:val="nil"/>
              <w:bottom w:val="nil"/>
              <w:right w:val="nil"/>
            </w:tcBorders>
          </w:tcPr>
          <w:p w:rsidR="0043465D" w:rsidRPr="007D510F" w:rsidRDefault="00161E46" w:rsidP="007D510F">
            <w:pPr>
              <w:pStyle w:val="Tabletext"/>
            </w:pPr>
            <w:r w:rsidRPr="007D510F">
              <w:t>Missing coded as having no disability</w:t>
            </w: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Prior educational achievement</w:t>
            </w:r>
          </w:p>
        </w:tc>
        <w:tc>
          <w:tcPr>
            <w:tcW w:w="2930" w:type="dxa"/>
            <w:tcBorders>
              <w:top w:val="nil"/>
              <w:bottom w:val="nil"/>
              <w:right w:val="nil"/>
            </w:tcBorders>
          </w:tcPr>
          <w:p w:rsidR="0043465D" w:rsidRPr="007D510F" w:rsidRDefault="00F35CB8" w:rsidP="007D510F">
            <w:pPr>
              <w:pStyle w:val="Tabletext"/>
            </w:pPr>
            <w:r w:rsidRPr="007D510F">
              <w:t>Post-school qualification/no qualification</w:t>
            </w:r>
          </w:p>
        </w:tc>
        <w:tc>
          <w:tcPr>
            <w:tcW w:w="2930" w:type="dxa"/>
            <w:tcBorders>
              <w:top w:val="nil"/>
              <w:left w:val="nil"/>
              <w:bottom w:val="nil"/>
              <w:right w:val="nil"/>
            </w:tcBorders>
          </w:tcPr>
          <w:p w:rsidR="0043465D" w:rsidRPr="007D510F" w:rsidRDefault="0043465D" w:rsidP="007D510F">
            <w:pPr>
              <w:pStyle w:val="Tabletext"/>
            </w:pP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At school</w:t>
            </w:r>
          </w:p>
        </w:tc>
        <w:tc>
          <w:tcPr>
            <w:tcW w:w="2930" w:type="dxa"/>
            <w:tcBorders>
              <w:top w:val="nil"/>
              <w:bottom w:val="nil"/>
              <w:right w:val="nil"/>
            </w:tcBorders>
          </w:tcPr>
          <w:p w:rsidR="0043465D" w:rsidRPr="007D510F" w:rsidRDefault="00F35CB8" w:rsidP="007D510F">
            <w:pPr>
              <w:pStyle w:val="Tabletext"/>
            </w:pPr>
            <w:r w:rsidRPr="007D510F">
              <w:t>At school/not at school</w:t>
            </w:r>
          </w:p>
        </w:tc>
        <w:tc>
          <w:tcPr>
            <w:tcW w:w="2930" w:type="dxa"/>
            <w:tcBorders>
              <w:top w:val="nil"/>
              <w:left w:val="nil"/>
              <w:bottom w:val="nil"/>
              <w:right w:val="nil"/>
            </w:tcBorders>
          </w:tcPr>
          <w:p w:rsidR="0043465D" w:rsidRPr="007D510F" w:rsidRDefault="0043465D" w:rsidP="007D510F">
            <w:pPr>
              <w:pStyle w:val="Tabletext"/>
            </w:pPr>
          </w:p>
        </w:tc>
      </w:tr>
      <w:tr w:rsidR="0043465D" w:rsidTr="00E35C74">
        <w:trPr>
          <w:cantSplit/>
        </w:trPr>
        <w:tc>
          <w:tcPr>
            <w:tcW w:w="2929" w:type="dxa"/>
            <w:tcBorders>
              <w:top w:val="nil"/>
              <w:bottom w:val="nil"/>
              <w:right w:val="nil"/>
            </w:tcBorders>
          </w:tcPr>
          <w:p w:rsidR="0043465D" w:rsidRPr="007D510F" w:rsidRDefault="0043465D" w:rsidP="007D510F">
            <w:pPr>
              <w:pStyle w:val="Tabletext"/>
            </w:pPr>
            <w:r w:rsidRPr="007D510F">
              <w:t>Proficiency in spoken English</w:t>
            </w:r>
          </w:p>
        </w:tc>
        <w:tc>
          <w:tcPr>
            <w:tcW w:w="2930" w:type="dxa"/>
            <w:tcBorders>
              <w:top w:val="nil"/>
              <w:bottom w:val="nil"/>
              <w:right w:val="nil"/>
            </w:tcBorders>
          </w:tcPr>
          <w:p w:rsidR="0043465D" w:rsidRPr="007D510F" w:rsidRDefault="00F35CB8" w:rsidP="007D510F">
            <w:pPr>
              <w:pStyle w:val="Tabletext"/>
            </w:pPr>
            <w:r w:rsidRPr="007D510F">
              <w:t>Very well/less than very well</w:t>
            </w:r>
          </w:p>
        </w:tc>
        <w:tc>
          <w:tcPr>
            <w:tcW w:w="2930" w:type="dxa"/>
            <w:tcBorders>
              <w:top w:val="nil"/>
              <w:left w:val="nil"/>
              <w:bottom w:val="nil"/>
              <w:right w:val="nil"/>
            </w:tcBorders>
          </w:tcPr>
          <w:p w:rsidR="0043465D" w:rsidRPr="007D510F" w:rsidRDefault="0049216E" w:rsidP="007D510F">
            <w:pPr>
              <w:pStyle w:val="Tabletext"/>
            </w:pPr>
            <w:r w:rsidRPr="007D510F">
              <w:t>Coded</w:t>
            </w:r>
            <w:r w:rsidR="00161E46" w:rsidRPr="007D510F">
              <w:t xml:space="preserve"> </w:t>
            </w:r>
            <w:r w:rsidR="00D6113B">
              <w:t>‘</w:t>
            </w:r>
            <w:r w:rsidR="00161E46" w:rsidRPr="007D510F">
              <w:t>very well</w:t>
            </w:r>
            <w:r w:rsidR="00D6113B">
              <w:t>’</w:t>
            </w:r>
            <w:r w:rsidR="00161E46" w:rsidRPr="007D510F">
              <w:t xml:space="preserve"> if born in Australia</w:t>
            </w:r>
          </w:p>
        </w:tc>
      </w:tr>
      <w:tr w:rsidR="0043465D" w:rsidTr="00E35C74">
        <w:trPr>
          <w:cantSplit/>
        </w:trPr>
        <w:tc>
          <w:tcPr>
            <w:tcW w:w="2929" w:type="dxa"/>
            <w:tcBorders>
              <w:top w:val="nil"/>
              <w:bottom w:val="single" w:sz="4" w:space="0" w:color="auto"/>
              <w:right w:val="nil"/>
            </w:tcBorders>
          </w:tcPr>
          <w:p w:rsidR="0043465D" w:rsidRPr="007D510F" w:rsidRDefault="0043465D" w:rsidP="007D510F">
            <w:pPr>
              <w:pStyle w:val="Tabletext"/>
            </w:pPr>
            <w:r w:rsidRPr="007D510F">
              <w:t>Address location</w:t>
            </w:r>
          </w:p>
        </w:tc>
        <w:tc>
          <w:tcPr>
            <w:tcW w:w="2930" w:type="dxa"/>
            <w:tcBorders>
              <w:top w:val="nil"/>
              <w:bottom w:val="single" w:sz="4" w:space="0" w:color="auto"/>
              <w:right w:val="nil"/>
            </w:tcBorders>
          </w:tcPr>
          <w:p w:rsidR="0043465D" w:rsidRPr="007D510F" w:rsidRDefault="00F35CB8" w:rsidP="007D510F">
            <w:pPr>
              <w:pStyle w:val="Tabletext"/>
            </w:pPr>
            <w:r w:rsidRPr="007D510F">
              <w:t>Not included</w:t>
            </w:r>
          </w:p>
        </w:tc>
        <w:tc>
          <w:tcPr>
            <w:tcW w:w="2930" w:type="dxa"/>
            <w:tcBorders>
              <w:top w:val="nil"/>
              <w:left w:val="nil"/>
              <w:bottom w:val="single" w:sz="4" w:space="0" w:color="auto"/>
              <w:right w:val="nil"/>
            </w:tcBorders>
          </w:tcPr>
          <w:p w:rsidR="0043465D" w:rsidRPr="007D510F" w:rsidRDefault="0043465D" w:rsidP="007D510F">
            <w:pPr>
              <w:pStyle w:val="Tabletext"/>
            </w:pPr>
          </w:p>
        </w:tc>
      </w:tr>
    </w:tbl>
    <w:p w:rsidR="00161E46" w:rsidRPr="002D1DA4" w:rsidRDefault="00161E46" w:rsidP="00E35C74">
      <w:pPr>
        <w:pStyle w:val="Textmorebefore"/>
      </w:pPr>
      <w:r w:rsidRPr="002D1DA4">
        <w:t>The first step in propensity score matching is to</w:t>
      </w:r>
      <w:r w:rsidR="00614A8B">
        <w:t xml:space="preserve"> estimate the propensity scores:</w:t>
      </w:r>
      <w:r w:rsidRPr="002D1DA4">
        <w:t xml:space="preserve"> the probability of being treated (a pre-apprenticeship student) as a function of the observable personal characteristics.</w:t>
      </w:r>
      <w:r w:rsidR="00C158DE">
        <w:t xml:space="preserve"> </w:t>
      </w:r>
      <w:r w:rsidRPr="002D1DA4">
        <w:t xml:space="preserve"> </w:t>
      </w:r>
    </w:p>
    <w:p w:rsidR="00AE08C3" w:rsidRDefault="00161E46" w:rsidP="007D510F">
      <w:pPr>
        <w:pStyle w:val="Text"/>
      </w:pPr>
      <w:r w:rsidRPr="002D1DA4">
        <w:t>Notwithstanding our reservations about predictors of selection into treatment, the observab</w:t>
      </w:r>
      <w:r w:rsidR="0049216E">
        <w:t xml:space="preserve">le personal characteristics </w:t>
      </w:r>
      <w:r w:rsidRPr="002D1DA4">
        <w:t>turn out to be very good predictors. For students not at school the pseudo</w:t>
      </w:r>
      <w:r w:rsidR="00020832">
        <w:t>-</w:t>
      </w:r>
      <w:r w:rsidRPr="002D1DA4">
        <w:t>R</w:t>
      </w:r>
      <w:r w:rsidRPr="00020832">
        <w:rPr>
          <w:vertAlign w:val="superscript"/>
        </w:rPr>
        <w:t>2</w:t>
      </w:r>
      <w:r w:rsidRPr="002D1DA4">
        <w:t xml:space="preserve"> for the </w:t>
      </w:r>
      <w:proofErr w:type="spellStart"/>
      <w:r w:rsidRPr="002D1DA4">
        <w:t>probit</w:t>
      </w:r>
      <w:proofErr w:type="spellEnd"/>
      <w:r w:rsidRPr="002D1DA4">
        <w:t xml:space="preserve"> regression is high</w:t>
      </w:r>
      <w:r w:rsidR="00614A8B">
        <w:t>,</w:t>
      </w:r>
      <w:r w:rsidRPr="002D1DA4">
        <w:t xml:space="preserve"> at 0.309</w:t>
      </w:r>
      <w:r w:rsidR="00614A8B">
        <w:t>,</w:t>
      </w:r>
      <w:r w:rsidRPr="002D1DA4">
        <w:t xml:space="preserve"> and the overall predictive accuracy is 79</w:t>
      </w:r>
      <w:r w:rsidR="00C158DE">
        <w:t>%</w:t>
      </w:r>
      <w:r w:rsidRPr="002D1DA4">
        <w:t>.</w:t>
      </w:r>
      <w:r w:rsidRPr="002D1DA4">
        <w:rPr>
          <w:vertAlign w:val="superscript"/>
        </w:rPr>
        <w:footnoteReference w:id="1"/>
      </w:r>
      <w:r w:rsidR="00C158DE">
        <w:t xml:space="preserve"> </w:t>
      </w:r>
      <w:r w:rsidRPr="002D1DA4">
        <w:t>Almost all the included variables are statistically significant at the 1</w:t>
      </w:r>
      <w:r w:rsidR="00C158DE">
        <w:t>%</w:t>
      </w:r>
      <w:r w:rsidRPr="002D1DA4">
        <w:t xml:space="preserve"> level.</w:t>
      </w:r>
      <w:r w:rsidR="00C158DE">
        <w:t xml:space="preserve"> </w:t>
      </w:r>
      <w:r w:rsidRPr="002D1DA4">
        <w:t>The large</w:t>
      </w:r>
      <w:r w:rsidR="00614A8B">
        <w:t>st influences are sex, age and I</w:t>
      </w:r>
      <w:r w:rsidRPr="002D1DA4">
        <w:t>ndigenous status.</w:t>
      </w:r>
      <w:r w:rsidR="00C158DE">
        <w:t xml:space="preserve"> </w:t>
      </w:r>
      <w:r w:rsidRPr="002D1DA4">
        <w:t>Only the two language variables (language other than English spoken at home and proficiency in spoken English) have no predictive influence. For students still at school, the personal characteristics have a much smaller effect on the selection into treatment</w:t>
      </w:r>
      <w:r w:rsidR="004D53C1">
        <w:t>,</w:t>
      </w:r>
      <w:r w:rsidRPr="002D1DA4">
        <w:t xml:space="preserve"> and the fit and predictive accuracy of the model</w:t>
      </w:r>
      <w:r w:rsidR="004D53C1">
        <w:t xml:space="preserve"> are</w:t>
      </w:r>
      <w:r w:rsidRPr="002D1DA4">
        <w:t xml:space="preserve"> correspondingly smaller. </w:t>
      </w:r>
    </w:p>
    <w:p w:rsidR="00161E46" w:rsidRDefault="00161E46" w:rsidP="007D510F">
      <w:pPr>
        <w:pStyle w:val="Text"/>
      </w:pPr>
      <w:r w:rsidRPr="002D1DA4">
        <w:lastRenderedPageBreak/>
        <w:t>The above findings are reflected in the distribution of the</w:t>
      </w:r>
      <w:r w:rsidR="00AA322D">
        <w:t xml:space="preserve"> propensity scores depicted in f</w:t>
      </w:r>
      <w:r w:rsidRPr="002D1DA4">
        <w:t>igures 1 and 2</w:t>
      </w:r>
      <w:r w:rsidR="009C552E">
        <w:t>. The controls among the not-at-</w:t>
      </w:r>
      <w:r w:rsidRPr="002D1DA4">
        <w:t xml:space="preserve">school students are concentrated in </w:t>
      </w:r>
      <w:r w:rsidR="00215404">
        <w:t xml:space="preserve">the </w:t>
      </w:r>
      <w:r w:rsidRPr="002D1DA4">
        <w:t>lower end of the distribution and the treated in the higher end. Pre-apprentices and other students are evidently very different with respect to the observable variables. This also means that there are very few controls for the treated in the upper end of the distribution</w:t>
      </w:r>
      <w:r w:rsidR="00AA322D">
        <w:t>,</w:t>
      </w:r>
      <w:r w:rsidR="00020832">
        <w:t xml:space="preserve"> r</w:t>
      </w:r>
      <w:r w:rsidRPr="002D1DA4">
        <w:t xml:space="preserve">esulting in some of the treated being matched by the </w:t>
      </w:r>
      <w:r w:rsidR="00215404">
        <w:t xml:space="preserve">same non-treated observation. </w:t>
      </w:r>
      <w:r w:rsidRPr="002D1DA4">
        <w:t>Precisely how this works out depends on the matching method.</w:t>
      </w:r>
      <w:r w:rsidR="00C158DE">
        <w:t xml:space="preserve"> </w:t>
      </w:r>
      <w:r w:rsidRPr="002D1DA4">
        <w:t xml:space="preserve">When using calliper matching, which the graphs depict, the limited overlap in the distribution means that some of the treated are not matched with a non-treated counterpart. They are </w:t>
      </w:r>
      <w:r w:rsidR="00D6113B">
        <w:t>‘</w:t>
      </w:r>
      <w:r w:rsidRPr="002D1DA4">
        <w:t>off</w:t>
      </w:r>
      <w:r w:rsidR="00D6113B">
        <w:t>’</w:t>
      </w:r>
      <w:r w:rsidRPr="002D1DA4">
        <w:t xml:space="preserve"> the common support and excluded from the computati</w:t>
      </w:r>
      <w:r w:rsidR="004D53C1">
        <w:t>on of the matching estimate, which</w:t>
      </w:r>
      <w:r w:rsidRPr="002D1DA4">
        <w:t xml:space="preserve"> then refers to the sub-population that meets the common support requirement. For students at school there is a greater overlap of the distribution of the propensity scores in the two samples and only two of the treated are off the common support. </w:t>
      </w:r>
    </w:p>
    <w:p w:rsidR="00161E46" w:rsidRDefault="004F5037" w:rsidP="007D510F">
      <w:pPr>
        <w:pStyle w:val="Figuretitle"/>
      </w:pPr>
      <w:r w:rsidRPr="004F5037">
        <w:rPr>
          <w:noProof/>
          <w:lang w:val="en-US" w:eastAsia="zh-TW"/>
        </w:rPr>
        <w:pict>
          <v:shape id="_x0000_s1048" type="#_x0000_t202" style="position:absolute;left:0;text-align:left;margin-left:107.35pt;margin-top:263.75pt;width:45.9pt;height:25.85pt;z-index:251673600;mso-position-horizontal-relative:margin;mso-position-vertical-relative:margin;mso-width-relative:margin;mso-height-relative:margin">
            <v:textbox>
              <w:txbxContent>
                <w:p w:rsidR="00FD16F4" w:rsidRDefault="00FD16F4" w:rsidP="00D12444">
                  <w:pPr>
                    <w:pStyle w:val="Tablehead1"/>
                    <w:jc w:val="center"/>
                  </w:pPr>
                  <w:r>
                    <w:t>Treated</w:t>
                  </w:r>
                </w:p>
              </w:txbxContent>
            </v:textbox>
            <w10:wrap type="square" anchorx="margin" anchory="margin"/>
          </v:shape>
        </w:pict>
      </w:r>
      <w:r w:rsidR="00D12444">
        <w:rPr>
          <w:noProof/>
          <w:lang w:eastAsia="en-AU"/>
        </w:rPr>
        <w:drawing>
          <wp:anchor distT="0" distB="0" distL="114300" distR="114300" simplePos="0" relativeHeight="251671552" behindDoc="0" locked="0" layoutInCell="1" allowOverlap="1">
            <wp:simplePos x="0" y="0"/>
            <wp:positionH relativeFrom="column">
              <wp:posOffset>0</wp:posOffset>
            </wp:positionH>
            <wp:positionV relativeFrom="paragraph">
              <wp:posOffset>478790</wp:posOffset>
            </wp:positionV>
            <wp:extent cx="5582285" cy="427482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notatschool.wmf"/>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2285" cy="4274820"/>
                    </a:xfrm>
                    <a:prstGeom prst="rect">
                      <a:avLst/>
                    </a:prstGeom>
                  </pic:spPr>
                </pic:pic>
              </a:graphicData>
            </a:graphic>
          </wp:anchor>
        </w:drawing>
      </w:r>
      <w:bookmarkStart w:id="63" w:name="_Toc337199625"/>
      <w:r w:rsidR="00161E46">
        <w:t>Figure 1</w:t>
      </w:r>
      <w:r w:rsidR="00161E46">
        <w:tab/>
        <w:t xml:space="preserve">Distribution </w:t>
      </w:r>
      <w:r w:rsidR="009C552E">
        <w:t>of the propensity score: not-at-</w:t>
      </w:r>
      <w:r w:rsidR="00161E46">
        <w:t>school students</w:t>
      </w:r>
      <w:bookmarkEnd w:id="63"/>
    </w:p>
    <w:p w:rsidR="004D7CE2" w:rsidRDefault="004F5037">
      <w:pPr>
        <w:spacing w:before="0" w:line="240" w:lineRule="auto"/>
      </w:pPr>
      <w:r>
        <w:rPr>
          <w:noProof/>
          <w:lang w:eastAsia="en-AU"/>
        </w:rPr>
        <w:pict>
          <v:shape id="_x0000_s1049" type="#_x0000_t202" style="position:absolute;margin-left:274.35pt;margin-top:398.7pt;width:56.25pt;height:25.85pt;z-index:251674624;mso-position-horizontal-relative:margin;mso-position-vertical-relative:margin;mso-width-relative:margin;mso-height-relative:margin">
            <v:textbox>
              <w:txbxContent>
                <w:p w:rsidR="00FD16F4" w:rsidRDefault="00FD16F4" w:rsidP="00D12444">
                  <w:pPr>
                    <w:pStyle w:val="Tablehead1"/>
                    <w:jc w:val="center"/>
                  </w:pPr>
                  <w:r>
                    <w:t>Untreated</w:t>
                  </w:r>
                </w:p>
              </w:txbxContent>
            </v:textbox>
            <w10:wrap type="square" anchorx="margin" anchory="margin"/>
          </v:shape>
        </w:pict>
      </w:r>
    </w:p>
    <w:p w:rsidR="00F42D0C" w:rsidRPr="004D7CE2" w:rsidRDefault="004D7CE2" w:rsidP="004D7CE2">
      <w:pPr>
        <w:spacing w:before="0" w:line="240" w:lineRule="auto"/>
      </w:pPr>
      <w:r>
        <w:br w:type="page"/>
      </w:r>
    </w:p>
    <w:p w:rsidR="004D7CE2" w:rsidRDefault="004F5037" w:rsidP="007D510F">
      <w:pPr>
        <w:pStyle w:val="Figuretitle"/>
      </w:pPr>
      <w:r>
        <w:rPr>
          <w:noProof/>
          <w:lang w:eastAsia="en-AU"/>
        </w:rPr>
        <w:lastRenderedPageBreak/>
        <w:pict>
          <v:shape id="_x0000_s1050" type="#_x0000_t202" style="position:absolute;left:0;text-align:left;margin-left:111.65pt;margin-top:52.3pt;width:45.9pt;height:25.85pt;z-index:251676672;mso-position-horizontal-relative:margin;mso-position-vertical-relative:margin;mso-width-relative:margin;mso-height-relative:margin">
            <v:textbox>
              <w:txbxContent>
                <w:p w:rsidR="00FD16F4" w:rsidRDefault="00FD16F4" w:rsidP="00D12444">
                  <w:pPr>
                    <w:pStyle w:val="Tablehead1"/>
                    <w:jc w:val="center"/>
                  </w:pPr>
                  <w:r>
                    <w:t>Treated</w:t>
                  </w:r>
                </w:p>
              </w:txbxContent>
            </v:textbox>
            <w10:wrap type="square" anchorx="margin" anchory="margin"/>
          </v:shape>
        </w:pict>
      </w:r>
      <w:r w:rsidR="00D12444">
        <w:rPr>
          <w:noProof/>
          <w:lang w:eastAsia="en-AU"/>
        </w:rPr>
        <w:drawing>
          <wp:anchor distT="0" distB="0" distL="114300" distR="114300" simplePos="0" relativeHeight="251675648" behindDoc="0" locked="0" layoutInCell="1" allowOverlap="1">
            <wp:simplePos x="0" y="0"/>
            <wp:positionH relativeFrom="column">
              <wp:posOffset>1270</wp:posOffset>
            </wp:positionH>
            <wp:positionV relativeFrom="paragraph">
              <wp:posOffset>252095</wp:posOffset>
            </wp:positionV>
            <wp:extent cx="5582285" cy="4274820"/>
            <wp:effectExtent l="1905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atschool.wm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2285" cy="4274820"/>
                    </a:xfrm>
                    <a:prstGeom prst="rect">
                      <a:avLst/>
                    </a:prstGeom>
                  </pic:spPr>
                </pic:pic>
              </a:graphicData>
            </a:graphic>
          </wp:anchor>
        </w:drawing>
      </w:r>
      <w:bookmarkStart w:id="64" w:name="_Toc337199626"/>
      <w:r w:rsidR="004D7CE2">
        <w:t>Figure 2</w:t>
      </w:r>
      <w:r w:rsidR="004D7CE2">
        <w:tab/>
        <w:t>Distribution of the propensity score: school students</w:t>
      </w:r>
      <w:bookmarkEnd w:id="64"/>
    </w:p>
    <w:p w:rsidR="00F42D0C" w:rsidRDefault="004F5037" w:rsidP="00D12444">
      <w:pPr>
        <w:pStyle w:val="Textmorebefore"/>
      </w:pPr>
      <w:r>
        <w:rPr>
          <w:noProof/>
          <w:lang w:eastAsia="en-AU"/>
        </w:rPr>
        <w:pict>
          <v:shape id="_x0000_s1051" type="#_x0000_t202" style="position:absolute;margin-left:206pt;margin-top:222.9pt;width:56.25pt;height:25.85pt;z-index:251677696;mso-position-horizontal-relative:margin;mso-position-vertical-relative:margin;mso-width-relative:margin;mso-height-relative:margin">
            <v:textbox>
              <w:txbxContent>
                <w:p w:rsidR="00FD16F4" w:rsidRDefault="00FD16F4" w:rsidP="00D12444">
                  <w:pPr>
                    <w:pStyle w:val="Tablehead1"/>
                    <w:jc w:val="center"/>
                  </w:pPr>
                  <w:r>
                    <w:t>Untreated</w:t>
                  </w:r>
                </w:p>
              </w:txbxContent>
            </v:textbox>
            <w10:wrap type="square" anchorx="margin" anchory="margin"/>
          </v:shape>
        </w:pict>
      </w:r>
      <w:r w:rsidR="00386285" w:rsidRPr="002D1DA4">
        <w:t>The quality of the matching procedure is assessed by the standardised mean difference in the means of the treated and control observations after matching.</w:t>
      </w:r>
      <w:r w:rsidR="00C158DE">
        <w:t xml:space="preserve"> </w:t>
      </w:r>
      <w:r w:rsidR="00386285" w:rsidRPr="002D1DA4">
        <w:t>Before matching</w:t>
      </w:r>
      <w:r w:rsidR="004D53C1">
        <w:t>,</w:t>
      </w:r>
      <w:r w:rsidR="00386285" w:rsidRPr="002D1DA4">
        <w:t xml:space="preserve"> the medi</w:t>
      </w:r>
      <w:r w:rsidR="004D0D96">
        <w:t>an standardised bias is 38</w:t>
      </w:r>
      <w:r w:rsidR="00C158DE">
        <w:t>%</w:t>
      </w:r>
      <w:r w:rsidR="009C552E">
        <w:t xml:space="preserve"> for the not-at-</w:t>
      </w:r>
      <w:r w:rsidR="00386285" w:rsidRPr="002D1DA4">
        <w:t>school students. After matching</w:t>
      </w:r>
      <w:r w:rsidR="004D7CE2">
        <w:t>,</w:t>
      </w:r>
      <w:r w:rsidR="004D0D96">
        <w:t xml:space="preserve"> this bias is reduced to 2.4</w:t>
      </w:r>
      <w:r w:rsidR="00C158DE">
        <w:t>%</w:t>
      </w:r>
      <w:r w:rsidR="00386285" w:rsidRPr="002D1DA4">
        <w:t>.</w:t>
      </w:r>
      <w:r w:rsidR="00C158DE">
        <w:t xml:space="preserve"> </w:t>
      </w:r>
      <w:r w:rsidR="00AA322D">
        <w:t>Further details are given in t</w:t>
      </w:r>
      <w:r w:rsidR="00386285" w:rsidRPr="002D1DA4">
        <w:t>able 6</w:t>
      </w:r>
      <w:r w:rsidR="00AA322D">
        <w:t>, which</w:t>
      </w:r>
      <w:r w:rsidR="00386285" w:rsidRPr="002D1DA4">
        <w:t xml:space="preserve"> gives the percentile distribution of the standardised bias before and after matching</w:t>
      </w:r>
      <w:r w:rsidR="00AE08C3">
        <w:t>.</w:t>
      </w:r>
      <w:r w:rsidR="00C158DE">
        <w:t xml:space="preserve"> </w:t>
      </w:r>
      <w:r w:rsidR="009C552E">
        <w:t>As regards not-at-</w:t>
      </w:r>
      <w:r w:rsidR="00B801CF">
        <w:t xml:space="preserve">school students, the treated and controls are very different </w:t>
      </w:r>
      <w:r w:rsidR="00386285" w:rsidRPr="002D1DA4">
        <w:t>with respect t</w:t>
      </w:r>
      <w:r w:rsidR="00B801CF">
        <w:t>o most of the covariates, but matching reduces most of the differences.</w:t>
      </w:r>
      <w:r w:rsidR="00386285" w:rsidRPr="002D1DA4">
        <w:t xml:space="preserve"> </w:t>
      </w:r>
      <w:r w:rsidR="00020832">
        <w:t>S</w:t>
      </w:r>
      <w:r w:rsidR="00386285" w:rsidRPr="002D1DA4">
        <w:t xml:space="preserve">tudents </w:t>
      </w:r>
      <w:r w:rsidR="00020832">
        <w:t xml:space="preserve">at school </w:t>
      </w:r>
      <w:r w:rsidR="00386285" w:rsidRPr="002D1DA4">
        <w:t>are more similar to start with</w:t>
      </w:r>
      <w:r w:rsidR="00AA322D">
        <w:t>,</w:t>
      </w:r>
      <w:r w:rsidR="00386285" w:rsidRPr="002D1DA4">
        <w:t xml:space="preserve"> but even so</w:t>
      </w:r>
      <w:r w:rsidR="009C552E">
        <w:t>,</w:t>
      </w:r>
      <w:r w:rsidR="00386285" w:rsidRPr="002D1DA4">
        <w:t xml:space="preserve"> matching reduces the median difference to only 1.41</w:t>
      </w:r>
      <w:r w:rsidR="00C158DE">
        <w:t>%</w:t>
      </w:r>
      <w:r w:rsidR="00386285" w:rsidRPr="002D1DA4">
        <w:t>. Even the largest difference between covariates is small</w:t>
      </w:r>
      <w:r w:rsidR="004D53C1">
        <w:t>,</w:t>
      </w:r>
      <w:r w:rsidR="00386285" w:rsidRPr="002D1DA4">
        <w:t xml:space="preserve"> at 3.72</w:t>
      </w:r>
      <w:r w:rsidR="00C158DE">
        <w:t>%</w:t>
      </w:r>
      <w:r w:rsidR="00386285" w:rsidRPr="002D1DA4">
        <w:t xml:space="preserve">. </w:t>
      </w:r>
    </w:p>
    <w:p w:rsidR="00D12444" w:rsidRDefault="00D12444">
      <w:pPr>
        <w:spacing w:before="0" w:line="240" w:lineRule="auto"/>
      </w:pPr>
      <w:r>
        <w:br w:type="page"/>
      </w:r>
    </w:p>
    <w:p w:rsidR="000813E3" w:rsidRDefault="000813E3" w:rsidP="000813E3">
      <w:pPr>
        <w:pStyle w:val="tabletitle"/>
      </w:pPr>
      <w:bookmarkStart w:id="65" w:name="_Toc331077004"/>
      <w:bookmarkStart w:id="66" w:name="_Toc337199622"/>
      <w:r>
        <w:lastRenderedPageBreak/>
        <w:t>Table 6</w:t>
      </w:r>
      <w:r>
        <w:tab/>
        <w:t xml:space="preserve">Summary </w:t>
      </w:r>
      <w:r w:rsidR="00504868">
        <w:t>of the distribution of the standardised absolute bias before and after matching</w:t>
      </w:r>
      <w:bookmarkEnd w:id="65"/>
      <w:bookmarkEnd w:id="66"/>
    </w:p>
    <w:tbl>
      <w:tblPr>
        <w:tblW w:w="8789" w:type="dxa"/>
        <w:tblInd w:w="108" w:type="dxa"/>
        <w:tblBorders>
          <w:top w:val="single" w:sz="4" w:space="0" w:color="auto"/>
          <w:bottom w:val="single" w:sz="4" w:space="0" w:color="auto"/>
        </w:tblBorders>
        <w:tblLayout w:type="fixed"/>
        <w:tblLook w:val="0000"/>
      </w:tblPr>
      <w:tblGrid>
        <w:gridCol w:w="1560"/>
        <w:gridCol w:w="1807"/>
        <w:gridCol w:w="1807"/>
        <w:gridCol w:w="1807"/>
        <w:gridCol w:w="1808"/>
      </w:tblGrid>
      <w:tr w:rsidR="00684D95" w:rsidRPr="00187713" w:rsidTr="00D12444">
        <w:trPr>
          <w:cantSplit/>
        </w:trPr>
        <w:tc>
          <w:tcPr>
            <w:tcW w:w="1560" w:type="dxa"/>
            <w:tcBorders>
              <w:top w:val="single" w:sz="4" w:space="0" w:color="auto"/>
              <w:bottom w:val="nil"/>
              <w:right w:val="nil"/>
            </w:tcBorders>
          </w:tcPr>
          <w:p w:rsidR="00684D95" w:rsidRPr="0043465D" w:rsidRDefault="00684D95" w:rsidP="007D510F">
            <w:pPr>
              <w:pStyle w:val="Tablehead1"/>
            </w:pPr>
            <w:r>
              <w:t>Percentile</w:t>
            </w:r>
          </w:p>
        </w:tc>
        <w:tc>
          <w:tcPr>
            <w:tcW w:w="3614" w:type="dxa"/>
            <w:gridSpan w:val="2"/>
            <w:tcBorders>
              <w:top w:val="single" w:sz="4" w:space="0" w:color="auto"/>
              <w:bottom w:val="nil"/>
              <w:right w:val="nil"/>
            </w:tcBorders>
          </w:tcPr>
          <w:p w:rsidR="00684D95" w:rsidRDefault="00684D95" w:rsidP="00D12444">
            <w:pPr>
              <w:pStyle w:val="Tablehead1"/>
              <w:jc w:val="center"/>
            </w:pPr>
            <w:r>
              <w:t>Not at school students</w:t>
            </w:r>
          </w:p>
        </w:tc>
        <w:tc>
          <w:tcPr>
            <w:tcW w:w="3615" w:type="dxa"/>
            <w:gridSpan w:val="2"/>
            <w:tcBorders>
              <w:top w:val="single" w:sz="4" w:space="0" w:color="auto"/>
              <w:left w:val="nil"/>
              <w:bottom w:val="nil"/>
              <w:right w:val="nil"/>
            </w:tcBorders>
          </w:tcPr>
          <w:p w:rsidR="00684D95" w:rsidRDefault="00684D95" w:rsidP="00D12444">
            <w:pPr>
              <w:pStyle w:val="Tablehead1"/>
              <w:jc w:val="center"/>
            </w:pPr>
            <w:r>
              <w:t>At school students</w:t>
            </w:r>
          </w:p>
        </w:tc>
      </w:tr>
      <w:tr w:rsidR="00504868" w:rsidTr="00D12444">
        <w:trPr>
          <w:cantSplit/>
        </w:trPr>
        <w:tc>
          <w:tcPr>
            <w:tcW w:w="1560" w:type="dxa"/>
            <w:tcBorders>
              <w:top w:val="nil"/>
              <w:bottom w:val="single" w:sz="4" w:space="0" w:color="auto"/>
              <w:right w:val="nil"/>
            </w:tcBorders>
          </w:tcPr>
          <w:p w:rsidR="00504868" w:rsidRDefault="00504868" w:rsidP="00D12444">
            <w:pPr>
              <w:pStyle w:val="Tablehead2"/>
            </w:pPr>
          </w:p>
        </w:tc>
        <w:tc>
          <w:tcPr>
            <w:tcW w:w="1807" w:type="dxa"/>
            <w:tcBorders>
              <w:top w:val="nil"/>
              <w:bottom w:val="single" w:sz="4" w:space="0" w:color="auto"/>
              <w:right w:val="nil"/>
            </w:tcBorders>
          </w:tcPr>
          <w:p w:rsidR="00504868" w:rsidRPr="00504868" w:rsidRDefault="00504868" w:rsidP="00D12444">
            <w:pPr>
              <w:pStyle w:val="Tablehead2"/>
              <w:jc w:val="center"/>
            </w:pPr>
            <w:r>
              <w:t>Before</w:t>
            </w:r>
          </w:p>
        </w:tc>
        <w:tc>
          <w:tcPr>
            <w:tcW w:w="1807" w:type="dxa"/>
            <w:tcBorders>
              <w:top w:val="nil"/>
              <w:bottom w:val="single" w:sz="4" w:space="0" w:color="auto"/>
              <w:right w:val="nil"/>
            </w:tcBorders>
          </w:tcPr>
          <w:p w:rsidR="00504868" w:rsidRPr="00504868" w:rsidRDefault="00504868" w:rsidP="00D12444">
            <w:pPr>
              <w:pStyle w:val="Tablehead2"/>
              <w:jc w:val="center"/>
            </w:pPr>
            <w:r w:rsidRPr="00504868">
              <w:t>After</w:t>
            </w:r>
          </w:p>
        </w:tc>
        <w:tc>
          <w:tcPr>
            <w:tcW w:w="1807" w:type="dxa"/>
            <w:tcBorders>
              <w:top w:val="nil"/>
              <w:left w:val="nil"/>
              <w:bottom w:val="single" w:sz="4" w:space="0" w:color="auto"/>
              <w:right w:val="nil"/>
            </w:tcBorders>
          </w:tcPr>
          <w:p w:rsidR="00504868" w:rsidRPr="00504868" w:rsidRDefault="00504868" w:rsidP="00D12444">
            <w:pPr>
              <w:pStyle w:val="Tablehead2"/>
              <w:jc w:val="center"/>
            </w:pPr>
            <w:r w:rsidRPr="00504868">
              <w:t>Before</w:t>
            </w:r>
          </w:p>
        </w:tc>
        <w:tc>
          <w:tcPr>
            <w:tcW w:w="1808" w:type="dxa"/>
            <w:tcBorders>
              <w:top w:val="nil"/>
              <w:left w:val="nil"/>
              <w:bottom w:val="single" w:sz="4" w:space="0" w:color="auto"/>
              <w:right w:val="nil"/>
            </w:tcBorders>
          </w:tcPr>
          <w:p w:rsidR="00504868" w:rsidRPr="00504868" w:rsidRDefault="00504868" w:rsidP="00D12444">
            <w:pPr>
              <w:pStyle w:val="Tablehead2"/>
              <w:jc w:val="center"/>
            </w:pPr>
            <w:r w:rsidRPr="00504868">
              <w:t>After</w:t>
            </w:r>
          </w:p>
        </w:tc>
      </w:tr>
      <w:tr w:rsidR="00504868" w:rsidRPr="00504868" w:rsidTr="00D12444">
        <w:trPr>
          <w:cantSplit/>
        </w:trPr>
        <w:tc>
          <w:tcPr>
            <w:tcW w:w="1560" w:type="dxa"/>
            <w:tcBorders>
              <w:top w:val="single" w:sz="4" w:space="0" w:color="auto"/>
              <w:bottom w:val="nil"/>
              <w:right w:val="nil"/>
            </w:tcBorders>
          </w:tcPr>
          <w:p w:rsidR="00504868" w:rsidRPr="00504868" w:rsidRDefault="00504868" w:rsidP="007D510F">
            <w:pPr>
              <w:pStyle w:val="Tabletext"/>
            </w:pPr>
            <w:r w:rsidRPr="00504868">
              <w:t>1</w:t>
            </w:r>
          </w:p>
        </w:tc>
        <w:tc>
          <w:tcPr>
            <w:tcW w:w="1807" w:type="dxa"/>
            <w:tcBorders>
              <w:top w:val="single" w:sz="4" w:space="0" w:color="auto"/>
              <w:bottom w:val="nil"/>
              <w:right w:val="nil"/>
            </w:tcBorders>
          </w:tcPr>
          <w:p w:rsidR="00504868" w:rsidRPr="00504868" w:rsidRDefault="00504868" w:rsidP="00D12444">
            <w:pPr>
              <w:pStyle w:val="Tabletext"/>
              <w:tabs>
                <w:tab w:val="decimal" w:pos="709"/>
              </w:tabs>
            </w:pPr>
            <w:r w:rsidRPr="00504868">
              <w:t>4.64</w:t>
            </w:r>
          </w:p>
        </w:tc>
        <w:tc>
          <w:tcPr>
            <w:tcW w:w="1807" w:type="dxa"/>
            <w:tcBorders>
              <w:top w:val="single" w:sz="4" w:space="0" w:color="auto"/>
              <w:bottom w:val="nil"/>
              <w:right w:val="nil"/>
            </w:tcBorders>
          </w:tcPr>
          <w:p w:rsidR="00504868" w:rsidRPr="00504868" w:rsidRDefault="00504868" w:rsidP="00323C31">
            <w:pPr>
              <w:pStyle w:val="Tabletext"/>
              <w:tabs>
                <w:tab w:val="decimal" w:pos="624"/>
              </w:tabs>
            </w:pPr>
            <w:r w:rsidRPr="00504868">
              <w:t>.394</w:t>
            </w:r>
          </w:p>
        </w:tc>
        <w:tc>
          <w:tcPr>
            <w:tcW w:w="1807" w:type="dxa"/>
            <w:tcBorders>
              <w:top w:val="single" w:sz="4" w:space="0" w:color="auto"/>
              <w:left w:val="nil"/>
              <w:bottom w:val="nil"/>
              <w:right w:val="nil"/>
            </w:tcBorders>
          </w:tcPr>
          <w:p w:rsidR="00504868" w:rsidRPr="00504868" w:rsidRDefault="00504868" w:rsidP="00D12444">
            <w:pPr>
              <w:pStyle w:val="Tabletext"/>
              <w:tabs>
                <w:tab w:val="decimal" w:pos="709"/>
              </w:tabs>
            </w:pPr>
            <w:r w:rsidRPr="00504868">
              <w:t>2.76</w:t>
            </w:r>
          </w:p>
        </w:tc>
        <w:tc>
          <w:tcPr>
            <w:tcW w:w="1808" w:type="dxa"/>
            <w:tcBorders>
              <w:top w:val="single" w:sz="4" w:space="0" w:color="auto"/>
              <w:left w:val="nil"/>
              <w:bottom w:val="nil"/>
              <w:right w:val="nil"/>
            </w:tcBorders>
          </w:tcPr>
          <w:p w:rsidR="00504868" w:rsidRPr="00504868" w:rsidRDefault="00504868" w:rsidP="00323C31">
            <w:pPr>
              <w:pStyle w:val="Tabletext"/>
              <w:tabs>
                <w:tab w:val="decimal" w:pos="708"/>
              </w:tabs>
            </w:pPr>
            <w:r w:rsidRPr="00504868">
              <w:t>0</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5</w:t>
            </w:r>
          </w:p>
        </w:tc>
        <w:tc>
          <w:tcPr>
            <w:tcW w:w="1807" w:type="dxa"/>
            <w:tcBorders>
              <w:top w:val="nil"/>
              <w:bottom w:val="nil"/>
              <w:right w:val="nil"/>
            </w:tcBorders>
          </w:tcPr>
          <w:p w:rsidR="00504868" w:rsidRPr="00504868" w:rsidRDefault="00504868" w:rsidP="00D12444">
            <w:pPr>
              <w:pStyle w:val="Tabletext"/>
              <w:tabs>
                <w:tab w:val="decimal" w:pos="709"/>
              </w:tabs>
            </w:pPr>
            <w:r w:rsidRPr="00504868">
              <w:t>5.14</w:t>
            </w:r>
          </w:p>
        </w:tc>
        <w:tc>
          <w:tcPr>
            <w:tcW w:w="1807" w:type="dxa"/>
            <w:tcBorders>
              <w:top w:val="nil"/>
              <w:bottom w:val="nil"/>
              <w:right w:val="nil"/>
            </w:tcBorders>
          </w:tcPr>
          <w:p w:rsidR="00504868" w:rsidRPr="00504868" w:rsidRDefault="00504868" w:rsidP="00323C31">
            <w:pPr>
              <w:pStyle w:val="Tabletext"/>
              <w:tabs>
                <w:tab w:val="decimal" w:pos="624"/>
              </w:tabs>
            </w:pPr>
            <w:r w:rsidRPr="00504868">
              <w:t>.396</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2.76</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0</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10</w:t>
            </w:r>
          </w:p>
        </w:tc>
        <w:tc>
          <w:tcPr>
            <w:tcW w:w="1807" w:type="dxa"/>
            <w:tcBorders>
              <w:top w:val="nil"/>
              <w:bottom w:val="nil"/>
              <w:right w:val="nil"/>
            </w:tcBorders>
          </w:tcPr>
          <w:p w:rsidR="00504868" w:rsidRPr="00504868" w:rsidRDefault="00504868" w:rsidP="00D12444">
            <w:pPr>
              <w:pStyle w:val="Tabletext"/>
              <w:tabs>
                <w:tab w:val="decimal" w:pos="709"/>
              </w:tabs>
            </w:pPr>
            <w:r w:rsidRPr="00504868">
              <w:t>10.44</w:t>
            </w:r>
          </w:p>
        </w:tc>
        <w:tc>
          <w:tcPr>
            <w:tcW w:w="1807" w:type="dxa"/>
            <w:tcBorders>
              <w:top w:val="nil"/>
              <w:bottom w:val="nil"/>
              <w:right w:val="nil"/>
            </w:tcBorders>
          </w:tcPr>
          <w:p w:rsidR="00504868" w:rsidRPr="00504868" w:rsidRDefault="00504868" w:rsidP="00323C31">
            <w:pPr>
              <w:pStyle w:val="Tabletext"/>
              <w:tabs>
                <w:tab w:val="decimal" w:pos="624"/>
              </w:tabs>
            </w:pPr>
            <w:r w:rsidRPr="00504868">
              <w:t>.449</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7.85</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0.199</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25</w:t>
            </w:r>
          </w:p>
        </w:tc>
        <w:tc>
          <w:tcPr>
            <w:tcW w:w="1807" w:type="dxa"/>
            <w:tcBorders>
              <w:top w:val="nil"/>
              <w:bottom w:val="nil"/>
              <w:right w:val="nil"/>
            </w:tcBorders>
          </w:tcPr>
          <w:p w:rsidR="00504868" w:rsidRPr="00504868" w:rsidRDefault="00504868" w:rsidP="00D12444">
            <w:pPr>
              <w:pStyle w:val="Tabletext"/>
              <w:tabs>
                <w:tab w:val="decimal" w:pos="709"/>
              </w:tabs>
            </w:pPr>
            <w:r w:rsidRPr="00504868">
              <w:t>17.01</w:t>
            </w:r>
          </w:p>
        </w:tc>
        <w:tc>
          <w:tcPr>
            <w:tcW w:w="1807" w:type="dxa"/>
            <w:tcBorders>
              <w:top w:val="nil"/>
              <w:bottom w:val="nil"/>
              <w:right w:val="nil"/>
            </w:tcBorders>
          </w:tcPr>
          <w:p w:rsidR="00504868" w:rsidRPr="00504868" w:rsidRDefault="00504868" w:rsidP="00323C31">
            <w:pPr>
              <w:pStyle w:val="Tabletext"/>
              <w:tabs>
                <w:tab w:val="decimal" w:pos="624"/>
              </w:tabs>
            </w:pPr>
            <w:r w:rsidRPr="00504868">
              <w:t>.916</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9.01</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0.673</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50</w:t>
            </w:r>
          </w:p>
        </w:tc>
        <w:tc>
          <w:tcPr>
            <w:tcW w:w="1807" w:type="dxa"/>
            <w:tcBorders>
              <w:top w:val="nil"/>
              <w:bottom w:val="nil"/>
              <w:right w:val="nil"/>
            </w:tcBorders>
          </w:tcPr>
          <w:p w:rsidR="00504868" w:rsidRPr="00504868" w:rsidRDefault="00504868" w:rsidP="00D12444">
            <w:pPr>
              <w:pStyle w:val="Tabletext"/>
              <w:tabs>
                <w:tab w:val="decimal" w:pos="709"/>
              </w:tabs>
            </w:pPr>
            <w:r w:rsidRPr="00504868">
              <w:t>37.59</w:t>
            </w:r>
          </w:p>
        </w:tc>
        <w:tc>
          <w:tcPr>
            <w:tcW w:w="1807" w:type="dxa"/>
            <w:tcBorders>
              <w:top w:val="nil"/>
              <w:bottom w:val="nil"/>
              <w:right w:val="nil"/>
            </w:tcBorders>
          </w:tcPr>
          <w:p w:rsidR="00504868" w:rsidRPr="00504868" w:rsidRDefault="00504868" w:rsidP="00323C31">
            <w:pPr>
              <w:pStyle w:val="Tabletext"/>
              <w:tabs>
                <w:tab w:val="decimal" w:pos="624"/>
              </w:tabs>
            </w:pPr>
            <w:r w:rsidRPr="00504868">
              <w:t>2.36</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13.68</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1.41</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75</w:t>
            </w:r>
          </w:p>
        </w:tc>
        <w:tc>
          <w:tcPr>
            <w:tcW w:w="1807" w:type="dxa"/>
            <w:tcBorders>
              <w:top w:val="nil"/>
              <w:bottom w:val="nil"/>
              <w:right w:val="nil"/>
            </w:tcBorders>
          </w:tcPr>
          <w:p w:rsidR="00504868" w:rsidRPr="00504868" w:rsidRDefault="00504868" w:rsidP="00D12444">
            <w:pPr>
              <w:pStyle w:val="Tabletext"/>
              <w:tabs>
                <w:tab w:val="decimal" w:pos="709"/>
              </w:tabs>
            </w:pPr>
            <w:r w:rsidRPr="00504868">
              <w:t>47.67</w:t>
            </w:r>
          </w:p>
        </w:tc>
        <w:tc>
          <w:tcPr>
            <w:tcW w:w="1807" w:type="dxa"/>
            <w:tcBorders>
              <w:top w:val="nil"/>
              <w:bottom w:val="nil"/>
              <w:right w:val="nil"/>
            </w:tcBorders>
          </w:tcPr>
          <w:p w:rsidR="00504868" w:rsidRPr="00504868" w:rsidRDefault="00504868" w:rsidP="00323C31">
            <w:pPr>
              <w:pStyle w:val="Tabletext"/>
              <w:tabs>
                <w:tab w:val="decimal" w:pos="624"/>
              </w:tabs>
            </w:pPr>
            <w:r w:rsidRPr="00504868">
              <w:t>5.246</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30.54</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2.12</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90</w:t>
            </w:r>
          </w:p>
        </w:tc>
        <w:tc>
          <w:tcPr>
            <w:tcW w:w="1807" w:type="dxa"/>
            <w:tcBorders>
              <w:top w:val="nil"/>
              <w:bottom w:val="nil"/>
              <w:right w:val="nil"/>
            </w:tcBorders>
          </w:tcPr>
          <w:p w:rsidR="00504868" w:rsidRPr="00504868" w:rsidRDefault="00504868" w:rsidP="00D12444">
            <w:pPr>
              <w:pStyle w:val="Tabletext"/>
              <w:tabs>
                <w:tab w:val="decimal" w:pos="709"/>
              </w:tabs>
            </w:pPr>
            <w:r w:rsidRPr="00504868">
              <w:t>88.91</w:t>
            </w:r>
          </w:p>
        </w:tc>
        <w:tc>
          <w:tcPr>
            <w:tcW w:w="1807" w:type="dxa"/>
            <w:tcBorders>
              <w:top w:val="nil"/>
              <w:bottom w:val="nil"/>
              <w:right w:val="nil"/>
            </w:tcBorders>
          </w:tcPr>
          <w:p w:rsidR="00504868" w:rsidRPr="00504868" w:rsidRDefault="00504868" w:rsidP="00323C31">
            <w:pPr>
              <w:pStyle w:val="Tabletext"/>
              <w:tabs>
                <w:tab w:val="decimal" w:pos="624"/>
              </w:tabs>
            </w:pPr>
            <w:r w:rsidRPr="00504868">
              <w:t>9.415</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39.41</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2.55</w:t>
            </w:r>
          </w:p>
        </w:tc>
      </w:tr>
      <w:tr w:rsidR="00504868" w:rsidRPr="00504868" w:rsidTr="00D12444">
        <w:trPr>
          <w:cantSplit/>
        </w:trPr>
        <w:tc>
          <w:tcPr>
            <w:tcW w:w="1560" w:type="dxa"/>
            <w:tcBorders>
              <w:top w:val="nil"/>
              <w:bottom w:val="nil"/>
              <w:right w:val="nil"/>
            </w:tcBorders>
          </w:tcPr>
          <w:p w:rsidR="00504868" w:rsidRPr="00504868" w:rsidRDefault="006D16C7" w:rsidP="007D510F">
            <w:pPr>
              <w:pStyle w:val="Tabletext"/>
            </w:pPr>
            <w:r>
              <w:t>95</w:t>
            </w:r>
          </w:p>
        </w:tc>
        <w:tc>
          <w:tcPr>
            <w:tcW w:w="1807" w:type="dxa"/>
            <w:tcBorders>
              <w:top w:val="nil"/>
              <w:bottom w:val="nil"/>
              <w:right w:val="nil"/>
            </w:tcBorders>
          </w:tcPr>
          <w:p w:rsidR="00504868" w:rsidRPr="00504868" w:rsidRDefault="00504868" w:rsidP="00D12444">
            <w:pPr>
              <w:pStyle w:val="Tabletext"/>
              <w:tabs>
                <w:tab w:val="decimal" w:pos="709"/>
              </w:tabs>
            </w:pPr>
            <w:r w:rsidRPr="00504868">
              <w:t>106.14</w:t>
            </w:r>
          </w:p>
        </w:tc>
        <w:tc>
          <w:tcPr>
            <w:tcW w:w="1807" w:type="dxa"/>
            <w:tcBorders>
              <w:top w:val="nil"/>
              <w:bottom w:val="nil"/>
              <w:right w:val="nil"/>
            </w:tcBorders>
          </w:tcPr>
          <w:p w:rsidR="00504868" w:rsidRPr="00504868" w:rsidRDefault="00504868" w:rsidP="00323C31">
            <w:pPr>
              <w:pStyle w:val="Tabletext"/>
              <w:tabs>
                <w:tab w:val="decimal" w:pos="624"/>
              </w:tabs>
            </w:pPr>
            <w:r w:rsidRPr="00504868">
              <w:t>11.48</w:t>
            </w:r>
          </w:p>
        </w:tc>
        <w:tc>
          <w:tcPr>
            <w:tcW w:w="1807" w:type="dxa"/>
            <w:tcBorders>
              <w:top w:val="nil"/>
              <w:left w:val="nil"/>
              <w:bottom w:val="nil"/>
              <w:right w:val="nil"/>
            </w:tcBorders>
          </w:tcPr>
          <w:p w:rsidR="00504868" w:rsidRPr="00504868" w:rsidRDefault="00504868" w:rsidP="00D12444">
            <w:pPr>
              <w:pStyle w:val="Tabletext"/>
              <w:tabs>
                <w:tab w:val="decimal" w:pos="709"/>
              </w:tabs>
            </w:pPr>
            <w:r w:rsidRPr="00504868">
              <w:t>54.87</w:t>
            </w:r>
          </w:p>
        </w:tc>
        <w:tc>
          <w:tcPr>
            <w:tcW w:w="1808" w:type="dxa"/>
            <w:tcBorders>
              <w:top w:val="nil"/>
              <w:left w:val="nil"/>
              <w:bottom w:val="nil"/>
              <w:right w:val="nil"/>
            </w:tcBorders>
          </w:tcPr>
          <w:p w:rsidR="00504868" w:rsidRPr="00504868" w:rsidRDefault="00504868" w:rsidP="00323C31">
            <w:pPr>
              <w:pStyle w:val="Tabletext"/>
              <w:tabs>
                <w:tab w:val="decimal" w:pos="708"/>
              </w:tabs>
            </w:pPr>
            <w:r w:rsidRPr="00504868">
              <w:t>3.72</w:t>
            </w:r>
          </w:p>
        </w:tc>
      </w:tr>
      <w:tr w:rsidR="00504868" w:rsidRPr="00504868" w:rsidTr="00D12444">
        <w:trPr>
          <w:cantSplit/>
        </w:trPr>
        <w:tc>
          <w:tcPr>
            <w:tcW w:w="1560" w:type="dxa"/>
            <w:tcBorders>
              <w:top w:val="nil"/>
              <w:bottom w:val="single" w:sz="4" w:space="0" w:color="auto"/>
              <w:right w:val="nil"/>
            </w:tcBorders>
          </w:tcPr>
          <w:p w:rsidR="00504868" w:rsidRPr="00504868" w:rsidRDefault="006D16C7" w:rsidP="007D510F">
            <w:pPr>
              <w:pStyle w:val="Tabletext"/>
            </w:pPr>
            <w:r>
              <w:t>99</w:t>
            </w:r>
          </w:p>
        </w:tc>
        <w:tc>
          <w:tcPr>
            <w:tcW w:w="1807" w:type="dxa"/>
            <w:tcBorders>
              <w:top w:val="nil"/>
              <w:bottom w:val="single" w:sz="4" w:space="0" w:color="auto"/>
              <w:right w:val="nil"/>
            </w:tcBorders>
          </w:tcPr>
          <w:p w:rsidR="00504868" w:rsidRPr="00504868" w:rsidRDefault="00504868" w:rsidP="00D12444">
            <w:pPr>
              <w:pStyle w:val="Tabletext"/>
              <w:tabs>
                <w:tab w:val="decimal" w:pos="709"/>
              </w:tabs>
            </w:pPr>
            <w:r w:rsidRPr="00504868">
              <w:t>119.28</w:t>
            </w:r>
          </w:p>
        </w:tc>
        <w:tc>
          <w:tcPr>
            <w:tcW w:w="1807" w:type="dxa"/>
            <w:tcBorders>
              <w:top w:val="nil"/>
              <w:bottom w:val="single" w:sz="4" w:space="0" w:color="auto"/>
              <w:right w:val="nil"/>
            </w:tcBorders>
          </w:tcPr>
          <w:p w:rsidR="00504868" w:rsidRPr="00504868" w:rsidRDefault="00504868" w:rsidP="00323C31">
            <w:pPr>
              <w:pStyle w:val="Tabletext"/>
              <w:tabs>
                <w:tab w:val="decimal" w:pos="624"/>
              </w:tabs>
            </w:pPr>
            <w:r w:rsidRPr="00504868">
              <w:t>13.33</w:t>
            </w:r>
          </w:p>
        </w:tc>
        <w:tc>
          <w:tcPr>
            <w:tcW w:w="1807" w:type="dxa"/>
            <w:tcBorders>
              <w:top w:val="nil"/>
              <w:left w:val="nil"/>
              <w:bottom w:val="single" w:sz="4" w:space="0" w:color="auto"/>
              <w:right w:val="nil"/>
            </w:tcBorders>
          </w:tcPr>
          <w:p w:rsidR="00504868" w:rsidRPr="00504868" w:rsidRDefault="00504868" w:rsidP="00D12444">
            <w:pPr>
              <w:pStyle w:val="Tabletext"/>
              <w:tabs>
                <w:tab w:val="decimal" w:pos="709"/>
              </w:tabs>
            </w:pPr>
            <w:r w:rsidRPr="00504868">
              <w:t>54.87</w:t>
            </w:r>
          </w:p>
        </w:tc>
        <w:tc>
          <w:tcPr>
            <w:tcW w:w="1808" w:type="dxa"/>
            <w:tcBorders>
              <w:top w:val="nil"/>
              <w:left w:val="nil"/>
              <w:bottom w:val="single" w:sz="4" w:space="0" w:color="auto"/>
              <w:right w:val="nil"/>
            </w:tcBorders>
          </w:tcPr>
          <w:p w:rsidR="00504868" w:rsidRPr="00504868" w:rsidRDefault="00504868" w:rsidP="00323C31">
            <w:pPr>
              <w:pStyle w:val="Tabletext"/>
              <w:tabs>
                <w:tab w:val="decimal" w:pos="708"/>
              </w:tabs>
            </w:pPr>
            <w:r w:rsidRPr="00504868">
              <w:t>3.72</w:t>
            </w:r>
          </w:p>
        </w:tc>
      </w:tr>
    </w:tbl>
    <w:p w:rsidR="000813E3" w:rsidRPr="003538AC" w:rsidRDefault="003538AC" w:rsidP="00323C31">
      <w:pPr>
        <w:pStyle w:val="Source"/>
      </w:pPr>
      <w:r>
        <w:t>Note</w:t>
      </w:r>
      <w:r w:rsidR="00323C31">
        <w:t>:</w:t>
      </w:r>
      <w:r w:rsidR="000813E3" w:rsidRPr="003538AC">
        <w:tab/>
      </w:r>
      <w:r w:rsidR="00504868" w:rsidRPr="003538AC">
        <w:t>The standardised absolute bias is the absolute difference in means of the covariates of the treated and control groups standardised by dividing by the overall mean for each of the variables</w:t>
      </w:r>
      <w:r w:rsidR="000813E3" w:rsidRPr="003538AC">
        <w:t>.</w:t>
      </w:r>
    </w:p>
    <w:p w:rsidR="001D06CA" w:rsidRPr="002D1DA4" w:rsidRDefault="001D06CA" w:rsidP="00323C31">
      <w:pPr>
        <w:pStyle w:val="Textmorebefore"/>
      </w:pPr>
      <w:r w:rsidRPr="002D1DA4">
        <w:t>The estimation of treatment effects by matching methods is a non-standard process. The four most common methods are on</w:t>
      </w:r>
      <w:r w:rsidR="00215404">
        <w:t>e</w:t>
      </w:r>
      <w:r w:rsidRPr="002D1DA4">
        <w:t>-to-one matching, nearest neighbours, localised linear regression, radius and kernel matching. In turn, each of these methods can be implemented in several different ways. There is, however, little to guide the selection of a particular method for a specific application. In applied work therefore it is common to select one method on a priori grounds and, if deemed necessary, to investigate how robust the estimates are if one or more of the other methods are used.</w:t>
      </w:r>
      <w:r w:rsidR="00C158DE">
        <w:t xml:space="preserve"> </w:t>
      </w:r>
      <w:r w:rsidRPr="002D1DA4">
        <w:t xml:space="preserve">Here we simply report the results from using all of these six basic methods. A basic description of these methods can be found in </w:t>
      </w:r>
      <w:proofErr w:type="spellStart"/>
      <w:r w:rsidRPr="002D1DA4">
        <w:t>Caliendo</w:t>
      </w:r>
      <w:proofErr w:type="spellEnd"/>
      <w:r w:rsidRPr="002D1DA4">
        <w:t xml:space="preserve"> and </w:t>
      </w:r>
      <w:proofErr w:type="spellStart"/>
      <w:r w:rsidRPr="002D1DA4">
        <w:t>Kopeinig</w:t>
      </w:r>
      <w:proofErr w:type="spellEnd"/>
      <w:r w:rsidRPr="002D1DA4">
        <w:t xml:space="preserve"> (2008)</w:t>
      </w:r>
      <w:r>
        <w:t>.</w:t>
      </w:r>
      <w:r w:rsidRPr="002D1DA4">
        <w:t xml:space="preserve"> </w:t>
      </w:r>
    </w:p>
    <w:p w:rsidR="005D194F" w:rsidRPr="002D1DA4" w:rsidRDefault="005D194F" w:rsidP="007D510F">
      <w:pPr>
        <w:pStyle w:val="Text"/>
      </w:pPr>
      <w:r w:rsidRPr="002D1DA4">
        <w:t xml:space="preserve">Matching estimates of </w:t>
      </w:r>
      <w:r w:rsidR="00702D46">
        <w:t>treatment effects are given in t</w:t>
      </w:r>
      <w:r w:rsidRPr="002D1DA4">
        <w:t>able 7.</w:t>
      </w:r>
      <w:r w:rsidR="00C158DE">
        <w:t xml:space="preserve"> </w:t>
      </w:r>
      <w:r w:rsidRPr="002D1DA4">
        <w:t xml:space="preserve">The top half of the table </w:t>
      </w:r>
      <w:r w:rsidR="00FD16F4">
        <w:t>presents the results for not-at-</w:t>
      </w:r>
      <w:r w:rsidRPr="002D1DA4">
        <w:t>school students</w:t>
      </w:r>
      <w:r w:rsidR="00FD16F4">
        <w:t>,</w:t>
      </w:r>
      <w:r w:rsidRPr="002D1DA4">
        <w:t xml:space="preserve"> using six different methods of matching.</w:t>
      </w:r>
      <w:r w:rsidR="00C158DE">
        <w:t xml:space="preserve"> </w:t>
      </w:r>
      <w:r w:rsidRPr="002D1DA4">
        <w:t>The different methods all match the treated with controls equally well using the mean standardised bias as the measure of matching quality.</w:t>
      </w:r>
      <w:r w:rsidR="00C158DE">
        <w:t xml:space="preserve"> </w:t>
      </w:r>
      <w:r w:rsidRPr="002D1DA4">
        <w:t>All methods also yield similar estimates of the treatment effect</w:t>
      </w:r>
      <w:r w:rsidR="00FD16F4">
        <w:t>,</w:t>
      </w:r>
      <w:r w:rsidR="009358AC">
        <w:t xml:space="preserve"> of about 11</w:t>
      </w:r>
      <w:r w:rsidRPr="002D1DA4">
        <w:t xml:space="preserve"> percentage points. In other words, by doing a course as a pre-apprenticeship activity</w:t>
      </w:r>
      <w:r w:rsidR="00702D46">
        <w:t>,</w:t>
      </w:r>
      <w:r w:rsidRPr="002D1DA4">
        <w:t xml:space="preserve"> a student would have increase</w:t>
      </w:r>
      <w:r w:rsidR="00702D46">
        <w:t>d</w:t>
      </w:r>
      <w:r w:rsidRPr="002D1DA4">
        <w:t xml:space="preserve"> his</w:t>
      </w:r>
      <w:r w:rsidR="00853266">
        <w:t>/her</w:t>
      </w:r>
      <w:r w:rsidRPr="002D1DA4">
        <w:t xml:space="preserve"> chances of o</w:t>
      </w:r>
      <w:r w:rsidR="009358AC">
        <w:t>btaining an apprenticeship by 11 percentage point, to 23</w:t>
      </w:r>
      <w:r w:rsidR="00C158DE">
        <w:t>%</w:t>
      </w:r>
      <w:r w:rsidRPr="002D1DA4">
        <w:t xml:space="preserve">, compared </w:t>
      </w:r>
      <w:r w:rsidR="00702D46">
        <w:t>with</w:t>
      </w:r>
      <w:r w:rsidRPr="002D1DA4">
        <w:t xml:space="preserve"> doing the same course for another reason. This effect is much smaller than the unmatched mean difference between </w:t>
      </w:r>
      <w:r w:rsidR="00702D46">
        <w:t>the two groups given in t</w:t>
      </w:r>
      <w:r w:rsidR="00B801CF">
        <w:t>able 3</w:t>
      </w:r>
      <w:r w:rsidR="00702D46">
        <w:t>. It implies that about one-</w:t>
      </w:r>
      <w:r w:rsidRPr="002D1DA4">
        <w:t>half of the difference is due</w:t>
      </w:r>
      <w:r w:rsidR="00B761EA">
        <w:t xml:space="preserve"> to</w:t>
      </w:r>
      <w:r w:rsidRPr="002D1DA4">
        <w:t xml:space="preserve"> the differences in the personal characteristics. </w:t>
      </w:r>
    </w:p>
    <w:p w:rsidR="005D194F" w:rsidRDefault="005D194F" w:rsidP="007D510F">
      <w:pPr>
        <w:pStyle w:val="Text"/>
      </w:pPr>
      <w:r w:rsidRPr="002D1DA4">
        <w:t>For students still at school there are much larger differences between the methods. While there are no compelling reasons for why one estimate should be any</w:t>
      </w:r>
      <w:r w:rsidR="00B761EA">
        <w:t xml:space="preserve"> better than another, the well-</w:t>
      </w:r>
      <w:r w:rsidRPr="002D1DA4">
        <w:t>balanced treatment and control groups used in the calliper estimates (</w:t>
      </w:r>
      <w:r w:rsidR="009358AC">
        <w:t>with a standardised bias of 0.61</w:t>
      </w:r>
      <w:r w:rsidR="00C158DE">
        <w:t>%</w:t>
      </w:r>
      <w:r w:rsidRPr="002D1DA4">
        <w:t>) suggest that the lo</w:t>
      </w:r>
      <w:r w:rsidR="004E4593">
        <w:t>wer estimates, in the six to nine-</w:t>
      </w:r>
      <w:r w:rsidRPr="002D1DA4">
        <w:t>percentage point range, are more credible than the higher estimates.</w:t>
      </w:r>
      <w:r w:rsidR="00C158DE">
        <w:t xml:space="preserve"> </w:t>
      </w:r>
      <w:r w:rsidRPr="002D1DA4">
        <w:t>We note, however, that although t</w:t>
      </w:r>
      <w:r w:rsidR="00FD16F4">
        <w:t>he effect is smaller for the at-</w:t>
      </w:r>
      <w:r w:rsidRPr="002D1DA4">
        <w:t>school students, the proportionate effect is of the same order of magnitude for both groups.</w:t>
      </w:r>
    </w:p>
    <w:p w:rsidR="00727B95" w:rsidRDefault="00727B95">
      <w:pPr>
        <w:spacing w:before="0" w:line="240" w:lineRule="auto"/>
        <w:rPr>
          <w:rFonts w:ascii="Tahoma" w:hAnsi="Tahoma"/>
          <w:b/>
          <w:sz w:val="17"/>
        </w:rPr>
      </w:pPr>
      <w:r>
        <w:br w:type="page"/>
      </w:r>
    </w:p>
    <w:p w:rsidR="005D194F" w:rsidRDefault="005D194F" w:rsidP="005D194F">
      <w:pPr>
        <w:pStyle w:val="tabletitle"/>
      </w:pPr>
      <w:bookmarkStart w:id="67" w:name="_Toc331077005"/>
      <w:bookmarkStart w:id="68" w:name="_Toc337199623"/>
      <w:r>
        <w:lastRenderedPageBreak/>
        <w:t>Table 7</w:t>
      </w:r>
      <w:r>
        <w:tab/>
      </w:r>
      <w:r w:rsidR="004D7CE2">
        <w:t>E</w:t>
      </w:r>
      <w:r w:rsidR="00527097">
        <w:t>stimates of the average effect of treatment on the treated</w:t>
      </w:r>
      <w:bookmarkEnd w:id="67"/>
      <w:bookmarkEnd w:id="68"/>
    </w:p>
    <w:tbl>
      <w:tblPr>
        <w:tblW w:w="8789" w:type="dxa"/>
        <w:tblInd w:w="108" w:type="dxa"/>
        <w:tblBorders>
          <w:top w:val="single" w:sz="4" w:space="0" w:color="auto"/>
          <w:bottom w:val="single" w:sz="4" w:space="0" w:color="auto"/>
        </w:tblBorders>
        <w:tblLayout w:type="fixed"/>
        <w:tblLook w:val="0000"/>
      </w:tblPr>
      <w:tblGrid>
        <w:gridCol w:w="1701"/>
        <w:gridCol w:w="1772"/>
        <w:gridCol w:w="1772"/>
        <w:gridCol w:w="1772"/>
        <w:gridCol w:w="1772"/>
      </w:tblGrid>
      <w:tr w:rsidR="0098262C" w:rsidRPr="00323C31" w:rsidTr="00992DCC">
        <w:trPr>
          <w:cantSplit/>
        </w:trPr>
        <w:tc>
          <w:tcPr>
            <w:tcW w:w="1701" w:type="dxa"/>
            <w:tcBorders>
              <w:top w:val="single" w:sz="4" w:space="0" w:color="auto"/>
              <w:bottom w:val="nil"/>
              <w:right w:val="nil"/>
            </w:tcBorders>
          </w:tcPr>
          <w:p w:rsidR="0098262C" w:rsidRPr="00323C31" w:rsidRDefault="0098262C" w:rsidP="00323C31">
            <w:pPr>
              <w:pStyle w:val="Tablehead1"/>
            </w:pPr>
          </w:p>
        </w:tc>
        <w:tc>
          <w:tcPr>
            <w:tcW w:w="7088" w:type="dxa"/>
            <w:gridSpan w:val="4"/>
            <w:tcBorders>
              <w:top w:val="single" w:sz="4" w:space="0" w:color="auto"/>
              <w:bottom w:val="nil"/>
              <w:right w:val="nil"/>
            </w:tcBorders>
          </w:tcPr>
          <w:p w:rsidR="0098262C" w:rsidRPr="00323C31" w:rsidRDefault="0098262C" w:rsidP="00323C31">
            <w:pPr>
              <w:pStyle w:val="Tablehead1"/>
              <w:jc w:val="center"/>
            </w:pPr>
            <w:r w:rsidRPr="00323C31">
              <w:t>Means</w:t>
            </w:r>
          </w:p>
        </w:tc>
      </w:tr>
      <w:tr w:rsidR="005D194F" w:rsidTr="00323C31">
        <w:trPr>
          <w:cantSplit/>
        </w:trPr>
        <w:tc>
          <w:tcPr>
            <w:tcW w:w="1701" w:type="dxa"/>
            <w:tcBorders>
              <w:top w:val="nil"/>
              <w:bottom w:val="nil"/>
              <w:right w:val="nil"/>
            </w:tcBorders>
          </w:tcPr>
          <w:p w:rsidR="005D194F" w:rsidRPr="00527097" w:rsidRDefault="00527097" w:rsidP="007D510F">
            <w:pPr>
              <w:pStyle w:val="Tablehead2"/>
            </w:pPr>
            <w:r w:rsidRPr="00527097">
              <w:t xml:space="preserve">Not at school </w:t>
            </w:r>
            <w:r w:rsidR="00323C31">
              <w:br/>
            </w:r>
            <w:r w:rsidRPr="00527097">
              <w:t>(N</w:t>
            </w:r>
            <w:r w:rsidR="004E4593">
              <w:t xml:space="preserve"> </w:t>
            </w:r>
            <w:r w:rsidRPr="00527097">
              <w:t>=</w:t>
            </w:r>
            <w:r w:rsidR="004E4593">
              <w:t xml:space="preserve"> </w:t>
            </w:r>
            <w:r w:rsidRPr="00527097">
              <w:t>5121)</w:t>
            </w:r>
          </w:p>
        </w:tc>
        <w:tc>
          <w:tcPr>
            <w:tcW w:w="1772" w:type="dxa"/>
            <w:tcBorders>
              <w:top w:val="nil"/>
              <w:bottom w:val="nil"/>
              <w:right w:val="nil"/>
            </w:tcBorders>
          </w:tcPr>
          <w:p w:rsidR="005D194F" w:rsidRPr="00504868" w:rsidRDefault="00527097" w:rsidP="00323C31">
            <w:pPr>
              <w:pStyle w:val="Tablehead2"/>
              <w:jc w:val="center"/>
            </w:pPr>
            <w:r>
              <w:t>Treated</w:t>
            </w:r>
          </w:p>
        </w:tc>
        <w:tc>
          <w:tcPr>
            <w:tcW w:w="1772" w:type="dxa"/>
            <w:tcBorders>
              <w:top w:val="nil"/>
              <w:bottom w:val="nil"/>
              <w:right w:val="nil"/>
            </w:tcBorders>
          </w:tcPr>
          <w:p w:rsidR="005D194F" w:rsidRPr="00504868" w:rsidRDefault="00527097" w:rsidP="00323C31">
            <w:pPr>
              <w:pStyle w:val="Tablehead2"/>
              <w:jc w:val="center"/>
            </w:pPr>
            <w:r>
              <w:t>Controls</w:t>
            </w:r>
          </w:p>
        </w:tc>
        <w:tc>
          <w:tcPr>
            <w:tcW w:w="1772" w:type="dxa"/>
            <w:tcBorders>
              <w:top w:val="nil"/>
              <w:left w:val="nil"/>
              <w:bottom w:val="nil"/>
              <w:right w:val="nil"/>
            </w:tcBorders>
          </w:tcPr>
          <w:p w:rsidR="005D194F" w:rsidRPr="00504868" w:rsidRDefault="00527097" w:rsidP="00323C31">
            <w:pPr>
              <w:pStyle w:val="Tablehead2"/>
              <w:jc w:val="center"/>
            </w:pPr>
            <w:r>
              <w:t>Difference</w:t>
            </w:r>
          </w:p>
        </w:tc>
        <w:tc>
          <w:tcPr>
            <w:tcW w:w="1772" w:type="dxa"/>
            <w:tcBorders>
              <w:top w:val="nil"/>
              <w:left w:val="nil"/>
              <w:bottom w:val="nil"/>
              <w:right w:val="nil"/>
            </w:tcBorders>
          </w:tcPr>
          <w:p w:rsidR="005D194F" w:rsidRPr="00504868" w:rsidRDefault="00BD357A" w:rsidP="00FD16F4">
            <w:pPr>
              <w:pStyle w:val="Tablehead2"/>
              <w:jc w:val="center"/>
            </w:pPr>
            <w:r>
              <w:t>Median standardised b</w:t>
            </w:r>
            <w:r w:rsidR="00527097">
              <w:t>ias before matching</w:t>
            </w:r>
          </w:p>
        </w:tc>
      </w:tr>
      <w:tr w:rsidR="005D194F" w:rsidRPr="00504868" w:rsidTr="00323C31">
        <w:trPr>
          <w:cantSplit/>
        </w:trPr>
        <w:tc>
          <w:tcPr>
            <w:tcW w:w="1701" w:type="dxa"/>
            <w:tcBorders>
              <w:top w:val="nil"/>
              <w:bottom w:val="single" w:sz="4" w:space="0" w:color="auto"/>
              <w:right w:val="nil"/>
            </w:tcBorders>
          </w:tcPr>
          <w:p w:rsidR="005D194F" w:rsidRPr="00527097" w:rsidRDefault="00527097" w:rsidP="007D510F">
            <w:pPr>
              <w:pStyle w:val="Tablehead3"/>
            </w:pPr>
            <w:r>
              <w:t>Matching method</w:t>
            </w:r>
          </w:p>
        </w:tc>
        <w:tc>
          <w:tcPr>
            <w:tcW w:w="1772" w:type="dxa"/>
            <w:tcBorders>
              <w:top w:val="nil"/>
              <w:bottom w:val="single" w:sz="4" w:space="0" w:color="auto"/>
              <w:right w:val="nil"/>
            </w:tcBorders>
          </w:tcPr>
          <w:p w:rsidR="005D194F" w:rsidRPr="00504868" w:rsidRDefault="00527097" w:rsidP="00323C31">
            <w:pPr>
              <w:pStyle w:val="Tablehead3"/>
              <w:jc w:val="center"/>
            </w:pPr>
            <w:r>
              <w:t>ATT</w:t>
            </w:r>
          </w:p>
        </w:tc>
        <w:tc>
          <w:tcPr>
            <w:tcW w:w="1772" w:type="dxa"/>
            <w:tcBorders>
              <w:top w:val="nil"/>
              <w:bottom w:val="single" w:sz="4" w:space="0" w:color="auto"/>
              <w:right w:val="nil"/>
            </w:tcBorders>
          </w:tcPr>
          <w:p w:rsidR="005D194F" w:rsidRPr="00504868" w:rsidRDefault="00527097" w:rsidP="00323C31">
            <w:pPr>
              <w:pStyle w:val="Tablehead3"/>
              <w:jc w:val="center"/>
            </w:pPr>
            <w:r>
              <w:t>Standard error</w:t>
            </w:r>
          </w:p>
        </w:tc>
        <w:tc>
          <w:tcPr>
            <w:tcW w:w="1772" w:type="dxa"/>
            <w:tcBorders>
              <w:top w:val="nil"/>
              <w:left w:val="nil"/>
              <w:bottom w:val="single" w:sz="4" w:space="0" w:color="auto"/>
              <w:right w:val="nil"/>
            </w:tcBorders>
          </w:tcPr>
          <w:p w:rsidR="005D194F" w:rsidRPr="00504868" w:rsidRDefault="00527097" w:rsidP="00323C31">
            <w:pPr>
              <w:pStyle w:val="Tablehead3"/>
              <w:jc w:val="center"/>
            </w:pPr>
            <w:r>
              <w:t xml:space="preserve">Off common </w:t>
            </w:r>
            <w:r w:rsidR="00323C31">
              <w:br/>
            </w:r>
            <w:r>
              <w:t>support</w:t>
            </w:r>
          </w:p>
        </w:tc>
        <w:tc>
          <w:tcPr>
            <w:tcW w:w="1772" w:type="dxa"/>
            <w:tcBorders>
              <w:top w:val="nil"/>
              <w:left w:val="nil"/>
              <w:bottom w:val="single" w:sz="4" w:space="0" w:color="auto"/>
              <w:right w:val="nil"/>
            </w:tcBorders>
          </w:tcPr>
          <w:p w:rsidR="005D194F" w:rsidRPr="00504868" w:rsidRDefault="00527097" w:rsidP="00FD16F4">
            <w:pPr>
              <w:pStyle w:val="Tablehead3"/>
              <w:jc w:val="center"/>
            </w:pPr>
            <w:r>
              <w:t>Median stand</w:t>
            </w:r>
            <w:r w:rsidR="00BD357A">
              <w:t>ardised</w:t>
            </w:r>
            <w:r>
              <w:t xml:space="preserve"> </w:t>
            </w:r>
            <w:r w:rsidR="00BD357A">
              <w:t>b</w:t>
            </w:r>
            <w:r>
              <w:t>ias after matching</w:t>
            </w:r>
          </w:p>
        </w:tc>
      </w:tr>
      <w:tr w:rsidR="00527097" w:rsidRPr="00504868" w:rsidTr="00323C31">
        <w:trPr>
          <w:cantSplit/>
        </w:trPr>
        <w:tc>
          <w:tcPr>
            <w:tcW w:w="1701" w:type="dxa"/>
            <w:tcBorders>
              <w:top w:val="single" w:sz="4" w:space="0" w:color="auto"/>
              <w:bottom w:val="nil"/>
              <w:right w:val="nil"/>
            </w:tcBorders>
          </w:tcPr>
          <w:p w:rsidR="00527097" w:rsidRPr="00527097" w:rsidRDefault="00527097" w:rsidP="007D510F">
            <w:pPr>
              <w:pStyle w:val="Tabletext"/>
            </w:pPr>
            <w:r w:rsidRPr="00527097">
              <w:t>One-to one</w:t>
            </w:r>
          </w:p>
        </w:tc>
        <w:tc>
          <w:tcPr>
            <w:tcW w:w="1772" w:type="dxa"/>
            <w:tcBorders>
              <w:top w:val="single" w:sz="4" w:space="0" w:color="auto"/>
              <w:bottom w:val="nil"/>
              <w:right w:val="nil"/>
            </w:tcBorders>
          </w:tcPr>
          <w:p w:rsidR="00527097" w:rsidRPr="00527097" w:rsidRDefault="00527097" w:rsidP="00323C31">
            <w:pPr>
              <w:pStyle w:val="Tabletext"/>
              <w:tabs>
                <w:tab w:val="decimal" w:pos="680"/>
              </w:tabs>
            </w:pPr>
            <w:r w:rsidRPr="00527097">
              <w:t>0.105</w:t>
            </w:r>
          </w:p>
        </w:tc>
        <w:tc>
          <w:tcPr>
            <w:tcW w:w="1772" w:type="dxa"/>
            <w:tcBorders>
              <w:top w:val="single" w:sz="4" w:space="0" w:color="auto"/>
              <w:bottom w:val="nil"/>
              <w:right w:val="nil"/>
            </w:tcBorders>
          </w:tcPr>
          <w:p w:rsidR="00527097" w:rsidRPr="00527097" w:rsidRDefault="00527097" w:rsidP="00323C31">
            <w:pPr>
              <w:pStyle w:val="Tabletext"/>
              <w:tabs>
                <w:tab w:val="decimal" w:pos="680"/>
              </w:tabs>
            </w:pPr>
            <w:r w:rsidRPr="00527097">
              <w:t>0.033</w:t>
            </w:r>
          </w:p>
        </w:tc>
        <w:tc>
          <w:tcPr>
            <w:tcW w:w="1772" w:type="dxa"/>
            <w:tcBorders>
              <w:top w:val="single" w:sz="4" w:space="0" w:color="auto"/>
              <w:left w:val="nil"/>
              <w:bottom w:val="nil"/>
              <w:right w:val="nil"/>
            </w:tcBorders>
          </w:tcPr>
          <w:p w:rsidR="00527097" w:rsidRPr="00527097" w:rsidRDefault="00527097" w:rsidP="00323C31">
            <w:pPr>
              <w:pStyle w:val="Tabletext"/>
              <w:ind w:left="454"/>
            </w:pPr>
            <w:r w:rsidRPr="00527097">
              <w:t>2 treated</w:t>
            </w:r>
          </w:p>
        </w:tc>
        <w:tc>
          <w:tcPr>
            <w:tcW w:w="1772" w:type="dxa"/>
            <w:tcBorders>
              <w:top w:val="single" w:sz="4" w:space="0" w:color="auto"/>
              <w:left w:val="nil"/>
              <w:bottom w:val="nil"/>
              <w:right w:val="nil"/>
            </w:tcBorders>
          </w:tcPr>
          <w:p w:rsidR="00527097" w:rsidRPr="00527097" w:rsidRDefault="00527097" w:rsidP="00323C31">
            <w:pPr>
              <w:pStyle w:val="Tabletext"/>
              <w:tabs>
                <w:tab w:val="decimal" w:pos="737"/>
              </w:tabs>
            </w:pPr>
            <w:r w:rsidRPr="00527097">
              <w:t>2.36</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 xml:space="preserve">Nearest neighbour </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0.096</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0.018</w:t>
            </w:r>
          </w:p>
        </w:tc>
        <w:tc>
          <w:tcPr>
            <w:tcW w:w="1772" w:type="dxa"/>
            <w:tcBorders>
              <w:top w:val="nil"/>
              <w:left w:val="nil"/>
              <w:bottom w:val="nil"/>
              <w:right w:val="nil"/>
            </w:tcBorders>
          </w:tcPr>
          <w:p w:rsidR="00527097" w:rsidRPr="00527097" w:rsidRDefault="00527097" w:rsidP="00323C31">
            <w:pPr>
              <w:pStyle w:val="Tabletext"/>
              <w:ind w:left="454"/>
            </w:pPr>
            <w:r w:rsidRPr="00527097">
              <w:t>2 treated</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2.42</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Local linear regression</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0.129</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0.013</w:t>
            </w:r>
          </w:p>
        </w:tc>
        <w:tc>
          <w:tcPr>
            <w:tcW w:w="1772" w:type="dxa"/>
            <w:tcBorders>
              <w:top w:val="nil"/>
              <w:left w:val="nil"/>
              <w:bottom w:val="nil"/>
              <w:right w:val="nil"/>
            </w:tcBorders>
          </w:tcPr>
          <w:p w:rsidR="00527097" w:rsidRPr="00527097" w:rsidRDefault="00527097" w:rsidP="00323C31">
            <w:pPr>
              <w:pStyle w:val="Tabletext"/>
              <w:ind w:left="454"/>
            </w:pPr>
            <w:r w:rsidRPr="00527097">
              <w:t>2 treated</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2.42</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Kernel</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0.110</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0.011</w:t>
            </w:r>
          </w:p>
        </w:tc>
        <w:tc>
          <w:tcPr>
            <w:tcW w:w="1772" w:type="dxa"/>
            <w:tcBorders>
              <w:top w:val="nil"/>
              <w:left w:val="nil"/>
              <w:bottom w:val="nil"/>
              <w:right w:val="nil"/>
            </w:tcBorders>
          </w:tcPr>
          <w:p w:rsidR="00527097" w:rsidRPr="00527097" w:rsidRDefault="00527097" w:rsidP="00323C31">
            <w:pPr>
              <w:pStyle w:val="Tabletext"/>
              <w:ind w:left="454"/>
            </w:pPr>
            <w:r w:rsidRPr="00527097">
              <w:t>2 treated</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2.75</w:t>
            </w:r>
          </w:p>
        </w:tc>
      </w:tr>
      <w:tr w:rsidR="00527097" w:rsidRPr="00504868" w:rsidTr="00323C31">
        <w:trPr>
          <w:cantSplit/>
        </w:trPr>
        <w:tc>
          <w:tcPr>
            <w:tcW w:w="1701" w:type="dxa"/>
            <w:tcBorders>
              <w:top w:val="nil"/>
              <w:bottom w:val="single" w:sz="4" w:space="0" w:color="auto"/>
              <w:right w:val="nil"/>
            </w:tcBorders>
          </w:tcPr>
          <w:p w:rsidR="00527097" w:rsidRPr="00527097" w:rsidRDefault="00527097" w:rsidP="007D510F">
            <w:pPr>
              <w:pStyle w:val="Tabletext"/>
            </w:pPr>
            <w:r w:rsidRPr="00527097">
              <w:t>Calliper</w:t>
            </w:r>
          </w:p>
        </w:tc>
        <w:tc>
          <w:tcPr>
            <w:tcW w:w="1772" w:type="dxa"/>
            <w:tcBorders>
              <w:top w:val="nil"/>
              <w:bottom w:val="single" w:sz="4" w:space="0" w:color="auto"/>
              <w:right w:val="nil"/>
            </w:tcBorders>
          </w:tcPr>
          <w:p w:rsidR="00527097" w:rsidRPr="00527097" w:rsidRDefault="00527097" w:rsidP="00323C31">
            <w:pPr>
              <w:pStyle w:val="Tabletext"/>
              <w:tabs>
                <w:tab w:val="decimal" w:pos="680"/>
              </w:tabs>
            </w:pPr>
            <w:r w:rsidRPr="00527097">
              <w:t>0.106</w:t>
            </w:r>
          </w:p>
        </w:tc>
        <w:tc>
          <w:tcPr>
            <w:tcW w:w="1772" w:type="dxa"/>
            <w:tcBorders>
              <w:top w:val="nil"/>
              <w:bottom w:val="single" w:sz="4" w:space="0" w:color="auto"/>
              <w:right w:val="nil"/>
            </w:tcBorders>
          </w:tcPr>
          <w:p w:rsidR="00527097" w:rsidRPr="00527097" w:rsidRDefault="00527097" w:rsidP="00323C31">
            <w:pPr>
              <w:pStyle w:val="Tabletext"/>
              <w:tabs>
                <w:tab w:val="decimal" w:pos="680"/>
              </w:tabs>
            </w:pPr>
            <w:r w:rsidRPr="00527097">
              <w:t>0.012</w:t>
            </w:r>
          </w:p>
        </w:tc>
        <w:tc>
          <w:tcPr>
            <w:tcW w:w="1772" w:type="dxa"/>
            <w:tcBorders>
              <w:top w:val="nil"/>
              <w:left w:val="nil"/>
              <w:bottom w:val="single" w:sz="4" w:space="0" w:color="auto"/>
              <w:right w:val="nil"/>
            </w:tcBorders>
          </w:tcPr>
          <w:p w:rsidR="00527097" w:rsidRPr="00527097" w:rsidRDefault="00F1570C" w:rsidP="00323C31">
            <w:pPr>
              <w:pStyle w:val="Tabletext"/>
              <w:ind w:left="454"/>
            </w:pPr>
            <w:r>
              <w:t>8</w:t>
            </w:r>
            <w:r w:rsidR="00527097" w:rsidRPr="00527097">
              <w:t>2 treated</w:t>
            </w:r>
          </w:p>
        </w:tc>
        <w:tc>
          <w:tcPr>
            <w:tcW w:w="1772" w:type="dxa"/>
            <w:tcBorders>
              <w:top w:val="nil"/>
              <w:left w:val="nil"/>
              <w:bottom w:val="single" w:sz="4" w:space="0" w:color="auto"/>
              <w:right w:val="nil"/>
            </w:tcBorders>
          </w:tcPr>
          <w:p w:rsidR="00527097" w:rsidRPr="00527097" w:rsidRDefault="00527097" w:rsidP="00323C31">
            <w:pPr>
              <w:pStyle w:val="Tabletext"/>
              <w:tabs>
                <w:tab w:val="decimal" w:pos="737"/>
              </w:tabs>
            </w:pPr>
            <w:r w:rsidRPr="00527097">
              <w:t>1.51</w:t>
            </w:r>
          </w:p>
        </w:tc>
      </w:tr>
      <w:tr w:rsidR="00323C31" w:rsidRPr="00504868" w:rsidTr="00323C31">
        <w:trPr>
          <w:cantSplit/>
        </w:trPr>
        <w:tc>
          <w:tcPr>
            <w:tcW w:w="1701" w:type="dxa"/>
            <w:tcBorders>
              <w:top w:val="single" w:sz="4" w:space="0" w:color="auto"/>
              <w:bottom w:val="nil"/>
              <w:right w:val="nil"/>
            </w:tcBorders>
          </w:tcPr>
          <w:p w:rsidR="00323C31" w:rsidRPr="00527097" w:rsidRDefault="00323C31" w:rsidP="007D510F">
            <w:pPr>
              <w:pStyle w:val="Tablehead2"/>
            </w:pPr>
          </w:p>
        </w:tc>
        <w:tc>
          <w:tcPr>
            <w:tcW w:w="1772" w:type="dxa"/>
            <w:tcBorders>
              <w:top w:val="single" w:sz="4" w:space="0" w:color="auto"/>
              <w:bottom w:val="nil"/>
              <w:right w:val="nil"/>
            </w:tcBorders>
          </w:tcPr>
          <w:p w:rsidR="00323C31" w:rsidRPr="00527097" w:rsidRDefault="00323C31" w:rsidP="007D510F">
            <w:pPr>
              <w:pStyle w:val="Tablehead2"/>
            </w:pPr>
          </w:p>
        </w:tc>
        <w:tc>
          <w:tcPr>
            <w:tcW w:w="1772" w:type="dxa"/>
            <w:tcBorders>
              <w:top w:val="single" w:sz="4" w:space="0" w:color="auto"/>
              <w:bottom w:val="nil"/>
              <w:right w:val="nil"/>
            </w:tcBorders>
          </w:tcPr>
          <w:p w:rsidR="00323C31" w:rsidRPr="00527097" w:rsidRDefault="00323C31" w:rsidP="007D510F">
            <w:pPr>
              <w:pStyle w:val="Tablehead2"/>
            </w:pPr>
          </w:p>
        </w:tc>
        <w:tc>
          <w:tcPr>
            <w:tcW w:w="1772" w:type="dxa"/>
            <w:tcBorders>
              <w:top w:val="single" w:sz="4" w:space="0" w:color="auto"/>
              <w:left w:val="nil"/>
              <w:bottom w:val="nil"/>
              <w:right w:val="nil"/>
            </w:tcBorders>
          </w:tcPr>
          <w:p w:rsidR="00323C31" w:rsidRPr="00527097" w:rsidRDefault="00323C31" w:rsidP="007D510F">
            <w:pPr>
              <w:pStyle w:val="Tablehead2"/>
            </w:pPr>
          </w:p>
        </w:tc>
        <w:tc>
          <w:tcPr>
            <w:tcW w:w="1772" w:type="dxa"/>
            <w:tcBorders>
              <w:top w:val="single" w:sz="4" w:space="0" w:color="auto"/>
              <w:left w:val="nil"/>
              <w:bottom w:val="nil"/>
              <w:right w:val="nil"/>
            </w:tcBorders>
          </w:tcPr>
          <w:p w:rsidR="00323C31" w:rsidRPr="00527097" w:rsidRDefault="00323C31" w:rsidP="007D510F">
            <w:pPr>
              <w:pStyle w:val="Tablehead2"/>
            </w:pPr>
          </w:p>
        </w:tc>
      </w:tr>
      <w:tr w:rsidR="00527097" w:rsidRPr="00504868" w:rsidTr="00323C31">
        <w:trPr>
          <w:cantSplit/>
        </w:trPr>
        <w:tc>
          <w:tcPr>
            <w:tcW w:w="1701" w:type="dxa"/>
            <w:tcBorders>
              <w:top w:val="nil"/>
              <w:bottom w:val="nil"/>
              <w:right w:val="nil"/>
            </w:tcBorders>
          </w:tcPr>
          <w:p w:rsidR="00527097" w:rsidRPr="00527097" w:rsidRDefault="00527097" w:rsidP="00323C31">
            <w:pPr>
              <w:pStyle w:val="Tablehead2"/>
            </w:pPr>
            <w:r w:rsidRPr="00527097">
              <w:t>At school</w:t>
            </w:r>
            <w:r w:rsidR="00323C31">
              <w:br/>
            </w:r>
            <w:r w:rsidRPr="00527097">
              <w:t>(N</w:t>
            </w:r>
            <w:r w:rsidR="008C44F5">
              <w:t xml:space="preserve"> </w:t>
            </w:r>
            <w:r w:rsidRPr="00527097">
              <w:t>=</w:t>
            </w:r>
            <w:r w:rsidR="008C44F5">
              <w:t xml:space="preserve"> </w:t>
            </w:r>
            <w:r w:rsidRPr="00527097">
              <w:t>3519)</w:t>
            </w:r>
          </w:p>
        </w:tc>
        <w:tc>
          <w:tcPr>
            <w:tcW w:w="1772" w:type="dxa"/>
            <w:tcBorders>
              <w:top w:val="nil"/>
              <w:bottom w:val="nil"/>
              <w:right w:val="nil"/>
            </w:tcBorders>
          </w:tcPr>
          <w:p w:rsidR="00527097" w:rsidRPr="00527097" w:rsidRDefault="00527097" w:rsidP="00323C31">
            <w:pPr>
              <w:pStyle w:val="Tablehead2"/>
              <w:jc w:val="center"/>
            </w:pPr>
            <w:r w:rsidRPr="00527097">
              <w:t>Treated</w:t>
            </w:r>
          </w:p>
        </w:tc>
        <w:tc>
          <w:tcPr>
            <w:tcW w:w="1772" w:type="dxa"/>
            <w:tcBorders>
              <w:top w:val="nil"/>
              <w:bottom w:val="nil"/>
              <w:right w:val="nil"/>
            </w:tcBorders>
          </w:tcPr>
          <w:p w:rsidR="00527097" w:rsidRPr="00527097" w:rsidRDefault="00527097" w:rsidP="00323C31">
            <w:pPr>
              <w:pStyle w:val="Tablehead2"/>
              <w:jc w:val="center"/>
            </w:pPr>
            <w:r w:rsidRPr="00527097">
              <w:t>Controls</w:t>
            </w:r>
          </w:p>
        </w:tc>
        <w:tc>
          <w:tcPr>
            <w:tcW w:w="1772" w:type="dxa"/>
            <w:tcBorders>
              <w:top w:val="nil"/>
              <w:left w:val="nil"/>
              <w:bottom w:val="nil"/>
              <w:right w:val="nil"/>
            </w:tcBorders>
          </w:tcPr>
          <w:p w:rsidR="00527097" w:rsidRPr="00527097" w:rsidRDefault="00527097" w:rsidP="00323C31">
            <w:pPr>
              <w:pStyle w:val="Tablehead2"/>
              <w:jc w:val="center"/>
            </w:pPr>
            <w:r w:rsidRPr="00527097">
              <w:t>Difference</w:t>
            </w:r>
          </w:p>
        </w:tc>
        <w:tc>
          <w:tcPr>
            <w:tcW w:w="1772" w:type="dxa"/>
            <w:tcBorders>
              <w:top w:val="nil"/>
              <w:left w:val="nil"/>
              <w:bottom w:val="nil"/>
              <w:right w:val="nil"/>
            </w:tcBorders>
          </w:tcPr>
          <w:p w:rsidR="00527097" w:rsidRPr="00527097" w:rsidRDefault="00527097" w:rsidP="00FD16F4">
            <w:pPr>
              <w:pStyle w:val="Tablehead2"/>
              <w:jc w:val="center"/>
            </w:pPr>
            <w:r w:rsidRPr="00527097">
              <w:t>Median stand</w:t>
            </w:r>
            <w:r w:rsidR="00BD357A">
              <w:t>ardised</w:t>
            </w:r>
            <w:r w:rsidRPr="00527097">
              <w:t xml:space="preserve"> bias before matching</w:t>
            </w:r>
          </w:p>
        </w:tc>
      </w:tr>
      <w:tr w:rsidR="00527097" w:rsidRPr="00504868" w:rsidTr="00323C31">
        <w:trPr>
          <w:cantSplit/>
        </w:trPr>
        <w:tc>
          <w:tcPr>
            <w:tcW w:w="1701" w:type="dxa"/>
            <w:tcBorders>
              <w:top w:val="nil"/>
              <w:bottom w:val="single" w:sz="4" w:space="0" w:color="auto"/>
              <w:right w:val="nil"/>
            </w:tcBorders>
          </w:tcPr>
          <w:p w:rsidR="00527097" w:rsidRPr="00527097" w:rsidRDefault="00527097" w:rsidP="007D510F">
            <w:pPr>
              <w:pStyle w:val="Tablehead3"/>
            </w:pPr>
            <w:r w:rsidRPr="00527097">
              <w:t>Matching method</w:t>
            </w:r>
          </w:p>
        </w:tc>
        <w:tc>
          <w:tcPr>
            <w:tcW w:w="1772" w:type="dxa"/>
            <w:tcBorders>
              <w:top w:val="nil"/>
              <w:bottom w:val="single" w:sz="4" w:space="0" w:color="auto"/>
              <w:right w:val="nil"/>
            </w:tcBorders>
          </w:tcPr>
          <w:p w:rsidR="00527097" w:rsidRPr="00527097" w:rsidRDefault="00527097" w:rsidP="00323C31">
            <w:pPr>
              <w:pStyle w:val="Tablehead3"/>
              <w:jc w:val="center"/>
            </w:pPr>
            <w:r w:rsidRPr="00527097">
              <w:t>ATT</w:t>
            </w:r>
          </w:p>
        </w:tc>
        <w:tc>
          <w:tcPr>
            <w:tcW w:w="1772" w:type="dxa"/>
            <w:tcBorders>
              <w:top w:val="nil"/>
              <w:bottom w:val="single" w:sz="4" w:space="0" w:color="auto"/>
              <w:right w:val="nil"/>
            </w:tcBorders>
          </w:tcPr>
          <w:p w:rsidR="00527097" w:rsidRPr="00527097" w:rsidRDefault="00527097" w:rsidP="00323C31">
            <w:pPr>
              <w:pStyle w:val="Tablehead3"/>
              <w:jc w:val="center"/>
            </w:pPr>
            <w:r w:rsidRPr="00527097">
              <w:t>Standard error</w:t>
            </w:r>
          </w:p>
        </w:tc>
        <w:tc>
          <w:tcPr>
            <w:tcW w:w="1772" w:type="dxa"/>
            <w:tcBorders>
              <w:top w:val="nil"/>
              <w:left w:val="nil"/>
              <w:bottom w:val="single" w:sz="4" w:space="0" w:color="auto"/>
              <w:right w:val="nil"/>
            </w:tcBorders>
          </w:tcPr>
          <w:p w:rsidR="00527097" w:rsidRPr="00527097" w:rsidRDefault="00527097" w:rsidP="00323C31">
            <w:pPr>
              <w:pStyle w:val="Tablehead3"/>
              <w:jc w:val="center"/>
            </w:pPr>
            <w:r w:rsidRPr="00527097">
              <w:t xml:space="preserve">Off common </w:t>
            </w:r>
            <w:r w:rsidR="00323C31">
              <w:br/>
            </w:r>
            <w:r w:rsidRPr="00527097">
              <w:t>support</w:t>
            </w:r>
          </w:p>
        </w:tc>
        <w:tc>
          <w:tcPr>
            <w:tcW w:w="1772" w:type="dxa"/>
            <w:tcBorders>
              <w:top w:val="nil"/>
              <w:left w:val="nil"/>
              <w:bottom w:val="single" w:sz="4" w:space="0" w:color="auto"/>
              <w:right w:val="nil"/>
            </w:tcBorders>
          </w:tcPr>
          <w:p w:rsidR="00527097" w:rsidRPr="00527097" w:rsidRDefault="00527097" w:rsidP="00FD16F4">
            <w:pPr>
              <w:pStyle w:val="Tablehead3"/>
              <w:jc w:val="center"/>
            </w:pPr>
            <w:r w:rsidRPr="00527097">
              <w:t>Median stand</w:t>
            </w:r>
            <w:r w:rsidR="00BD357A">
              <w:t>ardised</w:t>
            </w:r>
            <w:bookmarkStart w:id="69" w:name="_GoBack"/>
            <w:bookmarkEnd w:id="69"/>
            <w:r w:rsidRPr="00527097">
              <w:t xml:space="preserve"> bias after matching</w:t>
            </w:r>
          </w:p>
        </w:tc>
      </w:tr>
      <w:tr w:rsidR="00527097" w:rsidRPr="00504868" w:rsidTr="00323C31">
        <w:trPr>
          <w:cantSplit/>
        </w:trPr>
        <w:tc>
          <w:tcPr>
            <w:tcW w:w="1701" w:type="dxa"/>
            <w:tcBorders>
              <w:top w:val="single" w:sz="4" w:space="0" w:color="auto"/>
              <w:bottom w:val="nil"/>
              <w:right w:val="nil"/>
            </w:tcBorders>
          </w:tcPr>
          <w:p w:rsidR="00527097" w:rsidRPr="00527097" w:rsidRDefault="00527097" w:rsidP="007D510F">
            <w:pPr>
              <w:pStyle w:val="Tabletext"/>
            </w:pPr>
            <w:r w:rsidRPr="00527097">
              <w:t>One-to-one</w:t>
            </w:r>
          </w:p>
        </w:tc>
        <w:tc>
          <w:tcPr>
            <w:tcW w:w="1772" w:type="dxa"/>
            <w:tcBorders>
              <w:top w:val="single" w:sz="4" w:space="0" w:color="auto"/>
              <w:bottom w:val="nil"/>
              <w:right w:val="nil"/>
            </w:tcBorders>
          </w:tcPr>
          <w:p w:rsidR="00527097" w:rsidRPr="00527097" w:rsidRDefault="00527097" w:rsidP="00323C31">
            <w:pPr>
              <w:pStyle w:val="Tabletext"/>
              <w:tabs>
                <w:tab w:val="decimal" w:pos="680"/>
              </w:tabs>
            </w:pPr>
            <w:r w:rsidRPr="00527097">
              <w:t>0.155</w:t>
            </w:r>
          </w:p>
        </w:tc>
        <w:tc>
          <w:tcPr>
            <w:tcW w:w="1772" w:type="dxa"/>
            <w:tcBorders>
              <w:top w:val="single" w:sz="4" w:space="0" w:color="auto"/>
              <w:bottom w:val="nil"/>
              <w:right w:val="nil"/>
            </w:tcBorders>
          </w:tcPr>
          <w:p w:rsidR="00527097" w:rsidRPr="00527097" w:rsidRDefault="00527097" w:rsidP="00323C31">
            <w:pPr>
              <w:pStyle w:val="Tabletext"/>
              <w:tabs>
                <w:tab w:val="decimal" w:pos="680"/>
              </w:tabs>
            </w:pPr>
            <w:r w:rsidRPr="00527097">
              <w:t>0.056</w:t>
            </w:r>
          </w:p>
        </w:tc>
        <w:tc>
          <w:tcPr>
            <w:tcW w:w="1772" w:type="dxa"/>
            <w:tcBorders>
              <w:top w:val="single" w:sz="4" w:space="0" w:color="auto"/>
              <w:left w:val="nil"/>
              <w:bottom w:val="nil"/>
              <w:right w:val="nil"/>
            </w:tcBorders>
          </w:tcPr>
          <w:p w:rsidR="00527097" w:rsidRPr="00527097" w:rsidRDefault="00527097" w:rsidP="00323C31">
            <w:pPr>
              <w:pStyle w:val="Tabletext"/>
              <w:jc w:val="center"/>
            </w:pPr>
            <w:r w:rsidRPr="00527097">
              <w:t>-</w:t>
            </w:r>
          </w:p>
        </w:tc>
        <w:tc>
          <w:tcPr>
            <w:tcW w:w="1772" w:type="dxa"/>
            <w:tcBorders>
              <w:top w:val="single" w:sz="4" w:space="0" w:color="auto"/>
              <w:left w:val="nil"/>
              <w:bottom w:val="nil"/>
              <w:right w:val="nil"/>
            </w:tcBorders>
          </w:tcPr>
          <w:p w:rsidR="00527097" w:rsidRPr="00527097" w:rsidRDefault="00527097" w:rsidP="00323C31">
            <w:pPr>
              <w:pStyle w:val="Tabletext"/>
              <w:tabs>
                <w:tab w:val="decimal" w:pos="737"/>
              </w:tabs>
            </w:pPr>
            <w:r w:rsidRPr="00527097">
              <w:t>1.41</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Nearest neighbours</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0.130</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0.034</w:t>
            </w:r>
          </w:p>
        </w:tc>
        <w:tc>
          <w:tcPr>
            <w:tcW w:w="1772" w:type="dxa"/>
            <w:tcBorders>
              <w:top w:val="nil"/>
              <w:left w:val="nil"/>
              <w:bottom w:val="nil"/>
              <w:right w:val="nil"/>
            </w:tcBorders>
          </w:tcPr>
          <w:p w:rsidR="00527097" w:rsidRPr="00527097" w:rsidRDefault="00527097" w:rsidP="00323C31">
            <w:pPr>
              <w:pStyle w:val="Tabletext"/>
              <w:jc w:val="center"/>
            </w:pPr>
            <w:r w:rsidRPr="00527097">
              <w:t>-</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1.42</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Local linear regression</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0.088</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0.034</w:t>
            </w:r>
          </w:p>
        </w:tc>
        <w:tc>
          <w:tcPr>
            <w:tcW w:w="1772" w:type="dxa"/>
            <w:tcBorders>
              <w:top w:val="nil"/>
              <w:left w:val="nil"/>
              <w:bottom w:val="nil"/>
              <w:right w:val="nil"/>
            </w:tcBorders>
          </w:tcPr>
          <w:p w:rsidR="00527097" w:rsidRPr="00527097" w:rsidRDefault="00527097" w:rsidP="00323C31">
            <w:pPr>
              <w:pStyle w:val="Tabletext"/>
              <w:jc w:val="center"/>
            </w:pPr>
            <w:r w:rsidRPr="00527097">
              <w:t>-</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1.41</w:t>
            </w:r>
          </w:p>
        </w:tc>
      </w:tr>
      <w:tr w:rsidR="00527097" w:rsidRPr="00504868" w:rsidTr="00323C31">
        <w:trPr>
          <w:cantSplit/>
        </w:trPr>
        <w:tc>
          <w:tcPr>
            <w:tcW w:w="1701" w:type="dxa"/>
            <w:tcBorders>
              <w:top w:val="nil"/>
              <w:bottom w:val="nil"/>
              <w:right w:val="nil"/>
            </w:tcBorders>
          </w:tcPr>
          <w:p w:rsidR="00527097" w:rsidRPr="00527097" w:rsidRDefault="00527097" w:rsidP="007D510F">
            <w:pPr>
              <w:pStyle w:val="Tabletext"/>
            </w:pPr>
            <w:r w:rsidRPr="00527097">
              <w:t>Kernel</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0.061</w:t>
            </w:r>
          </w:p>
        </w:tc>
        <w:tc>
          <w:tcPr>
            <w:tcW w:w="1772" w:type="dxa"/>
            <w:tcBorders>
              <w:top w:val="nil"/>
              <w:bottom w:val="nil"/>
              <w:right w:val="nil"/>
            </w:tcBorders>
          </w:tcPr>
          <w:p w:rsidR="00527097" w:rsidRPr="00527097" w:rsidRDefault="00527097" w:rsidP="00323C31">
            <w:pPr>
              <w:pStyle w:val="Tabletext"/>
              <w:tabs>
                <w:tab w:val="decimal" w:pos="680"/>
              </w:tabs>
            </w:pPr>
            <w:r w:rsidRPr="00527097">
              <w:t>0.013</w:t>
            </w:r>
          </w:p>
        </w:tc>
        <w:tc>
          <w:tcPr>
            <w:tcW w:w="1772" w:type="dxa"/>
            <w:tcBorders>
              <w:top w:val="nil"/>
              <w:left w:val="nil"/>
              <w:bottom w:val="nil"/>
              <w:right w:val="nil"/>
            </w:tcBorders>
          </w:tcPr>
          <w:p w:rsidR="00527097" w:rsidRPr="00527097" w:rsidRDefault="00527097" w:rsidP="00323C31">
            <w:pPr>
              <w:pStyle w:val="Tabletext"/>
              <w:jc w:val="center"/>
            </w:pPr>
            <w:r w:rsidRPr="00527097">
              <w:t>-</w:t>
            </w:r>
          </w:p>
        </w:tc>
        <w:tc>
          <w:tcPr>
            <w:tcW w:w="1772" w:type="dxa"/>
            <w:tcBorders>
              <w:top w:val="nil"/>
              <w:left w:val="nil"/>
              <w:bottom w:val="nil"/>
              <w:right w:val="nil"/>
            </w:tcBorders>
          </w:tcPr>
          <w:p w:rsidR="00527097" w:rsidRPr="00527097" w:rsidRDefault="00527097" w:rsidP="00323C31">
            <w:pPr>
              <w:pStyle w:val="Tabletext"/>
              <w:tabs>
                <w:tab w:val="decimal" w:pos="737"/>
              </w:tabs>
            </w:pPr>
            <w:r w:rsidRPr="00527097">
              <w:t>1.78</w:t>
            </w:r>
          </w:p>
        </w:tc>
      </w:tr>
      <w:tr w:rsidR="00527097" w:rsidRPr="00504868" w:rsidTr="00323C31">
        <w:trPr>
          <w:cantSplit/>
        </w:trPr>
        <w:tc>
          <w:tcPr>
            <w:tcW w:w="1701" w:type="dxa"/>
            <w:tcBorders>
              <w:top w:val="nil"/>
              <w:bottom w:val="single" w:sz="4" w:space="0" w:color="auto"/>
              <w:right w:val="nil"/>
            </w:tcBorders>
          </w:tcPr>
          <w:p w:rsidR="00527097" w:rsidRPr="00527097" w:rsidRDefault="00527097" w:rsidP="007D510F">
            <w:pPr>
              <w:pStyle w:val="Tabletext"/>
            </w:pPr>
            <w:r w:rsidRPr="00527097">
              <w:t>Calliper</w:t>
            </w:r>
          </w:p>
        </w:tc>
        <w:tc>
          <w:tcPr>
            <w:tcW w:w="1772" w:type="dxa"/>
            <w:tcBorders>
              <w:top w:val="nil"/>
              <w:bottom w:val="single" w:sz="4" w:space="0" w:color="auto"/>
              <w:right w:val="nil"/>
            </w:tcBorders>
          </w:tcPr>
          <w:p w:rsidR="00527097" w:rsidRPr="00527097" w:rsidRDefault="00527097" w:rsidP="00323C31">
            <w:pPr>
              <w:pStyle w:val="Tabletext"/>
              <w:tabs>
                <w:tab w:val="decimal" w:pos="680"/>
              </w:tabs>
            </w:pPr>
            <w:r w:rsidRPr="00527097">
              <w:t>0.065</w:t>
            </w:r>
          </w:p>
        </w:tc>
        <w:tc>
          <w:tcPr>
            <w:tcW w:w="1772" w:type="dxa"/>
            <w:tcBorders>
              <w:top w:val="nil"/>
              <w:bottom w:val="single" w:sz="4" w:space="0" w:color="auto"/>
              <w:right w:val="nil"/>
            </w:tcBorders>
          </w:tcPr>
          <w:p w:rsidR="00527097" w:rsidRPr="00527097" w:rsidRDefault="00527097" w:rsidP="00323C31">
            <w:pPr>
              <w:pStyle w:val="Tabletext"/>
              <w:tabs>
                <w:tab w:val="decimal" w:pos="680"/>
              </w:tabs>
            </w:pPr>
            <w:r w:rsidRPr="00527097">
              <w:t>0.014</w:t>
            </w:r>
          </w:p>
        </w:tc>
        <w:tc>
          <w:tcPr>
            <w:tcW w:w="1772" w:type="dxa"/>
            <w:tcBorders>
              <w:top w:val="nil"/>
              <w:left w:val="nil"/>
              <w:bottom w:val="single" w:sz="4" w:space="0" w:color="auto"/>
              <w:right w:val="nil"/>
            </w:tcBorders>
          </w:tcPr>
          <w:p w:rsidR="00527097" w:rsidRPr="00527097" w:rsidRDefault="00527097" w:rsidP="00323C31">
            <w:pPr>
              <w:pStyle w:val="Tabletext"/>
              <w:ind w:left="454"/>
            </w:pPr>
            <w:r w:rsidRPr="00527097">
              <w:t>29 treated</w:t>
            </w:r>
          </w:p>
        </w:tc>
        <w:tc>
          <w:tcPr>
            <w:tcW w:w="1772" w:type="dxa"/>
            <w:tcBorders>
              <w:top w:val="nil"/>
              <w:left w:val="nil"/>
              <w:bottom w:val="single" w:sz="4" w:space="0" w:color="auto"/>
              <w:right w:val="nil"/>
            </w:tcBorders>
          </w:tcPr>
          <w:p w:rsidR="00527097" w:rsidRPr="00527097" w:rsidRDefault="00527097" w:rsidP="00323C31">
            <w:pPr>
              <w:pStyle w:val="Tabletext"/>
              <w:tabs>
                <w:tab w:val="decimal" w:pos="737"/>
              </w:tabs>
            </w:pPr>
            <w:r w:rsidRPr="00527097">
              <w:t>0.61</w:t>
            </w:r>
          </w:p>
        </w:tc>
      </w:tr>
    </w:tbl>
    <w:p w:rsidR="001B0D82" w:rsidRPr="002D1DA4" w:rsidRDefault="001B0D82" w:rsidP="00161E46">
      <w:pPr>
        <w:spacing w:line="300" w:lineRule="exact"/>
      </w:pPr>
    </w:p>
    <w:p w:rsidR="004D7CE2" w:rsidRDefault="004D7CE2">
      <w:pPr>
        <w:spacing w:before="0" w:line="240" w:lineRule="auto"/>
        <w:rPr>
          <w:rFonts w:ascii="Tahoma" w:hAnsi="Tahoma" w:cs="Tahoma"/>
          <w:color w:val="000000"/>
          <w:kern w:val="28"/>
          <w:sz w:val="56"/>
          <w:szCs w:val="56"/>
        </w:rPr>
      </w:pPr>
      <w:r>
        <w:br w:type="page"/>
      </w:r>
    </w:p>
    <w:p w:rsidR="006D14FF" w:rsidRDefault="00684D95" w:rsidP="00684D95">
      <w:pPr>
        <w:pStyle w:val="Heading1"/>
      </w:pPr>
      <w:bookmarkStart w:id="70" w:name="_Toc338161257"/>
      <w:r>
        <w:lastRenderedPageBreak/>
        <w:t>Sensitivity analysis</w:t>
      </w:r>
      <w:bookmarkEnd w:id="70"/>
    </w:p>
    <w:p w:rsidR="00684D95" w:rsidRPr="002D1DA4" w:rsidRDefault="003F3390" w:rsidP="007D510F">
      <w:pPr>
        <w:pStyle w:val="Text"/>
      </w:pPr>
      <w:r>
        <w:t>The estimates of the caus</w:t>
      </w:r>
      <w:r w:rsidR="00684D95" w:rsidRPr="002D1DA4">
        <w:t xml:space="preserve">al effects in the previous section are based on the conditional independence assumption. If this assumption does not hold, because the treated and controls differ with respect to unobservable factors, the estimates of the treatment effects are biased. In the case at hand, the main concern is </w:t>
      </w:r>
      <w:r w:rsidR="00853266">
        <w:t xml:space="preserve">the </w:t>
      </w:r>
      <w:r w:rsidR="00684D95" w:rsidRPr="002D1DA4">
        <w:t>individual preferences and motivation t</w:t>
      </w:r>
      <w:r w:rsidR="008C44F5">
        <w:t>hat influence both the outcome — getting an apprenticeship —</w:t>
      </w:r>
      <w:r w:rsidR="00684D95" w:rsidRPr="002D1DA4">
        <w:t xml:space="preserve"> an</w:t>
      </w:r>
      <w:r w:rsidR="008C44F5">
        <w:t>d the selection into treatment —</w:t>
      </w:r>
      <w:r>
        <w:t xml:space="preserve"> </w:t>
      </w:r>
      <w:r w:rsidR="00684D95" w:rsidRPr="002D1DA4">
        <w:t>doing</w:t>
      </w:r>
      <w:r>
        <w:t xml:space="preserve"> a pre-apprenticeship course. </w:t>
      </w:r>
      <w:r w:rsidR="00684D95" w:rsidRPr="002D1DA4">
        <w:t>While it is not possible to test for the omission of these factors</w:t>
      </w:r>
      <w:r w:rsidR="008C44F5">
        <w:t>,</w:t>
      </w:r>
      <w:r w:rsidR="00684D95" w:rsidRPr="002D1DA4">
        <w:t xml:space="preserve"> it is possible to assess whether inference about the treatment effects may be altered by unobserved factors. More precisely, it is possible to determine how strongly an unmeasured factor must influence the selection process to undermine the inferences based on matching analysis.</w:t>
      </w:r>
      <w:r w:rsidR="00C158DE">
        <w:t xml:space="preserve"> </w:t>
      </w:r>
    </w:p>
    <w:p w:rsidR="00684D95" w:rsidRPr="002D1DA4" w:rsidRDefault="00684D95" w:rsidP="007D510F">
      <w:pPr>
        <w:pStyle w:val="Text"/>
      </w:pPr>
      <w:r w:rsidRPr="002D1DA4">
        <w:t>The Rosenbaum (1995) method for doing this is based on the assumption that the individual treatment probability (P</w:t>
      </w:r>
      <w:r w:rsidRPr="002D1DA4">
        <w:rPr>
          <w:vertAlign w:val="subscript"/>
        </w:rPr>
        <w:t>i</w:t>
      </w:r>
      <w:r w:rsidRPr="002D1DA4">
        <w:t>) is determined not only by the observable factors (X) but also by an unobservable component U, i.e. P</w:t>
      </w:r>
      <w:r w:rsidRPr="002D1DA4">
        <w:rPr>
          <w:vertAlign w:val="subscript"/>
        </w:rPr>
        <w:t>i</w:t>
      </w:r>
      <w:r w:rsidRPr="002D1DA4">
        <w:t xml:space="preserve"> = </w:t>
      </w:r>
      <w:proofErr w:type="gramStart"/>
      <w:r w:rsidRPr="002D1DA4">
        <w:t>F(</w:t>
      </w:r>
      <w:proofErr w:type="gramEnd"/>
      <w:r w:rsidRPr="002D1DA4">
        <w:t>x</w:t>
      </w:r>
      <w:r w:rsidRPr="002D1DA4">
        <w:rPr>
          <w:vertAlign w:val="subscript"/>
        </w:rPr>
        <w:t>i</w:t>
      </w:r>
      <w:r w:rsidRPr="002D1DA4">
        <w:t xml:space="preserve">, </w:t>
      </w:r>
      <w:proofErr w:type="spellStart"/>
      <w:r w:rsidRPr="002D1DA4">
        <w:t>u</w:t>
      </w:r>
      <w:r w:rsidRPr="002D1DA4">
        <w:rPr>
          <w:vertAlign w:val="subscript"/>
        </w:rPr>
        <w:t>i</w:t>
      </w:r>
      <w:proofErr w:type="spellEnd"/>
      <w:r w:rsidRPr="002D1DA4">
        <w:t>). The latter effect means that two individuals with the same x have different chan</w:t>
      </w:r>
      <w:r w:rsidR="00853266">
        <w:t>ces of receiving treatment. A</w:t>
      </w:r>
      <w:r w:rsidRPr="002D1DA4">
        <w:t>ssigning hypothetical values or a distribution to U and varyin</w:t>
      </w:r>
      <w:r w:rsidR="00853266">
        <w:t>g its relative importance allow</w:t>
      </w:r>
      <w:r w:rsidRPr="002D1DA4">
        <w:t xml:space="preserve"> the researcher to assess the sensitivity of the inferences.</w:t>
      </w:r>
      <w:r w:rsidR="00C158DE">
        <w:t xml:space="preserve"> </w:t>
      </w:r>
      <w:r w:rsidRPr="002D1DA4">
        <w:t>Based on that, bounds for significance levels and confidence intervals can be derived.</w:t>
      </w:r>
      <w:r w:rsidR="00C158DE">
        <w:t xml:space="preserve"> </w:t>
      </w:r>
      <w:r w:rsidRPr="002D1DA4">
        <w:t xml:space="preserve">Becker and </w:t>
      </w:r>
      <w:proofErr w:type="spellStart"/>
      <w:r w:rsidRPr="002D1DA4">
        <w:t>Caliendo</w:t>
      </w:r>
      <w:proofErr w:type="spellEnd"/>
      <w:r w:rsidRPr="002D1DA4">
        <w:t xml:space="preserve"> (2007) provide an implementation of this method in </w:t>
      </w:r>
      <w:proofErr w:type="spellStart"/>
      <w:r w:rsidRPr="002D1DA4">
        <w:t>Stata</w:t>
      </w:r>
      <w:proofErr w:type="spellEnd"/>
      <w:r w:rsidRPr="002D1DA4">
        <w:t>.</w:t>
      </w:r>
    </w:p>
    <w:p w:rsidR="00684D95" w:rsidRPr="002D1DA4" w:rsidRDefault="00684D95" w:rsidP="007D510F">
      <w:pPr>
        <w:pStyle w:val="Text"/>
      </w:pPr>
      <w:r w:rsidRPr="002D1DA4">
        <w:t>Suppose that motivation is the omitted factor and that students are either strongly motivated to obtain an apprenticeship (U</w:t>
      </w:r>
      <w:r w:rsidR="00277BC6">
        <w:t xml:space="preserve"> </w:t>
      </w:r>
      <w:r w:rsidRPr="002D1DA4">
        <w:t>=</w:t>
      </w:r>
      <w:r w:rsidR="00277BC6">
        <w:t xml:space="preserve"> </w:t>
      </w:r>
      <w:r w:rsidRPr="002D1DA4">
        <w:t>1) or not motivated (U</w:t>
      </w:r>
      <w:r w:rsidR="00277BC6">
        <w:t xml:space="preserve"> </w:t>
      </w:r>
      <w:r w:rsidRPr="002D1DA4">
        <w:t>=</w:t>
      </w:r>
      <w:r w:rsidR="00277BC6">
        <w:t xml:space="preserve"> </w:t>
      </w:r>
      <w:r w:rsidRPr="002D1DA4">
        <w:t xml:space="preserve">0). If the probability of being treated as a function of X and U takes a particular form, it can be shown that the odds ratio of being treated is bounded by </w:t>
      </w:r>
    </w:p>
    <w:p w:rsidR="00684D95" w:rsidRPr="002D1DA4" w:rsidRDefault="00684D95" w:rsidP="002D28B1">
      <w:pPr>
        <w:pStyle w:val="Text"/>
        <w:spacing w:before="80"/>
        <w:ind w:right="0"/>
      </w:pPr>
      <w:r w:rsidRPr="002D1DA4">
        <w:t>1/</w:t>
      </w:r>
      <w:proofErr w:type="spellStart"/>
      <w:r w:rsidRPr="002D1DA4">
        <w:t>e</w:t>
      </w:r>
      <w:r w:rsidRPr="002D1DA4">
        <w:rPr>
          <w:rFonts w:cs="Calibri"/>
          <w:vertAlign w:val="superscript"/>
        </w:rPr>
        <w:t>γ</w:t>
      </w:r>
      <w:proofErr w:type="spellEnd"/>
      <w:r>
        <w:t xml:space="preserve"> </w:t>
      </w:r>
      <w:r>
        <w:rPr>
          <w:rFonts w:cs="Calibri"/>
        </w:rPr>
        <w:t>≤</w:t>
      </w:r>
      <w:r>
        <w:t xml:space="preserve"> </w:t>
      </w:r>
      <w:proofErr w:type="gramStart"/>
      <w:r>
        <w:t>P</w:t>
      </w:r>
      <w:r w:rsidRPr="0024091A">
        <w:rPr>
          <w:vertAlign w:val="subscript"/>
        </w:rPr>
        <w:t>i</w:t>
      </w:r>
      <w:r>
        <w:t>(</w:t>
      </w:r>
      <w:proofErr w:type="gramEnd"/>
      <w:r>
        <w:t>1-P</w:t>
      </w:r>
      <w:r w:rsidRPr="0024091A">
        <w:rPr>
          <w:vertAlign w:val="subscript"/>
        </w:rPr>
        <w:t>j</w:t>
      </w:r>
      <w:r>
        <w:t>)/</w:t>
      </w:r>
      <w:proofErr w:type="spellStart"/>
      <w:r>
        <w:t>P</w:t>
      </w:r>
      <w:r w:rsidRPr="0024091A">
        <w:rPr>
          <w:vertAlign w:val="subscript"/>
        </w:rPr>
        <w:t>j</w:t>
      </w:r>
      <w:proofErr w:type="spellEnd"/>
      <w:r>
        <w:t>(1-P</w:t>
      </w:r>
      <w:r w:rsidRPr="0024091A">
        <w:rPr>
          <w:vertAlign w:val="subscript"/>
        </w:rPr>
        <w:t>i</w:t>
      </w:r>
      <w:r>
        <w:t xml:space="preserve">) </w:t>
      </w:r>
      <w:r>
        <w:rPr>
          <w:rFonts w:cs="Calibri"/>
        </w:rPr>
        <w:t>≥</w:t>
      </w:r>
      <w:r w:rsidRPr="002D1DA4">
        <w:t xml:space="preserve"> </w:t>
      </w:r>
      <w:proofErr w:type="spellStart"/>
      <w:r w:rsidRPr="002D1DA4">
        <w:t>e</w:t>
      </w:r>
      <w:r w:rsidRPr="002D1DA4">
        <w:rPr>
          <w:rFonts w:cs="Calibri"/>
          <w:vertAlign w:val="superscript"/>
        </w:rPr>
        <w:t>γ</w:t>
      </w:r>
      <w:proofErr w:type="spellEnd"/>
      <w:r w:rsidRPr="002D1DA4">
        <w:t xml:space="preserve"> </w:t>
      </w:r>
    </w:p>
    <w:p w:rsidR="00684D95" w:rsidRPr="002D1DA4" w:rsidRDefault="00684D95" w:rsidP="002D28B1">
      <w:pPr>
        <w:pStyle w:val="Text"/>
        <w:spacing w:before="80"/>
        <w:ind w:right="0"/>
      </w:pPr>
      <w:proofErr w:type="gramStart"/>
      <w:r w:rsidRPr="002D1DA4">
        <w:t>where</w:t>
      </w:r>
      <w:proofErr w:type="gramEnd"/>
      <w:r w:rsidRPr="002D1DA4">
        <w:t xml:space="preserve"> </w:t>
      </w:r>
      <w:r w:rsidRPr="002D1DA4">
        <w:rPr>
          <w:rFonts w:cs="Calibri"/>
        </w:rPr>
        <w:t>γ</w:t>
      </w:r>
      <w:r w:rsidR="00C158DE">
        <w:t xml:space="preserve"> </w:t>
      </w:r>
      <w:r w:rsidRPr="002D1DA4">
        <w:t>is a parameter that determ</w:t>
      </w:r>
      <w:r>
        <w:t xml:space="preserve">ines the relative influence of U </w:t>
      </w:r>
      <w:r w:rsidRPr="002D1DA4">
        <w:t>on the probability of being treated.</w:t>
      </w:r>
    </w:p>
    <w:p w:rsidR="00684D95" w:rsidRPr="002D1DA4" w:rsidRDefault="00684D95" w:rsidP="007D510F">
      <w:pPr>
        <w:pStyle w:val="Text"/>
      </w:pPr>
      <w:r w:rsidRPr="002D1DA4">
        <w:t xml:space="preserve">If </w:t>
      </w:r>
      <w:proofErr w:type="spellStart"/>
      <w:r w:rsidRPr="002D1DA4">
        <w:t>e</w:t>
      </w:r>
      <w:r w:rsidRPr="002D1DA4">
        <w:rPr>
          <w:rFonts w:cs="Calibri"/>
          <w:vertAlign w:val="superscript"/>
        </w:rPr>
        <w:t>γ</w:t>
      </w:r>
      <w:proofErr w:type="spellEnd"/>
      <w:r w:rsidRPr="002D1DA4">
        <w:t xml:space="preserve"> =</w:t>
      </w:r>
      <w:r w:rsidR="00853266">
        <w:t xml:space="preserve"> </w:t>
      </w:r>
      <w:r w:rsidRPr="002D1DA4">
        <w:t>1 the odds ratio is one</w:t>
      </w:r>
      <w:r w:rsidR="00FD16F4">
        <w:t>,</w:t>
      </w:r>
      <w:r w:rsidRPr="002D1DA4">
        <w:t xml:space="preserve"> and two </w:t>
      </w:r>
      <w:r w:rsidR="00853266">
        <w:t>individuals</w:t>
      </w:r>
      <w:r w:rsidRPr="002D1DA4">
        <w:t xml:space="preserve"> with the same observable characteristics have the same probability of being treated. There is, in other words, no selection bias due to omitted factors. As </w:t>
      </w:r>
      <w:proofErr w:type="spellStart"/>
      <w:r w:rsidRPr="002D1DA4">
        <w:t>e</w:t>
      </w:r>
      <w:r w:rsidRPr="002D1DA4">
        <w:rPr>
          <w:rFonts w:cs="Calibri"/>
          <w:vertAlign w:val="superscript"/>
        </w:rPr>
        <w:t>γ</w:t>
      </w:r>
      <w:proofErr w:type="spellEnd"/>
      <w:r w:rsidRPr="002D1DA4">
        <w:t xml:space="preserve"> increases</w:t>
      </w:r>
      <w:r w:rsidR="00277BC6">
        <w:t>,</w:t>
      </w:r>
      <w:r w:rsidRPr="002D1DA4">
        <w:t xml:space="preserve"> the weight of the unobservable factor increases and the relative odds of motivated and non-motivated students can move further and further apart. At </w:t>
      </w:r>
      <w:proofErr w:type="spellStart"/>
      <w:r w:rsidRPr="002D1DA4">
        <w:t>e</w:t>
      </w:r>
      <w:r w:rsidRPr="002D1DA4">
        <w:rPr>
          <w:rFonts w:cs="Calibri"/>
          <w:vertAlign w:val="superscript"/>
        </w:rPr>
        <w:t>γ</w:t>
      </w:r>
      <w:proofErr w:type="spellEnd"/>
      <w:r w:rsidRPr="002D1DA4">
        <w:t xml:space="preserve"> =</w:t>
      </w:r>
      <w:r w:rsidR="00277BC6">
        <w:t xml:space="preserve"> </w:t>
      </w:r>
      <w:r w:rsidRPr="002D1DA4">
        <w:t xml:space="preserve">2 the relative odds can differ by as much as a factor of </w:t>
      </w:r>
      <w:r w:rsidR="00277BC6">
        <w:t>two</w:t>
      </w:r>
      <w:r w:rsidR="00853266">
        <w:t>,</w:t>
      </w:r>
      <w:r w:rsidRPr="002D1DA4">
        <w:t xml:space="preserve"> even </w:t>
      </w:r>
      <w:r w:rsidR="003F3390">
        <w:t xml:space="preserve">if </w:t>
      </w:r>
      <w:r w:rsidRPr="002D1DA4">
        <w:t xml:space="preserve">they are identical in respect of the observable variables. </w:t>
      </w:r>
    </w:p>
    <w:p w:rsidR="00684D95" w:rsidRPr="002D1DA4" w:rsidRDefault="00684D95" w:rsidP="002D28B1">
      <w:pPr>
        <w:pStyle w:val="Text"/>
        <w:ind w:right="-143"/>
      </w:pPr>
      <w:r w:rsidRPr="002D1DA4">
        <w:t xml:space="preserve">To assess the sensitivity we simply increase the value of </w:t>
      </w:r>
      <w:proofErr w:type="spellStart"/>
      <w:r w:rsidRPr="002D1DA4">
        <w:t>e</w:t>
      </w:r>
      <w:r w:rsidRPr="002D1DA4">
        <w:rPr>
          <w:rFonts w:cs="Calibri"/>
          <w:vertAlign w:val="superscript"/>
        </w:rPr>
        <w:t>γ</w:t>
      </w:r>
      <w:proofErr w:type="spellEnd"/>
      <w:r w:rsidR="00FD16F4">
        <w:rPr>
          <w:rFonts w:cs="Calibri"/>
        </w:rPr>
        <w:t>,</w:t>
      </w:r>
      <w:r w:rsidRPr="002D1DA4">
        <w:t xml:space="preserve"> starting at one and repeatedly test whether the null of no treatment effect can be rejected as </w:t>
      </w:r>
      <w:proofErr w:type="spellStart"/>
      <w:r w:rsidRPr="002D1DA4">
        <w:t>e</w:t>
      </w:r>
      <w:r w:rsidRPr="002D1DA4">
        <w:rPr>
          <w:rFonts w:cs="Calibri"/>
          <w:vertAlign w:val="superscript"/>
        </w:rPr>
        <w:t>γ</w:t>
      </w:r>
      <w:proofErr w:type="spellEnd"/>
      <w:r w:rsidRPr="002D1DA4">
        <w:t xml:space="preserve"> is increased. If the test cannot reject the null as the influence of</w:t>
      </w:r>
      <w:r w:rsidR="003F3390">
        <w:t xml:space="preserve"> </w:t>
      </w:r>
      <w:r w:rsidR="00236DC9">
        <w:t>an</w:t>
      </w:r>
      <w:r w:rsidRPr="002D1DA4">
        <w:t xml:space="preserve"> omitted factor is increased</w:t>
      </w:r>
      <w:r w:rsidR="003F3390">
        <w:t>, the original inference of a positive treatment effect</w:t>
      </w:r>
      <w:r w:rsidRPr="002D1DA4">
        <w:t xml:space="preserve"> remains intact. Alternatively, and depending on the significance level of the test, we conclude that the</w:t>
      </w:r>
      <w:r w:rsidR="002D28B1">
        <w:t> </w:t>
      </w:r>
      <w:r w:rsidRPr="002D1DA4">
        <w:t xml:space="preserve">original inference (here of a positive effect) is sensitive to an omitted factor. This assessment is based on the Mantel and </w:t>
      </w:r>
      <w:proofErr w:type="spellStart"/>
      <w:r w:rsidRPr="002D1DA4">
        <w:t>Haenszel</w:t>
      </w:r>
      <w:proofErr w:type="spellEnd"/>
      <w:r w:rsidRPr="002D1DA4">
        <w:t xml:space="preserve"> (MH) test statistics originally developed to test for repeated independence. This MH statistic is based on a comparison</w:t>
      </w:r>
      <w:r w:rsidR="00236DC9">
        <w:t xml:space="preserve"> of</w:t>
      </w:r>
      <w:r w:rsidRPr="002D1DA4">
        <w:t xml:space="preserve"> the number of positive outcomes among the treated with the expe</w:t>
      </w:r>
      <w:r w:rsidR="00236DC9">
        <w:t xml:space="preserve">cted number under the null </w:t>
      </w:r>
      <w:r w:rsidRPr="002D1DA4">
        <w:t xml:space="preserve">that the treatment effect is zero. </w:t>
      </w:r>
    </w:p>
    <w:p w:rsidR="00684D95" w:rsidRPr="002D1DA4" w:rsidRDefault="00684D95" w:rsidP="007D510F">
      <w:pPr>
        <w:pStyle w:val="Text"/>
      </w:pPr>
      <w:r w:rsidRPr="002D1DA4">
        <w:t>The results of the sen</w:t>
      </w:r>
      <w:r w:rsidR="008D4703">
        <w:t>sitivity analysis are given in t</w:t>
      </w:r>
      <w:r w:rsidRPr="002D1DA4">
        <w:t xml:space="preserve">able 8. In the case of students not at school we note that if there are no omitted factors, </w:t>
      </w:r>
      <w:proofErr w:type="spellStart"/>
      <w:r w:rsidRPr="002D1DA4">
        <w:t>e</w:t>
      </w:r>
      <w:r w:rsidRPr="002D1DA4">
        <w:rPr>
          <w:rFonts w:cs="Calibri"/>
          <w:vertAlign w:val="superscript"/>
        </w:rPr>
        <w:t>γ</w:t>
      </w:r>
      <w:proofErr w:type="spellEnd"/>
      <w:r w:rsidRPr="002D1DA4">
        <w:t xml:space="preserve"> =</w:t>
      </w:r>
      <w:r w:rsidR="008D4703">
        <w:t xml:space="preserve"> </w:t>
      </w:r>
      <w:r w:rsidR="00FD16F4">
        <w:t xml:space="preserve">1, the MH test </w:t>
      </w:r>
      <w:r w:rsidRPr="002D1DA4">
        <w:t>statistic is 21.37 with a p-value close to zero.</w:t>
      </w:r>
      <w:r w:rsidR="00C158DE">
        <w:t xml:space="preserve"> </w:t>
      </w:r>
      <w:r w:rsidRPr="002D1DA4">
        <w:t xml:space="preserve">This simply restates the findings in table </w:t>
      </w:r>
      <w:r w:rsidR="006B0105">
        <w:t>7</w:t>
      </w:r>
      <w:r w:rsidRPr="002D1DA4">
        <w:t xml:space="preserve">, that there is strong evidence of a positive treatment effect. As </w:t>
      </w:r>
      <w:proofErr w:type="spellStart"/>
      <w:r w:rsidRPr="002D1DA4">
        <w:t>e</w:t>
      </w:r>
      <w:r w:rsidRPr="002D1DA4">
        <w:rPr>
          <w:rFonts w:cs="Calibri"/>
          <w:vertAlign w:val="superscript"/>
        </w:rPr>
        <w:t>γ</w:t>
      </w:r>
      <w:proofErr w:type="spellEnd"/>
      <w:r w:rsidRPr="002D1DA4">
        <w:t xml:space="preserve"> is increased, we increase the relative odds</w:t>
      </w:r>
      <w:r w:rsidR="00236DC9">
        <w:t xml:space="preserve"> of</w:t>
      </w:r>
      <w:r w:rsidRPr="002D1DA4">
        <w:t xml:space="preserve"> the treated being motivated students and </w:t>
      </w:r>
      <w:r w:rsidRPr="002D1DA4">
        <w:lastRenderedPageBreak/>
        <w:t xml:space="preserve">having a positive outcome (getting an apprenticeship). This reduces the value of the test statistic reflecting the increasing uncertainty. But the rate of this reduction is small. Even the case where </w:t>
      </w:r>
      <w:r w:rsidR="002D28B1">
        <w:br/>
      </w:r>
      <w:proofErr w:type="spellStart"/>
      <w:r w:rsidRPr="002D1DA4">
        <w:t>e</w:t>
      </w:r>
      <w:r w:rsidRPr="002D1DA4">
        <w:rPr>
          <w:rFonts w:cs="Calibri"/>
          <w:vertAlign w:val="superscript"/>
        </w:rPr>
        <w:t>γ</w:t>
      </w:r>
      <w:proofErr w:type="spellEnd"/>
      <w:r w:rsidRPr="002D1DA4">
        <w:t xml:space="preserve"> =</w:t>
      </w:r>
      <w:r w:rsidR="008D4703">
        <w:t xml:space="preserve"> </w:t>
      </w:r>
      <w:r w:rsidRPr="002D1DA4">
        <w:t>2, the MH statistic is highly significant</w:t>
      </w:r>
      <w:r w:rsidR="00FD16F4">
        <w:t>,</w:t>
      </w:r>
      <w:r w:rsidRPr="002D1DA4">
        <w:t xml:space="preserve"> with </w:t>
      </w:r>
      <w:r w:rsidR="00FD16F4">
        <w:t>a p value close to zero. For at-</w:t>
      </w:r>
      <w:r w:rsidRPr="002D1DA4">
        <w:t xml:space="preserve">school students the evidence for a positive treatment effect is much more sensitive to omitted factors. For any value of </w:t>
      </w:r>
      <w:r w:rsidR="002D28B1">
        <w:br/>
      </w:r>
      <w:proofErr w:type="spellStart"/>
      <w:r w:rsidRPr="002D1DA4">
        <w:t>e</w:t>
      </w:r>
      <w:r w:rsidRPr="002D1DA4">
        <w:rPr>
          <w:rFonts w:cs="Calibri"/>
          <w:vertAlign w:val="superscript"/>
        </w:rPr>
        <w:t>γ</w:t>
      </w:r>
      <w:proofErr w:type="spellEnd"/>
      <w:r w:rsidRPr="002D1DA4">
        <w:t xml:space="preserve"> greater than about 1.3</w:t>
      </w:r>
      <w:r w:rsidR="008D4703">
        <w:t>,</w:t>
      </w:r>
      <w:r w:rsidRPr="002D1DA4">
        <w:t xml:space="preserve"> the hypothesis of no treatment effect cannot be rejected</w:t>
      </w:r>
      <w:r>
        <w:t xml:space="preserve"> at the </w:t>
      </w:r>
      <w:r w:rsidR="008D4703">
        <w:t>5</w:t>
      </w:r>
      <w:r w:rsidR="00C158DE">
        <w:t>%</w:t>
      </w:r>
      <w:r>
        <w:t xml:space="preserve"> level.</w:t>
      </w:r>
    </w:p>
    <w:p w:rsidR="00684D95" w:rsidRDefault="00684D95" w:rsidP="00684D95">
      <w:pPr>
        <w:pStyle w:val="tabletitle"/>
      </w:pPr>
      <w:bookmarkStart w:id="71" w:name="_Toc331077006"/>
      <w:bookmarkStart w:id="72" w:name="_Toc337199624"/>
      <w:r>
        <w:t>Table 8</w:t>
      </w:r>
      <w:r>
        <w:tab/>
      </w:r>
      <w:proofErr w:type="spellStart"/>
      <w:r w:rsidRPr="002D1DA4">
        <w:t>Manter-Haenszel</w:t>
      </w:r>
      <w:proofErr w:type="spellEnd"/>
      <w:r w:rsidRPr="002D1DA4">
        <w:t xml:space="preserve"> test statistics </w:t>
      </w:r>
      <w:r>
        <w:t>for a positive treatment effect</w:t>
      </w:r>
      <w:bookmarkEnd w:id="71"/>
      <w:bookmarkEnd w:id="72"/>
    </w:p>
    <w:tbl>
      <w:tblPr>
        <w:tblW w:w="8789" w:type="dxa"/>
        <w:tblInd w:w="108" w:type="dxa"/>
        <w:tblBorders>
          <w:top w:val="single" w:sz="4" w:space="0" w:color="auto"/>
          <w:bottom w:val="single" w:sz="4" w:space="0" w:color="auto"/>
        </w:tblBorders>
        <w:tblLayout w:type="fixed"/>
        <w:tblLook w:val="0000"/>
      </w:tblPr>
      <w:tblGrid>
        <w:gridCol w:w="1649"/>
        <w:gridCol w:w="1785"/>
        <w:gridCol w:w="1785"/>
        <w:gridCol w:w="1785"/>
        <w:gridCol w:w="1785"/>
      </w:tblGrid>
      <w:tr w:rsidR="00684D95" w:rsidRPr="00187713" w:rsidTr="00473762">
        <w:trPr>
          <w:cantSplit/>
        </w:trPr>
        <w:tc>
          <w:tcPr>
            <w:tcW w:w="1649" w:type="dxa"/>
            <w:tcBorders>
              <w:top w:val="single" w:sz="4" w:space="0" w:color="auto"/>
              <w:bottom w:val="nil"/>
              <w:right w:val="nil"/>
            </w:tcBorders>
          </w:tcPr>
          <w:p w:rsidR="00684D95" w:rsidRPr="00684D95" w:rsidRDefault="000F2F10" w:rsidP="00473762">
            <w:pPr>
              <w:pStyle w:val="Tablehead1"/>
            </w:pPr>
            <w:proofErr w:type="spellStart"/>
            <w:r w:rsidRPr="00684D95">
              <w:t>e</w:t>
            </w:r>
            <w:r w:rsidRPr="00684D95">
              <w:rPr>
                <w:vertAlign w:val="superscript"/>
              </w:rPr>
              <w:t>γ</w:t>
            </w:r>
            <w:proofErr w:type="spellEnd"/>
          </w:p>
        </w:tc>
        <w:tc>
          <w:tcPr>
            <w:tcW w:w="3570" w:type="dxa"/>
            <w:gridSpan w:val="2"/>
            <w:tcBorders>
              <w:top w:val="single" w:sz="4" w:space="0" w:color="auto"/>
              <w:bottom w:val="nil"/>
              <w:right w:val="nil"/>
            </w:tcBorders>
          </w:tcPr>
          <w:p w:rsidR="00684D95" w:rsidRPr="00684D95" w:rsidRDefault="00684D95" w:rsidP="00473762">
            <w:pPr>
              <w:pStyle w:val="Tablehead1"/>
              <w:jc w:val="center"/>
            </w:pPr>
            <w:r w:rsidRPr="00684D95">
              <w:t>Not at school</w:t>
            </w:r>
          </w:p>
        </w:tc>
        <w:tc>
          <w:tcPr>
            <w:tcW w:w="3570" w:type="dxa"/>
            <w:gridSpan w:val="2"/>
            <w:tcBorders>
              <w:top w:val="single" w:sz="4" w:space="0" w:color="auto"/>
              <w:left w:val="nil"/>
              <w:bottom w:val="nil"/>
              <w:right w:val="nil"/>
            </w:tcBorders>
          </w:tcPr>
          <w:p w:rsidR="00684D95" w:rsidRPr="00684D95" w:rsidRDefault="00684D95" w:rsidP="00473762">
            <w:pPr>
              <w:pStyle w:val="Tablehead1"/>
              <w:jc w:val="center"/>
            </w:pPr>
            <w:r w:rsidRPr="00684D95">
              <w:t>At school</w:t>
            </w:r>
          </w:p>
        </w:tc>
      </w:tr>
      <w:tr w:rsidR="00684D95" w:rsidTr="00473762">
        <w:trPr>
          <w:cantSplit/>
        </w:trPr>
        <w:tc>
          <w:tcPr>
            <w:tcW w:w="1649" w:type="dxa"/>
            <w:tcBorders>
              <w:top w:val="nil"/>
              <w:bottom w:val="single" w:sz="4" w:space="0" w:color="auto"/>
              <w:right w:val="nil"/>
            </w:tcBorders>
          </w:tcPr>
          <w:p w:rsidR="00684D95" w:rsidRPr="00684D95" w:rsidRDefault="00684D95" w:rsidP="00C904DF">
            <w:pPr>
              <w:pStyle w:val="Tablehead2"/>
            </w:pPr>
          </w:p>
        </w:tc>
        <w:tc>
          <w:tcPr>
            <w:tcW w:w="1785" w:type="dxa"/>
            <w:tcBorders>
              <w:top w:val="nil"/>
              <w:bottom w:val="single" w:sz="4" w:space="0" w:color="auto"/>
              <w:right w:val="nil"/>
            </w:tcBorders>
          </w:tcPr>
          <w:p w:rsidR="00684D95" w:rsidRPr="00684D95" w:rsidRDefault="00684D95" w:rsidP="00473762">
            <w:pPr>
              <w:pStyle w:val="Tablehead2"/>
              <w:jc w:val="center"/>
            </w:pPr>
            <w:r w:rsidRPr="00684D95">
              <w:t>MH</w:t>
            </w:r>
          </w:p>
        </w:tc>
        <w:tc>
          <w:tcPr>
            <w:tcW w:w="1785" w:type="dxa"/>
            <w:tcBorders>
              <w:top w:val="nil"/>
              <w:bottom w:val="single" w:sz="4" w:space="0" w:color="auto"/>
              <w:right w:val="nil"/>
            </w:tcBorders>
          </w:tcPr>
          <w:p w:rsidR="00684D95" w:rsidRPr="00684D95" w:rsidRDefault="00684D95" w:rsidP="00473762">
            <w:pPr>
              <w:pStyle w:val="Tablehead2"/>
              <w:jc w:val="center"/>
            </w:pPr>
            <w:r w:rsidRPr="00684D95">
              <w:t>p-value</w:t>
            </w:r>
          </w:p>
        </w:tc>
        <w:tc>
          <w:tcPr>
            <w:tcW w:w="1785" w:type="dxa"/>
            <w:tcBorders>
              <w:top w:val="nil"/>
              <w:left w:val="nil"/>
              <w:bottom w:val="single" w:sz="4" w:space="0" w:color="auto"/>
              <w:right w:val="nil"/>
            </w:tcBorders>
          </w:tcPr>
          <w:p w:rsidR="00684D95" w:rsidRPr="00684D95" w:rsidRDefault="00C455B4" w:rsidP="00473762">
            <w:pPr>
              <w:pStyle w:val="Tablehead2"/>
              <w:jc w:val="center"/>
            </w:pPr>
            <w:r>
              <w:t>MH</w:t>
            </w:r>
          </w:p>
        </w:tc>
        <w:tc>
          <w:tcPr>
            <w:tcW w:w="1785" w:type="dxa"/>
            <w:tcBorders>
              <w:top w:val="nil"/>
              <w:left w:val="nil"/>
              <w:bottom w:val="single" w:sz="4" w:space="0" w:color="auto"/>
              <w:right w:val="nil"/>
            </w:tcBorders>
          </w:tcPr>
          <w:p w:rsidR="00684D95" w:rsidRPr="00684D95" w:rsidRDefault="00C455B4" w:rsidP="00473762">
            <w:pPr>
              <w:pStyle w:val="Tablehead2"/>
              <w:jc w:val="center"/>
            </w:pPr>
            <w:r>
              <w:t>p-value</w:t>
            </w:r>
          </w:p>
        </w:tc>
      </w:tr>
      <w:tr w:rsidR="00684D95" w:rsidRPr="00504868" w:rsidTr="00473762">
        <w:trPr>
          <w:cantSplit/>
        </w:trPr>
        <w:tc>
          <w:tcPr>
            <w:tcW w:w="1649" w:type="dxa"/>
            <w:tcBorders>
              <w:top w:val="single" w:sz="4" w:space="0" w:color="auto"/>
              <w:bottom w:val="nil"/>
              <w:right w:val="nil"/>
            </w:tcBorders>
          </w:tcPr>
          <w:p w:rsidR="00684D95" w:rsidRPr="00684D95" w:rsidRDefault="00684D95" w:rsidP="007D510F">
            <w:pPr>
              <w:pStyle w:val="Tabletext"/>
            </w:pPr>
            <w:r w:rsidRPr="00684D95">
              <w:t>1</w:t>
            </w:r>
          </w:p>
        </w:tc>
        <w:tc>
          <w:tcPr>
            <w:tcW w:w="1785" w:type="dxa"/>
            <w:tcBorders>
              <w:top w:val="single" w:sz="4" w:space="0" w:color="auto"/>
              <w:bottom w:val="nil"/>
              <w:right w:val="nil"/>
            </w:tcBorders>
          </w:tcPr>
          <w:p w:rsidR="00684D95" w:rsidRPr="00684D95" w:rsidRDefault="00684D95" w:rsidP="00473762">
            <w:pPr>
              <w:pStyle w:val="Tabletext"/>
              <w:tabs>
                <w:tab w:val="decimal" w:pos="765"/>
              </w:tabs>
            </w:pPr>
            <w:r w:rsidRPr="00684D95">
              <w:t>21.37</w:t>
            </w:r>
          </w:p>
        </w:tc>
        <w:tc>
          <w:tcPr>
            <w:tcW w:w="1785" w:type="dxa"/>
            <w:tcBorders>
              <w:top w:val="single" w:sz="4" w:space="0" w:color="auto"/>
              <w:bottom w:val="nil"/>
              <w:right w:val="nil"/>
            </w:tcBorders>
          </w:tcPr>
          <w:p w:rsidR="00684D95" w:rsidRPr="00684D95" w:rsidRDefault="00684D95" w:rsidP="00473762">
            <w:pPr>
              <w:pStyle w:val="Tabletext"/>
              <w:tabs>
                <w:tab w:val="decimal" w:pos="652"/>
              </w:tabs>
            </w:pPr>
            <w:r w:rsidRPr="00684D95">
              <w:t>0.000</w:t>
            </w:r>
          </w:p>
        </w:tc>
        <w:tc>
          <w:tcPr>
            <w:tcW w:w="1785" w:type="dxa"/>
            <w:tcBorders>
              <w:top w:val="single" w:sz="4" w:space="0" w:color="auto"/>
              <w:left w:val="nil"/>
              <w:bottom w:val="nil"/>
              <w:right w:val="nil"/>
            </w:tcBorders>
          </w:tcPr>
          <w:p w:rsidR="00684D95" w:rsidRPr="00684D95" w:rsidRDefault="00684D95" w:rsidP="00473762">
            <w:pPr>
              <w:pStyle w:val="Tabletext"/>
              <w:tabs>
                <w:tab w:val="decimal" w:pos="709"/>
              </w:tabs>
            </w:pPr>
            <w:r>
              <w:t>5.07</w:t>
            </w:r>
          </w:p>
        </w:tc>
        <w:tc>
          <w:tcPr>
            <w:tcW w:w="1785" w:type="dxa"/>
            <w:tcBorders>
              <w:top w:val="single" w:sz="4" w:space="0" w:color="auto"/>
              <w:left w:val="nil"/>
              <w:bottom w:val="nil"/>
              <w:right w:val="nil"/>
            </w:tcBorders>
          </w:tcPr>
          <w:p w:rsidR="00684D95" w:rsidRPr="00684D95" w:rsidRDefault="00684D95" w:rsidP="00473762">
            <w:pPr>
              <w:pStyle w:val="Tabletext"/>
              <w:tabs>
                <w:tab w:val="decimal" w:pos="652"/>
              </w:tabs>
            </w:pPr>
            <w:r>
              <w:t>0.000</w:t>
            </w:r>
          </w:p>
        </w:tc>
      </w:tr>
      <w:tr w:rsidR="00684D95" w:rsidRPr="00504868" w:rsidTr="00473762">
        <w:trPr>
          <w:cantSplit/>
        </w:trPr>
        <w:tc>
          <w:tcPr>
            <w:tcW w:w="1649" w:type="dxa"/>
            <w:tcBorders>
              <w:top w:val="nil"/>
              <w:bottom w:val="nil"/>
              <w:right w:val="nil"/>
            </w:tcBorders>
          </w:tcPr>
          <w:p w:rsidR="00684D95" w:rsidRPr="00684D95" w:rsidRDefault="00684D95" w:rsidP="007D510F">
            <w:pPr>
              <w:pStyle w:val="Tabletext"/>
            </w:pPr>
            <w:r w:rsidRPr="00684D95">
              <w:t>1.5</w:t>
            </w:r>
          </w:p>
        </w:tc>
        <w:tc>
          <w:tcPr>
            <w:tcW w:w="1785" w:type="dxa"/>
            <w:tcBorders>
              <w:top w:val="nil"/>
              <w:bottom w:val="nil"/>
              <w:right w:val="nil"/>
            </w:tcBorders>
          </w:tcPr>
          <w:p w:rsidR="00684D95" w:rsidRPr="00684D95" w:rsidRDefault="00684D95" w:rsidP="00473762">
            <w:pPr>
              <w:pStyle w:val="Tabletext"/>
              <w:tabs>
                <w:tab w:val="decimal" w:pos="765"/>
              </w:tabs>
            </w:pPr>
            <w:r w:rsidRPr="00684D95">
              <w:t>16.55</w:t>
            </w:r>
          </w:p>
        </w:tc>
        <w:tc>
          <w:tcPr>
            <w:tcW w:w="1785" w:type="dxa"/>
            <w:tcBorders>
              <w:top w:val="nil"/>
              <w:bottom w:val="nil"/>
              <w:right w:val="nil"/>
            </w:tcBorders>
          </w:tcPr>
          <w:p w:rsidR="00684D95" w:rsidRPr="00684D95" w:rsidRDefault="00684D95" w:rsidP="00473762">
            <w:pPr>
              <w:pStyle w:val="Tabletext"/>
              <w:tabs>
                <w:tab w:val="decimal" w:pos="652"/>
              </w:tabs>
            </w:pPr>
            <w:r w:rsidRPr="00684D95">
              <w:t>0.000</w:t>
            </w:r>
          </w:p>
        </w:tc>
        <w:tc>
          <w:tcPr>
            <w:tcW w:w="1785" w:type="dxa"/>
            <w:tcBorders>
              <w:top w:val="nil"/>
              <w:left w:val="nil"/>
              <w:bottom w:val="nil"/>
              <w:right w:val="nil"/>
            </w:tcBorders>
          </w:tcPr>
          <w:p w:rsidR="00684D95" w:rsidRPr="00684D95" w:rsidRDefault="00684D95" w:rsidP="00473762">
            <w:pPr>
              <w:pStyle w:val="Tabletext"/>
              <w:tabs>
                <w:tab w:val="decimal" w:pos="709"/>
              </w:tabs>
            </w:pPr>
            <w:r w:rsidRPr="00684D95">
              <w:t>1.</w:t>
            </w:r>
            <w:r>
              <w:t>31</w:t>
            </w:r>
          </w:p>
        </w:tc>
        <w:tc>
          <w:tcPr>
            <w:tcW w:w="1785" w:type="dxa"/>
            <w:tcBorders>
              <w:top w:val="nil"/>
              <w:left w:val="nil"/>
              <w:bottom w:val="nil"/>
              <w:right w:val="nil"/>
            </w:tcBorders>
          </w:tcPr>
          <w:p w:rsidR="00684D95" w:rsidRPr="00684D95" w:rsidRDefault="00684D95" w:rsidP="00473762">
            <w:pPr>
              <w:pStyle w:val="Tabletext"/>
              <w:tabs>
                <w:tab w:val="decimal" w:pos="652"/>
              </w:tabs>
            </w:pPr>
            <w:r>
              <w:t>0.094</w:t>
            </w:r>
          </w:p>
        </w:tc>
      </w:tr>
      <w:tr w:rsidR="00684D95" w:rsidRPr="00504868" w:rsidTr="00473762">
        <w:trPr>
          <w:cantSplit/>
        </w:trPr>
        <w:tc>
          <w:tcPr>
            <w:tcW w:w="1649" w:type="dxa"/>
            <w:tcBorders>
              <w:top w:val="nil"/>
              <w:bottom w:val="nil"/>
              <w:right w:val="nil"/>
            </w:tcBorders>
          </w:tcPr>
          <w:p w:rsidR="00684D95" w:rsidRPr="00684D95" w:rsidRDefault="00684D95" w:rsidP="007D510F">
            <w:pPr>
              <w:pStyle w:val="Tabletext"/>
            </w:pPr>
            <w:r w:rsidRPr="00684D95">
              <w:t>2</w:t>
            </w:r>
          </w:p>
        </w:tc>
        <w:tc>
          <w:tcPr>
            <w:tcW w:w="1785" w:type="dxa"/>
            <w:tcBorders>
              <w:top w:val="nil"/>
              <w:bottom w:val="nil"/>
              <w:right w:val="nil"/>
            </w:tcBorders>
          </w:tcPr>
          <w:p w:rsidR="00684D95" w:rsidRPr="00684D95" w:rsidRDefault="00684D95" w:rsidP="00473762">
            <w:pPr>
              <w:pStyle w:val="Tabletext"/>
              <w:tabs>
                <w:tab w:val="decimal" w:pos="765"/>
              </w:tabs>
            </w:pPr>
            <w:r w:rsidRPr="00684D95">
              <w:t>13.41</w:t>
            </w:r>
          </w:p>
        </w:tc>
        <w:tc>
          <w:tcPr>
            <w:tcW w:w="1785" w:type="dxa"/>
            <w:tcBorders>
              <w:top w:val="nil"/>
              <w:bottom w:val="nil"/>
              <w:right w:val="nil"/>
            </w:tcBorders>
          </w:tcPr>
          <w:p w:rsidR="00684D95" w:rsidRPr="00684D95" w:rsidRDefault="00684D95" w:rsidP="00473762">
            <w:pPr>
              <w:pStyle w:val="Tabletext"/>
              <w:tabs>
                <w:tab w:val="decimal" w:pos="652"/>
              </w:tabs>
            </w:pPr>
            <w:r w:rsidRPr="00684D95">
              <w:t>0.000</w:t>
            </w:r>
          </w:p>
        </w:tc>
        <w:tc>
          <w:tcPr>
            <w:tcW w:w="1785" w:type="dxa"/>
            <w:tcBorders>
              <w:top w:val="nil"/>
              <w:left w:val="nil"/>
              <w:bottom w:val="nil"/>
              <w:right w:val="nil"/>
            </w:tcBorders>
          </w:tcPr>
          <w:p w:rsidR="00684D95" w:rsidRPr="00684D95" w:rsidRDefault="00684D95" w:rsidP="00473762">
            <w:pPr>
              <w:pStyle w:val="Tabletext"/>
              <w:tabs>
                <w:tab w:val="decimal" w:pos="709"/>
              </w:tabs>
            </w:pPr>
            <w:r>
              <w:t>1.22</w:t>
            </w:r>
          </w:p>
        </w:tc>
        <w:tc>
          <w:tcPr>
            <w:tcW w:w="1785" w:type="dxa"/>
            <w:tcBorders>
              <w:top w:val="nil"/>
              <w:left w:val="nil"/>
              <w:bottom w:val="nil"/>
              <w:right w:val="nil"/>
            </w:tcBorders>
          </w:tcPr>
          <w:p w:rsidR="00684D95" w:rsidRPr="00684D95" w:rsidRDefault="00684D95" w:rsidP="00473762">
            <w:pPr>
              <w:pStyle w:val="Tabletext"/>
              <w:tabs>
                <w:tab w:val="decimal" w:pos="652"/>
              </w:tabs>
            </w:pPr>
            <w:r>
              <w:t>0.110</w:t>
            </w:r>
          </w:p>
        </w:tc>
      </w:tr>
      <w:tr w:rsidR="00C455B4" w:rsidRPr="00504868" w:rsidTr="00473762">
        <w:trPr>
          <w:cantSplit/>
        </w:trPr>
        <w:tc>
          <w:tcPr>
            <w:tcW w:w="1649" w:type="dxa"/>
            <w:tcBorders>
              <w:top w:val="nil"/>
              <w:bottom w:val="nil"/>
              <w:right w:val="nil"/>
            </w:tcBorders>
          </w:tcPr>
          <w:p w:rsidR="00C455B4" w:rsidRPr="00684D95" w:rsidRDefault="00C455B4" w:rsidP="007D510F">
            <w:pPr>
              <w:pStyle w:val="Tabletext"/>
            </w:pPr>
            <w:r>
              <w:t>2.5</w:t>
            </w:r>
          </w:p>
        </w:tc>
        <w:tc>
          <w:tcPr>
            <w:tcW w:w="1785" w:type="dxa"/>
            <w:tcBorders>
              <w:top w:val="nil"/>
              <w:bottom w:val="nil"/>
              <w:right w:val="nil"/>
            </w:tcBorders>
          </w:tcPr>
          <w:p w:rsidR="00C455B4" w:rsidRPr="00684D95" w:rsidRDefault="00C455B4" w:rsidP="00473762">
            <w:pPr>
              <w:pStyle w:val="Tabletext"/>
              <w:tabs>
                <w:tab w:val="decimal" w:pos="765"/>
              </w:tabs>
            </w:pPr>
            <w:r>
              <w:t>11.21</w:t>
            </w:r>
          </w:p>
        </w:tc>
        <w:tc>
          <w:tcPr>
            <w:tcW w:w="1785" w:type="dxa"/>
            <w:tcBorders>
              <w:top w:val="nil"/>
              <w:bottom w:val="nil"/>
              <w:right w:val="nil"/>
            </w:tcBorders>
          </w:tcPr>
          <w:p w:rsidR="00C455B4" w:rsidRPr="00684D95" w:rsidRDefault="00C455B4" w:rsidP="00473762">
            <w:pPr>
              <w:pStyle w:val="Tabletext"/>
              <w:tabs>
                <w:tab w:val="decimal" w:pos="652"/>
              </w:tabs>
            </w:pPr>
            <w:r>
              <w:t>0.000</w:t>
            </w:r>
          </w:p>
        </w:tc>
        <w:tc>
          <w:tcPr>
            <w:tcW w:w="1785" w:type="dxa"/>
            <w:tcBorders>
              <w:top w:val="nil"/>
              <w:left w:val="nil"/>
              <w:bottom w:val="nil"/>
              <w:right w:val="nil"/>
            </w:tcBorders>
          </w:tcPr>
          <w:p w:rsidR="00C455B4" w:rsidRDefault="00C455B4" w:rsidP="00473762">
            <w:pPr>
              <w:pStyle w:val="Tabletext"/>
              <w:tabs>
                <w:tab w:val="decimal" w:pos="709"/>
              </w:tabs>
            </w:pPr>
            <w:r>
              <w:t>0.53</w:t>
            </w:r>
          </w:p>
        </w:tc>
        <w:tc>
          <w:tcPr>
            <w:tcW w:w="1785" w:type="dxa"/>
            <w:tcBorders>
              <w:top w:val="nil"/>
              <w:left w:val="nil"/>
              <w:bottom w:val="nil"/>
              <w:right w:val="nil"/>
            </w:tcBorders>
          </w:tcPr>
          <w:p w:rsidR="00C455B4" w:rsidRDefault="005A2560" w:rsidP="00473762">
            <w:pPr>
              <w:pStyle w:val="Tabletext"/>
              <w:tabs>
                <w:tab w:val="decimal" w:pos="652"/>
              </w:tabs>
            </w:pPr>
            <w:r>
              <w:t>0.299</w:t>
            </w:r>
          </w:p>
        </w:tc>
      </w:tr>
      <w:tr w:rsidR="00C455B4" w:rsidRPr="00504868" w:rsidTr="00473762">
        <w:trPr>
          <w:cantSplit/>
        </w:trPr>
        <w:tc>
          <w:tcPr>
            <w:tcW w:w="1649" w:type="dxa"/>
            <w:tcBorders>
              <w:top w:val="nil"/>
              <w:bottom w:val="single" w:sz="4" w:space="0" w:color="auto"/>
              <w:right w:val="nil"/>
            </w:tcBorders>
          </w:tcPr>
          <w:p w:rsidR="00C455B4" w:rsidRPr="00684D95" w:rsidRDefault="00C455B4" w:rsidP="007D510F">
            <w:pPr>
              <w:pStyle w:val="Tabletext"/>
            </w:pPr>
            <w:r>
              <w:t>3</w:t>
            </w:r>
          </w:p>
        </w:tc>
        <w:tc>
          <w:tcPr>
            <w:tcW w:w="1785" w:type="dxa"/>
            <w:tcBorders>
              <w:top w:val="nil"/>
              <w:bottom w:val="single" w:sz="4" w:space="0" w:color="auto"/>
              <w:right w:val="nil"/>
            </w:tcBorders>
          </w:tcPr>
          <w:p w:rsidR="00C455B4" w:rsidRPr="00684D95" w:rsidRDefault="00C455B4" w:rsidP="00473762">
            <w:pPr>
              <w:pStyle w:val="Tabletext"/>
              <w:tabs>
                <w:tab w:val="decimal" w:pos="765"/>
              </w:tabs>
            </w:pPr>
            <w:r>
              <w:t>9.35</w:t>
            </w:r>
          </w:p>
        </w:tc>
        <w:tc>
          <w:tcPr>
            <w:tcW w:w="1785" w:type="dxa"/>
            <w:tcBorders>
              <w:top w:val="nil"/>
              <w:bottom w:val="single" w:sz="4" w:space="0" w:color="auto"/>
              <w:right w:val="nil"/>
            </w:tcBorders>
          </w:tcPr>
          <w:p w:rsidR="00C455B4" w:rsidRPr="00684D95" w:rsidRDefault="00C455B4" w:rsidP="00473762">
            <w:pPr>
              <w:pStyle w:val="Tabletext"/>
              <w:tabs>
                <w:tab w:val="decimal" w:pos="652"/>
              </w:tabs>
            </w:pPr>
            <w:r>
              <w:t>0.000</w:t>
            </w:r>
          </w:p>
        </w:tc>
        <w:tc>
          <w:tcPr>
            <w:tcW w:w="1785" w:type="dxa"/>
            <w:tcBorders>
              <w:top w:val="nil"/>
              <w:left w:val="nil"/>
              <w:bottom w:val="single" w:sz="4" w:space="0" w:color="auto"/>
              <w:right w:val="nil"/>
            </w:tcBorders>
          </w:tcPr>
          <w:p w:rsidR="00C455B4" w:rsidRDefault="00C455B4" w:rsidP="00473762">
            <w:pPr>
              <w:pStyle w:val="Tabletext"/>
              <w:tabs>
                <w:tab w:val="decimal" w:pos="709"/>
              </w:tabs>
            </w:pPr>
            <w:r>
              <w:t>0.09</w:t>
            </w:r>
          </w:p>
        </w:tc>
        <w:tc>
          <w:tcPr>
            <w:tcW w:w="1785" w:type="dxa"/>
            <w:tcBorders>
              <w:top w:val="nil"/>
              <w:left w:val="nil"/>
              <w:bottom w:val="single" w:sz="4" w:space="0" w:color="auto"/>
              <w:right w:val="nil"/>
            </w:tcBorders>
          </w:tcPr>
          <w:p w:rsidR="00C455B4" w:rsidRDefault="005A2560" w:rsidP="00473762">
            <w:pPr>
              <w:pStyle w:val="Tabletext"/>
              <w:tabs>
                <w:tab w:val="decimal" w:pos="652"/>
              </w:tabs>
            </w:pPr>
            <w:r>
              <w:t>0.426</w:t>
            </w:r>
          </w:p>
        </w:tc>
      </w:tr>
    </w:tbl>
    <w:p w:rsidR="00684D95" w:rsidRPr="002D1DA4" w:rsidRDefault="00684D95" w:rsidP="00473762">
      <w:pPr>
        <w:pStyle w:val="Textmorebefore"/>
      </w:pPr>
      <w:r w:rsidRPr="002D1DA4">
        <w:t>It is not possible to estimate the magnitude of any unobservable selection effect or correct the estimate for any such effect.</w:t>
      </w:r>
      <w:r w:rsidR="00C158DE">
        <w:t xml:space="preserve"> </w:t>
      </w:r>
      <w:r w:rsidRPr="002D1DA4">
        <w:t>A sensitivity analysis leaves the point estimates unaffected. By the same token, sensitivity analysis is not a test of the cond</w:t>
      </w:r>
      <w:r w:rsidR="00853266">
        <w:t>itional independence assumption:</w:t>
      </w:r>
      <w:r w:rsidRPr="002D1DA4">
        <w:t xml:space="preserve"> whether there are any omitted factors that affect selection into treatment or the outcome.</w:t>
      </w:r>
      <w:r w:rsidR="00C158DE">
        <w:t xml:space="preserve"> </w:t>
      </w:r>
      <w:r w:rsidR="00FD16F4">
        <w:t>In respect of not-at-</w:t>
      </w:r>
      <w:r w:rsidRPr="002D1DA4">
        <w:t>school students</w:t>
      </w:r>
      <w:r w:rsidR="00FD16F4">
        <w:t>,</w:t>
      </w:r>
      <w:r w:rsidRPr="002D1DA4">
        <w:t xml:space="preserve"> all we can say</w:t>
      </w:r>
      <w:r w:rsidR="00236DC9">
        <w:t xml:space="preserve"> is</w:t>
      </w:r>
      <w:r w:rsidRPr="002D1DA4">
        <w:t xml:space="preserve"> that the evidence in favour of a positive treatment effect is </w:t>
      </w:r>
      <w:r w:rsidR="008D4703">
        <w:t>robust:</w:t>
      </w:r>
      <w:r w:rsidRPr="002D1DA4">
        <w:t xml:space="preserve"> insensitive to an omitted factor even if it has a large influence</w:t>
      </w:r>
      <w:r w:rsidR="00236DC9">
        <w:t xml:space="preserve"> on</w:t>
      </w:r>
      <w:r w:rsidRPr="002D1DA4">
        <w:t xml:space="preserve"> the selection into treatment.</w:t>
      </w:r>
      <w:r w:rsidR="00C158DE">
        <w:t xml:space="preserve"> </w:t>
      </w:r>
      <w:r w:rsidR="00FD16F4">
        <w:t>In the case of at-</w:t>
      </w:r>
      <w:r w:rsidRPr="002D1DA4">
        <w:t>school students</w:t>
      </w:r>
      <w:r w:rsidR="00FD16F4">
        <w:t>,</w:t>
      </w:r>
      <w:r w:rsidRPr="002D1DA4">
        <w:t xml:space="preserve"> the opposite result was obtained. The inference that treatment has a positive effect is sensitive to omitted factors. </w:t>
      </w:r>
      <w:r w:rsidR="005A2560">
        <w:t>Since we cannot exclude this possibility</w:t>
      </w:r>
      <w:r w:rsidR="00853266">
        <w:t>, we</w:t>
      </w:r>
      <w:r w:rsidRPr="002D1DA4">
        <w:t xml:space="preserve"> cannot be confident that th</w:t>
      </w:r>
      <w:r w:rsidR="00EB0555">
        <w:t>ere is indeed a positive effect</w:t>
      </w:r>
      <w:r w:rsidR="00135A0F">
        <w:t>.</w:t>
      </w:r>
      <w:r w:rsidR="00EB0555">
        <w:t xml:space="preserve"> </w:t>
      </w:r>
    </w:p>
    <w:p w:rsidR="00684D95" w:rsidRPr="006D14FF" w:rsidRDefault="00684D95" w:rsidP="006D14FF">
      <w:pPr>
        <w:pStyle w:val="Text"/>
      </w:pPr>
    </w:p>
    <w:p w:rsidR="00727B95" w:rsidRDefault="00727B95">
      <w:pPr>
        <w:spacing w:before="0" w:line="240" w:lineRule="auto"/>
        <w:rPr>
          <w:rFonts w:ascii="Tahoma" w:hAnsi="Tahoma" w:cs="Tahoma"/>
          <w:color w:val="000000"/>
          <w:kern w:val="28"/>
          <w:sz w:val="56"/>
          <w:szCs w:val="56"/>
        </w:rPr>
      </w:pPr>
      <w:r>
        <w:br w:type="page"/>
      </w:r>
    </w:p>
    <w:p w:rsidR="00161E46" w:rsidRDefault="00684D95" w:rsidP="00684D95">
      <w:pPr>
        <w:pStyle w:val="Heading1"/>
      </w:pPr>
      <w:bookmarkStart w:id="73" w:name="_Toc338161258"/>
      <w:r>
        <w:lastRenderedPageBreak/>
        <w:t>Conclusions</w:t>
      </w:r>
      <w:bookmarkEnd w:id="73"/>
    </w:p>
    <w:p w:rsidR="00684D95" w:rsidRPr="002D1DA4" w:rsidRDefault="00684D95" w:rsidP="00C904DF">
      <w:pPr>
        <w:pStyle w:val="Text"/>
      </w:pPr>
      <w:r w:rsidRPr="002D1DA4">
        <w:t>As noted in the introduction</w:t>
      </w:r>
      <w:r w:rsidR="00CD6527">
        <w:t>,</w:t>
      </w:r>
      <w:r w:rsidRPr="002D1DA4">
        <w:t xml:space="preserve"> there has been a renewed interest in pre-apprenticeships as a pathway to apprenticeship</w:t>
      </w:r>
      <w:r w:rsidR="00853266">
        <w:t>s</w:t>
      </w:r>
      <w:r w:rsidR="00CD6527">
        <w:t>,</w:t>
      </w:r>
      <w:r w:rsidRPr="002D1DA4">
        <w:t xml:space="preserve"> and the number of pre-apprenticeship students has increased markedly in recent times. In Western Australia there are no </w:t>
      </w:r>
      <w:r w:rsidR="008D4703">
        <w:t>fewer</w:t>
      </w:r>
      <w:r w:rsidRPr="002D1DA4">
        <w:t xml:space="preserve"> than 70 VET courses designated as pre-apprenticeship courses available both to students in general and to </w:t>
      </w:r>
      <w:r w:rsidR="00853266">
        <w:t>those</w:t>
      </w:r>
      <w:r w:rsidRPr="002D1DA4">
        <w:t xml:space="preserve"> still at school. However, in the data used for this study pre-apprenticeship courses account for less than 2</w:t>
      </w:r>
      <w:r w:rsidR="00C158DE">
        <w:t>%</w:t>
      </w:r>
      <w:r w:rsidRPr="002D1DA4">
        <w:t xml:space="preserve"> of the total VET enrol</w:t>
      </w:r>
      <w:r w:rsidR="004C56B6">
        <w:t>ment</w:t>
      </w:r>
      <w:r w:rsidR="008D4703">
        <w:t>,</w:t>
      </w:r>
      <w:r w:rsidR="004C56B6">
        <w:t xml:space="preserve"> and only 7</w:t>
      </w:r>
      <w:r w:rsidR="00C158DE">
        <w:t>%</w:t>
      </w:r>
      <w:r w:rsidR="004C56B6">
        <w:t xml:space="preserve"> of commencing </w:t>
      </w:r>
      <w:r w:rsidRPr="002D1DA4">
        <w:t xml:space="preserve">apprentices have </w:t>
      </w:r>
      <w:r w:rsidR="008D4703">
        <w:t>undertaken</w:t>
      </w:r>
      <w:r w:rsidRPr="002D1DA4">
        <w:t xml:space="preserve"> a pre-apprenticeship</w:t>
      </w:r>
      <w:r w:rsidR="00020832">
        <w:t xml:space="preserve"> </w:t>
      </w:r>
      <w:r w:rsidRPr="002D1DA4">
        <w:t xml:space="preserve">course. </w:t>
      </w:r>
    </w:p>
    <w:p w:rsidR="00684D95" w:rsidRPr="002D1DA4" w:rsidRDefault="00684D95" w:rsidP="00C904DF">
      <w:pPr>
        <w:pStyle w:val="Text"/>
      </w:pPr>
      <w:r>
        <w:t>Using matching methods</w:t>
      </w:r>
      <w:r w:rsidR="008D4703">
        <w:t>,</w:t>
      </w:r>
      <w:r>
        <w:t xml:space="preserve"> this paper estimates the effect of pre-apprenticeships on the </w:t>
      </w:r>
      <w:r w:rsidR="00853266">
        <w:t>principal indicator of outcomes —</w:t>
      </w:r>
      <w:r>
        <w:t xml:space="preserve"> whether a pre-apprenticeship increase</w:t>
      </w:r>
      <w:r w:rsidR="001D77E7">
        <w:t>s</w:t>
      </w:r>
      <w:r>
        <w:t xml:space="preserve"> </w:t>
      </w:r>
      <w:r w:rsidR="00853266">
        <w:t xml:space="preserve">a </w:t>
      </w:r>
      <w:r>
        <w:t>student</w:t>
      </w:r>
      <w:r w:rsidR="00D6113B">
        <w:t>’</w:t>
      </w:r>
      <w:r w:rsidR="00853266">
        <w:t>s</w:t>
      </w:r>
      <w:r>
        <w:t xml:space="preserve"> chances of getting an apprenticeship. </w:t>
      </w:r>
      <w:r w:rsidR="00CD6527">
        <w:t>In the case of not-at-</w:t>
      </w:r>
      <w:r w:rsidRPr="002D1DA4">
        <w:t>school students</w:t>
      </w:r>
      <w:r w:rsidR="00CD6527">
        <w:t>,</w:t>
      </w:r>
      <w:r w:rsidRPr="002D1DA4">
        <w:t xml:space="preserve"> the point estimate suggests that the effect of a pre-apprenticeship is to increase their chance of getting an apprenticeship by about 11 percentage points</w:t>
      </w:r>
      <w:r w:rsidR="008D4703">
        <w:t>,</w:t>
      </w:r>
      <w:r w:rsidR="009358AC">
        <w:t xml:space="preserve"> from 12 to 23</w:t>
      </w:r>
      <w:proofErr w:type="gramStart"/>
      <w:r w:rsidR="00C158DE">
        <w:t>%</w:t>
      </w:r>
      <w:r w:rsidRPr="002D1DA4">
        <w:t xml:space="preserve">, </w:t>
      </w:r>
      <w:r w:rsidR="008D4703">
        <w:t>that</w:t>
      </w:r>
      <w:proofErr w:type="gramEnd"/>
      <w:r w:rsidR="008D4703">
        <w:t xml:space="preserve"> is, </w:t>
      </w:r>
      <w:r w:rsidRPr="002D1DA4">
        <w:t>roughly doubling their chances.</w:t>
      </w:r>
      <w:r w:rsidR="00C158DE">
        <w:t xml:space="preserve"> </w:t>
      </w:r>
      <w:r w:rsidR="00CD6527">
        <w:t>For at-</w:t>
      </w:r>
      <w:r w:rsidRPr="002D1DA4">
        <w:t>school students</w:t>
      </w:r>
      <w:r w:rsidR="00CD6527">
        <w:t>,</w:t>
      </w:r>
      <w:r w:rsidRPr="002D1DA4">
        <w:t xml:space="preserve"> the</w:t>
      </w:r>
      <w:r w:rsidR="008D4703">
        <w:t xml:space="preserve"> percentage</w:t>
      </w:r>
      <w:r w:rsidRPr="002D1DA4">
        <w:t xml:space="preserve"> estimates are smaller but the proportionate effect, an approximate doubling, the same. These point estimates, however, are conditional on an independence assumption that is unlikely to hold. Examining the sensitivity of</w:t>
      </w:r>
      <w:r w:rsidR="00080BA8">
        <w:t xml:space="preserve"> the results to this assumption</w:t>
      </w:r>
      <w:r w:rsidR="00CD6527">
        <w:t>,</w:t>
      </w:r>
      <w:r w:rsidR="00080BA8">
        <w:t xml:space="preserve"> </w:t>
      </w:r>
      <w:r w:rsidRPr="002D1DA4">
        <w:t>it was found</w:t>
      </w:r>
      <w:r w:rsidR="00CD6527">
        <w:t xml:space="preserve"> that the result for the not-at-</w:t>
      </w:r>
      <w:r w:rsidRPr="002D1DA4">
        <w:t>school students was not sensitive to the independence assumption. That is, even though the point estimate may be subject to a positive bias, we could reject the hypothesis that a pre-apprenticeship has a zero effect.</w:t>
      </w:r>
      <w:r w:rsidR="00C158DE">
        <w:t xml:space="preserve"> </w:t>
      </w:r>
      <w:r w:rsidR="00CD6527">
        <w:t>The results for at-</w:t>
      </w:r>
      <w:r w:rsidRPr="002D1DA4">
        <w:t>school students were much more sensitive to the independence assumption and we were unable to infer that the effect is positive with any degree of confidence.</w:t>
      </w:r>
    </w:p>
    <w:p w:rsidR="00684D95" w:rsidRPr="002D1DA4" w:rsidRDefault="00684D95" w:rsidP="00C904DF">
      <w:pPr>
        <w:pStyle w:val="Text"/>
      </w:pPr>
      <w:r w:rsidRPr="002D1DA4">
        <w:t xml:space="preserve">The weak findings raise the question </w:t>
      </w:r>
      <w:r w:rsidR="008D4703">
        <w:t xml:space="preserve">of </w:t>
      </w:r>
      <w:r w:rsidRPr="002D1DA4">
        <w:t xml:space="preserve">whether stronger results could </w:t>
      </w:r>
      <w:r w:rsidR="00CD6527">
        <w:t xml:space="preserve">have </w:t>
      </w:r>
      <w:r w:rsidRPr="002D1DA4">
        <w:t>be</w:t>
      </w:r>
      <w:r w:rsidR="00CD6527">
        <w:t>en</w:t>
      </w:r>
      <w:r w:rsidRPr="002D1DA4">
        <w:t xml:space="preserve"> obtained if more and better data </w:t>
      </w:r>
      <w:r w:rsidR="0036407D">
        <w:t>had</w:t>
      </w:r>
      <w:r w:rsidR="007C2195">
        <w:t xml:space="preserve"> been</w:t>
      </w:r>
      <w:r w:rsidRPr="002D1DA4">
        <w:t xml:space="preserve"> available. Since the aim of pre-apprenticeship</w:t>
      </w:r>
      <w:r>
        <w:t xml:space="preserve"> students</w:t>
      </w:r>
      <w:r w:rsidRPr="002D1DA4">
        <w:t xml:space="preserve"> is to get an apprenticeship, whether they do is a</w:t>
      </w:r>
      <w:r w:rsidR="004C5FA3">
        <w:t>n obvious indicator of success.</w:t>
      </w:r>
      <w:r w:rsidRPr="002D1DA4">
        <w:t xml:space="preserve"> But </w:t>
      </w:r>
      <w:r>
        <w:t>it is the use of this indicator that creates an identification problem.</w:t>
      </w:r>
      <w:r w:rsidR="00C158DE">
        <w:t xml:space="preserve"> </w:t>
      </w:r>
      <w:r w:rsidRPr="002D1DA4">
        <w:t>Only those who wish to get an apprenticeship, but have not been able to get one, are going to do a pre-apprenticeship. Pre-apprentices are a selected group, and their selection is based on their common aim to get an apprenticeship</w:t>
      </w:r>
      <w:r w:rsidR="008D4703">
        <w:t>,</w:t>
      </w:r>
      <w:r w:rsidRPr="002D1DA4">
        <w:t xml:space="preserve"> which in turn is shaped by unobservable factors. Because of that</w:t>
      </w:r>
      <w:r w:rsidR="00853266">
        <w:t>,</w:t>
      </w:r>
      <w:r w:rsidRPr="002D1DA4">
        <w:t xml:space="preserve"> they will always be more successful in getting an apprenticeship than </w:t>
      </w:r>
      <w:r w:rsidR="008D4703">
        <w:t>individuals</w:t>
      </w:r>
      <w:r w:rsidRPr="002D1DA4">
        <w:t xml:space="preserve"> who have no desire to do so.</w:t>
      </w:r>
    </w:p>
    <w:p w:rsidR="00684D95" w:rsidRPr="002D1DA4" w:rsidRDefault="00684D95" w:rsidP="00C904DF">
      <w:pPr>
        <w:pStyle w:val="Text"/>
      </w:pPr>
      <w:r w:rsidRPr="002D1DA4">
        <w:t xml:space="preserve">It follows that apprentices </w:t>
      </w:r>
      <w:r w:rsidR="007C2195">
        <w:t>constitute</w:t>
      </w:r>
      <w:r w:rsidRPr="002D1DA4">
        <w:t xml:space="preserve"> the only control group that might satisfy the</w:t>
      </w:r>
      <w:r w:rsidR="00C158DE">
        <w:t xml:space="preserve"> </w:t>
      </w:r>
      <w:r w:rsidRPr="002D1DA4">
        <w:t xml:space="preserve">assumption required </w:t>
      </w:r>
      <w:r w:rsidR="004C5FA3">
        <w:t>to identify a treatment effect; only apprentices</w:t>
      </w:r>
      <w:r w:rsidRPr="002D1DA4">
        <w:t xml:space="preserve"> have the same (unobservable) pref</w:t>
      </w:r>
      <w:r w:rsidR="008D4703">
        <w:t>erences as pre-apprentices —</w:t>
      </w:r>
      <w:r w:rsidRPr="002D1DA4">
        <w:t xml:space="preserve"> a wish to do an apprenticeship. Thus, one approach is to view pre-apprenticeships as being one</w:t>
      </w:r>
      <w:r w:rsidR="008D4703">
        <w:t xml:space="preserve"> of two ways of joining a trade,</w:t>
      </w:r>
      <w:r w:rsidRPr="002D1DA4">
        <w:t xml:space="preserve"> the other being starting an apprenticeship without first undertaking a pre-apprenticeship course. One could then use the matched survival (in the combined pre- and apprenticeships) analysis to follow the two group</w:t>
      </w:r>
      <w:r w:rsidR="008D4703">
        <w:t>s over time to estimate the pre-</w:t>
      </w:r>
      <w:r w:rsidRPr="002D1DA4">
        <w:t>a</w:t>
      </w:r>
      <w:r w:rsidR="008D4703">
        <w:t>pprenticeship treatment effect —</w:t>
      </w:r>
      <w:r w:rsidRPr="002D1DA4">
        <w:t xml:space="preserve"> whether students who</w:t>
      </w:r>
      <w:r w:rsidR="001D77E7">
        <w:t xml:space="preserve"> have</w:t>
      </w:r>
      <w:r w:rsidRPr="002D1DA4">
        <w:t xml:space="preserve"> done a pre-apprenticeship survive longer than those who go d</w:t>
      </w:r>
      <w:r w:rsidR="004C5FA3">
        <w:t>irectly into an apprenticeship.</w:t>
      </w:r>
      <w:r w:rsidRPr="002D1DA4">
        <w:t xml:space="preserve"> In the limit, this reduces to a comparison of the apprentice completion rates.</w:t>
      </w:r>
      <w:r w:rsidR="004C5FA3">
        <w:t xml:space="preserve"> </w:t>
      </w:r>
      <w:r w:rsidR="001D77E7">
        <w:t>Given the low transition rate</w:t>
      </w:r>
      <w:r w:rsidRPr="002D1DA4">
        <w:t xml:space="preserve"> from pre-appr</w:t>
      </w:r>
      <w:r w:rsidR="001D77E7">
        <w:t>enticeship to apprenticeship</w:t>
      </w:r>
      <w:r w:rsidRPr="002D1DA4">
        <w:t xml:space="preserve"> noted in this p</w:t>
      </w:r>
      <w:r w:rsidR="005A2560">
        <w:t>aper</w:t>
      </w:r>
      <w:r w:rsidR="001D77E7">
        <w:t>,</w:t>
      </w:r>
      <w:r w:rsidR="005A2560">
        <w:t xml:space="preserve"> such an analysis is likely to</w:t>
      </w:r>
      <w:r w:rsidRPr="002D1DA4">
        <w:t xml:space="preserve"> show that </w:t>
      </w:r>
      <w:r w:rsidR="00135A0F">
        <w:t xml:space="preserve">a </w:t>
      </w:r>
      <w:r w:rsidRPr="002D1DA4">
        <w:t>pre-apprenticeship has a negative effect on the survival rate.</w:t>
      </w:r>
      <w:r w:rsidR="00C158DE">
        <w:t xml:space="preserve"> </w:t>
      </w:r>
    </w:p>
    <w:p w:rsidR="00684D95" w:rsidRPr="00684D95" w:rsidRDefault="00684D95" w:rsidP="00684D95">
      <w:pPr>
        <w:pStyle w:val="Text"/>
      </w:pPr>
    </w:p>
    <w:p w:rsidR="00161E46" w:rsidRDefault="00727B95" w:rsidP="00727B95">
      <w:pPr>
        <w:pStyle w:val="Heading1"/>
      </w:pPr>
      <w:bookmarkStart w:id="74" w:name="_Toc338161259"/>
      <w:r>
        <w:lastRenderedPageBreak/>
        <w:t>References</w:t>
      </w:r>
      <w:bookmarkEnd w:id="74"/>
    </w:p>
    <w:p w:rsidR="00727B95" w:rsidRDefault="00727B95" w:rsidP="00786E21">
      <w:pPr>
        <w:pStyle w:val="References"/>
      </w:pPr>
      <w:proofErr w:type="spellStart"/>
      <w:r>
        <w:t>Ainley</w:t>
      </w:r>
      <w:proofErr w:type="spellEnd"/>
      <w:r>
        <w:t xml:space="preserve">, J </w:t>
      </w:r>
      <w:r w:rsidR="00E21B8A">
        <w:t>&amp;</w:t>
      </w:r>
      <w:r w:rsidR="008D4703">
        <w:t xml:space="preserve"> Fordham, A</w:t>
      </w:r>
      <w:r>
        <w:t xml:space="preserve"> 1979, </w:t>
      </w:r>
      <w:proofErr w:type="gramStart"/>
      <w:r w:rsidRPr="008D4703">
        <w:rPr>
          <w:i/>
        </w:rPr>
        <w:t>Between</w:t>
      </w:r>
      <w:proofErr w:type="gramEnd"/>
      <w:r w:rsidRPr="008D4703">
        <w:rPr>
          <w:i/>
        </w:rPr>
        <w:t xml:space="preserve"> school and adult life: an approach to the evaluation of pre-vocational education in TAFE</w:t>
      </w:r>
      <w:r>
        <w:t xml:space="preserve">, </w:t>
      </w:r>
      <w:r w:rsidR="008D4703">
        <w:t>ACER, Melbourne.</w:t>
      </w:r>
      <w:r>
        <w:t xml:space="preserve"> </w:t>
      </w:r>
    </w:p>
    <w:p w:rsidR="00727B95" w:rsidRDefault="00727B95" w:rsidP="00786E21">
      <w:pPr>
        <w:pStyle w:val="References"/>
      </w:pPr>
      <w:r>
        <w:t>Australian Apprenticeship A</w:t>
      </w:r>
      <w:r w:rsidR="004C2698">
        <w:t xml:space="preserve">dvisory Committee 1975, </w:t>
      </w:r>
      <w:r w:rsidR="00D6113B">
        <w:t>‘</w:t>
      </w:r>
      <w:r w:rsidR="004C2698">
        <w:t>Pre-a</w:t>
      </w:r>
      <w:r>
        <w:t>pprenticeship training</w:t>
      </w:r>
      <w:r w:rsidR="00D6113B">
        <w:t>’</w:t>
      </w:r>
      <w:r>
        <w:t xml:space="preserve">, Melbourne. </w:t>
      </w:r>
    </w:p>
    <w:p w:rsidR="00727B95" w:rsidRDefault="004C2698" w:rsidP="00786E21">
      <w:pPr>
        <w:pStyle w:val="References"/>
      </w:pPr>
      <w:r>
        <w:t>Becker, S</w:t>
      </w:r>
      <w:r w:rsidR="00727B95">
        <w:t xml:space="preserve">O </w:t>
      </w:r>
      <w:r w:rsidR="00E21B8A">
        <w:t>&amp;</w:t>
      </w:r>
      <w:r>
        <w:t xml:space="preserve"> </w:t>
      </w:r>
      <w:proofErr w:type="spellStart"/>
      <w:r>
        <w:t>Caliendo</w:t>
      </w:r>
      <w:proofErr w:type="spellEnd"/>
      <w:r>
        <w:t xml:space="preserve">, M 2007, </w:t>
      </w:r>
      <w:r w:rsidR="00D6113B">
        <w:t>‘</w:t>
      </w:r>
      <w:proofErr w:type="spellStart"/>
      <w:r>
        <w:t>mhbounds</w:t>
      </w:r>
      <w:proofErr w:type="spellEnd"/>
      <w:r>
        <w:t xml:space="preserve"> </w:t>
      </w:r>
      <w:r w:rsidR="00853266">
        <w:t>—</w:t>
      </w:r>
      <w:r>
        <w:t xml:space="preserve"> s</w:t>
      </w:r>
      <w:r w:rsidR="00727B95">
        <w:t xml:space="preserve">ensitivity analysis for average </w:t>
      </w:r>
      <w:r>
        <w:t>treatment effects</w:t>
      </w:r>
      <w:r w:rsidR="00D6113B">
        <w:t>’</w:t>
      </w:r>
      <w:r>
        <w:t>, Discussion p</w:t>
      </w:r>
      <w:r w:rsidR="00727B95">
        <w:t>aper 959, German Institute for Economic Research, Berlin.</w:t>
      </w:r>
    </w:p>
    <w:p w:rsidR="009E3C59" w:rsidRDefault="009E3C59" w:rsidP="009E3C59">
      <w:pPr>
        <w:pStyle w:val="References"/>
      </w:pPr>
      <w:proofErr w:type="spellStart"/>
      <w:proofErr w:type="gramStart"/>
      <w:r>
        <w:t>Birkin</w:t>
      </w:r>
      <w:proofErr w:type="spellEnd"/>
      <w:r>
        <w:t>, K &amp; Daniels, R 1981,</w:t>
      </w:r>
      <w:r w:rsidR="00D6113B">
        <w:t xml:space="preserve"> ‘</w:t>
      </w:r>
      <w:r>
        <w:t xml:space="preserve">The </w:t>
      </w:r>
      <w:r w:rsidR="00853266">
        <w:t>pre apprenticeship review</w:t>
      </w:r>
      <w:r w:rsidR="00D6113B">
        <w:t>’</w:t>
      </w:r>
      <w:r>
        <w:t>, Sydney Technical College, Sydney.</w:t>
      </w:r>
      <w:proofErr w:type="gramEnd"/>
    </w:p>
    <w:p w:rsidR="00727B95" w:rsidRDefault="004C2698" w:rsidP="00786E21">
      <w:pPr>
        <w:pStyle w:val="References"/>
      </w:pPr>
      <w:proofErr w:type="spellStart"/>
      <w:r>
        <w:t>Brindley</w:t>
      </w:r>
      <w:proofErr w:type="spellEnd"/>
      <w:r>
        <w:t>, T 1976</w:t>
      </w:r>
      <w:r w:rsidR="00727B95">
        <w:t xml:space="preserve">, </w:t>
      </w:r>
      <w:proofErr w:type="gramStart"/>
      <w:r w:rsidR="00727B95" w:rsidRPr="0099172F">
        <w:rPr>
          <w:i/>
        </w:rPr>
        <w:t>A</w:t>
      </w:r>
      <w:proofErr w:type="gramEnd"/>
      <w:r w:rsidR="00727B95" w:rsidRPr="0099172F">
        <w:rPr>
          <w:i/>
        </w:rPr>
        <w:t xml:space="preserve"> </w:t>
      </w:r>
      <w:r w:rsidRPr="0099172F">
        <w:rPr>
          <w:i/>
        </w:rPr>
        <w:t xml:space="preserve">report on pre-apprenticeship training </w:t>
      </w:r>
      <w:r w:rsidR="00E21B8A" w:rsidRPr="0099172F">
        <w:rPr>
          <w:i/>
        </w:rPr>
        <w:t>in Western Australia</w:t>
      </w:r>
      <w:r w:rsidR="00E21B8A">
        <w:t>,</w:t>
      </w:r>
      <w:r w:rsidR="00727B95">
        <w:t xml:space="preserve"> Department of Education,</w:t>
      </w:r>
      <w:r w:rsidR="00E21B8A">
        <w:t xml:space="preserve"> </w:t>
      </w:r>
      <w:r w:rsidR="00727B95">
        <w:t>Perth.</w:t>
      </w:r>
    </w:p>
    <w:p w:rsidR="00727B95" w:rsidRDefault="00727B95" w:rsidP="00786E21">
      <w:pPr>
        <w:pStyle w:val="References"/>
      </w:pPr>
      <w:proofErr w:type="spellStart"/>
      <w:r>
        <w:t>Caliendo</w:t>
      </w:r>
      <w:proofErr w:type="spellEnd"/>
      <w:r>
        <w:t xml:space="preserve">, M </w:t>
      </w:r>
      <w:r w:rsidR="00E21B8A">
        <w:t>&amp;</w:t>
      </w:r>
      <w:r>
        <w:t xml:space="preserve"> </w:t>
      </w:r>
      <w:proofErr w:type="spellStart"/>
      <w:r>
        <w:t>Kopeinig</w:t>
      </w:r>
      <w:proofErr w:type="spellEnd"/>
      <w:r>
        <w:t xml:space="preserve">, S 2008, </w:t>
      </w:r>
      <w:r w:rsidR="00D6113B">
        <w:t>‘</w:t>
      </w:r>
      <w:r>
        <w:t>Some practical guidance for the implementation of propensity score matching</w:t>
      </w:r>
      <w:r w:rsidR="00D6113B">
        <w:t>’</w:t>
      </w:r>
      <w:r>
        <w:t xml:space="preserve">, </w:t>
      </w:r>
      <w:r w:rsidRPr="00E21B8A">
        <w:rPr>
          <w:i/>
        </w:rPr>
        <w:t>Journal of Economic Surveys</w:t>
      </w:r>
      <w:r>
        <w:t>,</w:t>
      </w:r>
      <w:r w:rsidR="00C158DE">
        <w:t xml:space="preserve"> </w:t>
      </w:r>
      <w:r>
        <w:t>vol</w:t>
      </w:r>
      <w:r w:rsidR="00E21B8A">
        <w:t>.</w:t>
      </w:r>
      <w:r w:rsidR="004C2698">
        <w:t>22, no.1, pp.31—</w:t>
      </w:r>
      <w:r>
        <w:t>72.</w:t>
      </w:r>
    </w:p>
    <w:p w:rsidR="00727B95" w:rsidRDefault="00727B95" w:rsidP="00786E21">
      <w:pPr>
        <w:pStyle w:val="References"/>
      </w:pPr>
      <w:proofErr w:type="spellStart"/>
      <w:proofErr w:type="gramStart"/>
      <w:r>
        <w:t>Dumbrell</w:t>
      </w:r>
      <w:proofErr w:type="spellEnd"/>
      <w:r>
        <w:t xml:space="preserve">, T </w:t>
      </w:r>
      <w:r w:rsidR="00E21B8A">
        <w:t>&amp;</w:t>
      </w:r>
      <w:r w:rsidR="009E3C59">
        <w:t xml:space="preserve"> Smith, E </w:t>
      </w:r>
      <w:r>
        <w:t xml:space="preserve">2007, </w:t>
      </w:r>
      <w:r w:rsidRPr="009E3C59">
        <w:rPr>
          <w:i/>
        </w:rPr>
        <w:t>Pre-apprenticeships in three key trades</w:t>
      </w:r>
      <w:r>
        <w:t>, NCVER, Adelaide.</w:t>
      </w:r>
      <w:proofErr w:type="gramEnd"/>
      <w:r>
        <w:t xml:space="preserve"> </w:t>
      </w:r>
    </w:p>
    <w:p w:rsidR="00727B95" w:rsidRDefault="009E3C59" w:rsidP="00786E21">
      <w:pPr>
        <w:pStyle w:val="References"/>
      </w:pPr>
      <w:proofErr w:type="gramStart"/>
      <w:r>
        <w:t>Foley, P</w:t>
      </w:r>
      <w:r w:rsidR="00727B95">
        <w:t xml:space="preserve"> </w:t>
      </w:r>
      <w:r w:rsidR="00E21B8A">
        <w:t>&amp;</w:t>
      </w:r>
      <w:r>
        <w:t xml:space="preserve"> Blomberg, D</w:t>
      </w:r>
      <w:r w:rsidR="00727B95">
        <w:t xml:space="preserve"> 2011, </w:t>
      </w:r>
      <w:r w:rsidR="00727B95" w:rsidRPr="009E3C59">
        <w:rPr>
          <w:i/>
        </w:rPr>
        <w:t>Pre-apprenticeship training activity</w:t>
      </w:r>
      <w:r w:rsidR="00727B95">
        <w:t>, NCVER, Adelaide</w:t>
      </w:r>
      <w:r>
        <w:t>.</w:t>
      </w:r>
      <w:proofErr w:type="gramEnd"/>
      <w:r w:rsidR="00727B95">
        <w:t xml:space="preserve"> </w:t>
      </w:r>
    </w:p>
    <w:p w:rsidR="00727B95" w:rsidRDefault="00727B95" w:rsidP="00786E21">
      <w:pPr>
        <w:pStyle w:val="References"/>
      </w:pPr>
      <w:proofErr w:type="spellStart"/>
      <w:proofErr w:type="gramStart"/>
      <w:r>
        <w:t>Imbens</w:t>
      </w:r>
      <w:proofErr w:type="spellEnd"/>
      <w:r>
        <w:t xml:space="preserve">, G </w:t>
      </w:r>
      <w:r w:rsidR="00E21B8A">
        <w:t xml:space="preserve">&amp; </w:t>
      </w:r>
      <w:r>
        <w:t xml:space="preserve">Wooldridge, JM 2008, </w:t>
      </w:r>
      <w:r w:rsidR="00D6113B">
        <w:t>‘</w:t>
      </w:r>
      <w:r>
        <w:t>Recent development in the econometrics of p</w:t>
      </w:r>
      <w:r w:rsidR="009E3C59">
        <w:t>rogram evaluation</w:t>
      </w:r>
      <w:r w:rsidR="00D6113B">
        <w:t>’</w:t>
      </w:r>
      <w:r w:rsidR="009E3C59">
        <w:t>, Discussion p</w:t>
      </w:r>
      <w:r>
        <w:t>aper 3640, IZA, Bonn.</w:t>
      </w:r>
      <w:proofErr w:type="gramEnd"/>
    </w:p>
    <w:p w:rsidR="00727B95" w:rsidRDefault="00727B95" w:rsidP="00786E21">
      <w:pPr>
        <w:pStyle w:val="References"/>
      </w:pPr>
      <w:proofErr w:type="gramStart"/>
      <w:r>
        <w:t xml:space="preserve">Karmel, Y </w:t>
      </w:r>
      <w:r w:rsidR="00553D48">
        <w:t>&amp;</w:t>
      </w:r>
      <w:r>
        <w:t xml:space="preserve"> Oliver, D 2011, </w:t>
      </w:r>
      <w:r w:rsidRPr="0099172F">
        <w:rPr>
          <w:i/>
        </w:rPr>
        <w:t>Pre-apprenticeships and their impact on apprenticeship completion and satisfaction</w:t>
      </w:r>
      <w:r>
        <w:t>, NCVER, Adelaide.</w:t>
      </w:r>
      <w:proofErr w:type="gramEnd"/>
      <w:r>
        <w:t xml:space="preserve"> </w:t>
      </w:r>
    </w:p>
    <w:p w:rsidR="00727B95" w:rsidRDefault="00727B95" w:rsidP="00786E21">
      <w:pPr>
        <w:pStyle w:val="References"/>
      </w:pPr>
      <w:proofErr w:type="spellStart"/>
      <w:r>
        <w:t>Merrilees</w:t>
      </w:r>
      <w:proofErr w:type="spellEnd"/>
      <w:r>
        <w:t xml:space="preserve">, WJ 1983, </w:t>
      </w:r>
      <w:r w:rsidR="00D6113B">
        <w:t>‘</w:t>
      </w:r>
      <w:proofErr w:type="gramStart"/>
      <w:r>
        <w:t>Towards</w:t>
      </w:r>
      <w:proofErr w:type="gramEnd"/>
      <w:r>
        <w:t xml:space="preserve"> an integrated system of vocational training programmes: the youth guarantee concept</w:t>
      </w:r>
      <w:r w:rsidR="00D6113B">
        <w:t>’</w:t>
      </w:r>
      <w:r>
        <w:t xml:space="preserve">, </w:t>
      </w:r>
      <w:r w:rsidRPr="00553D48">
        <w:rPr>
          <w:i/>
        </w:rPr>
        <w:t>Journal of Industrial Relations</w:t>
      </w:r>
      <w:r>
        <w:t>, vol.25, no.4, pp</w:t>
      </w:r>
      <w:r w:rsidR="0099172F">
        <w:t>.465—</w:t>
      </w:r>
      <w:r>
        <w:t>84.</w:t>
      </w:r>
    </w:p>
    <w:p w:rsidR="00727B95" w:rsidRDefault="00727B95" w:rsidP="00786E21">
      <w:pPr>
        <w:pStyle w:val="References"/>
      </w:pPr>
      <w:r>
        <w:t xml:space="preserve">National Training Council 1985, </w:t>
      </w:r>
      <w:r w:rsidRPr="009E3C59">
        <w:rPr>
          <w:i/>
        </w:rPr>
        <w:t>Trade based pre-employment courses: a discussion paper</w:t>
      </w:r>
      <w:r>
        <w:t xml:space="preserve">, AGPS, Canberra. </w:t>
      </w:r>
    </w:p>
    <w:p w:rsidR="00EC0C9D" w:rsidRDefault="00432402" w:rsidP="00786E21">
      <w:pPr>
        <w:pStyle w:val="References"/>
      </w:pPr>
      <w:proofErr w:type="gramStart"/>
      <w:r>
        <w:t xml:space="preserve">NCVER </w:t>
      </w:r>
      <w:r w:rsidR="009E3C59">
        <w:t xml:space="preserve">(National Centre for Vocational Education Research) </w:t>
      </w:r>
      <w:r>
        <w:t xml:space="preserve">2010, </w:t>
      </w:r>
      <w:r w:rsidRPr="009E3C59">
        <w:rPr>
          <w:i/>
        </w:rPr>
        <w:t>Historical time series of apprenticeships and traineeships in Australia from 1963</w:t>
      </w:r>
      <w:r>
        <w:t>,</w:t>
      </w:r>
      <w:r w:rsidR="00EC0C9D">
        <w:t xml:space="preserve"> NCVER, Adelaide.</w:t>
      </w:r>
      <w:proofErr w:type="gramEnd"/>
    </w:p>
    <w:p w:rsidR="00727B95" w:rsidRDefault="009E3C59" w:rsidP="009E3C59">
      <w:pPr>
        <w:pStyle w:val="References"/>
        <w:ind w:left="0" w:firstLine="0"/>
      </w:pPr>
      <w:proofErr w:type="gramStart"/>
      <w:r>
        <w:t>——</w:t>
      </w:r>
      <w:r w:rsidR="00727B95">
        <w:t xml:space="preserve">2011, </w:t>
      </w:r>
      <w:r w:rsidR="00727B95" w:rsidRPr="009E3C59">
        <w:rPr>
          <w:i/>
        </w:rPr>
        <w:t>Overview of the Australian appren</w:t>
      </w:r>
      <w:r w:rsidR="009358AC">
        <w:rPr>
          <w:i/>
        </w:rPr>
        <w:t>ticeship and traineeship system</w:t>
      </w:r>
      <w:r w:rsidR="00727B95">
        <w:t xml:space="preserve">, </w:t>
      </w:r>
      <w:r w:rsidR="009358AC">
        <w:t>DEEWR, Canberra, viewed October 2012, http://www.australianapprenticeships.gov.au/documents/NCVERReport1.pdf&gt;</w:t>
      </w:r>
      <w:r w:rsidR="0099172F">
        <w:t>.</w:t>
      </w:r>
      <w:proofErr w:type="gramEnd"/>
    </w:p>
    <w:p w:rsidR="00727B95" w:rsidRDefault="00727B95" w:rsidP="00786E21">
      <w:pPr>
        <w:pStyle w:val="References"/>
      </w:pPr>
      <w:r>
        <w:t xml:space="preserve">Putt, M 1978, </w:t>
      </w:r>
      <w:r w:rsidR="00D6113B">
        <w:t>‘</w:t>
      </w:r>
      <w:r>
        <w:t>Survey of 1978 pre-apprenticeship students in N.S.W. technical colleges</w:t>
      </w:r>
      <w:r w:rsidR="00D6113B">
        <w:t>’</w:t>
      </w:r>
      <w:r>
        <w:t>, New South Wales</w:t>
      </w:r>
      <w:r w:rsidR="00553D48">
        <w:t>,</w:t>
      </w:r>
      <w:r>
        <w:t xml:space="preserve"> Department of Technical and Further Education</w:t>
      </w:r>
      <w:r w:rsidR="00553D48">
        <w:t>,</w:t>
      </w:r>
      <w:r>
        <w:t xml:space="preserve"> Sydney.</w:t>
      </w:r>
    </w:p>
    <w:p w:rsidR="00727B95" w:rsidRDefault="00727B95" w:rsidP="00786E21">
      <w:pPr>
        <w:pStyle w:val="References"/>
      </w:pPr>
      <w:r>
        <w:t>Technical Education Branch</w:t>
      </w:r>
      <w:r w:rsidR="004A7E8F">
        <w:t xml:space="preserve"> &amp;</w:t>
      </w:r>
      <w:r>
        <w:t xml:space="preserve"> Department of Labour Relations</w:t>
      </w:r>
      <w:r w:rsidR="004A7E8F">
        <w:t xml:space="preserve"> (Queensland)</w:t>
      </w:r>
      <w:r>
        <w:t xml:space="preserve"> 1978, </w:t>
      </w:r>
      <w:r w:rsidR="00D6113B">
        <w:t>‘</w:t>
      </w:r>
      <w:r>
        <w:t xml:space="preserve">A </w:t>
      </w:r>
      <w:r w:rsidR="004A7E8F">
        <w:t xml:space="preserve">review of the merits of the pre-vocational (trade-based) course piloted </w:t>
      </w:r>
      <w:r>
        <w:t>at Cairns, Bundaberg and Eagle Farm Colleges of Technical and Further Education in 1977</w:t>
      </w:r>
      <w:r w:rsidR="00D6113B">
        <w:t>’</w:t>
      </w:r>
      <w:r>
        <w:t>, Brisbane.</w:t>
      </w:r>
    </w:p>
    <w:p w:rsidR="00727B95" w:rsidRDefault="00727B95" w:rsidP="00786E21">
      <w:pPr>
        <w:pStyle w:val="References"/>
      </w:pPr>
      <w:r>
        <w:t>Rosenbaum, P 1995</w:t>
      </w:r>
      <w:r w:rsidR="004A7E8F">
        <w:rPr>
          <w:i/>
        </w:rPr>
        <w:t>, Observational s</w:t>
      </w:r>
      <w:r w:rsidRPr="00553D48">
        <w:rPr>
          <w:i/>
        </w:rPr>
        <w:t>tudies</w:t>
      </w:r>
      <w:r>
        <w:t xml:space="preserve">, Springer </w:t>
      </w:r>
      <w:proofErr w:type="spellStart"/>
      <w:r>
        <w:t>Verlag</w:t>
      </w:r>
      <w:proofErr w:type="spellEnd"/>
      <w:r>
        <w:t>, New York.</w:t>
      </w:r>
    </w:p>
    <w:p w:rsidR="006B0105" w:rsidRPr="006B0105" w:rsidRDefault="00D6113B" w:rsidP="00786E21">
      <w:pPr>
        <w:pStyle w:val="References"/>
      </w:pPr>
      <w:proofErr w:type="gramStart"/>
      <w:r>
        <w:t xml:space="preserve">Rosenbaum, P </w:t>
      </w:r>
      <w:r w:rsidR="006B0105">
        <w:t xml:space="preserve">&amp; Rubin, D 1983, </w:t>
      </w:r>
      <w:r>
        <w:t>‘</w:t>
      </w:r>
      <w:r w:rsidR="006B0105">
        <w:t>The central role of the propensity score in observational studies for causal effects</w:t>
      </w:r>
      <w:r>
        <w:t>’</w:t>
      </w:r>
      <w:r w:rsidR="006B0105">
        <w:t xml:space="preserve">, </w:t>
      </w:r>
      <w:proofErr w:type="spellStart"/>
      <w:r w:rsidR="006B0105">
        <w:rPr>
          <w:i/>
        </w:rPr>
        <w:t>Biometrika</w:t>
      </w:r>
      <w:proofErr w:type="spellEnd"/>
      <w:r w:rsidR="006B0105">
        <w:t>, vol.70, no.1, pp.41—55.</w:t>
      </w:r>
      <w:proofErr w:type="gramEnd"/>
    </w:p>
    <w:p w:rsidR="006B0105" w:rsidRPr="006B0105" w:rsidRDefault="006B0105" w:rsidP="00786E21">
      <w:pPr>
        <w:pStyle w:val="References"/>
      </w:pPr>
      <w:proofErr w:type="gramStart"/>
      <w:r>
        <w:t xml:space="preserve">Toner, P &amp; Woolley, R 2007, </w:t>
      </w:r>
      <w:r>
        <w:rPr>
          <w:i/>
        </w:rPr>
        <w:t>Evaluation of pre-vocational training,</w:t>
      </w:r>
      <w:r>
        <w:t xml:space="preserve"> NSW Board of Vocational Education and Training, Sydney.</w:t>
      </w:r>
      <w:proofErr w:type="gramEnd"/>
    </w:p>
    <w:p w:rsidR="00727B95" w:rsidRPr="00727B95" w:rsidRDefault="00727B95" w:rsidP="00786E21">
      <w:pPr>
        <w:pStyle w:val="References"/>
      </w:pPr>
      <w:r>
        <w:t xml:space="preserve">Williams, B (Chair) 1979, </w:t>
      </w:r>
      <w:r w:rsidRPr="0099172F">
        <w:rPr>
          <w:i/>
        </w:rPr>
        <w:t xml:space="preserve">Education, </w:t>
      </w:r>
      <w:r w:rsidR="004A7E8F" w:rsidRPr="0099172F">
        <w:rPr>
          <w:i/>
        </w:rPr>
        <w:t>training and employment</w:t>
      </w:r>
      <w:r w:rsidRPr="0099172F">
        <w:rPr>
          <w:i/>
        </w:rPr>
        <w:t xml:space="preserve">: </w:t>
      </w:r>
      <w:r w:rsidR="00D6113B">
        <w:rPr>
          <w:i/>
        </w:rPr>
        <w:t>r</w:t>
      </w:r>
      <w:r w:rsidRPr="0099172F">
        <w:rPr>
          <w:i/>
        </w:rPr>
        <w:t>eport of the Committee of Inquiry into Education and Training</w:t>
      </w:r>
      <w:r>
        <w:t>, AGPS, Canberra.</w:t>
      </w:r>
    </w:p>
    <w:bookmarkEnd w:id="62"/>
    <w:bookmarkEnd w:id="17"/>
    <w:bookmarkEnd w:id="18"/>
    <w:bookmarkEnd w:id="19"/>
    <w:bookmarkEnd w:id="20"/>
    <w:p w:rsidR="00DD2B1A" w:rsidRDefault="00DD2B1A">
      <w:pPr>
        <w:spacing w:before="0" w:line="240" w:lineRule="auto"/>
        <w:rPr>
          <w:rFonts w:ascii="Tahoma" w:hAnsi="Tahoma" w:cs="Tahoma"/>
          <w:sz w:val="28"/>
        </w:rPr>
      </w:pPr>
      <w:r>
        <w:rPr>
          <w:rFonts w:ascii="Tahoma" w:hAnsi="Tahoma" w:cs="Tahoma"/>
          <w:sz w:val="28"/>
        </w:rPr>
        <w:br w:type="page"/>
      </w:r>
    </w:p>
    <w:p w:rsidR="00DD2B1A" w:rsidRDefault="00DD2B1A" w:rsidP="00DD2B1A">
      <w:pPr>
        <w:pStyle w:val="Heading1"/>
      </w:pPr>
      <w:bookmarkStart w:id="75" w:name="_Toc316371590"/>
      <w:bookmarkStart w:id="76" w:name="_Toc338161260"/>
      <w:r w:rsidRPr="00DD2B1A">
        <w:lastRenderedPageBreak/>
        <w:t>NVETR Program funding</w:t>
      </w:r>
      <w:bookmarkEnd w:id="75"/>
      <w:bookmarkEnd w:id="76"/>
      <w:r w:rsidRPr="00DD2B1A">
        <w:t xml:space="preserve"> </w:t>
      </w:r>
    </w:p>
    <w:p w:rsidR="007E6664" w:rsidRPr="007E6664" w:rsidRDefault="007E6664" w:rsidP="007E6664">
      <w:pPr>
        <w:pStyle w:val="Text"/>
      </w:pPr>
      <w:r w:rsidRPr="007E6664">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Department of Industry, Innovation, Science, Research and Tertiary Education. </w:t>
      </w:r>
    </w:p>
    <w:p w:rsidR="007E6664" w:rsidRPr="007E6664" w:rsidRDefault="007E6664" w:rsidP="007E6664">
      <w:pPr>
        <w:pStyle w:val="Text"/>
      </w:pPr>
      <w:r w:rsidRPr="007E6664">
        <w:t xml:space="preserve">The NVETRE program is based on priorities approved by ministers with responsibility for vocational education and training. This research aims to improve policy and practice in the VET sector. </w:t>
      </w:r>
      <w:proofErr w:type="gramStart"/>
      <w:r w:rsidRPr="007E6664">
        <w:t>For further information about the program go to the NCVER website &lt;http://www.ncver.edu.au&gt;.</w:t>
      </w:r>
      <w:proofErr w:type="gramEnd"/>
      <w:r w:rsidRPr="007E6664">
        <w:t xml:space="preserve"> The author/project team was funded to undertake this research via a grant under the NVETRE program. These grants are awarded to organisations through a competitive process, in which NCVER does not participate. </w:t>
      </w:r>
    </w:p>
    <w:p w:rsidR="001440D0" w:rsidRPr="001440D0" w:rsidRDefault="001440D0" w:rsidP="007E6664">
      <w:pPr>
        <w:pStyle w:val="Text"/>
      </w:pPr>
    </w:p>
    <w:sectPr w:rsidR="001440D0" w:rsidRPr="001440D0" w:rsidSect="00D12444">
      <w:footerReference w:type="even" r:id="rId15"/>
      <w:footerReference w:type="default" r:id="rId16"/>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6F4" w:rsidRDefault="00FD16F4">
      <w:r>
        <w:separator/>
      </w:r>
    </w:p>
  </w:endnote>
  <w:endnote w:type="continuationSeparator" w:id="0">
    <w:p w:rsidR="00FD16F4" w:rsidRDefault="00FD16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6F4" w:rsidRPr="008C0A74" w:rsidRDefault="004F5037" w:rsidP="00FF5931">
    <w:pPr>
      <w:pStyle w:val="Footer"/>
      <w:tabs>
        <w:tab w:val="clear" w:pos="8505"/>
        <w:tab w:val="right" w:pos="8789"/>
      </w:tabs>
      <w:rPr>
        <w:b/>
      </w:rPr>
    </w:pPr>
    <w:r w:rsidRPr="004F5037">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FD16F4" w:rsidRPr="008C0A74">
      <w:rPr>
        <w:b/>
        <w:color w:val="FFFFFF" w:themeColor="background1"/>
      </w:rPr>
      <w:instrText xml:space="preserve"> PAGE </w:instrText>
    </w:r>
    <w:r w:rsidRPr="008C0A74">
      <w:rPr>
        <w:b/>
        <w:color w:val="FFFFFF" w:themeColor="background1"/>
      </w:rPr>
      <w:fldChar w:fldCharType="separate"/>
    </w:r>
    <w:r w:rsidR="00183228">
      <w:rPr>
        <w:b/>
        <w:noProof/>
        <w:color w:val="FFFFFF" w:themeColor="background1"/>
      </w:rPr>
      <w:t>24</w:t>
    </w:r>
    <w:r w:rsidRPr="008C0A74">
      <w:rPr>
        <w:b/>
        <w:color w:val="FFFFFF" w:themeColor="background1"/>
      </w:rPr>
      <w:fldChar w:fldCharType="end"/>
    </w:r>
    <w:r w:rsidR="00FD16F4" w:rsidRPr="008C0A74">
      <w:rPr>
        <w:b/>
        <w:color w:val="FFFFFF" w:themeColor="background1"/>
      </w:rPr>
      <w:tab/>
    </w:r>
    <w:r w:rsidR="00FD16F4">
      <w:rPr>
        <w:b/>
      </w:rPr>
      <w:t>The effect of a pre-apprenticeship on getting an apprenticeship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6F4" w:rsidRPr="009775C7" w:rsidRDefault="004F5037" w:rsidP="008C0A74">
    <w:pPr>
      <w:pStyle w:val="Footer"/>
      <w:tabs>
        <w:tab w:val="clear" w:pos="8505"/>
        <w:tab w:val="right" w:pos="8789"/>
      </w:tabs>
      <w:rPr>
        <w:color w:val="FFFFFF" w:themeColor="background1"/>
      </w:rPr>
    </w:pPr>
    <w:r w:rsidRPr="004F5037">
      <w:rPr>
        <w:b/>
        <w:noProof/>
        <w:lang w:eastAsia="en-AU"/>
      </w:rPr>
      <w:pict>
        <v:rect id="_x0000_s2052" style="position:absolute;margin-left:425.6pt;margin-top:-2.45pt;width:99pt;height:18.75pt;z-index:-251653120" fillcolor="black [3213]" stroked="f" strokecolor="#bfbfbf [2412]"/>
      </w:pict>
    </w:r>
    <w:r w:rsidR="00FD16F4" w:rsidRPr="009775C7">
      <w:rPr>
        <w:b/>
      </w:rPr>
      <w:t>NCVER</w:t>
    </w:r>
    <w:r w:rsidR="00FD16F4" w:rsidRPr="009775C7">
      <w:tab/>
    </w:r>
    <w:r w:rsidRPr="009775C7">
      <w:rPr>
        <w:rStyle w:val="PageNumber"/>
        <w:rFonts w:cs="Tahoma"/>
        <w:b/>
        <w:color w:val="FFFFFF" w:themeColor="background1"/>
        <w:sz w:val="17"/>
      </w:rPr>
      <w:fldChar w:fldCharType="begin"/>
    </w:r>
    <w:r w:rsidR="00FD16F4"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183228">
      <w:rPr>
        <w:rStyle w:val="PageNumber"/>
        <w:rFonts w:cs="Tahoma"/>
        <w:b/>
        <w:noProof/>
        <w:color w:val="FFFFFF" w:themeColor="background1"/>
        <w:sz w:val="17"/>
      </w:rPr>
      <w:t>25</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6F4" w:rsidRDefault="00FD16F4">
      <w:r>
        <w:separator/>
      </w:r>
    </w:p>
  </w:footnote>
  <w:footnote w:type="continuationSeparator" w:id="0">
    <w:p w:rsidR="00FD16F4" w:rsidRDefault="00FD16F4">
      <w:r>
        <w:continuationSeparator/>
      </w:r>
    </w:p>
  </w:footnote>
  <w:footnote w:id="1">
    <w:p w:rsidR="00FD16F4" w:rsidRDefault="00FD16F4" w:rsidP="00161E46">
      <w:pPr>
        <w:pStyle w:val="FootnoteText"/>
      </w:pPr>
      <w:r>
        <w:rPr>
          <w:rStyle w:val="FootnoteReference"/>
        </w:rPr>
        <w:footnoteRef/>
      </w:r>
      <w:r>
        <w:tab/>
        <w:t>Predictive accuracy refers to the correct classification of cases into treated and controls based on the predictive probabilities.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8"/>
  </w:num>
  <w:num w:numId="5">
    <w:abstractNumId w:val="12"/>
  </w:num>
  <w:num w:numId="6">
    <w:abstractNumId w:val="22"/>
  </w:num>
  <w:num w:numId="7">
    <w:abstractNumId w:val="24"/>
  </w:num>
  <w:num w:numId="8">
    <w:abstractNumId w:val="23"/>
  </w:num>
  <w:num w:numId="9">
    <w:abstractNumId w:val="27"/>
  </w:num>
  <w:num w:numId="10">
    <w:abstractNumId w:val="19"/>
  </w:num>
  <w:num w:numId="11">
    <w:abstractNumId w:val="16"/>
  </w:num>
  <w:num w:numId="12">
    <w:abstractNumId w:val="20"/>
  </w:num>
  <w:num w:numId="13">
    <w:abstractNumId w:val="21"/>
  </w:num>
  <w:num w:numId="14">
    <w:abstractNumId w:val="14"/>
  </w:num>
  <w:num w:numId="15">
    <w:abstractNumId w:val="17"/>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8"/>
  </w:num>
  <w:num w:numId="27">
    <w:abstractNumId w:val="26"/>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930647"/>
    <w:rsid w:val="000108B2"/>
    <w:rsid w:val="00013265"/>
    <w:rsid w:val="0001331D"/>
    <w:rsid w:val="00020832"/>
    <w:rsid w:val="000217C3"/>
    <w:rsid w:val="00022290"/>
    <w:rsid w:val="000315D7"/>
    <w:rsid w:val="000414AD"/>
    <w:rsid w:val="00046EF6"/>
    <w:rsid w:val="00050329"/>
    <w:rsid w:val="00052FAE"/>
    <w:rsid w:val="0006125F"/>
    <w:rsid w:val="00063988"/>
    <w:rsid w:val="000639C2"/>
    <w:rsid w:val="00074BD4"/>
    <w:rsid w:val="0007584A"/>
    <w:rsid w:val="00080BA8"/>
    <w:rsid w:val="000813E3"/>
    <w:rsid w:val="00091816"/>
    <w:rsid w:val="00096227"/>
    <w:rsid w:val="000965AB"/>
    <w:rsid w:val="000967BE"/>
    <w:rsid w:val="00096935"/>
    <w:rsid w:val="000A06B3"/>
    <w:rsid w:val="000A0745"/>
    <w:rsid w:val="000C4A70"/>
    <w:rsid w:val="000D4B15"/>
    <w:rsid w:val="000F2F10"/>
    <w:rsid w:val="000F641C"/>
    <w:rsid w:val="0010761A"/>
    <w:rsid w:val="00116DE7"/>
    <w:rsid w:val="00121FC1"/>
    <w:rsid w:val="00123B5C"/>
    <w:rsid w:val="00135A0F"/>
    <w:rsid w:val="00135C75"/>
    <w:rsid w:val="001440D0"/>
    <w:rsid w:val="00150874"/>
    <w:rsid w:val="001509F3"/>
    <w:rsid w:val="00155839"/>
    <w:rsid w:val="00156670"/>
    <w:rsid w:val="00161E46"/>
    <w:rsid w:val="00173C48"/>
    <w:rsid w:val="00177827"/>
    <w:rsid w:val="001828EB"/>
    <w:rsid w:val="00182BE0"/>
    <w:rsid w:val="00183228"/>
    <w:rsid w:val="00184504"/>
    <w:rsid w:val="00187713"/>
    <w:rsid w:val="00187E05"/>
    <w:rsid w:val="001B0D82"/>
    <w:rsid w:val="001B43CF"/>
    <w:rsid w:val="001B49D3"/>
    <w:rsid w:val="001C6A4B"/>
    <w:rsid w:val="001D06CA"/>
    <w:rsid w:val="001D77E7"/>
    <w:rsid w:val="001F7D84"/>
    <w:rsid w:val="002041C0"/>
    <w:rsid w:val="00213A16"/>
    <w:rsid w:val="002146F7"/>
    <w:rsid w:val="00215404"/>
    <w:rsid w:val="002167C3"/>
    <w:rsid w:val="0022687E"/>
    <w:rsid w:val="00226F02"/>
    <w:rsid w:val="002277A9"/>
    <w:rsid w:val="00233BFA"/>
    <w:rsid w:val="00236DC9"/>
    <w:rsid w:val="00277BC6"/>
    <w:rsid w:val="00284FCB"/>
    <w:rsid w:val="00291839"/>
    <w:rsid w:val="002941A6"/>
    <w:rsid w:val="002B39AD"/>
    <w:rsid w:val="002D28B1"/>
    <w:rsid w:val="002E196B"/>
    <w:rsid w:val="00323C31"/>
    <w:rsid w:val="00327526"/>
    <w:rsid w:val="00334CE3"/>
    <w:rsid w:val="00340B4D"/>
    <w:rsid w:val="00342A9F"/>
    <w:rsid w:val="0034504F"/>
    <w:rsid w:val="00346F59"/>
    <w:rsid w:val="003538AC"/>
    <w:rsid w:val="0036346B"/>
    <w:rsid w:val="0036407D"/>
    <w:rsid w:val="003671D1"/>
    <w:rsid w:val="003778F2"/>
    <w:rsid w:val="00386285"/>
    <w:rsid w:val="00397C94"/>
    <w:rsid w:val="003A18B0"/>
    <w:rsid w:val="003B16DA"/>
    <w:rsid w:val="003B2FD0"/>
    <w:rsid w:val="003B483E"/>
    <w:rsid w:val="003D7D83"/>
    <w:rsid w:val="003E0B96"/>
    <w:rsid w:val="003E4725"/>
    <w:rsid w:val="003E67CB"/>
    <w:rsid w:val="003F07D1"/>
    <w:rsid w:val="003F3390"/>
    <w:rsid w:val="00400BA2"/>
    <w:rsid w:val="00400F63"/>
    <w:rsid w:val="00406C93"/>
    <w:rsid w:val="00416C67"/>
    <w:rsid w:val="00427AB7"/>
    <w:rsid w:val="00430FD7"/>
    <w:rsid w:val="00432402"/>
    <w:rsid w:val="0043465D"/>
    <w:rsid w:val="00457947"/>
    <w:rsid w:val="00473762"/>
    <w:rsid w:val="0048643A"/>
    <w:rsid w:val="0049216E"/>
    <w:rsid w:val="0049453B"/>
    <w:rsid w:val="00494E7C"/>
    <w:rsid w:val="004A7E8F"/>
    <w:rsid w:val="004B488C"/>
    <w:rsid w:val="004C1167"/>
    <w:rsid w:val="004C2698"/>
    <w:rsid w:val="004C4063"/>
    <w:rsid w:val="004C56B6"/>
    <w:rsid w:val="004C5FA3"/>
    <w:rsid w:val="004D0D96"/>
    <w:rsid w:val="004D4802"/>
    <w:rsid w:val="004D53C1"/>
    <w:rsid w:val="004D7CE2"/>
    <w:rsid w:val="004E3C4E"/>
    <w:rsid w:val="004E4593"/>
    <w:rsid w:val="004E7227"/>
    <w:rsid w:val="004F5037"/>
    <w:rsid w:val="00504868"/>
    <w:rsid w:val="0051475C"/>
    <w:rsid w:val="0051582D"/>
    <w:rsid w:val="00520315"/>
    <w:rsid w:val="0052276C"/>
    <w:rsid w:val="00527097"/>
    <w:rsid w:val="00531904"/>
    <w:rsid w:val="00531D67"/>
    <w:rsid w:val="00553D48"/>
    <w:rsid w:val="00553DF9"/>
    <w:rsid w:val="00561022"/>
    <w:rsid w:val="00565EBA"/>
    <w:rsid w:val="00570758"/>
    <w:rsid w:val="00585B31"/>
    <w:rsid w:val="00586313"/>
    <w:rsid w:val="005A2560"/>
    <w:rsid w:val="005B0B5A"/>
    <w:rsid w:val="005B22B1"/>
    <w:rsid w:val="005C277E"/>
    <w:rsid w:val="005C61F8"/>
    <w:rsid w:val="005D194F"/>
    <w:rsid w:val="005E1F23"/>
    <w:rsid w:val="005E40AF"/>
    <w:rsid w:val="005E4764"/>
    <w:rsid w:val="006027A4"/>
    <w:rsid w:val="00614A8B"/>
    <w:rsid w:val="00625A76"/>
    <w:rsid w:val="006275D1"/>
    <w:rsid w:val="00637281"/>
    <w:rsid w:val="00644A21"/>
    <w:rsid w:val="00644CCA"/>
    <w:rsid w:val="006458DD"/>
    <w:rsid w:val="00652973"/>
    <w:rsid w:val="006547A8"/>
    <w:rsid w:val="00656679"/>
    <w:rsid w:val="00671351"/>
    <w:rsid w:val="0067712D"/>
    <w:rsid w:val="00681088"/>
    <w:rsid w:val="00682A97"/>
    <w:rsid w:val="00684D95"/>
    <w:rsid w:val="00696A48"/>
    <w:rsid w:val="00696BF9"/>
    <w:rsid w:val="006B0105"/>
    <w:rsid w:val="006C5BF6"/>
    <w:rsid w:val="006C5DA9"/>
    <w:rsid w:val="006D14FF"/>
    <w:rsid w:val="006D16C7"/>
    <w:rsid w:val="006D68A6"/>
    <w:rsid w:val="006F183C"/>
    <w:rsid w:val="006F5E9E"/>
    <w:rsid w:val="00702D46"/>
    <w:rsid w:val="007037A4"/>
    <w:rsid w:val="00727B95"/>
    <w:rsid w:val="00731053"/>
    <w:rsid w:val="00731EC8"/>
    <w:rsid w:val="007465C6"/>
    <w:rsid w:val="00783F44"/>
    <w:rsid w:val="00786E21"/>
    <w:rsid w:val="0078711C"/>
    <w:rsid w:val="00787494"/>
    <w:rsid w:val="007A2079"/>
    <w:rsid w:val="007B000E"/>
    <w:rsid w:val="007B01E1"/>
    <w:rsid w:val="007C2195"/>
    <w:rsid w:val="007C3281"/>
    <w:rsid w:val="007C50A7"/>
    <w:rsid w:val="007D510F"/>
    <w:rsid w:val="007E0B0D"/>
    <w:rsid w:val="007E2D8C"/>
    <w:rsid w:val="007E6664"/>
    <w:rsid w:val="007F1287"/>
    <w:rsid w:val="00800A2B"/>
    <w:rsid w:val="00806C1C"/>
    <w:rsid w:val="00811090"/>
    <w:rsid w:val="00813CA5"/>
    <w:rsid w:val="0081475E"/>
    <w:rsid w:val="008227AF"/>
    <w:rsid w:val="00824053"/>
    <w:rsid w:val="00826757"/>
    <w:rsid w:val="00833709"/>
    <w:rsid w:val="008406D0"/>
    <w:rsid w:val="00842044"/>
    <w:rsid w:val="00845FAE"/>
    <w:rsid w:val="00852661"/>
    <w:rsid w:val="00853266"/>
    <w:rsid w:val="00854F9E"/>
    <w:rsid w:val="008609C9"/>
    <w:rsid w:val="00866BA0"/>
    <w:rsid w:val="00874DA5"/>
    <w:rsid w:val="008869F2"/>
    <w:rsid w:val="008902A3"/>
    <w:rsid w:val="008923B6"/>
    <w:rsid w:val="00894271"/>
    <w:rsid w:val="008B7278"/>
    <w:rsid w:val="008C0A74"/>
    <w:rsid w:val="008C44F5"/>
    <w:rsid w:val="008D4703"/>
    <w:rsid w:val="008F20BA"/>
    <w:rsid w:val="008F5BAC"/>
    <w:rsid w:val="009003CB"/>
    <w:rsid w:val="00901AA5"/>
    <w:rsid w:val="009058B5"/>
    <w:rsid w:val="00907C72"/>
    <w:rsid w:val="0092104D"/>
    <w:rsid w:val="00923EA4"/>
    <w:rsid w:val="00930647"/>
    <w:rsid w:val="00933317"/>
    <w:rsid w:val="009358AC"/>
    <w:rsid w:val="009461ED"/>
    <w:rsid w:val="009538E6"/>
    <w:rsid w:val="009565EC"/>
    <w:rsid w:val="00956FED"/>
    <w:rsid w:val="0096691B"/>
    <w:rsid w:val="009704E4"/>
    <w:rsid w:val="009775C7"/>
    <w:rsid w:val="0098262C"/>
    <w:rsid w:val="0099172F"/>
    <w:rsid w:val="00992DCC"/>
    <w:rsid w:val="009B72E1"/>
    <w:rsid w:val="009C0C31"/>
    <w:rsid w:val="009C22BE"/>
    <w:rsid w:val="009C2F7A"/>
    <w:rsid w:val="009C4B8B"/>
    <w:rsid w:val="009C552E"/>
    <w:rsid w:val="009E1577"/>
    <w:rsid w:val="009E231A"/>
    <w:rsid w:val="009E2F64"/>
    <w:rsid w:val="009E3C59"/>
    <w:rsid w:val="009E59E8"/>
    <w:rsid w:val="009F4287"/>
    <w:rsid w:val="00A10A6B"/>
    <w:rsid w:val="00A10E2B"/>
    <w:rsid w:val="00A15304"/>
    <w:rsid w:val="00A16A56"/>
    <w:rsid w:val="00A30084"/>
    <w:rsid w:val="00A50895"/>
    <w:rsid w:val="00A73318"/>
    <w:rsid w:val="00A93867"/>
    <w:rsid w:val="00AA125F"/>
    <w:rsid w:val="00AA322D"/>
    <w:rsid w:val="00AA44D4"/>
    <w:rsid w:val="00AB2D17"/>
    <w:rsid w:val="00AC688A"/>
    <w:rsid w:val="00AE08C3"/>
    <w:rsid w:val="00AF1005"/>
    <w:rsid w:val="00B05F5C"/>
    <w:rsid w:val="00B35729"/>
    <w:rsid w:val="00B37FD4"/>
    <w:rsid w:val="00B41272"/>
    <w:rsid w:val="00B412A3"/>
    <w:rsid w:val="00B426FE"/>
    <w:rsid w:val="00B47C20"/>
    <w:rsid w:val="00B545DB"/>
    <w:rsid w:val="00B572ED"/>
    <w:rsid w:val="00B761EA"/>
    <w:rsid w:val="00B7629E"/>
    <w:rsid w:val="00B77043"/>
    <w:rsid w:val="00B801CF"/>
    <w:rsid w:val="00B817EC"/>
    <w:rsid w:val="00B86D06"/>
    <w:rsid w:val="00B87D2C"/>
    <w:rsid w:val="00B9196A"/>
    <w:rsid w:val="00BA287A"/>
    <w:rsid w:val="00BB113D"/>
    <w:rsid w:val="00BB40D6"/>
    <w:rsid w:val="00BC770A"/>
    <w:rsid w:val="00BC7C47"/>
    <w:rsid w:val="00BD357A"/>
    <w:rsid w:val="00BF07D8"/>
    <w:rsid w:val="00BF690E"/>
    <w:rsid w:val="00C053D5"/>
    <w:rsid w:val="00C158DE"/>
    <w:rsid w:val="00C2009A"/>
    <w:rsid w:val="00C3236D"/>
    <w:rsid w:val="00C35504"/>
    <w:rsid w:val="00C37003"/>
    <w:rsid w:val="00C455B4"/>
    <w:rsid w:val="00C54125"/>
    <w:rsid w:val="00C63294"/>
    <w:rsid w:val="00C77DC6"/>
    <w:rsid w:val="00C801DA"/>
    <w:rsid w:val="00C904DF"/>
    <w:rsid w:val="00C926F0"/>
    <w:rsid w:val="00C92712"/>
    <w:rsid w:val="00C9656D"/>
    <w:rsid w:val="00CA02CD"/>
    <w:rsid w:val="00CA4AFC"/>
    <w:rsid w:val="00CC2673"/>
    <w:rsid w:val="00CD20F8"/>
    <w:rsid w:val="00CD5F32"/>
    <w:rsid w:val="00CD6527"/>
    <w:rsid w:val="00D12444"/>
    <w:rsid w:val="00D14DA4"/>
    <w:rsid w:val="00D37BDD"/>
    <w:rsid w:val="00D43B5F"/>
    <w:rsid w:val="00D4407C"/>
    <w:rsid w:val="00D6113B"/>
    <w:rsid w:val="00D806B0"/>
    <w:rsid w:val="00DB0F0B"/>
    <w:rsid w:val="00DB30BC"/>
    <w:rsid w:val="00DB599C"/>
    <w:rsid w:val="00DC5F5C"/>
    <w:rsid w:val="00DD2B1A"/>
    <w:rsid w:val="00DD4C8F"/>
    <w:rsid w:val="00DE2969"/>
    <w:rsid w:val="00DE2C71"/>
    <w:rsid w:val="00DE307E"/>
    <w:rsid w:val="00DF5D16"/>
    <w:rsid w:val="00E06B95"/>
    <w:rsid w:val="00E10FC0"/>
    <w:rsid w:val="00E123CB"/>
    <w:rsid w:val="00E14FA9"/>
    <w:rsid w:val="00E21B8A"/>
    <w:rsid w:val="00E236D0"/>
    <w:rsid w:val="00E30378"/>
    <w:rsid w:val="00E35C74"/>
    <w:rsid w:val="00E35D4E"/>
    <w:rsid w:val="00E365F8"/>
    <w:rsid w:val="00E409DE"/>
    <w:rsid w:val="00E45A10"/>
    <w:rsid w:val="00E52313"/>
    <w:rsid w:val="00E55731"/>
    <w:rsid w:val="00E56EC1"/>
    <w:rsid w:val="00E57478"/>
    <w:rsid w:val="00E67F72"/>
    <w:rsid w:val="00E72647"/>
    <w:rsid w:val="00E81A91"/>
    <w:rsid w:val="00E90070"/>
    <w:rsid w:val="00E95812"/>
    <w:rsid w:val="00E95948"/>
    <w:rsid w:val="00EA0982"/>
    <w:rsid w:val="00EB0555"/>
    <w:rsid w:val="00EB330C"/>
    <w:rsid w:val="00EB3A88"/>
    <w:rsid w:val="00EC0C9D"/>
    <w:rsid w:val="00EC1DD3"/>
    <w:rsid w:val="00EC3FC7"/>
    <w:rsid w:val="00EC623E"/>
    <w:rsid w:val="00ED3E4A"/>
    <w:rsid w:val="00ED4D6D"/>
    <w:rsid w:val="00EE42D9"/>
    <w:rsid w:val="00EE67B3"/>
    <w:rsid w:val="00EE7939"/>
    <w:rsid w:val="00F01915"/>
    <w:rsid w:val="00F05129"/>
    <w:rsid w:val="00F0731A"/>
    <w:rsid w:val="00F128FF"/>
    <w:rsid w:val="00F1570C"/>
    <w:rsid w:val="00F35CB8"/>
    <w:rsid w:val="00F42D0C"/>
    <w:rsid w:val="00F43A69"/>
    <w:rsid w:val="00F60BA5"/>
    <w:rsid w:val="00F93048"/>
    <w:rsid w:val="00F96E2D"/>
    <w:rsid w:val="00FA3CB2"/>
    <w:rsid w:val="00FA79F7"/>
    <w:rsid w:val="00FD16F4"/>
    <w:rsid w:val="00FE1E95"/>
    <w:rsid w:val="00FE3F74"/>
    <w:rsid w:val="00FE4A2D"/>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786E21"/>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E35D4E"/>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customStyle="1" w:styleId="FootnoteTextChar">
    <w:name w:val="Footnote Text Char"/>
    <w:basedOn w:val="DefaultParagraphFont"/>
    <w:link w:val="FootnoteText"/>
    <w:uiPriority w:val="99"/>
    <w:rsid w:val="00161E46"/>
    <w:rPr>
      <w:rFonts w:ascii="Trebuchet MS" w:hAnsi="Trebuchet MS"/>
      <w:sz w:val="16"/>
      <w:lang w:val="en-AU"/>
    </w:rPr>
  </w:style>
  <w:style w:type="character" w:styleId="FootnoteReference">
    <w:name w:val="footnote reference"/>
    <w:uiPriority w:val="99"/>
    <w:semiHidden/>
    <w:unhideWhenUsed/>
    <w:rsid w:val="00161E46"/>
    <w:rPr>
      <w:vertAlign w:val="superscript"/>
    </w:rPr>
  </w:style>
  <w:style w:type="character" w:styleId="CommentReference">
    <w:name w:val="annotation reference"/>
    <w:basedOn w:val="DefaultParagraphFont"/>
    <w:uiPriority w:val="99"/>
    <w:semiHidden/>
    <w:rsid w:val="00702D46"/>
    <w:rPr>
      <w:sz w:val="16"/>
      <w:szCs w:val="16"/>
    </w:rPr>
  </w:style>
  <w:style w:type="paragraph" w:styleId="CommentText">
    <w:name w:val="annotation text"/>
    <w:basedOn w:val="Normal"/>
    <w:link w:val="CommentTextChar"/>
    <w:uiPriority w:val="99"/>
    <w:semiHidden/>
    <w:rsid w:val="00702D46"/>
    <w:pPr>
      <w:spacing w:line="240" w:lineRule="auto"/>
    </w:pPr>
    <w:rPr>
      <w:sz w:val="20"/>
    </w:rPr>
  </w:style>
  <w:style w:type="character" w:customStyle="1" w:styleId="CommentTextChar">
    <w:name w:val="Comment Text Char"/>
    <w:basedOn w:val="DefaultParagraphFont"/>
    <w:link w:val="CommentText"/>
    <w:uiPriority w:val="99"/>
    <w:semiHidden/>
    <w:rsid w:val="00702D46"/>
    <w:rPr>
      <w:rFonts w:ascii="Trebuchet MS" w:hAnsi="Trebuchet MS"/>
      <w:lang w:val="en-AU"/>
    </w:rPr>
  </w:style>
  <w:style w:type="paragraph" w:styleId="CommentSubject">
    <w:name w:val="annotation subject"/>
    <w:basedOn w:val="CommentText"/>
    <w:next w:val="CommentText"/>
    <w:link w:val="CommentSubjectChar"/>
    <w:uiPriority w:val="99"/>
    <w:semiHidden/>
    <w:rsid w:val="00702D46"/>
    <w:rPr>
      <w:b/>
      <w:bCs/>
    </w:rPr>
  </w:style>
  <w:style w:type="character" w:customStyle="1" w:styleId="CommentSubjectChar">
    <w:name w:val="Comment Subject Char"/>
    <w:basedOn w:val="CommentTextChar"/>
    <w:link w:val="CommentSubject"/>
    <w:uiPriority w:val="99"/>
    <w:semiHidden/>
    <w:rsid w:val="00702D46"/>
    <w:rPr>
      <w:b/>
      <w:bCs/>
    </w:rPr>
  </w:style>
  <w:style w:type="paragraph" w:customStyle="1" w:styleId="Textmorebefore">
    <w:name w:val="Text more # before"/>
    <w:basedOn w:val="Text"/>
    <w:uiPriority w:val="1"/>
    <w:qFormat/>
    <w:rsid w:val="00F43A69"/>
    <w:pPr>
      <w:spacing w:before="36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cver.edu.au/research/opportunities.htm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45AC-37CE-40B4-8A55-04BCFE12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7853</Words>
  <Characters>44766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52514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pre-apprenticeship</dc:title>
  <dc:creator>stromback</dc:creator>
  <cp:lastModifiedBy>katrinamatheos</cp:lastModifiedBy>
  <cp:revision>2</cp:revision>
  <cp:lastPrinted>2012-11-14T23:21:00Z</cp:lastPrinted>
  <dcterms:created xsi:type="dcterms:W3CDTF">2013-11-19T23:31:00Z</dcterms:created>
  <dcterms:modified xsi:type="dcterms:W3CDTF">2013-11-19T23:31:00Z</dcterms:modified>
</cp:coreProperties>
</file>