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827" w:rsidRDefault="00177827" w:rsidP="00177827">
      <w:pPr>
        <w:pStyle w:val="PublicationTitle"/>
        <w:spacing w:before="0"/>
      </w:pPr>
      <w:bookmarkStart w:id="0" w:name="_Toc296423677"/>
      <w:bookmarkStart w:id="1" w:name="_Toc296497508"/>
    </w:p>
    <w:p w:rsidR="00177827" w:rsidRDefault="00177827" w:rsidP="00177827">
      <w:pPr>
        <w:pStyle w:val="PublicationTitle"/>
        <w:spacing w:before="0"/>
      </w:pPr>
    </w:p>
    <w:p w:rsidR="00241593" w:rsidRDefault="00177827" w:rsidP="00177827">
      <w:pPr>
        <w:pStyle w:val="PublicationTitle"/>
        <w:spacing w:before="0"/>
        <w:rPr>
          <w:noProof/>
          <w:lang w:val="en-US"/>
        </w:rPr>
      </w:pPr>
      <w:bookmarkStart w:id="2" w:name="_Toc98394872"/>
      <w:r w:rsidRPr="00177827">
        <w:rPr>
          <w:noProof/>
          <w:lang w:eastAsia="en-AU"/>
        </w:rPr>
        <w:drawing>
          <wp:anchor distT="0" distB="0" distL="114300" distR="114300" simplePos="0" relativeHeight="251663360" behindDoc="0" locked="0" layoutInCell="1" allowOverlap="1">
            <wp:simplePos x="0" y="0"/>
            <wp:positionH relativeFrom="page">
              <wp:align>left</wp:align>
            </wp:positionH>
            <wp:positionV relativeFrom="paragraph">
              <wp:posOffset>-1835150</wp:posOffset>
            </wp:positionV>
            <wp:extent cx="2395220" cy="561975"/>
            <wp:effectExtent l="19050" t="0" r="5080" b="0"/>
            <wp:wrapSquare wrapText="bothSides"/>
            <wp:docPr id="2" name="Picture 3" descr="P:\PublicationComponents\logos\NCVER LOGOS\WMF - word\ncver left tab_mon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PublicationComponents\logos\NCVER LOGOS\WMF - word\ncver left tab_mono.wmf"/>
                    <pic:cNvPicPr>
                      <a:picLocks noChangeAspect="1" noChangeArrowheads="1"/>
                    </pic:cNvPicPr>
                  </pic:nvPicPr>
                  <pic:blipFill>
                    <a:blip r:embed="rId8" cstate="print"/>
                    <a:srcRect/>
                    <a:stretch>
                      <a:fillRect/>
                    </a:stretch>
                  </pic:blipFill>
                  <pic:spPr bwMode="auto">
                    <a:xfrm>
                      <a:off x="0" y="0"/>
                      <a:ext cx="2395220" cy="561975"/>
                    </a:xfrm>
                    <a:prstGeom prst="rect">
                      <a:avLst/>
                    </a:prstGeom>
                    <a:noFill/>
                    <a:ln w="9525">
                      <a:noFill/>
                      <a:miter lim="800000"/>
                      <a:headEnd/>
                      <a:tailEnd/>
                    </a:ln>
                  </pic:spPr>
                </pic:pic>
              </a:graphicData>
            </a:graphic>
          </wp:anchor>
        </w:drawing>
      </w:r>
      <w:bookmarkEnd w:id="0"/>
      <w:bookmarkEnd w:id="1"/>
      <w:bookmarkEnd w:id="2"/>
      <w:r w:rsidR="00241593">
        <w:rPr>
          <w:noProof/>
          <w:lang w:val="en-US"/>
        </w:rPr>
        <w:t xml:space="preserve">The challenge of measurement: statistics </w:t>
      </w:r>
      <w:r w:rsidR="00241593">
        <w:rPr>
          <w:noProof/>
          <w:lang w:val="en-US"/>
        </w:rPr>
        <w:br/>
        <w:t>for planning human resource development</w:t>
      </w:r>
    </w:p>
    <w:p w:rsidR="00241593" w:rsidRDefault="00241593" w:rsidP="00241593">
      <w:pPr>
        <w:pStyle w:val="Authors0"/>
      </w:pPr>
      <w:bookmarkStart w:id="3" w:name="_Toc296423678"/>
      <w:bookmarkStart w:id="4" w:name="_Toc296497509"/>
      <w:r>
        <w:t xml:space="preserve">Tom </w:t>
      </w:r>
      <w:proofErr w:type="spellStart"/>
      <w:r>
        <w:t>Karmel</w:t>
      </w:r>
      <w:proofErr w:type="spellEnd"/>
    </w:p>
    <w:bookmarkEnd w:id="3"/>
    <w:bookmarkEnd w:id="4"/>
    <w:p w:rsidR="00241593" w:rsidRPr="00241593" w:rsidRDefault="00241593" w:rsidP="00241593">
      <w:pPr>
        <w:pStyle w:val="Organisation"/>
        <w:rPr>
          <w:color w:val="000000"/>
          <w:lang w:val="en-GB"/>
        </w:rPr>
      </w:pPr>
      <w:r w:rsidRPr="00241593">
        <w:rPr>
          <w:lang w:val="en-GB"/>
        </w:rPr>
        <w:t xml:space="preserve">Paper presented to </w:t>
      </w:r>
      <w:r w:rsidRPr="00241593">
        <w:rPr>
          <w:i/>
          <w:lang w:val="en-GB"/>
        </w:rPr>
        <w:t>Putting skills at the heart of the economy</w:t>
      </w:r>
      <w:r w:rsidRPr="00241593">
        <w:rPr>
          <w:lang w:val="en-GB"/>
        </w:rPr>
        <w:t>, 2011 Skills Australia and Industry Skills Councils joint conference</w:t>
      </w:r>
      <w:r>
        <w:rPr>
          <w:lang w:val="en-GB"/>
        </w:rPr>
        <w:br/>
      </w:r>
    </w:p>
    <w:p w:rsidR="00241593" w:rsidRPr="00241593" w:rsidRDefault="00241593" w:rsidP="00241593">
      <w:pPr>
        <w:widowControl w:val="0"/>
        <w:suppressAutoHyphens/>
        <w:autoSpaceDE w:val="0"/>
        <w:autoSpaceDN w:val="0"/>
        <w:adjustRightInd w:val="0"/>
        <w:spacing w:before="340" w:line="288" w:lineRule="auto"/>
        <w:ind w:left="1701"/>
        <w:textAlignment w:val="center"/>
        <w:rPr>
          <w:rFonts w:ascii="Tahoma" w:hAnsi="Tahoma" w:cs="Tahoma"/>
          <w:color w:val="000000"/>
          <w:sz w:val="24"/>
          <w:lang w:val="en-GB"/>
        </w:rPr>
      </w:pPr>
    </w:p>
    <w:p w:rsidR="00241593" w:rsidRPr="00241593" w:rsidRDefault="00241593" w:rsidP="00241593">
      <w:pPr>
        <w:widowControl w:val="0"/>
        <w:suppressAutoHyphens/>
        <w:autoSpaceDE w:val="0"/>
        <w:autoSpaceDN w:val="0"/>
        <w:adjustRightInd w:val="0"/>
        <w:spacing w:before="340" w:line="288" w:lineRule="auto"/>
        <w:ind w:left="1701"/>
        <w:textAlignment w:val="center"/>
        <w:rPr>
          <w:rFonts w:ascii="Tahoma" w:hAnsi="Tahoma" w:cs="Tahoma"/>
          <w:color w:val="000000"/>
          <w:sz w:val="24"/>
          <w:lang w:val="en-GB"/>
        </w:rPr>
      </w:pPr>
    </w:p>
    <w:p w:rsidR="00241593" w:rsidRPr="00241593" w:rsidRDefault="00241593" w:rsidP="00241593">
      <w:pPr>
        <w:widowControl w:val="0"/>
        <w:suppressAutoHyphens/>
        <w:autoSpaceDE w:val="0"/>
        <w:autoSpaceDN w:val="0"/>
        <w:adjustRightInd w:val="0"/>
        <w:spacing w:before="340" w:line="288" w:lineRule="auto"/>
        <w:ind w:left="1701"/>
        <w:textAlignment w:val="center"/>
        <w:rPr>
          <w:rFonts w:ascii="Tahoma" w:hAnsi="Tahoma" w:cs="Tahoma"/>
          <w:color w:val="000000"/>
          <w:sz w:val="24"/>
          <w:lang w:val="en-GB"/>
        </w:rPr>
      </w:pPr>
    </w:p>
    <w:p w:rsidR="00241593" w:rsidRPr="00241593" w:rsidRDefault="00241593" w:rsidP="00241593">
      <w:pPr>
        <w:widowControl w:val="0"/>
        <w:suppressAutoHyphens/>
        <w:autoSpaceDE w:val="0"/>
        <w:autoSpaceDN w:val="0"/>
        <w:adjustRightInd w:val="0"/>
        <w:spacing w:before="340" w:line="288" w:lineRule="auto"/>
        <w:ind w:left="1701"/>
        <w:textAlignment w:val="center"/>
        <w:rPr>
          <w:rFonts w:ascii="Tahoma" w:hAnsi="Tahoma" w:cs="Tahoma"/>
          <w:color w:val="000000"/>
          <w:sz w:val="24"/>
          <w:lang w:val="en-GB"/>
        </w:rPr>
      </w:pPr>
    </w:p>
    <w:p w:rsidR="00241593" w:rsidRPr="00241593" w:rsidRDefault="00241593" w:rsidP="00241593">
      <w:pPr>
        <w:widowControl w:val="0"/>
        <w:suppressAutoHyphens/>
        <w:autoSpaceDE w:val="0"/>
        <w:autoSpaceDN w:val="0"/>
        <w:adjustRightInd w:val="0"/>
        <w:spacing w:before="340" w:line="288" w:lineRule="auto"/>
        <w:ind w:left="1701"/>
        <w:textAlignment w:val="center"/>
        <w:rPr>
          <w:rFonts w:ascii="Tahoma" w:hAnsi="Tahoma" w:cs="Tahoma"/>
          <w:color w:val="000000"/>
          <w:sz w:val="24"/>
          <w:lang w:val="en-GB"/>
        </w:rPr>
      </w:pPr>
    </w:p>
    <w:p w:rsidR="00241593" w:rsidRDefault="00241593" w:rsidP="00241593">
      <w:pPr>
        <w:pStyle w:val="Organisation"/>
        <w:rPr>
          <w:rFonts w:ascii="Tahoma-Bold" w:hAnsi="Tahoma-Bold" w:cs="Tahoma-Bold"/>
          <w:b/>
          <w:bCs/>
          <w:color w:val="000000"/>
          <w:lang w:val="en-GB"/>
        </w:rPr>
      </w:pPr>
      <w:r w:rsidRPr="00241593">
        <w:rPr>
          <w:color w:val="000000"/>
          <w:lang w:val="en-GB"/>
        </w:rPr>
        <w:t xml:space="preserve">NATIONAL CENTRE FOR </w:t>
      </w:r>
      <w:r w:rsidRPr="00241593">
        <w:rPr>
          <w:color w:val="000000"/>
          <w:lang w:val="en-GB"/>
        </w:rPr>
        <w:br/>
        <w:t xml:space="preserve">VOCATIONAL EDUCATION RESEARCH </w:t>
      </w:r>
      <w:r w:rsidRPr="00241593">
        <w:rPr>
          <w:color w:val="000000"/>
          <w:lang w:val="en-GB"/>
        </w:rPr>
        <w:br/>
      </w:r>
      <w:r w:rsidRPr="00241593">
        <w:rPr>
          <w:rFonts w:ascii="Tahoma-Bold" w:hAnsi="Tahoma-Bold" w:cs="Tahoma-Bold"/>
          <w:b/>
          <w:bCs/>
          <w:color w:val="000000"/>
          <w:lang w:val="en-GB"/>
        </w:rPr>
        <w:t>CONFERENCE PAPER</w:t>
      </w:r>
    </w:p>
    <w:p w:rsidR="00241593" w:rsidRDefault="00241593" w:rsidP="00241593">
      <w:pPr>
        <w:pStyle w:val="Imprint"/>
        <w:ind w:left="1701"/>
        <w:rPr>
          <w:lang w:val="en-GB"/>
        </w:rPr>
      </w:pPr>
    </w:p>
    <w:p w:rsidR="00241593" w:rsidRPr="00241593" w:rsidRDefault="00241593" w:rsidP="00241593">
      <w:pPr>
        <w:pStyle w:val="Imprint"/>
        <w:ind w:left="1701"/>
        <w:rPr>
          <w:lang w:val="en-GB"/>
        </w:rPr>
      </w:pPr>
      <w:r w:rsidRPr="00241593">
        <w:rPr>
          <w:lang w:val="en-GB"/>
        </w:rPr>
        <w:t xml:space="preserve">The views and opinions expressed in this document are those of the author/project </w:t>
      </w:r>
      <w:r w:rsidRPr="00241593">
        <w:rPr>
          <w:lang w:val="en-GB"/>
        </w:rPr>
        <w:br/>
        <w:t xml:space="preserve">team and do not necessarily reflect the views of the Australian Government, </w:t>
      </w:r>
      <w:r w:rsidRPr="00241593">
        <w:rPr>
          <w:lang w:val="en-GB"/>
        </w:rPr>
        <w:br/>
        <w:t>state and territory governments.</w:t>
      </w:r>
    </w:p>
    <w:p w:rsidR="00241593" w:rsidRPr="00241593" w:rsidRDefault="00241593" w:rsidP="00241593">
      <w:pPr>
        <w:pStyle w:val="Organisation"/>
        <w:rPr>
          <w:lang w:val="en-GB"/>
        </w:rPr>
      </w:pPr>
      <w:r>
        <w:rPr>
          <w:rFonts w:ascii="Tahoma-Bold" w:hAnsi="Tahoma-Bold" w:cs="Tahoma-Bold"/>
          <w:b/>
          <w:bCs/>
          <w:color w:val="000000"/>
          <w:lang w:val="en-GB"/>
        </w:rPr>
        <w:lastRenderedPageBreak/>
        <w:br/>
      </w:r>
    </w:p>
    <w:p w:rsidR="006C5DA9" w:rsidRPr="006C5DA9" w:rsidRDefault="006C5DA9" w:rsidP="0048643A">
      <w:pPr>
        <w:pStyle w:val="Text"/>
      </w:pPr>
    </w:p>
    <w:p w:rsidR="001B43CF" w:rsidRDefault="001B43CF" w:rsidP="0048643A">
      <w:pPr>
        <w:pStyle w:val="Text"/>
      </w:pPr>
    </w:p>
    <w:p w:rsidR="00241593" w:rsidRDefault="00241593" w:rsidP="00241593">
      <w:pPr>
        <w:widowControl w:val="0"/>
        <w:tabs>
          <w:tab w:val="left" w:pos="1417"/>
        </w:tabs>
        <w:suppressAutoHyphens/>
        <w:autoSpaceDE w:val="0"/>
        <w:autoSpaceDN w:val="0"/>
        <w:adjustRightInd w:val="0"/>
        <w:spacing w:before="170" w:line="260" w:lineRule="atLeast"/>
        <w:textAlignment w:val="center"/>
        <w:rPr>
          <w:rFonts w:ascii="TrebuchetMS-Bold" w:hAnsi="TrebuchetMS-Bold" w:cs="TrebuchetMS-Bold"/>
          <w:b/>
          <w:bCs/>
          <w:color w:val="000000"/>
          <w:sz w:val="16"/>
          <w:szCs w:val="16"/>
          <w:lang w:val="en-GB"/>
        </w:rPr>
      </w:pPr>
      <w:bookmarkStart w:id="5" w:name="_Toc73766312"/>
      <w:bookmarkStart w:id="6" w:name="_Toc77937774"/>
      <w:bookmarkStart w:id="7" w:name="_Toc80174750"/>
      <w:bookmarkStart w:id="8" w:name="_Toc81560506"/>
      <w:bookmarkStart w:id="9" w:name="_Toc82071799"/>
      <w:bookmarkStart w:id="10" w:name="_Toc82151754"/>
      <w:bookmarkStart w:id="11" w:name="_Toc82498260"/>
      <w:bookmarkStart w:id="12" w:name="_Toc86829097"/>
      <w:bookmarkStart w:id="13" w:name="_Toc89226248"/>
      <w:bookmarkStart w:id="14" w:name="_Toc89240893"/>
      <w:bookmarkStart w:id="15" w:name="_Toc98394875"/>
      <w:bookmarkStart w:id="16" w:name="_Toc296423679"/>
      <w:bookmarkStart w:id="17" w:name="_Toc296497510"/>
      <w:bookmarkStart w:id="18" w:name="_Toc495748330"/>
      <w:bookmarkStart w:id="19" w:name="_Toc495810630"/>
      <w:bookmarkStart w:id="20" w:name="_Toc6031787"/>
      <w:bookmarkStart w:id="21" w:name="_Toc6031844"/>
    </w:p>
    <w:p w:rsidR="00241593" w:rsidRDefault="00241593" w:rsidP="00241593">
      <w:pPr>
        <w:widowControl w:val="0"/>
        <w:tabs>
          <w:tab w:val="left" w:pos="1417"/>
        </w:tabs>
        <w:suppressAutoHyphens/>
        <w:autoSpaceDE w:val="0"/>
        <w:autoSpaceDN w:val="0"/>
        <w:adjustRightInd w:val="0"/>
        <w:spacing w:before="170" w:line="260" w:lineRule="atLeast"/>
        <w:textAlignment w:val="center"/>
        <w:rPr>
          <w:rFonts w:ascii="TrebuchetMS-Bold" w:hAnsi="TrebuchetMS-Bold" w:cs="TrebuchetMS-Bold"/>
          <w:b/>
          <w:bCs/>
          <w:color w:val="000000"/>
          <w:sz w:val="16"/>
          <w:szCs w:val="16"/>
          <w:lang w:val="en-GB"/>
        </w:rPr>
      </w:pPr>
    </w:p>
    <w:p w:rsidR="00241593" w:rsidRDefault="00241593" w:rsidP="00241593">
      <w:pPr>
        <w:widowControl w:val="0"/>
        <w:tabs>
          <w:tab w:val="left" w:pos="1417"/>
        </w:tabs>
        <w:suppressAutoHyphens/>
        <w:autoSpaceDE w:val="0"/>
        <w:autoSpaceDN w:val="0"/>
        <w:adjustRightInd w:val="0"/>
        <w:spacing w:before="170" w:line="260" w:lineRule="atLeast"/>
        <w:textAlignment w:val="center"/>
        <w:rPr>
          <w:rFonts w:ascii="TrebuchetMS-Bold" w:hAnsi="TrebuchetMS-Bold" w:cs="TrebuchetMS-Bold"/>
          <w:b/>
          <w:bCs/>
          <w:color w:val="000000"/>
          <w:sz w:val="16"/>
          <w:szCs w:val="16"/>
          <w:lang w:val="en-GB"/>
        </w:rPr>
      </w:pPr>
    </w:p>
    <w:p w:rsidR="00241593" w:rsidRDefault="00241593" w:rsidP="00241593">
      <w:pPr>
        <w:widowControl w:val="0"/>
        <w:tabs>
          <w:tab w:val="left" w:pos="1417"/>
        </w:tabs>
        <w:suppressAutoHyphens/>
        <w:autoSpaceDE w:val="0"/>
        <w:autoSpaceDN w:val="0"/>
        <w:adjustRightInd w:val="0"/>
        <w:spacing w:before="170" w:line="260" w:lineRule="atLeast"/>
        <w:textAlignment w:val="center"/>
        <w:rPr>
          <w:rFonts w:ascii="TrebuchetMS-Bold" w:hAnsi="TrebuchetMS-Bold" w:cs="TrebuchetMS-Bold"/>
          <w:b/>
          <w:bCs/>
          <w:color w:val="000000"/>
          <w:sz w:val="16"/>
          <w:szCs w:val="16"/>
          <w:lang w:val="en-GB"/>
        </w:rPr>
      </w:pPr>
    </w:p>
    <w:p w:rsidR="00241593" w:rsidRDefault="00241593" w:rsidP="00241593">
      <w:pPr>
        <w:widowControl w:val="0"/>
        <w:tabs>
          <w:tab w:val="left" w:pos="1417"/>
        </w:tabs>
        <w:suppressAutoHyphens/>
        <w:autoSpaceDE w:val="0"/>
        <w:autoSpaceDN w:val="0"/>
        <w:adjustRightInd w:val="0"/>
        <w:spacing w:before="170" w:line="260" w:lineRule="atLeast"/>
        <w:textAlignment w:val="center"/>
        <w:rPr>
          <w:rFonts w:ascii="TrebuchetMS-Bold" w:hAnsi="TrebuchetMS-Bold" w:cs="TrebuchetMS-Bold"/>
          <w:b/>
          <w:bCs/>
          <w:color w:val="000000"/>
          <w:sz w:val="16"/>
          <w:szCs w:val="16"/>
          <w:lang w:val="en-GB"/>
        </w:rPr>
      </w:pPr>
    </w:p>
    <w:p w:rsidR="00241593" w:rsidRDefault="00241593" w:rsidP="00241593">
      <w:pPr>
        <w:widowControl w:val="0"/>
        <w:tabs>
          <w:tab w:val="left" w:pos="1417"/>
        </w:tabs>
        <w:suppressAutoHyphens/>
        <w:autoSpaceDE w:val="0"/>
        <w:autoSpaceDN w:val="0"/>
        <w:adjustRightInd w:val="0"/>
        <w:spacing w:before="170" w:line="260" w:lineRule="atLeast"/>
        <w:textAlignment w:val="center"/>
        <w:rPr>
          <w:rFonts w:ascii="TrebuchetMS-Bold" w:hAnsi="TrebuchetMS-Bold" w:cs="TrebuchetMS-Bold"/>
          <w:b/>
          <w:bCs/>
          <w:color w:val="000000"/>
          <w:sz w:val="16"/>
          <w:szCs w:val="16"/>
          <w:lang w:val="en-GB"/>
        </w:rPr>
      </w:pPr>
    </w:p>
    <w:p w:rsidR="00241593" w:rsidRDefault="00241593" w:rsidP="00241593">
      <w:pPr>
        <w:widowControl w:val="0"/>
        <w:tabs>
          <w:tab w:val="left" w:pos="1417"/>
        </w:tabs>
        <w:suppressAutoHyphens/>
        <w:autoSpaceDE w:val="0"/>
        <w:autoSpaceDN w:val="0"/>
        <w:adjustRightInd w:val="0"/>
        <w:spacing w:before="170" w:line="260" w:lineRule="atLeast"/>
        <w:textAlignment w:val="center"/>
        <w:rPr>
          <w:rFonts w:ascii="TrebuchetMS-Bold" w:hAnsi="TrebuchetMS-Bold" w:cs="TrebuchetMS-Bold"/>
          <w:b/>
          <w:bCs/>
          <w:color w:val="000000"/>
          <w:sz w:val="16"/>
          <w:szCs w:val="16"/>
          <w:lang w:val="en-GB"/>
        </w:rPr>
      </w:pPr>
    </w:p>
    <w:p w:rsidR="00241593" w:rsidRDefault="00241593" w:rsidP="00241593">
      <w:pPr>
        <w:widowControl w:val="0"/>
        <w:tabs>
          <w:tab w:val="left" w:pos="1417"/>
        </w:tabs>
        <w:suppressAutoHyphens/>
        <w:autoSpaceDE w:val="0"/>
        <w:autoSpaceDN w:val="0"/>
        <w:adjustRightInd w:val="0"/>
        <w:spacing w:before="170" w:line="260" w:lineRule="atLeast"/>
        <w:textAlignment w:val="center"/>
        <w:rPr>
          <w:rFonts w:ascii="TrebuchetMS-Bold" w:hAnsi="TrebuchetMS-Bold" w:cs="TrebuchetMS-Bold"/>
          <w:b/>
          <w:bCs/>
          <w:color w:val="000000"/>
          <w:sz w:val="16"/>
          <w:szCs w:val="16"/>
          <w:lang w:val="en-GB"/>
        </w:rPr>
      </w:pPr>
    </w:p>
    <w:p w:rsidR="00241593" w:rsidRDefault="00241593" w:rsidP="00241593">
      <w:pPr>
        <w:widowControl w:val="0"/>
        <w:tabs>
          <w:tab w:val="left" w:pos="1417"/>
        </w:tabs>
        <w:suppressAutoHyphens/>
        <w:autoSpaceDE w:val="0"/>
        <w:autoSpaceDN w:val="0"/>
        <w:adjustRightInd w:val="0"/>
        <w:spacing w:before="170" w:line="260" w:lineRule="atLeast"/>
        <w:textAlignment w:val="center"/>
        <w:rPr>
          <w:rFonts w:ascii="TrebuchetMS-Bold" w:hAnsi="TrebuchetMS-Bold" w:cs="TrebuchetMS-Bold"/>
          <w:b/>
          <w:bCs/>
          <w:color w:val="000000"/>
          <w:sz w:val="16"/>
          <w:szCs w:val="16"/>
          <w:lang w:val="en-GB"/>
        </w:rPr>
      </w:pPr>
    </w:p>
    <w:p w:rsidR="00241593" w:rsidRDefault="00241593" w:rsidP="00241593">
      <w:pPr>
        <w:widowControl w:val="0"/>
        <w:tabs>
          <w:tab w:val="left" w:pos="1417"/>
        </w:tabs>
        <w:suppressAutoHyphens/>
        <w:autoSpaceDE w:val="0"/>
        <w:autoSpaceDN w:val="0"/>
        <w:adjustRightInd w:val="0"/>
        <w:spacing w:before="170" w:line="260" w:lineRule="atLeast"/>
        <w:textAlignment w:val="center"/>
        <w:rPr>
          <w:rFonts w:ascii="TrebuchetMS-Bold" w:hAnsi="TrebuchetMS-Bold" w:cs="TrebuchetMS-Bold"/>
          <w:b/>
          <w:bCs/>
          <w:color w:val="000000"/>
          <w:sz w:val="16"/>
          <w:szCs w:val="16"/>
          <w:lang w:val="en-GB"/>
        </w:rPr>
      </w:pPr>
    </w:p>
    <w:p w:rsidR="00241593" w:rsidRDefault="00241593" w:rsidP="00241593">
      <w:pPr>
        <w:widowControl w:val="0"/>
        <w:tabs>
          <w:tab w:val="left" w:pos="1417"/>
        </w:tabs>
        <w:suppressAutoHyphens/>
        <w:autoSpaceDE w:val="0"/>
        <w:autoSpaceDN w:val="0"/>
        <w:adjustRightInd w:val="0"/>
        <w:spacing w:before="170" w:line="260" w:lineRule="atLeast"/>
        <w:textAlignment w:val="center"/>
        <w:rPr>
          <w:rFonts w:ascii="TrebuchetMS-Bold" w:hAnsi="TrebuchetMS-Bold" w:cs="TrebuchetMS-Bold"/>
          <w:b/>
          <w:bCs/>
          <w:color w:val="000000"/>
          <w:sz w:val="16"/>
          <w:szCs w:val="16"/>
          <w:lang w:val="en-GB"/>
        </w:rPr>
      </w:pPr>
    </w:p>
    <w:p w:rsidR="00241593" w:rsidRDefault="00241593" w:rsidP="00241593">
      <w:pPr>
        <w:widowControl w:val="0"/>
        <w:tabs>
          <w:tab w:val="left" w:pos="1417"/>
        </w:tabs>
        <w:suppressAutoHyphens/>
        <w:autoSpaceDE w:val="0"/>
        <w:autoSpaceDN w:val="0"/>
        <w:adjustRightInd w:val="0"/>
        <w:spacing w:before="170" w:line="260" w:lineRule="atLeast"/>
        <w:textAlignment w:val="center"/>
        <w:rPr>
          <w:rFonts w:ascii="TrebuchetMS-Bold" w:hAnsi="TrebuchetMS-Bold" w:cs="TrebuchetMS-Bold"/>
          <w:b/>
          <w:bCs/>
          <w:color w:val="000000"/>
          <w:sz w:val="16"/>
          <w:szCs w:val="16"/>
          <w:lang w:val="en-GB"/>
        </w:rPr>
      </w:pPr>
    </w:p>
    <w:p w:rsidR="00B10F65" w:rsidRDefault="00B10F65" w:rsidP="00241593">
      <w:pPr>
        <w:widowControl w:val="0"/>
        <w:tabs>
          <w:tab w:val="left" w:pos="1417"/>
        </w:tabs>
        <w:suppressAutoHyphens/>
        <w:autoSpaceDE w:val="0"/>
        <w:autoSpaceDN w:val="0"/>
        <w:adjustRightInd w:val="0"/>
        <w:spacing w:before="170" w:line="260" w:lineRule="atLeast"/>
        <w:textAlignment w:val="center"/>
        <w:rPr>
          <w:rFonts w:ascii="TrebuchetMS" w:hAnsi="TrebuchetMS" w:cs="TrebuchetMS"/>
          <w:color w:val="000000"/>
          <w:sz w:val="16"/>
          <w:szCs w:val="16"/>
          <w:lang w:val="en-GB"/>
        </w:rPr>
      </w:pPr>
      <w:r w:rsidRPr="00B10F65">
        <w:rPr>
          <w:rFonts w:ascii="TrebuchetMS-Bold" w:hAnsi="TrebuchetMS-Bold" w:cs="TrebuchetMS-Bold"/>
          <w:b/>
          <w:bCs/>
          <w:color w:val="000000"/>
          <w:sz w:val="16"/>
          <w:szCs w:val="16"/>
          <w:lang w:val="en-GB"/>
        </w:rPr>
        <w:drawing>
          <wp:inline distT="0" distB="0" distL="0" distR="0">
            <wp:extent cx="838200" cy="295275"/>
            <wp:effectExtent l="19050" t="0" r="0" b="0"/>
            <wp:docPr id="8" name="licensebutton" descr="Creative Commons Licens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censebutton" descr="Creative Commons License">
                      <a:hlinkClick r:id="rId9"/>
                    </pic:cNvPr>
                    <pic:cNvPicPr>
                      <a:picLocks noChangeAspect="1" noChangeArrowheads="1"/>
                    </pic:cNvPicPr>
                  </pic:nvPicPr>
                  <pic:blipFill>
                    <a:blip r:embed="rId10" cstate="print"/>
                    <a:srcRect/>
                    <a:stretch>
                      <a:fillRect/>
                    </a:stretch>
                  </pic:blipFill>
                  <pic:spPr bwMode="auto">
                    <a:xfrm>
                      <a:off x="0" y="0"/>
                      <a:ext cx="838200" cy="295275"/>
                    </a:xfrm>
                    <a:prstGeom prst="rect">
                      <a:avLst/>
                    </a:prstGeom>
                    <a:noFill/>
                    <a:ln w="9525">
                      <a:noFill/>
                      <a:miter lim="800000"/>
                      <a:headEnd/>
                      <a:tailEnd/>
                    </a:ln>
                  </pic:spPr>
                </pic:pic>
              </a:graphicData>
            </a:graphic>
          </wp:inline>
        </w:drawing>
      </w:r>
    </w:p>
    <w:p w:rsidR="00241593" w:rsidRPr="00241593" w:rsidRDefault="00D14FE7" w:rsidP="003B2873">
      <w:pPr>
        <w:pStyle w:val="Imprint"/>
        <w:rPr>
          <w:lang w:val="en-GB"/>
        </w:rPr>
      </w:pPr>
      <w:r>
        <w:rPr>
          <w:lang w:val="en-GB"/>
        </w:rPr>
        <w:t>W</w:t>
      </w:r>
      <w:r w:rsidR="00241593" w:rsidRPr="00241593">
        <w:rPr>
          <w:lang w:val="en-GB"/>
        </w:rPr>
        <w:t>ith the exception of cover design, artwork, photo</w:t>
      </w:r>
      <w:r>
        <w:rPr>
          <w:lang w:val="en-GB"/>
        </w:rPr>
        <w:t>graphs</w:t>
      </w:r>
      <w:r w:rsidR="00241593" w:rsidRPr="00241593">
        <w:rPr>
          <w:lang w:val="en-GB"/>
        </w:rPr>
        <w:t xml:space="preserve">, all logos, and any other material where copyright is owned by a third party, all material presented in this document </w:t>
      </w:r>
      <w:proofErr w:type="gramStart"/>
      <w:r w:rsidR="00241593" w:rsidRPr="00241593">
        <w:rPr>
          <w:lang w:val="en-GB"/>
        </w:rPr>
        <w:t>is</w:t>
      </w:r>
      <w:proofErr w:type="gramEnd"/>
      <w:r w:rsidR="00241593" w:rsidRPr="00241593">
        <w:rPr>
          <w:lang w:val="en-GB"/>
        </w:rPr>
        <w:t xml:space="preserve"> provided under a Creative Commons Attribution 3.0 Australia &lt;http://creativecommons.org/licenses/by/3.0/au&gt;. </w:t>
      </w:r>
    </w:p>
    <w:p w:rsidR="00241593" w:rsidRPr="00241593" w:rsidRDefault="00241593" w:rsidP="003B2873">
      <w:pPr>
        <w:pStyle w:val="Imprint"/>
        <w:rPr>
          <w:rFonts w:ascii="TrebuchetMS-Italic" w:hAnsi="TrebuchetMS-Italic" w:cs="TrebuchetMS-Italic"/>
          <w:i/>
          <w:iCs/>
          <w:lang w:val="en-GB"/>
        </w:rPr>
      </w:pPr>
      <w:r w:rsidRPr="00241593">
        <w:rPr>
          <w:lang w:val="en-GB"/>
        </w:rPr>
        <w:t xml:space="preserve">This document should be attributed as </w:t>
      </w:r>
      <w:proofErr w:type="spellStart"/>
      <w:r w:rsidRPr="00241593">
        <w:rPr>
          <w:lang w:val="en-GB"/>
        </w:rPr>
        <w:t>Karmel</w:t>
      </w:r>
      <w:proofErr w:type="spellEnd"/>
      <w:r w:rsidRPr="00241593">
        <w:rPr>
          <w:lang w:val="en-GB"/>
        </w:rPr>
        <w:t xml:space="preserve"> T</w:t>
      </w:r>
      <w:r w:rsidR="00D14FE7">
        <w:rPr>
          <w:lang w:val="en-GB"/>
        </w:rPr>
        <w:t xml:space="preserve"> 2011</w:t>
      </w:r>
      <w:r w:rsidRPr="00241593">
        <w:rPr>
          <w:lang w:val="en-GB"/>
        </w:rPr>
        <w:t xml:space="preserve">, </w:t>
      </w:r>
      <w:proofErr w:type="gramStart"/>
      <w:r w:rsidRPr="00241593">
        <w:rPr>
          <w:rFonts w:ascii="TrebuchetMS-Italic" w:hAnsi="TrebuchetMS-Italic" w:cs="TrebuchetMS-Italic"/>
          <w:i/>
          <w:iCs/>
          <w:lang w:val="en-GB"/>
        </w:rPr>
        <w:t>The</w:t>
      </w:r>
      <w:proofErr w:type="gramEnd"/>
      <w:r w:rsidRPr="00241593">
        <w:rPr>
          <w:rFonts w:ascii="TrebuchetMS-Italic" w:hAnsi="TrebuchetMS-Italic" w:cs="TrebuchetMS-Italic"/>
          <w:i/>
          <w:iCs/>
          <w:lang w:val="en-GB"/>
        </w:rPr>
        <w:t xml:space="preserve"> challenge of measurement: statistics for planning human resource development.</w:t>
      </w:r>
    </w:p>
    <w:p w:rsidR="00241593" w:rsidRPr="00241593" w:rsidRDefault="00241593" w:rsidP="003B2873">
      <w:pPr>
        <w:pStyle w:val="Imprint"/>
        <w:rPr>
          <w:lang w:val="en-GB"/>
        </w:rPr>
      </w:pPr>
      <w:r w:rsidRPr="00241593">
        <w:rPr>
          <w:lang w:val="en-GB"/>
        </w:rPr>
        <w:t>The National Centre for Vocational Education Research (NCVER) is an independent body responsible for collecting, managing and analysing, evaluating and communicating research and statistics about vocational education and training (VET).</w:t>
      </w:r>
    </w:p>
    <w:p w:rsidR="00241593" w:rsidRPr="00241593" w:rsidRDefault="00241593" w:rsidP="003B2873">
      <w:pPr>
        <w:pStyle w:val="Imprint"/>
        <w:rPr>
          <w:lang w:val="en-GB"/>
        </w:rPr>
      </w:pPr>
      <w:r w:rsidRPr="00241593">
        <w:rPr>
          <w:lang w:val="en-GB"/>
        </w:rPr>
        <w:t xml:space="preserve">NCVER’s </w:t>
      </w:r>
      <w:proofErr w:type="spellStart"/>
      <w:r w:rsidRPr="00241593">
        <w:rPr>
          <w:lang w:val="en-GB"/>
        </w:rPr>
        <w:t>inhouse</w:t>
      </w:r>
      <w:proofErr w:type="spellEnd"/>
      <w:r w:rsidRPr="00241593">
        <w:rPr>
          <w:lang w:val="en-GB"/>
        </w:rPr>
        <w:t xml:space="preserve"> research and evaluation program undertakes projects which are strategic to the VET sector. These projects are developed and conducted by the NCVER’s research staff and are funded by NCVER. This research aims to improve policy and practice in the VET sector. </w:t>
      </w:r>
    </w:p>
    <w:p w:rsidR="00241593" w:rsidRPr="00241593" w:rsidRDefault="00241593" w:rsidP="003B2873">
      <w:pPr>
        <w:pStyle w:val="Imprint"/>
        <w:rPr>
          <w:lang w:val="en-GB"/>
        </w:rPr>
      </w:pPr>
      <w:r w:rsidRPr="00241593">
        <w:rPr>
          <w:lang w:val="en-GB"/>
        </w:rPr>
        <w:t>TD/TNC      104.25</w:t>
      </w:r>
    </w:p>
    <w:p w:rsidR="00241593" w:rsidRPr="00241593" w:rsidRDefault="00241593" w:rsidP="003B2873">
      <w:pPr>
        <w:pStyle w:val="Imprint"/>
        <w:rPr>
          <w:rFonts w:ascii="TrebuchetMS-Bold" w:hAnsi="TrebuchetMS-Bold" w:cs="TrebuchetMS-Bold"/>
          <w:b/>
          <w:bCs/>
          <w:lang w:val="en-GB"/>
        </w:rPr>
      </w:pPr>
      <w:r w:rsidRPr="00241593">
        <w:rPr>
          <w:lang w:val="en-GB"/>
        </w:rPr>
        <w:t>Published by NCVER</w:t>
      </w:r>
      <w:r w:rsidRPr="00241593">
        <w:rPr>
          <w:lang w:val="en-GB"/>
        </w:rPr>
        <w:br/>
        <w:t>ABN 87 007 967 311</w:t>
      </w:r>
    </w:p>
    <w:p w:rsidR="00241593" w:rsidRPr="00241593" w:rsidRDefault="00241593" w:rsidP="003B2873">
      <w:pPr>
        <w:pStyle w:val="Imprint"/>
        <w:rPr>
          <w:lang w:val="en-GB"/>
        </w:rPr>
      </w:pPr>
      <w:r w:rsidRPr="00241593">
        <w:rPr>
          <w:lang w:val="en-GB"/>
        </w:rPr>
        <w:t>Level 11, 33 King William Street, Adelaide, SA 5000</w:t>
      </w:r>
      <w:r w:rsidRPr="00241593">
        <w:rPr>
          <w:lang w:val="en-GB"/>
        </w:rPr>
        <w:br/>
        <w:t>PO Box 8288 Station Arcade, Adelaide SA 5000, Australia</w:t>
      </w:r>
    </w:p>
    <w:p w:rsidR="00241593" w:rsidRPr="00241593" w:rsidRDefault="00241593" w:rsidP="003B2873">
      <w:pPr>
        <w:pStyle w:val="Imprint"/>
        <w:rPr>
          <w:lang w:val="en-GB"/>
        </w:rPr>
      </w:pPr>
      <w:proofErr w:type="gramStart"/>
      <w:r w:rsidRPr="00241593">
        <w:rPr>
          <w:lang w:val="en-GB"/>
        </w:rPr>
        <w:t>ph</w:t>
      </w:r>
      <w:proofErr w:type="gramEnd"/>
      <w:r w:rsidRPr="00241593">
        <w:rPr>
          <w:lang w:val="en-GB"/>
        </w:rPr>
        <w:t xml:space="preserve"> +61 8 8230 8400 fax +61 8 8212 3436</w:t>
      </w:r>
      <w:r w:rsidRPr="00241593">
        <w:rPr>
          <w:lang w:val="en-GB"/>
        </w:rPr>
        <w:br/>
        <w:t>email ncver@ncver.edu.au</w:t>
      </w:r>
      <w:r w:rsidRPr="00241593">
        <w:rPr>
          <w:lang w:val="en-GB"/>
        </w:rPr>
        <w:br/>
        <w:t>&lt;http://www.ncver.edu.au&gt;</w:t>
      </w:r>
      <w:r w:rsidRPr="00241593">
        <w:rPr>
          <w:lang w:val="en-GB"/>
        </w:rPr>
        <w:br/>
        <w:t>&lt;http://www.ncver.edu.au/publications/2418.html&gt;</w:t>
      </w:r>
    </w:p>
    <w:p w:rsidR="009E231A" w:rsidRPr="00C77DC6" w:rsidRDefault="00FE4A2D" w:rsidP="00241593">
      <w:pPr>
        <w:pStyle w:val="Abouttheresearch"/>
      </w:pPr>
      <w:r w:rsidRPr="005C2FCF">
        <w:lastRenderedPageBreak/>
        <w:t>About the research</w:t>
      </w:r>
      <w:bookmarkEnd w:id="5"/>
      <w:bookmarkEnd w:id="6"/>
      <w:bookmarkEnd w:id="7"/>
      <w:bookmarkEnd w:id="8"/>
      <w:bookmarkEnd w:id="9"/>
      <w:bookmarkEnd w:id="10"/>
      <w:bookmarkEnd w:id="11"/>
      <w:bookmarkEnd w:id="12"/>
      <w:bookmarkEnd w:id="13"/>
      <w:bookmarkEnd w:id="14"/>
      <w:bookmarkEnd w:id="15"/>
      <w:bookmarkEnd w:id="16"/>
      <w:bookmarkEnd w:id="17"/>
    </w:p>
    <w:p w:rsidR="00241593" w:rsidRDefault="00241593" w:rsidP="00241593">
      <w:pPr>
        <w:pStyle w:val="Abouttheresearchpubtitle"/>
      </w:pPr>
      <w:r>
        <w:t>The challenge of measurement: statistics for planning human resource development</w:t>
      </w:r>
    </w:p>
    <w:p w:rsidR="00241593" w:rsidRDefault="00241593" w:rsidP="00241593">
      <w:pPr>
        <w:pStyle w:val="Heading3"/>
      </w:pPr>
      <w:r>
        <w:t xml:space="preserve">Tom </w:t>
      </w:r>
      <w:proofErr w:type="spellStart"/>
      <w:r>
        <w:t>Karmel</w:t>
      </w:r>
      <w:proofErr w:type="spellEnd"/>
    </w:p>
    <w:p w:rsidR="00241593" w:rsidRDefault="00241593" w:rsidP="00241593">
      <w:pPr>
        <w:pStyle w:val="Text"/>
      </w:pPr>
      <w:r>
        <w:t xml:space="preserve">This presentation was made to a breakout session at the 2011 Skills Australia and Industry Skills Councils joint conference, </w:t>
      </w:r>
      <w:r>
        <w:rPr>
          <w:rFonts w:ascii="TrebuchetMS-Italic" w:hAnsi="TrebuchetMS-Italic" w:cs="TrebuchetMS-Italic"/>
          <w:i/>
          <w:iCs/>
        </w:rPr>
        <w:t>Putting skills at the heart of economy.</w:t>
      </w:r>
      <w:r>
        <w:t xml:space="preserve"> The paper addresses the challenge of measurement in workforce development planning and discusses the role of the various players in the labour and training markets — individuals, employers, providers, regulators, governments and industry bodies — and the information they need to make optimal decisions. One issue is the extent to which markets should be left to operate freely, noting that the data required by central planners to second-guess the market are particularly onerous. It is emphasised, however, that markets need ample information to function effectively.</w:t>
      </w:r>
    </w:p>
    <w:p w:rsidR="00241593" w:rsidRDefault="00241593" w:rsidP="00241593">
      <w:pPr>
        <w:pStyle w:val="Text"/>
      </w:pPr>
      <w:r>
        <w:t>The presentation’s overall assessment is that data in Australia are not too bad, although the lack of a complete collection (covering both private and public) of vocational education and training (VET) activity is an obvious deficiency. There is also lack of data about the VET workforce (which regulators have a particular interest in) and data on job vacancies are limited. Provider-level performance data have also not been published to date.</w:t>
      </w:r>
    </w:p>
    <w:p w:rsidR="00241593" w:rsidRDefault="00241593" w:rsidP="00241593">
      <w:pPr>
        <w:pStyle w:val="Text"/>
      </w:pPr>
      <w:r>
        <w:t xml:space="preserve">Tom </w:t>
      </w:r>
      <w:proofErr w:type="spellStart"/>
      <w:r>
        <w:t>Karmel</w:t>
      </w:r>
      <w:proofErr w:type="spellEnd"/>
      <w:r>
        <w:br/>
        <w:t>Managing Director, NCVER</w:t>
      </w:r>
    </w:p>
    <w:p w:rsidR="00177827" w:rsidRDefault="00177827" w:rsidP="00241593">
      <w:pPr>
        <w:pStyle w:val="Text"/>
      </w:pPr>
    </w:p>
    <w:p w:rsidR="00177827" w:rsidRDefault="00177827" w:rsidP="00241593">
      <w:pPr>
        <w:pStyle w:val="Text"/>
      </w:pPr>
    </w:p>
    <w:p w:rsidR="00177827" w:rsidRDefault="00177827" w:rsidP="00874DA5">
      <w:pPr>
        <w:pStyle w:val="Contents"/>
        <w:sectPr w:rsidR="00177827">
          <w:type w:val="continuous"/>
          <w:pgSz w:w="11907" w:h="16840" w:code="9"/>
          <w:pgMar w:top="1418" w:right="1701" w:bottom="1134" w:left="1418" w:header="709" w:footer="556" w:gutter="0"/>
          <w:cols w:space="708" w:equalWidth="0">
            <w:col w:w="8788"/>
          </w:cols>
          <w:docGrid w:linePitch="360"/>
        </w:sectPr>
      </w:pPr>
    </w:p>
    <w:p w:rsidR="009E231A" w:rsidRPr="00DC5F5C" w:rsidRDefault="00FE4A2D" w:rsidP="00874DA5">
      <w:pPr>
        <w:pStyle w:val="Contents"/>
      </w:pPr>
      <w:bookmarkStart w:id="22" w:name="_Toc98394880"/>
      <w:bookmarkStart w:id="23" w:name="_Toc296423683"/>
      <w:bookmarkStart w:id="24" w:name="_Toc296497514"/>
      <w:r w:rsidRPr="00DC5F5C">
        <w:lastRenderedPageBreak/>
        <w:t>Contents</w:t>
      </w:r>
      <w:bookmarkEnd w:id="22"/>
      <w:bookmarkEnd w:id="23"/>
      <w:bookmarkEnd w:id="24"/>
    </w:p>
    <w:p w:rsidR="00A03329" w:rsidRDefault="00A03329" w:rsidP="00A03329">
      <w:pPr>
        <w:pStyle w:val="TOC10"/>
      </w:pPr>
      <w:bookmarkStart w:id="25" w:name="_Toc298162800"/>
      <w:r>
        <w:t>Statistics for planning human resource development</w:t>
      </w:r>
      <w:r>
        <w:tab/>
        <w:t>7</w:t>
      </w:r>
    </w:p>
    <w:p w:rsidR="00A03329" w:rsidRDefault="00A03329" w:rsidP="00A03329">
      <w:pPr>
        <w:pStyle w:val="TOC20"/>
      </w:pPr>
      <w:r>
        <w:t>The players</w:t>
      </w:r>
      <w:r>
        <w:tab/>
        <w:t>7</w:t>
      </w:r>
    </w:p>
    <w:p w:rsidR="00A03329" w:rsidRDefault="00A03329" w:rsidP="00A03329">
      <w:pPr>
        <w:pStyle w:val="TOC20"/>
      </w:pPr>
      <w:r>
        <w:t>Final comment</w:t>
      </w:r>
      <w:r>
        <w:tab/>
        <w:t>11</w:t>
      </w:r>
    </w:p>
    <w:p w:rsidR="00A03329" w:rsidRDefault="00A03329" w:rsidP="00A03329">
      <w:pPr>
        <w:pStyle w:val="TOC10"/>
      </w:pPr>
      <w:r>
        <w:t>References</w:t>
      </w:r>
      <w:r>
        <w:tab/>
        <w:t>13</w:t>
      </w:r>
    </w:p>
    <w:p w:rsidR="00A03329" w:rsidRDefault="00A03329" w:rsidP="004E7227">
      <w:pPr>
        <w:pStyle w:val="Heading1"/>
      </w:pPr>
    </w:p>
    <w:p w:rsidR="00A03329" w:rsidRDefault="00A03329" w:rsidP="004E7227">
      <w:pPr>
        <w:pStyle w:val="Heading1"/>
      </w:pPr>
    </w:p>
    <w:p w:rsidR="00A03329" w:rsidRDefault="00A03329" w:rsidP="004E7227">
      <w:pPr>
        <w:pStyle w:val="Heading1"/>
      </w:pPr>
    </w:p>
    <w:p w:rsidR="00A03329" w:rsidRDefault="00A03329" w:rsidP="004E7227">
      <w:pPr>
        <w:pStyle w:val="Heading1"/>
      </w:pPr>
    </w:p>
    <w:p w:rsidR="00A03329" w:rsidRDefault="00A03329" w:rsidP="004E7227">
      <w:pPr>
        <w:pStyle w:val="Heading1"/>
      </w:pPr>
    </w:p>
    <w:p w:rsidR="00A03329" w:rsidRDefault="00A03329" w:rsidP="004E7227">
      <w:pPr>
        <w:pStyle w:val="Heading1"/>
      </w:pPr>
    </w:p>
    <w:p w:rsidR="00A03329" w:rsidRDefault="00A03329" w:rsidP="004E7227">
      <w:pPr>
        <w:pStyle w:val="Heading1"/>
      </w:pPr>
    </w:p>
    <w:p w:rsidR="00A03329" w:rsidRDefault="00A03329" w:rsidP="004E7227">
      <w:pPr>
        <w:pStyle w:val="Heading1"/>
      </w:pPr>
    </w:p>
    <w:p w:rsidR="00A03329" w:rsidRDefault="00A03329" w:rsidP="004E7227">
      <w:pPr>
        <w:pStyle w:val="Heading1"/>
      </w:pPr>
    </w:p>
    <w:p w:rsidR="00A03329" w:rsidRDefault="00A03329">
      <w:pPr>
        <w:spacing w:before="0" w:line="240" w:lineRule="auto"/>
        <w:rPr>
          <w:rFonts w:ascii="Tahoma" w:hAnsi="Tahoma" w:cs="Tahoma"/>
          <w:color w:val="000000"/>
          <w:kern w:val="28"/>
          <w:sz w:val="56"/>
          <w:szCs w:val="56"/>
        </w:rPr>
      </w:pPr>
      <w:r>
        <w:br w:type="page"/>
      </w:r>
    </w:p>
    <w:p w:rsidR="004E7227" w:rsidRDefault="004E7227" w:rsidP="004E7227">
      <w:pPr>
        <w:pStyle w:val="Heading1"/>
      </w:pPr>
      <w:r>
        <w:lastRenderedPageBreak/>
        <w:t>Tables and figures</w:t>
      </w:r>
      <w:bookmarkEnd w:id="25"/>
    </w:p>
    <w:p w:rsidR="00A03329" w:rsidRDefault="00A03329" w:rsidP="00A03329">
      <w:pPr>
        <w:pStyle w:val="TOC10"/>
        <w:tabs>
          <w:tab w:val="clear" w:pos="340"/>
          <w:tab w:val="left" w:pos="227"/>
        </w:tabs>
      </w:pPr>
      <w:bookmarkStart w:id="26" w:name="_Toc298162803"/>
      <w:r>
        <w:t xml:space="preserve">1 </w:t>
      </w:r>
      <w:r>
        <w:tab/>
        <w:t>Information needs to assist labour and training markets</w:t>
      </w:r>
      <w:r>
        <w:tab/>
        <w:t>8</w:t>
      </w:r>
    </w:p>
    <w:p w:rsidR="00A03329" w:rsidRDefault="00A03329" w:rsidP="00A03329">
      <w:pPr>
        <w:pStyle w:val="TOC10"/>
        <w:tabs>
          <w:tab w:val="clear" w:pos="340"/>
          <w:tab w:val="left" w:pos="227"/>
        </w:tabs>
      </w:pPr>
      <w:r>
        <w:t xml:space="preserve">2 </w:t>
      </w:r>
      <w:r>
        <w:tab/>
        <w:t>Additional data needs for a central planner</w:t>
      </w:r>
      <w:r>
        <w:tab/>
        <w:t>9</w:t>
      </w:r>
    </w:p>
    <w:p w:rsidR="00A03329" w:rsidRDefault="00A03329" w:rsidP="00A03329">
      <w:pPr>
        <w:pStyle w:val="TOC10"/>
        <w:tabs>
          <w:tab w:val="clear" w:pos="340"/>
          <w:tab w:val="left" w:pos="227"/>
        </w:tabs>
      </w:pPr>
      <w:r>
        <w:t xml:space="preserve">3 </w:t>
      </w:r>
      <w:r>
        <w:tab/>
        <w:t xml:space="preserve">Labour market data needs for governments as custodians </w:t>
      </w:r>
      <w:r>
        <w:br/>
      </w:r>
      <w:r>
        <w:tab/>
        <w:t>of the economy</w:t>
      </w:r>
      <w:r>
        <w:tab/>
        <w:t>11</w:t>
      </w:r>
    </w:p>
    <w:p w:rsidR="00A03329" w:rsidRDefault="00A03329" w:rsidP="008C0A74">
      <w:pPr>
        <w:pStyle w:val="Heading1"/>
      </w:pPr>
    </w:p>
    <w:bookmarkEnd w:id="26"/>
    <w:bookmarkEnd w:id="18"/>
    <w:bookmarkEnd w:id="19"/>
    <w:bookmarkEnd w:id="20"/>
    <w:bookmarkEnd w:id="21"/>
    <w:p w:rsidR="00A03329" w:rsidRDefault="00A03329">
      <w:pPr>
        <w:spacing w:before="0" w:line="240" w:lineRule="auto"/>
        <w:rPr>
          <w:rFonts w:ascii="Tahoma" w:hAnsi="Tahoma" w:cs="Tahoma"/>
          <w:color w:val="000000"/>
          <w:kern w:val="28"/>
          <w:sz w:val="56"/>
          <w:szCs w:val="56"/>
        </w:rPr>
      </w:pPr>
    </w:p>
    <w:p w:rsidR="00A03329" w:rsidRPr="00A03329" w:rsidRDefault="00A03329" w:rsidP="00A03329">
      <w:pPr>
        <w:pStyle w:val="Heading1"/>
      </w:pPr>
      <w:r>
        <w:br w:type="page"/>
      </w:r>
      <w:r>
        <w:lastRenderedPageBreak/>
        <w:t>Statistics for planning human resource development</w:t>
      </w:r>
    </w:p>
    <w:p w:rsidR="00A03329" w:rsidRDefault="00A03329" w:rsidP="00A03329">
      <w:pPr>
        <w:pStyle w:val="Text"/>
      </w:pPr>
      <w:r>
        <w:t>The way I am going to approach the topic is first of all to discuss the concept and then look at the roles of the various players involved in some way in human resource development. I will then talk about the statistics each player might need and assess the current range of statistics against this list. My analysis no doubt reflects my neoclassical economics training and a general scepticism of the value of planning for human resource development (manpower planning in another guise?).</w:t>
      </w:r>
    </w:p>
    <w:p w:rsidR="00A03329" w:rsidRDefault="00A03329" w:rsidP="00A03329">
      <w:pPr>
        <w:pStyle w:val="Heading2"/>
      </w:pPr>
      <w:r>
        <w:t>The players</w:t>
      </w:r>
    </w:p>
    <w:p w:rsidR="00A03329" w:rsidRDefault="00A03329" w:rsidP="00A03329">
      <w:pPr>
        <w:pStyle w:val="Text"/>
      </w:pPr>
      <w:r>
        <w:t>I’m not totally sure that I understand what human resource development planning actually means, but I am interpreting it as the process of employers ensuring that their employees have the necessary skills to undertake their jobs. If this is accepted as the definition, I am still unsure how to approach the topic, because talking about ‘employees having the necessary skills to undertake their jobs’ reflects a very static view of the world. In reality, employers have many choices which impact on skills matching. First, they choose what products and services they wish to produce. They then have a range of technologies available — which typically trade off different types of labour and labour for capital equipment — and within a specific technology there are usually different ways of employing labour and capital equipment. Skills can also be learned on the job. Thus employers are faced with complex decisions related to ‘employees having the necessary skills’. For example, if labour is short or expensive, employers will be more likely to invest in equipment which downplays the importance of labour.</w:t>
      </w:r>
    </w:p>
    <w:p w:rsidR="00A03329" w:rsidRDefault="00A03329" w:rsidP="00A03329">
      <w:pPr>
        <w:pStyle w:val="Text"/>
      </w:pPr>
      <w:r>
        <w:t>However, putting aside my reservations about the difficulty of nailing the workforce development concept, we are essentially talking about two markets: the labour market in which employers and individuals trade work for wages; and the training market in which individuals obtain training (and therefore acquire skills) from training providers. This characterisation indicates three sets of relevant players: employers, individuals, and providers. In addition, one might add the regulators: the relevant industrial bodies that regulate the labour market and the training regulators, which regulate the quality of the training (noting that education and training is the sort of product which is very difficult to assess before it is purchased).</w:t>
      </w:r>
    </w:p>
    <w:p w:rsidR="00A03329" w:rsidRDefault="00A03329" w:rsidP="00A03329">
      <w:pPr>
        <w:pStyle w:val="Text"/>
      </w:pPr>
      <w:r>
        <w:t xml:space="preserve">Thus, if we were to believe that markets operated efficiently, then we would let employers, individuals and providers get on with it and not worry too much about planning any overarching workforce development. Instead, we would concentrate on information flows to ensure that individuals understand the quality of the training they are purchasing and the expected pay-off from their investment in skills, and that employers are in a position to judge the skills of potential employees. In the case where employers are training their own employees or paying for their training, then the information requirements are probably a little less onerous. Thus, under this view of the world, wages and conditions, training fees and the like would adjust until we had equilibriums in both the labour market and the training market. To promote these adjustments, we would want data on the costs and quality of training and the likely employment payoff (that is, the probability of getting a job and the wages for particular skills) relating to particular sets of skills. We would also want, ideally, information that would enable individuals to understand the future payoff from education, </w:t>
      </w:r>
      <w:r>
        <w:lastRenderedPageBreak/>
        <w:t>particularly when training for occupations with very long lead times. (Medical specialists are an obvious example.) Employers may need additional information, such as their rate of labour turnover, and an understanding of the labour market in which they operate.</w:t>
      </w:r>
    </w:p>
    <w:p w:rsidR="00A03329" w:rsidRDefault="00A03329" w:rsidP="00A03329">
      <w:pPr>
        <w:pStyle w:val="Text"/>
      </w:pPr>
      <w:r>
        <w:t>Table 1 makes an attempt to look at the information needs for each player operating in the labour and training market. I do not pretend that is comprehensive, but it does give an idea of the range of information that is required to make the labour markets operate efficiently.</w:t>
      </w:r>
    </w:p>
    <w:p w:rsidR="00A03329" w:rsidRDefault="00A03329" w:rsidP="00A03329">
      <w:pPr>
        <w:pStyle w:val="Tabletitle0"/>
      </w:pPr>
      <w:r>
        <w:t>Table 1</w:t>
      </w:r>
      <w:r>
        <w:tab/>
        <w:t>Information needs to assist labour and training markets</w:t>
      </w:r>
    </w:p>
    <w:tbl>
      <w:tblPr>
        <w:tblStyle w:val="TableGrid"/>
        <w:tblW w:w="0" w:type="auto"/>
        <w:tblLayout w:type="fixed"/>
        <w:tblLook w:val="04A0"/>
      </w:tblPr>
      <w:tblGrid>
        <w:gridCol w:w="1666"/>
        <w:gridCol w:w="1433"/>
        <w:gridCol w:w="1951"/>
        <w:gridCol w:w="3717"/>
      </w:tblGrid>
      <w:tr w:rsidR="00A03329">
        <w:trPr>
          <w:cnfStyle w:val="100000000000"/>
          <w:trHeight w:val="250"/>
        </w:trPr>
        <w:tc>
          <w:tcPr>
            <w:tcW w:w="1666" w:type="dxa"/>
            <w:tcBorders>
              <w:bottom w:val="single" w:sz="4" w:space="0" w:color="auto"/>
            </w:tcBorders>
          </w:tcPr>
          <w:p w:rsidR="00A03329" w:rsidRDefault="00A03329" w:rsidP="00D42FFC">
            <w:pPr>
              <w:pStyle w:val="Tableheadleft"/>
              <w:spacing w:before="30" w:after="30"/>
            </w:pPr>
            <w:r>
              <w:t>The player</w:t>
            </w:r>
          </w:p>
        </w:tc>
        <w:tc>
          <w:tcPr>
            <w:tcW w:w="1433" w:type="dxa"/>
            <w:tcBorders>
              <w:bottom w:val="single" w:sz="4" w:space="0" w:color="auto"/>
            </w:tcBorders>
          </w:tcPr>
          <w:p w:rsidR="00A03329" w:rsidRDefault="00A03329" w:rsidP="00D42FFC">
            <w:pPr>
              <w:pStyle w:val="Tableheadleft"/>
              <w:spacing w:before="30" w:after="30"/>
            </w:pPr>
            <w:r>
              <w:t>Broad area</w:t>
            </w:r>
          </w:p>
        </w:tc>
        <w:tc>
          <w:tcPr>
            <w:tcW w:w="1951" w:type="dxa"/>
            <w:tcBorders>
              <w:bottom w:val="single" w:sz="4" w:space="0" w:color="auto"/>
            </w:tcBorders>
          </w:tcPr>
          <w:p w:rsidR="00A03329" w:rsidRDefault="00A03329" w:rsidP="00D42FFC">
            <w:pPr>
              <w:pStyle w:val="Tableheadleft"/>
              <w:spacing w:before="30" w:after="30"/>
            </w:pPr>
            <w:r>
              <w:t>Possible indicator</w:t>
            </w:r>
          </w:p>
        </w:tc>
        <w:tc>
          <w:tcPr>
            <w:tcW w:w="3717" w:type="dxa"/>
            <w:tcBorders>
              <w:bottom w:val="single" w:sz="4" w:space="0" w:color="auto"/>
            </w:tcBorders>
          </w:tcPr>
          <w:p w:rsidR="00A03329" w:rsidRDefault="00A03329" w:rsidP="00D42FFC">
            <w:pPr>
              <w:pStyle w:val="Tableheadleft"/>
              <w:spacing w:before="30" w:after="30"/>
            </w:pPr>
            <w:r>
              <w:t>Assessment of information needs</w:t>
            </w:r>
          </w:p>
        </w:tc>
      </w:tr>
      <w:tr w:rsidR="00A03329">
        <w:trPr>
          <w:trHeight w:val="60"/>
        </w:trPr>
        <w:tc>
          <w:tcPr>
            <w:tcW w:w="1666" w:type="dxa"/>
            <w:tcBorders>
              <w:top w:val="single" w:sz="4" w:space="0" w:color="auto"/>
            </w:tcBorders>
          </w:tcPr>
          <w:p w:rsidR="00A03329" w:rsidRDefault="00A03329" w:rsidP="00D42FFC">
            <w:pPr>
              <w:pStyle w:val="Tabletextleft"/>
              <w:spacing w:before="30" w:after="30"/>
            </w:pPr>
            <w:r>
              <w:t>Students/employees</w:t>
            </w:r>
          </w:p>
        </w:tc>
        <w:tc>
          <w:tcPr>
            <w:tcW w:w="1433" w:type="dxa"/>
            <w:tcBorders>
              <w:top w:val="single" w:sz="4" w:space="0" w:color="auto"/>
            </w:tcBorders>
          </w:tcPr>
          <w:p w:rsidR="00A03329" w:rsidRDefault="00A03329" w:rsidP="00D42FFC">
            <w:pPr>
              <w:pStyle w:val="Tabletextleft"/>
              <w:spacing w:before="30" w:after="30"/>
            </w:pPr>
            <w:r>
              <w:t>Cost of training</w:t>
            </w:r>
          </w:p>
        </w:tc>
        <w:tc>
          <w:tcPr>
            <w:tcW w:w="1951" w:type="dxa"/>
            <w:tcBorders>
              <w:top w:val="single" w:sz="4" w:space="0" w:color="auto"/>
            </w:tcBorders>
          </w:tcPr>
          <w:p w:rsidR="00A03329" w:rsidRDefault="00A03329" w:rsidP="00D42FFC">
            <w:pPr>
              <w:pStyle w:val="Tabletextleft"/>
              <w:spacing w:before="30" w:after="30"/>
            </w:pPr>
            <w:r>
              <w:t>Fees</w:t>
            </w:r>
          </w:p>
        </w:tc>
        <w:tc>
          <w:tcPr>
            <w:tcW w:w="3717" w:type="dxa"/>
            <w:tcBorders>
              <w:top w:val="single" w:sz="4" w:space="0" w:color="auto"/>
            </w:tcBorders>
          </w:tcPr>
          <w:p w:rsidR="00A03329" w:rsidRDefault="00A03329" w:rsidP="00D42FFC">
            <w:pPr>
              <w:pStyle w:val="Tabletextleft"/>
              <w:spacing w:before="30" w:after="30"/>
            </w:pPr>
            <w:r>
              <w:t xml:space="preserve">Available for TAFEs but no central source of fees for private providers </w:t>
            </w:r>
          </w:p>
        </w:tc>
      </w:tr>
      <w:tr w:rsidR="00A03329">
        <w:trPr>
          <w:trHeight w:val="60"/>
        </w:trPr>
        <w:tc>
          <w:tcPr>
            <w:tcW w:w="1666" w:type="dxa"/>
          </w:tcPr>
          <w:p w:rsidR="00A03329" w:rsidRDefault="00A03329" w:rsidP="00D42FFC">
            <w:pPr>
              <w:pStyle w:val="NoParagraphStyle"/>
              <w:spacing w:before="30" w:after="30" w:line="240" w:lineRule="auto"/>
              <w:textAlignment w:val="auto"/>
              <w:rPr>
                <w:rFonts w:ascii="Tahoma" w:hAnsi="Tahoma" w:cs="Avant Garde"/>
                <w:color w:val="auto"/>
                <w:lang w:val="en-US"/>
              </w:rPr>
            </w:pPr>
          </w:p>
        </w:tc>
        <w:tc>
          <w:tcPr>
            <w:tcW w:w="1433" w:type="dxa"/>
          </w:tcPr>
          <w:p w:rsidR="00A03329" w:rsidRDefault="00A03329" w:rsidP="00D42FFC">
            <w:pPr>
              <w:pStyle w:val="NoParagraphStyle"/>
              <w:spacing w:before="30" w:after="30" w:line="240" w:lineRule="auto"/>
              <w:textAlignment w:val="auto"/>
              <w:rPr>
                <w:rFonts w:ascii="Tahoma" w:hAnsi="Tahoma" w:cs="Avant Garde"/>
                <w:color w:val="auto"/>
                <w:lang w:val="en-US"/>
              </w:rPr>
            </w:pPr>
          </w:p>
        </w:tc>
        <w:tc>
          <w:tcPr>
            <w:tcW w:w="1951" w:type="dxa"/>
          </w:tcPr>
          <w:p w:rsidR="00A03329" w:rsidRDefault="00A03329" w:rsidP="00D42FFC">
            <w:pPr>
              <w:pStyle w:val="Tabletextleft"/>
              <w:spacing w:before="30" w:after="30"/>
            </w:pPr>
            <w:r>
              <w:t>Government support</w:t>
            </w:r>
          </w:p>
        </w:tc>
        <w:tc>
          <w:tcPr>
            <w:tcW w:w="3717" w:type="dxa"/>
          </w:tcPr>
          <w:p w:rsidR="00A03329" w:rsidRDefault="00A03329" w:rsidP="00D42FFC">
            <w:pPr>
              <w:pStyle w:val="Tabletextleft"/>
              <w:spacing w:before="30" w:after="30"/>
            </w:pPr>
            <w:r>
              <w:t>Numerous websites</w:t>
            </w:r>
          </w:p>
        </w:tc>
      </w:tr>
      <w:tr w:rsidR="00A03329">
        <w:trPr>
          <w:trHeight w:val="60"/>
        </w:trPr>
        <w:tc>
          <w:tcPr>
            <w:tcW w:w="1666" w:type="dxa"/>
          </w:tcPr>
          <w:p w:rsidR="00A03329" w:rsidRDefault="00A03329" w:rsidP="00D42FFC">
            <w:pPr>
              <w:pStyle w:val="NoParagraphStyle"/>
              <w:spacing w:before="30" w:after="30" w:line="240" w:lineRule="auto"/>
              <w:textAlignment w:val="auto"/>
              <w:rPr>
                <w:rFonts w:ascii="Tahoma" w:hAnsi="Tahoma" w:cs="Avant Garde"/>
                <w:color w:val="auto"/>
                <w:lang w:val="en-US"/>
              </w:rPr>
            </w:pPr>
          </w:p>
        </w:tc>
        <w:tc>
          <w:tcPr>
            <w:tcW w:w="1433" w:type="dxa"/>
          </w:tcPr>
          <w:p w:rsidR="00A03329" w:rsidRDefault="00A03329" w:rsidP="00D42FFC">
            <w:pPr>
              <w:pStyle w:val="Tabletextleft"/>
              <w:spacing w:before="30" w:after="30"/>
            </w:pPr>
            <w:r>
              <w:t>Availability of jobs</w:t>
            </w:r>
          </w:p>
        </w:tc>
        <w:tc>
          <w:tcPr>
            <w:tcW w:w="1951" w:type="dxa"/>
          </w:tcPr>
          <w:p w:rsidR="00A03329" w:rsidRDefault="00A03329" w:rsidP="00D42FFC">
            <w:pPr>
              <w:pStyle w:val="Tabletextleft"/>
              <w:spacing w:before="30" w:after="30"/>
            </w:pPr>
            <w:r>
              <w:t>Employment growth</w:t>
            </w:r>
          </w:p>
        </w:tc>
        <w:tc>
          <w:tcPr>
            <w:tcW w:w="3717" w:type="dxa"/>
          </w:tcPr>
          <w:p w:rsidR="00A03329" w:rsidRDefault="00A03329" w:rsidP="00D42FFC">
            <w:pPr>
              <w:pStyle w:val="Tabletextleft"/>
              <w:spacing w:before="30" w:after="30"/>
            </w:pPr>
            <w:r>
              <w:t>Occupational employment growth from ABS labour force survey</w:t>
            </w:r>
          </w:p>
        </w:tc>
      </w:tr>
      <w:tr w:rsidR="00A03329">
        <w:trPr>
          <w:trHeight w:val="60"/>
        </w:trPr>
        <w:tc>
          <w:tcPr>
            <w:tcW w:w="1666" w:type="dxa"/>
          </w:tcPr>
          <w:p w:rsidR="00A03329" w:rsidRDefault="00A03329" w:rsidP="00D42FFC">
            <w:pPr>
              <w:pStyle w:val="NoParagraphStyle"/>
              <w:spacing w:before="30" w:after="30" w:line="240" w:lineRule="auto"/>
              <w:textAlignment w:val="auto"/>
              <w:rPr>
                <w:rFonts w:ascii="Tahoma" w:hAnsi="Tahoma" w:cs="Avant Garde"/>
                <w:color w:val="auto"/>
                <w:lang w:val="en-US"/>
              </w:rPr>
            </w:pPr>
          </w:p>
        </w:tc>
        <w:tc>
          <w:tcPr>
            <w:tcW w:w="1433" w:type="dxa"/>
          </w:tcPr>
          <w:p w:rsidR="00A03329" w:rsidRDefault="00A03329" w:rsidP="00D42FFC">
            <w:pPr>
              <w:pStyle w:val="NoParagraphStyle"/>
              <w:spacing w:before="30" w:after="30" w:line="240" w:lineRule="auto"/>
              <w:textAlignment w:val="auto"/>
              <w:rPr>
                <w:rFonts w:ascii="Tahoma" w:hAnsi="Tahoma" w:cs="Avant Garde"/>
                <w:color w:val="auto"/>
                <w:lang w:val="en-US"/>
              </w:rPr>
            </w:pPr>
          </w:p>
        </w:tc>
        <w:tc>
          <w:tcPr>
            <w:tcW w:w="1951" w:type="dxa"/>
          </w:tcPr>
          <w:p w:rsidR="00A03329" w:rsidRDefault="00A03329" w:rsidP="00D42FFC">
            <w:pPr>
              <w:pStyle w:val="Tabletextleft"/>
              <w:spacing w:before="30" w:after="30"/>
            </w:pPr>
            <w:r>
              <w:t>Job vacancies</w:t>
            </w:r>
          </w:p>
        </w:tc>
        <w:tc>
          <w:tcPr>
            <w:tcW w:w="3717" w:type="dxa"/>
          </w:tcPr>
          <w:p w:rsidR="00A03329" w:rsidRDefault="00A03329" w:rsidP="00D42FFC">
            <w:pPr>
              <w:pStyle w:val="Tabletextleft"/>
              <w:spacing w:before="30" w:after="30"/>
            </w:pPr>
            <w:r>
              <w:t>ABS survey is high-level.</w:t>
            </w:r>
          </w:p>
          <w:p w:rsidR="00A03329" w:rsidRDefault="00A03329" w:rsidP="00D42FFC">
            <w:pPr>
              <w:pStyle w:val="Tabletextleft"/>
              <w:spacing w:before="30" w:after="30"/>
            </w:pPr>
            <w:r>
              <w:t>Skilled vacancy index from DEEWR (high-level)</w:t>
            </w:r>
          </w:p>
          <w:p w:rsidR="00A03329" w:rsidRDefault="00A03329" w:rsidP="00D42FFC">
            <w:pPr>
              <w:pStyle w:val="Tabletextleft"/>
              <w:spacing w:before="30" w:after="30"/>
            </w:pPr>
            <w:r>
              <w:t>DEEWR research on skills in demand</w:t>
            </w:r>
          </w:p>
        </w:tc>
      </w:tr>
      <w:tr w:rsidR="00A03329">
        <w:trPr>
          <w:trHeight w:val="60"/>
        </w:trPr>
        <w:tc>
          <w:tcPr>
            <w:tcW w:w="1666" w:type="dxa"/>
          </w:tcPr>
          <w:p w:rsidR="00A03329" w:rsidRDefault="00A03329" w:rsidP="00D42FFC">
            <w:pPr>
              <w:pStyle w:val="NoParagraphStyle"/>
              <w:spacing w:before="30" w:after="30" w:line="240" w:lineRule="auto"/>
              <w:textAlignment w:val="auto"/>
              <w:rPr>
                <w:rFonts w:ascii="Tahoma" w:hAnsi="Tahoma" w:cs="Avant Garde"/>
                <w:color w:val="auto"/>
                <w:lang w:val="en-US"/>
              </w:rPr>
            </w:pPr>
          </w:p>
        </w:tc>
        <w:tc>
          <w:tcPr>
            <w:tcW w:w="1433" w:type="dxa"/>
          </w:tcPr>
          <w:p w:rsidR="00A03329" w:rsidRDefault="00A03329" w:rsidP="00D42FFC">
            <w:pPr>
              <w:pStyle w:val="NoParagraphStyle"/>
              <w:spacing w:before="30" w:after="30" w:line="240" w:lineRule="auto"/>
              <w:textAlignment w:val="auto"/>
              <w:rPr>
                <w:rFonts w:ascii="Tahoma" w:hAnsi="Tahoma" w:cs="Avant Garde"/>
                <w:color w:val="auto"/>
                <w:lang w:val="en-US"/>
              </w:rPr>
            </w:pPr>
          </w:p>
        </w:tc>
        <w:tc>
          <w:tcPr>
            <w:tcW w:w="1951" w:type="dxa"/>
          </w:tcPr>
          <w:p w:rsidR="00A03329" w:rsidRDefault="00A03329" w:rsidP="00D42FFC">
            <w:pPr>
              <w:pStyle w:val="Tabletextleft"/>
              <w:spacing w:before="30" w:after="30"/>
            </w:pPr>
            <w:r>
              <w:t>Unemployment rates</w:t>
            </w:r>
          </w:p>
        </w:tc>
        <w:tc>
          <w:tcPr>
            <w:tcW w:w="3717" w:type="dxa"/>
          </w:tcPr>
          <w:p w:rsidR="00A03329" w:rsidRDefault="00A03329" w:rsidP="00D42FFC">
            <w:pPr>
              <w:pStyle w:val="Tabletextleft"/>
              <w:spacing w:before="30" w:after="30"/>
            </w:pPr>
            <w:r>
              <w:t>Occupational unemployment rates (and be qualification level)</w:t>
            </w:r>
          </w:p>
        </w:tc>
      </w:tr>
      <w:tr w:rsidR="00A03329">
        <w:trPr>
          <w:trHeight w:val="60"/>
        </w:trPr>
        <w:tc>
          <w:tcPr>
            <w:tcW w:w="1666" w:type="dxa"/>
          </w:tcPr>
          <w:p w:rsidR="00A03329" w:rsidRDefault="00A03329" w:rsidP="00D42FFC">
            <w:pPr>
              <w:pStyle w:val="NoParagraphStyle"/>
              <w:spacing w:before="30" w:after="30" w:line="240" w:lineRule="auto"/>
              <w:textAlignment w:val="auto"/>
              <w:rPr>
                <w:rFonts w:ascii="Tahoma" w:hAnsi="Tahoma" w:cs="Avant Garde"/>
                <w:color w:val="auto"/>
                <w:lang w:val="en-US"/>
              </w:rPr>
            </w:pPr>
          </w:p>
        </w:tc>
        <w:tc>
          <w:tcPr>
            <w:tcW w:w="1433" w:type="dxa"/>
          </w:tcPr>
          <w:p w:rsidR="00A03329" w:rsidRDefault="00A03329" w:rsidP="00D42FFC">
            <w:pPr>
              <w:pStyle w:val="NoParagraphStyle"/>
              <w:spacing w:before="30" w:after="30" w:line="240" w:lineRule="auto"/>
              <w:textAlignment w:val="auto"/>
              <w:rPr>
                <w:rFonts w:ascii="Tahoma" w:hAnsi="Tahoma" w:cs="Avant Garde"/>
                <w:color w:val="auto"/>
                <w:lang w:val="en-US"/>
              </w:rPr>
            </w:pPr>
          </w:p>
        </w:tc>
        <w:tc>
          <w:tcPr>
            <w:tcW w:w="1951" w:type="dxa"/>
          </w:tcPr>
          <w:p w:rsidR="00A03329" w:rsidRDefault="00A03329" w:rsidP="00D42FFC">
            <w:pPr>
              <w:pStyle w:val="Tabletextleft"/>
              <w:spacing w:before="30" w:after="30"/>
            </w:pPr>
            <w:r>
              <w:t>Transitions</w:t>
            </w:r>
          </w:p>
        </w:tc>
        <w:tc>
          <w:tcPr>
            <w:tcW w:w="3717" w:type="dxa"/>
          </w:tcPr>
          <w:p w:rsidR="00A03329" w:rsidRDefault="00A03329" w:rsidP="00D42FFC">
            <w:pPr>
              <w:pStyle w:val="Tabletextleft"/>
              <w:spacing w:before="30" w:after="30"/>
            </w:pPr>
            <w:r>
              <w:t xml:space="preserve">NCVER Student Outcomes Survey, Graduate Destination survey </w:t>
            </w:r>
          </w:p>
        </w:tc>
      </w:tr>
      <w:tr w:rsidR="00A03329">
        <w:trPr>
          <w:trHeight w:val="60"/>
        </w:trPr>
        <w:tc>
          <w:tcPr>
            <w:tcW w:w="1666" w:type="dxa"/>
          </w:tcPr>
          <w:p w:rsidR="00A03329" w:rsidRDefault="00A03329" w:rsidP="00D42FFC">
            <w:pPr>
              <w:pStyle w:val="NoParagraphStyle"/>
              <w:spacing w:before="30" w:after="30" w:line="240" w:lineRule="auto"/>
              <w:textAlignment w:val="auto"/>
              <w:rPr>
                <w:rFonts w:ascii="Tahoma" w:hAnsi="Tahoma" w:cs="Avant Garde"/>
                <w:color w:val="auto"/>
                <w:lang w:val="en-US"/>
              </w:rPr>
            </w:pPr>
          </w:p>
        </w:tc>
        <w:tc>
          <w:tcPr>
            <w:tcW w:w="1433" w:type="dxa"/>
          </w:tcPr>
          <w:p w:rsidR="00A03329" w:rsidRDefault="00A03329" w:rsidP="00D42FFC">
            <w:pPr>
              <w:pStyle w:val="Tabletextleft"/>
              <w:spacing w:before="30" w:after="30"/>
            </w:pPr>
            <w:r>
              <w:t>Quality of training</w:t>
            </w:r>
          </w:p>
        </w:tc>
        <w:tc>
          <w:tcPr>
            <w:tcW w:w="1951" w:type="dxa"/>
          </w:tcPr>
          <w:p w:rsidR="00A03329" w:rsidRDefault="00A03329" w:rsidP="00D42FFC">
            <w:pPr>
              <w:pStyle w:val="Tabletextleft"/>
              <w:spacing w:before="30" w:after="30"/>
            </w:pPr>
            <w:r>
              <w:t>Provider indicators</w:t>
            </w:r>
          </w:p>
        </w:tc>
        <w:tc>
          <w:tcPr>
            <w:tcW w:w="3717" w:type="dxa"/>
          </w:tcPr>
          <w:p w:rsidR="00A03329" w:rsidRDefault="00A03329" w:rsidP="00D42FFC">
            <w:pPr>
              <w:pStyle w:val="Tabletextleft"/>
              <w:spacing w:before="30" w:after="30"/>
            </w:pPr>
            <w:r>
              <w:t>Not currently produced for the VET sector</w:t>
            </w:r>
          </w:p>
        </w:tc>
      </w:tr>
      <w:tr w:rsidR="00A03329">
        <w:trPr>
          <w:trHeight w:val="60"/>
        </w:trPr>
        <w:tc>
          <w:tcPr>
            <w:tcW w:w="1666" w:type="dxa"/>
          </w:tcPr>
          <w:p w:rsidR="00A03329" w:rsidRDefault="00A03329" w:rsidP="00D42FFC">
            <w:pPr>
              <w:pStyle w:val="NoParagraphStyle"/>
              <w:spacing w:before="30" w:after="30" w:line="240" w:lineRule="auto"/>
              <w:textAlignment w:val="auto"/>
              <w:rPr>
                <w:rFonts w:ascii="Tahoma" w:hAnsi="Tahoma" w:cs="Avant Garde"/>
                <w:color w:val="auto"/>
                <w:lang w:val="en-US"/>
              </w:rPr>
            </w:pPr>
          </w:p>
        </w:tc>
        <w:tc>
          <w:tcPr>
            <w:tcW w:w="1433" w:type="dxa"/>
          </w:tcPr>
          <w:p w:rsidR="00A03329" w:rsidRDefault="00A03329" w:rsidP="00D42FFC">
            <w:pPr>
              <w:pStyle w:val="Tabletextleft"/>
              <w:spacing w:before="30" w:after="30"/>
            </w:pPr>
            <w:r>
              <w:t>Quality of job</w:t>
            </w:r>
          </w:p>
        </w:tc>
        <w:tc>
          <w:tcPr>
            <w:tcW w:w="1951" w:type="dxa"/>
          </w:tcPr>
          <w:p w:rsidR="00A03329" w:rsidRDefault="00A03329" w:rsidP="00D42FFC">
            <w:pPr>
              <w:pStyle w:val="Tabletextleft"/>
              <w:spacing w:before="30" w:after="30"/>
            </w:pPr>
            <w:r>
              <w:t>Extent of permanent employment</w:t>
            </w:r>
          </w:p>
        </w:tc>
        <w:tc>
          <w:tcPr>
            <w:tcW w:w="3717" w:type="dxa"/>
          </w:tcPr>
          <w:p w:rsidR="00A03329" w:rsidRDefault="00A03329" w:rsidP="00D42FFC">
            <w:pPr>
              <w:pStyle w:val="Tabletextleft"/>
              <w:spacing w:before="30" w:after="30"/>
            </w:pPr>
            <w:r>
              <w:t>ABS Labour Force survey</w:t>
            </w:r>
          </w:p>
        </w:tc>
      </w:tr>
      <w:tr w:rsidR="00A03329">
        <w:trPr>
          <w:trHeight w:val="286"/>
        </w:trPr>
        <w:tc>
          <w:tcPr>
            <w:tcW w:w="1666" w:type="dxa"/>
          </w:tcPr>
          <w:p w:rsidR="00A03329" w:rsidRDefault="00A03329" w:rsidP="00D42FFC">
            <w:pPr>
              <w:pStyle w:val="NoParagraphStyle"/>
              <w:spacing w:before="30" w:after="30" w:line="240" w:lineRule="auto"/>
              <w:textAlignment w:val="auto"/>
              <w:rPr>
                <w:rFonts w:ascii="Tahoma" w:hAnsi="Tahoma" w:cs="Avant Garde"/>
                <w:color w:val="auto"/>
                <w:lang w:val="en-US"/>
              </w:rPr>
            </w:pPr>
          </w:p>
        </w:tc>
        <w:tc>
          <w:tcPr>
            <w:tcW w:w="1433" w:type="dxa"/>
          </w:tcPr>
          <w:p w:rsidR="00A03329" w:rsidRDefault="00A03329" w:rsidP="00D42FFC">
            <w:pPr>
              <w:pStyle w:val="NoParagraphStyle"/>
              <w:spacing w:before="30" w:after="30" w:line="240" w:lineRule="auto"/>
              <w:textAlignment w:val="auto"/>
              <w:rPr>
                <w:rFonts w:ascii="Tahoma" w:hAnsi="Tahoma" w:cs="Avant Garde"/>
                <w:color w:val="auto"/>
                <w:lang w:val="en-US"/>
              </w:rPr>
            </w:pPr>
          </w:p>
        </w:tc>
        <w:tc>
          <w:tcPr>
            <w:tcW w:w="1951" w:type="dxa"/>
          </w:tcPr>
          <w:p w:rsidR="00A03329" w:rsidRDefault="00A03329" w:rsidP="00D42FFC">
            <w:pPr>
              <w:pStyle w:val="Tabletextleft"/>
              <w:spacing w:before="30" w:after="30"/>
            </w:pPr>
            <w:r>
              <w:t>Wages</w:t>
            </w:r>
          </w:p>
        </w:tc>
        <w:tc>
          <w:tcPr>
            <w:tcW w:w="3717" w:type="dxa"/>
          </w:tcPr>
          <w:p w:rsidR="00A03329" w:rsidRDefault="00A03329" w:rsidP="00D42FFC">
            <w:pPr>
              <w:pStyle w:val="Tabletextleft"/>
              <w:spacing w:before="30" w:after="30"/>
            </w:pPr>
            <w:r>
              <w:t>Occupational wages from ABS</w:t>
            </w:r>
          </w:p>
        </w:tc>
      </w:tr>
      <w:tr w:rsidR="00A03329">
        <w:trPr>
          <w:trHeight w:val="60"/>
        </w:trPr>
        <w:tc>
          <w:tcPr>
            <w:tcW w:w="1666" w:type="dxa"/>
          </w:tcPr>
          <w:p w:rsidR="00A03329" w:rsidRDefault="00A03329" w:rsidP="00D42FFC">
            <w:pPr>
              <w:pStyle w:val="NoParagraphStyle"/>
              <w:spacing w:before="30" w:after="30" w:line="240" w:lineRule="auto"/>
              <w:textAlignment w:val="auto"/>
              <w:rPr>
                <w:rFonts w:ascii="Tahoma" w:hAnsi="Tahoma" w:cs="Avant Garde"/>
                <w:color w:val="auto"/>
                <w:lang w:val="en-US"/>
              </w:rPr>
            </w:pPr>
          </w:p>
        </w:tc>
        <w:tc>
          <w:tcPr>
            <w:tcW w:w="1433" w:type="dxa"/>
          </w:tcPr>
          <w:p w:rsidR="00A03329" w:rsidRDefault="00A03329" w:rsidP="00D42FFC">
            <w:pPr>
              <w:pStyle w:val="NoParagraphStyle"/>
              <w:spacing w:before="30" w:after="30" w:line="240" w:lineRule="auto"/>
              <w:textAlignment w:val="auto"/>
              <w:rPr>
                <w:rFonts w:ascii="Tahoma" w:hAnsi="Tahoma" w:cs="Avant Garde"/>
                <w:color w:val="auto"/>
                <w:lang w:val="en-US"/>
              </w:rPr>
            </w:pPr>
          </w:p>
        </w:tc>
        <w:tc>
          <w:tcPr>
            <w:tcW w:w="1951" w:type="dxa"/>
          </w:tcPr>
          <w:p w:rsidR="00A03329" w:rsidRDefault="00A03329" w:rsidP="00D42FFC">
            <w:pPr>
              <w:pStyle w:val="Tabletextleft"/>
              <w:spacing w:before="30" w:after="30"/>
            </w:pPr>
            <w:r>
              <w:t>Stability of employment</w:t>
            </w:r>
          </w:p>
        </w:tc>
        <w:tc>
          <w:tcPr>
            <w:tcW w:w="3717" w:type="dxa"/>
          </w:tcPr>
          <w:p w:rsidR="00A03329" w:rsidRDefault="00A03329" w:rsidP="00D42FFC">
            <w:pPr>
              <w:pStyle w:val="Tabletextleft"/>
              <w:spacing w:before="30" w:after="30"/>
            </w:pPr>
            <w:r>
              <w:t>Broad data from ABS Labour Mobility survey</w:t>
            </w:r>
          </w:p>
        </w:tc>
      </w:tr>
      <w:tr w:rsidR="00A03329">
        <w:trPr>
          <w:trHeight w:val="60"/>
        </w:trPr>
        <w:tc>
          <w:tcPr>
            <w:tcW w:w="1666" w:type="dxa"/>
          </w:tcPr>
          <w:p w:rsidR="00A03329" w:rsidRDefault="00A03329" w:rsidP="00D42FFC">
            <w:pPr>
              <w:pStyle w:val="NoParagraphStyle"/>
              <w:spacing w:before="30" w:after="30" w:line="240" w:lineRule="auto"/>
              <w:textAlignment w:val="auto"/>
              <w:rPr>
                <w:rFonts w:ascii="Tahoma" w:hAnsi="Tahoma" w:cs="Avant Garde"/>
                <w:color w:val="auto"/>
                <w:lang w:val="en-US"/>
              </w:rPr>
            </w:pPr>
          </w:p>
        </w:tc>
        <w:tc>
          <w:tcPr>
            <w:tcW w:w="1433" w:type="dxa"/>
          </w:tcPr>
          <w:p w:rsidR="00A03329" w:rsidRDefault="00A03329" w:rsidP="00D42FFC">
            <w:pPr>
              <w:pStyle w:val="Tabletextleft"/>
              <w:spacing w:before="30" w:after="30"/>
            </w:pPr>
            <w:r>
              <w:t>Future job prospects</w:t>
            </w:r>
          </w:p>
        </w:tc>
        <w:tc>
          <w:tcPr>
            <w:tcW w:w="1951" w:type="dxa"/>
          </w:tcPr>
          <w:p w:rsidR="00A03329" w:rsidRDefault="00A03329" w:rsidP="00D42FFC">
            <w:pPr>
              <w:pStyle w:val="Tabletextleft"/>
              <w:spacing w:before="30" w:after="30"/>
            </w:pPr>
            <w:r>
              <w:t>Likely growth in job opportunities and wages</w:t>
            </w:r>
          </w:p>
        </w:tc>
        <w:tc>
          <w:tcPr>
            <w:tcW w:w="3717" w:type="dxa"/>
          </w:tcPr>
          <w:p w:rsidR="00A03329" w:rsidRDefault="00A03329" w:rsidP="00D42FFC">
            <w:pPr>
              <w:pStyle w:val="Tabletextleft"/>
              <w:spacing w:before="30" w:after="30"/>
            </w:pPr>
            <w:r>
              <w:t>Skills Australia’s reports. Skills councils’ environmental scans, newspapers, parents</w:t>
            </w:r>
          </w:p>
        </w:tc>
      </w:tr>
      <w:tr w:rsidR="00A03329">
        <w:trPr>
          <w:trHeight w:val="60"/>
        </w:trPr>
        <w:tc>
          <w:tcPr>
            <w:tcW w:w="1666" w:type="dxa"/>
          </w:tcPr>
          <w:p w:rsidR="00A03329" w:rsidRDefault="00A03329" w:rsidP="00D42FFC">
            <w:pPr>
              <w:pStyle w:val="Tabletextleft"/>
              <w:spacing w:before="30" w:after="30"/>
            </w:pPr>
            <w:r>
              <w:t>Employers</w:t>
            </w:r>
          </w:p>
        </w:tc>
        <w:tc>
          <w:tcPr>
            <w:tcW w:w="1433" w:type="dxa"/>
          </w:tcPr>
          <w:p w:rsidR="00A03329" w:rsidRDefault="00A03329" w:rsidP="00D42FFC">
            <w:pPr>
              <w:pStyle w:val="Tabletextleft"/>
              <w:spacing w:before="30" w:after="30"/>
            </w:pPr>
            <w:r>
              <w:t>Availability of labour</w:t>
            </w:r>
          </w:p>
        </w:tc>
        <w:tc>
          <w:tcPr>
            <w:tcW w:w="1951" w:type="dxa"/>
          </w:tcPr>
          <w:p w:rsidR="00A03329" w:rsidRDefault="00A03329" w:rsidP="00D42FFC">
            <w:pPr>
              <w:pStyle w:val="Tabletextleft"/>
              <w:spacing w:before="30" w:after="30"/>
            </w:pPr>
            <w:r>
              <w:t>Numbers of applications for jobs</w:t>
            </w:r>
          </w:p>
        </w:tc>
        <w:tc>
          <w:tcPr>
            <w:tcW w:w="3717" w:type="dxa"/>
          </w:tcPr>
          <w:p w:rsidR="00A03329" w:rsidRDefault="00A03329" w:rsidP="00D42FFC">
            <w:pPr>
              <w:pStyle w:val="Tabletextleft"/>
              <w:spacing w:before="30" w:after="30"/>
            </w:pPr>
            <w:r>
              <w:t>Internal records</w:t>
            </w:r>
          </w:p>
        </w:tc>
      </w:tr>
      <w:tr w:rsidR="00A03329">
        <w:trPr>
          <w:trHeight w:val="60"/>
        </w:trPr>
        <w:tc>
          <w:tcPr>
            <w:tcW w:w="1666" w:type="dxa"/>
          </w:tcPr>
          <w:p w:rsidR="00A03329" w:rsidRDefault="00A03329" w:rsidP="00D42FFC">
            <w:pPr>
              <w:pStyle w:val="NoParagraphStyle"/>
              <w:spacing w:before="30" w:after="30" w:line="240" w:lineRule="auto"/>
              <w:textAlignment w:val="auto"/>
              <w:rPr>
                <w:rFonts w:ascii="Tahoma" w:hAnsi="Tahoma" w:cs="Avant Garde"/>
                <w:color w:val="auto"/>
                <w:lang w:val="en-US"/>
              </w:rPr>
            </w:pPr>
          </w:p>
        </w:tc>
        <w:tc>
          <w:tcPr>
            <w:tcW w:w="1433" w:type="dxa"/>
          </w:tcPr>
          <w:p w:rsidR="00A03329" w:rsidRDefault="00A03329" w:rsidP="00D42FFC">
            <w:pPr>
              <w:pStyle w:val="Tabletextleft"/>
              <w:spacing w:before="30" w:after="30"/>
            </w:pPr>
            <w:r>
              <w:t>Knowledge of labour market</w:t>
            </w:r>
          </w:p>
        </w:tc>
        <w:tc>
          <w:tcPr>
            <w:tcW w:w="1951" w:type="dxa"/>
          </w:tcPr>
          <w:p w:rsidR="00A03329" w:rsidRDefault="00A03329" w:rsidP="00D42FFC">
            <w:pPr>
              <w:pStyle w:val="Tabletextleft"/>
              <w:spacing w:before="30" w:after="30"/>
            </w:pPr>
            <w:r>
              <w:t>Going wage rate</w:t>
            </w:r>
          </w:p>
        </w:tc>
        <w:tc>
          <w:tcPr>
            <w:tcW w:w="3717" w:type="dxa"/>
          </w:tcPr>
          <w:p w:rsidR="00A03329" w:rsidRDefault="00A03329" w:rsidP="00D42FFC">
            <w:pPr>
              <w:pStyle w:val="Tabletextleft"/>
              <w:spacing w:before="30" w:after="30"/>
            </w:pPr>
            <w:r>
              <w:t>Occupational wages from ABS plus industry knowledge</w:t>
            </w:r>
          </w:p>
        </w:tc>
      </w:tr>
      <w:tr w:rsidR="00A03329">
        <w:trPr>
          <w:trHeight w:val="60"/>
        </w:trPr>
        <w:tc>
          <w:tcPr>
            <w:tcW w:w="1666" w:type="dxa"/>
          </w:tcPr>
          <w:p w:rsidR="00A03329" w:rsidRDefault="00A03329" w:rsidP="00D42FFC">
            <w:pPr>
              <w:pStyle w:val="NoParagraphStyle"/>
              <w:spacing w:before="30" w:after="30" w:line="240" w:lineRule="auto"/>
              <w:textAlignment w:val="auto"/>
              <w:rPr>
                <w:rFonts w:ascii="Tahoma" w:hAnsi="Tahoma" w:cs="Avant Garde"/>
                <w:color w:val="auto"/>
                <w:lang w:val="en-US"/>
              </w:rPr>
            </w:pPr>
          </w:p>
        </w:tc>
        <w:tc>
          <w:tcPr>
            <w:tcW w:w="1433" w:type="dxa"/>
          </w:tcPr>
          <w:p w:rsidR="00A03329" w:rsidRDefault="00A03329" w:rsidP="00D42FFC">
            <w:pPr>
              <w:pStyle w:val="NoParagraphStyle"/>
              <w:spacing w:before="30" w:after="30" w:line="240" w:lineRule="auto"/>
              <w:textAlignment w:val="auto"/>
              <w:rPr>
                <w:rFonts w:ascii="Tahoma" w:hAnsi="Tahoma" w:cs="Avant Garde"/>
                <w:color w:val="auto"/>
                <w:lang w:val="en-US"/>
              </w:rPr>
            </w:pPr>
          </w:p>
        </w:tc>
        <w:tc>
          <w:tcPr>
            <w:tcW w:w="1951" w:type="dxa"/>
          </w:tcPr>
          <w:p w:rsidR="00A03329" w:rsidRDefault="00A03329" w:rsidP="00D42FFC">
            <w:pPr>
              <w:pStyle w:val="Tabletextleft"/>
              <w:spacing w:before="30" w:after="30"/>
            </w:pPr>
            <w:r>
              <w:t>Industry labour market dynamics</w:t>
            </w:r>
          </w:p>
        </w:tc>
        <w:tc>
          <w:tcPr>
            <w:tcW w:w="3717" w:type="dxa"/>
          </w:tcPr>
          <w:p w:rsidR="00A03329" w:rsidRDefault="00A03329" w:rsidP="00D42FFC">
            <w:pPr>
              <w:pStyle w:val="Tabletextleft"/>
              <w:spacing w:before="30" w:after="30"/>
            </w:pPr>
            <w:r>
              <w:t>ABS mobility survey plus industry knowledge</w:t>
            </w:r>
          </w:p>
        </w:tc>
      </w:tr>
      <w:tr w:rsidR="00A03329">
        <w:trPr>
          <w:trHeight w:val="60"/>
        </w:trPr>
        <w:tc>
          <w:tcPr>
            <w:tcW w:w="1666" w:type="dxa"/>
          </w:tcPr>
          <w:p w:rsidR="00A03329" w:rsidRDefault="00A03329" w:rsidP="00D42FFC">
            <w:pPr>
              <w:pStyle w:val="NoParagraphStyle"/>
              <w:spacing w:before="30" w:after="30" w:line="240" w:lineRule="auto"/>
              <w:textAlignment w:val="auto"/>
              <w:rPr>
                <w:rFonts w:ascii="Tahoma" w:hAnsi="Tahoma" w:cs="Avant Garde"/>
                <w:color w:val="auto"/>
                <w:lang w:val="en-US"/>
              </w:rPr>
            </w:pPr>
          </w:p>
        </w:tc>
        <w:tc>
          <w:tcPr>
            <w:tcW w:w="1433" w:type="dxa"/>
          </w:tcPr>
          <w:p w:rsidR="00A03329" w:rsidRDefault="00A03329" w:rsidP="00D42FFC">
            <w:pPr>
              <w:pStyle w:val="Tabletextleft"/>
              <w:spacing w:before="30" w:after="30"/>
            </w:pPr>
            <w:r>
              <w:t>Labour turnover</w:t>
            </w:r>
          </w:p>
        </w:tc>
        <w:tc>
          <w:tcPr>
            <w:tcW w:w="1951" w:type="dxa"/>
          </w:tcPr>
          <w:p w:rsidR="00A03329" w:rsidRDefault="00A03329" w:rsidP="00D42FFC">
            <w:pPr>
              <w:pStyle w:val="NoParagraphStyle"/>
              <w:spacing w:before="30" w:after="30" w:line="240" w:lineRule="auto"/>
              <w:textAlignment w:val="auto"/>
              <w:rPr>
                <w:rFonts w:ascii="Tahoma" w:hAnsi="Tahoma" w:cs="Avant Garde"/>
                <w:color w:val="auto"/>
                <w:lang w:val="en-US"/>
              </w:rPr>
            </w:pPr>
          </w:p>
        </w:tc>
        <w:tc>
          <w:tcPr>
            <w:tcW w:w="3717" w:type="dxa"/>
          </w:tcPr>
          <w:p w:rsidR="00A03329" w:rsidRDefault="00A03329" w:rsidP="00D42FFC">
            <w:pPr>
              <w:pStyle w:val="Tabletextleft"/>
              <w:spacing w:before="30" w:after="30"/>
            </w:pPr>
            <w:r>
              <w:t>Internal records</w:t>
            </w:r>
          </w:p>
        </w:tc>
      </w:tr>
      <w:tr w:rsidR="00A03329">
        <w:trPr>
          <w:trHeight w:val="60"/>
        </w:trPr>
        <w:tc>
          <w:tcPr>
            <w:tcW w:w="1666" w:type="dxa"/>
          </w:tcPr>
          <w:p w:rsidR="00A03329" w:rsidRDefault="00A03329" w:rsidP="00D42FFC">
            <w:pPr>
              <w:pStyle w:val="Tabletextleft"/>
              <w:spacing w:before="30" w:after="30"/>
            </w:pPr>
            <w:r>
              <w:t>Providers</w:t>
            </w:r>
          </w:p>
        </w:tc>
        <w:tc>
          <w:tcPr>
            <w:tcW w:w="1433" w:type="dxa"/>
          </w:tcPr>
          <w:p w:rsidR="00A03329" w:rsidRDefault="00A03329" w:rsidP="00D42FFC">
            <w:pPr>
              <w:pStyle w:val="Tabletextleft"/>
              <w:spacing w:before="30" w:after="30"/>
            </w:pPr>
            <w:r>
              <w:t>Student demand</w:t>
            </w:r>
          </w:p>
        </w:tc>
        <w:tc>
          <w:tcPr>
            <w:tcW w:w="1951" w:type="dxa"/>
          </w:tcPr>
          <w:p w:rsidR="00A03329" w:rsidRDefault="00A03329" w:rsidP="00D42FFC">
            <w:pPr>
              <w:pStyle w:val="Tabletextleft"/>
              <w:spacing w:before="30" w:after="30"/>
            </w:pPr>
            <w:r>
              <w:t>Applications for courses</w:t>
            </w:r>
          </w:p>
        </w:tc>
        <w:tc>
          <w:tcPr>
            <w:tcW w:w="3717" w:type="dxa"/>
          </w:tcPr>
          <w:p w:rsidR="00A03329" w:rsidRDefault="00A03329" w:rsidP="00D42FFC">
            <w:pPr>
              <w:pStyle w:val="Tabletextleft"/>
              <w:spacing w:before="30" w:after="30"/>
            </w:pPr>
            <w:r>
              <w:t>High-level data from ABS Survey of Education and Work; very poor national micro data</w:t>
            </w:r>
          </w:p>
        </w:tc>
      </w:tr>
      <w:tr w:rsidR="00A03329">
        <w:trPr>
          <w:trHeight w:val="60"/>
        </w:trPr>
        <w:tc>
          <w:tcPr>
            <w:tcW w:w="1666" w:type="dxa"/>
          </w:tcPr>
          <w:p w:rsidR="00A03329" w:rsidRDefault="00A03329" w:rsidP="00D42FFC">
            <w:pPr>
              <w:pStyle w:val="NoParagraphStyle"/>
              <w:spacing w:before="30" w:after="30" w:line="240" w:lineRule="auto"/>
              <w:textAlignment w:val="auto"/>
              <w:rPr>
                <w:rFonts w:ascii="Tahoma" w:hAnsi="Tahoma" w:cs="Avant Garde"/>
                <w:color w:val="auto"/>
                <w:lang w:val="en-US"/>
              </w:rPr>
            </w:pPr>
          </w:p>
        </w:tc>
        <w:tc>
          <w:tcPr>
            <w:tcW w:w="1433" w:type="dxa"/>
          </w:tcPr>
          <w:p w:rsidR="00A03329" w:rsidRDefault="00A03329" w:rsidP="00D42FFC">
            <w:pPr>
              <w:pStyle w:val="Tabletextleft"/>
              <w:spacing w:before="30" w:after="30"/>
            </w:pPr>
            <w:r>
              <w:t>Student outcomes</w:t>
            </w:r>
          </w:p>
        </w:tc>
        <w:tc>
          <w:tcPr>
            <w:tcW w:w="1951" w:type="dxa"/>
          </w:tcPr>
          <w:p w:rsidR="00A03329" w:rsidRDefault="00A03329" w:rsidP="00D42FFC">
            <w:pPr>
              <w:pStyle w:val="Tabletextleft"/>
              <w:spacing w:before="30" w:after="30"/>
            </w:pPr>
            <w:r>
              <w:t>Proportion in employment</w:t>
            </w:r>
          </w:p>
        </w:tc>
        <w:tc>
          <w:tcPr>
            <w:tcW w:w="3717" w:type="dxa"/>
          </w:tcPr>
          <w:p w:rsidR="00A03329" w:rsidRDefault="00A03329" w:rsidP="00D42FFC">
            <w:pPr>
              <w:pStyle w:val="Tabletextleft"/>
              <w:spacing w:before="30" w:after="30"/>
            </w:pPr>
            <w:r>
              <w:t>Student Outcomes Survey at state level and or large providers (publicly funded only); similar data for universities</w:t>
            </w:r>
          </w:p>
        </w:tc>
      </w:tr>
      <w:tr w:rsidR="00A03329">
        <w:trPr>
          <w:trHeight w:val="201"/>
        </w:trPr>
        <w:tc>
          <w:tcPr>
            <w:tcW w:w="1666" w:type="dxa"/>
          </w:tcPr>
          <w:p w:rsidR="00A03329" w:rsidRDefault="00A03329" w:rsidP="00D42FFC">
            <w:pPr>
              <w:pStyle w:val="NoParagraphStyle"/>
              <w:spacing w:before="30" w:after="30" w:line="240" w:lineRule="auto"/>
              <w:textAlignment w:val="auto"/>
              <w:rPr>
                <w:rFonts w:ascii="Tahoma" w:hAnsi="Tahoma" w:cs="Avant Garde"/>
                <w:color w:val="auto"/>
                <w:lang w:val="en-US"/>
              </w:rPr>
            </w:pPr>
          </w:p>
        </w:tc>
        <w:tc>
          <w:tcPr>
            <w:tcW w:w="1433" w:type="dxa"/>
          </w:tcPr>
          <w:p w:rsidR="00A03329" w:rsidRDefault="00A03329" w:rsidP="00D42FFC">
            <w:pPr>
              <w:pStyle w:val="Tabletextleft"/>
              <w:spacing w:before="30" w:after="30"/>
            </w:pPr>
            <w:r>
              <w:t>Student satisfaction</w:t>
            </w:r>
          </w:p>
        </w:tc>
        <w:tc>
          <w:tcPr>
            <w:tcW w:w="1951" w:type="dxa"/>
          </w:tcPr>
          <w:p w:rsidR="00A03329" w:rsidRDefault="00A03329" w:rsidP="00D42FFC">
            <w:pPr>
              <w:pStyle w:val="Tabletextleft"/>
              <w:spacing w:before="30" w:after="30"/>
            </w:pPr>
            <w:r>
              <w:t>Level of student satisfaction</w:t>
            </w:r>
          </w:p>
        </w:tc>
        <w:tc>
          <w:tcPr>
            <w:tcW w:w="3717" w:type="dxa"/>
          </w:tcPr>
          <w:p w:rsidR="00A03329" w:rsidRDefault="00A03329" w:rsidP="00D42FFC">
            <w:pPr>
              <w:pStyle w:val="Tabletextleft"/>
              <w:spacing w:before="30" w:after="30"/>
            </w:pPr>
            <w:r>
              <w:t>Student Outcomes Survey at state level and for large providers (publicly funded only)</w:t>
            </w:r>
          </w:p>
        </w:tc>
      </w:tr>
      <w:tr w:rsidR="00A03329">
        <w:trPr>
          <w:trHeight w:val="74"/>
        </w:trPr>
        <w:tc>
          <w:tcPr>
            <w:tcW w:w="1666" w:type="dxa"/>
          </w:tcPr>
          <w:p w:rsidR="00A03329" w:rsidRDefault="00A03329" w:rsidP="00D42FFC">
            <w:pPr>
              <w:pStyle w:val="Tabletextleft"/>
              <w:spacing w:before="30" w:after="30"/>
            </w:pPr>
            <w:r>
              <w:t>VET regulators</w:t>
            </w:r>
          </w:p>
        </w:tc>
        <w:tc>
          <w:tcPr>
            <w:tcW w:w="1433" w:type="dxa"/>
          </w:tcPr>
          <w:p w:rsidR="00A03329" w:rsidRDefault="00A03329" w:rsidP="00D42FFC">
            <w:pPr>
              <w:pStyle w:val="Tabletextleft"/>
              <w:spacing w:before="30" w:after="30"/>
            </w:pPr>
            <w:r>
              <w:t>Provider activity</w:t>
            </w:r>
          </w:p>
        </w:tc>
        <w:tc>
          <w:tcPr>
            <w:tcW w:w="1951" w:type="dxa"/>
          </w:tcPr>
          <w:p w:rsidR="00A03329" w:rsidRDefault="00A03329" w:rsidP="00D42FFC">
            <w:pPr>
              <w:pStyle w:val="Tabletextleft"/>
              <w:spacing w:before="30" w:after="30"/>
            </w:pPr>
            <w:r>
              <w:t>Knowledge of who is providing what</w:t>
            </w:r>
          </w:p>
        </w:tc>
        <w:tc>
          <w:tcPr>
            <w:tcW w:w="3717" w:type="dxa"/>
          </w:tcPr>
          <w:p w:rsidR="00A03329" w:rsidRDefault="00A03329" w:rsidP="00D42FFC">
            <w:pPr>
              <w:pStyle w:val="Tabletextleft"/>
              <w:spacing w:before="30" w:after="30"/>
            </w:pPr>
            <w:r>
              <w:t>Only for publicly funded sector</w:t>
            </w:r>
          </w:p>
        </w:tc>
      </w:tr>
      <w:tr w:rsidR="00A03329">
        <w:trPr>
          <w:trHeight w:val="60"/>
        </w:trPr>
        <w:tc>
          <w:tcPr>
            <w:tcW w:w="1666" w:type="dxa"/>
          </w:tcPr>
          <w:p w:rsidR="00A03329" w:rsidRDefault="00A03329" w:rsidP="00D42FFC">
            <w:pPr>
              <w:pStyle w:val="NoParagraphStyle"/>
              <w:spacing w:before="30" w:after="30" w:line="240" w:lineRule="auto"/>
              <w:textAlignment w:val="auto"/>
              <w:rPr>
                <w:rFonts w:ascii="Tahoma" w:hAnsi="Tahoma" w:cs="Avant Garde"/>
                <w:color w:val="auto"/>
                <w:lang w:val="en-US"/>
              </w:rPr>
            </w:pPr>
          </w:p>
        </w:tc>
        <w:tc>
          <w:tcPr>
            <w:tcW w:w="1433" w:type="dxa"/>
          </w:tcPr>
          <w:p w:rsidR="00A03329" w:rsidRDefault="00A03329" w:rsidP="00D42FFC">
            <w:pPr>
              <w:pStyle w:val="Tabletextleft"/>
              <w:spacing w:before="30" w:after="30"/>
            </w:pPr>
            <w:r>
              <w:t>Completion rates</w:t>
            </w:r>
          </w:p>
        </w:tc>
        <w:tc>
          <w:tcPr>
            <w:tcW w:w="1951" w:type="dxa"/>
          </w:tcPr>
          <w:p w:rsidR="00A03329" w:rsidRDefault="00A03329" w:rsidP="00D42FFC">
            <w:pPr>
              <w:pStyle w:val="NoParagraphStyle"/>
              <w:spacing w:before="30" w:after="30" w:line="240" w:lineRule="auto"/>
              <w:textAlignment w:val="auto"/>
              <w:rPr>
                <w:rFonts w:ascii="Tahoma" w:hAnsi="Tahoma" w:cs="Avant Garde"/>
                <w:color w:val="auto"/>
                <w:lang w:val="en-US"/>
              </w:rPr>
            </w:pPr>
          </w:p>
        </w:tc>
        <w:tc>
          <w:tcPr>
            <w:tcW w:w="3717" w:type="dxa"/>
          </w:tcPr>
          <w:p w:rsidR="00A03329" w:rsidRDefault="00A03329" w:rsidP="00D42FFC">
            <w:pPr>
              <w:pStyle w:val="Tabletextleft"/>
              <w:spacing w:before="30" w:after="30"/>
            </w:pPr>
            <w:r>
              <w:t>Only for publicly funded sector</w:t>
            </w:r>
          </w:p>
        </w:tc>
      </w:tr>
      <w:tr w:rsidR="00A03329">
        <w:trPr>
          <w:trHeight w:val="60"/>
        </w:trPr>
        <w:tc>
          <w:tcPr>
            <w:tcW w:w="1666" w:type="dxa"/>
          </w:tcPr>
          <w:p w:rsidR="00A03329" w:rsidRDefault="00A03329" w:rsidP="00D42FFC">
            <w:pPr>
              <w:pStyle w:val="NoParagraphStyle"/>
              <w:spacing w:before="30" w:after="30" w:line="240" w:lineRule="auto"/>
              <w:textAlignment w:val="auto"/>
              <w:rPr>
                <w:rFonts w:ascii="Tahoma" w:hAnsi="Tahoma" w:cs="Avant Garde"/>
                <w:color w:val="auto"/>
                <w:lang w:val="en-US"/>
              </w:rPr>
            </w:pPr>
          </w:p>
        </w:tc>
        <w:tc>
          <w:tcPr>
            <w:tcW w:w="1433" w:type="dxa"/>
          </w:tcPr>
          <w:p w:rsidR="00A03329" w:rsidRDefault="00A03329" w:rsidP="00D42FFC">
            <w:pPr>
              <w:pStyle w:val="Tabletextleft"/>
              <w:spacing w:before="30" w:after="30"/>
            </w:pPr>
            <w:r>
              <w:t>Student satisfaction</w:t>
            </w:r>
          </w:p>
        </w:tc>
        <w:tc>
          <w:tcPr>
            <w:tcW w:w="1951" w:type="dxa"/>
          </w:tcPr>
          <w:p w:rsidR="00A03329" w:rsidRDefault="00A03329" w:rsidP="00D42FFC">
            <w:pPr>
              <w:pStyle w:val="NoParagraphStyle"/>
              <w:spacing w:before="30" w:after="30" w:line="240" w:lineRule="auto"/>
              <w:textAlignment w:val="auto"/>
              <w:rPr>
                <w:rFonts w:ascii="Tahoma" w:hAnsi="Tahoma" w:cs="Avant Garde"/>
                <w:color w:val="auto"/>
                <w:lang w:val="en-US"/>
              </w:rPr>
            </w:pPr>
          </w:p>
        </w:tc>
        <w:tc>
          <w:tcPr>
            <w:tcW w:w="3717" w:type="dxa"/>
          </w:tcPr>
          <w:p w:rsidR="00A03329" w:rsidRDefault="00A03329" w:rsidP="00D42FFC">
            <w:pPr>
              <w:pStyle w:val="Tabletextleft"/>
              <w:spacing w:before="30" w:after="30"/>
            </w:pPr>
            <w:r>
              <w:t>Only for publicly funded sector</w:t>
            </w:r>
          </w:p>
        </w:tc>
      </w:tr>
      <w:tr w:rsidR="00A03329">
        <w:trPr>
          <w:trHeight w:val="60"/>
        </w:trPr>
        <w:tc>
          <w:tcPr>
            <w:tcW w:w="1666" w:type="dxa"/>
          </w:tcPr>
          <w:p w:rsidR="00A03329" w:rsidRDefault="00A03329" w:rsidP="00D42FFC">
            <w:pPr>
              <w:pStyle w:val="NoParagraphStyle"/>
              <w:spacing w:before="30" w:after="30" w:line="240" w:lineRule="auto"/>
              <w:textAlignment w:val="auto"/>
              <w:rPr>
                <w:rFonts w:ascii="Tahoma" w:hAnsi="Tahoma" w:cs="Avant Garde"/>
                <w:color w:val="auto"/>
                <w:lang w:val="en-US"/>
              </w:rPr>
            </w:pPr>
          </w:p>
        </w:tc>
        <w:tc>
          <w:tcPr>
            <w:tcW w:w="1433" w:type="dxa"/>
          </w:tcPr>
          <w:p w:rsidR="00A03329" w:rsidRDefault="00A03329" w:rsidP="00D42FFC">
            <w:pPr>
              <w:pStyle w:val="Tabletextleft"/>
              <w:spacing w:before="30" w:after="30"/>
            </w:pPr>
            <w:r>
              <w:t>Quality of staff</w:t>
            </w:r>
          </w:p>
        </w:tc>
        <w:tc>
          <w:tcPr>
            <w:tcW w:w="1951" w:type="dxa"/>
          </w:tcPr>
          <w:p w:rsidR="00A03329" w:rsidRDefault="00A03329" w:rsidP="00D42FFC">
            <w:pPr>
              <w:pStyle w:val="NoParagraphStyle"/>
              <w:spacing w:before="30" w:after="30" w:line="240" w:lineRule="auto"/>
              <w:textAlignment w:val="auto"/>
              <w:rPr>
                <w:rFonts w:ascii="Tahoma" w:hAnsi="Tahoma" w:cs="Avant Garde"/>
                <w:color w:val="auto"/>
                <w:lang w:val="en-US"/>
              </w:rPr>
            </w:pPr>
          </w:p>
        </w:tc>
        <w:tc>
          <w:tcPr>
            <w:tcW w:w="3717" w:type="dxa"/>
          </w:tcPr>
          <w:p w:rsidR="00A03329" w:rsidRDefault="00A03329" w:rsidP="00D42FFC">
            <w:pPr>
              <w:pStyle w:val="Tabletextleft"/>
              <w:spacing w:before="30" w:after="30"/>
            </w:pPr>
            <w:r>
              <w:t>No national collection for VET sector</w:t>
            </w:r>
          </w:p>
        </w:tc>
      </w:tr>
      <w:tr w:rsidR="00A03329">
        <w:trPr>
          <w:trHeight w:val="60"/>
        </w:trPr>
        <w:tc>
          <w:tcPr>
            <w:tcW w:w="1666" w:type="dxa"/>
          </w:tcPr>
          <w:p w:rsidR="00A03329" w:rsidRDefault="00A03329" w:rsidP="00D42FFC">
            <w:pPr>
              <w:pStyle w:val="NoParagraphStyle"/>
              <w:spacing w:before="30" w:after="30" w:line="240" w:lineRule="auto"/>
              <w:textAlignment w:val="auto"/>
              <w:rPr>
                <w:rFonts w:ascii="Tahoma" w:hAnsi="Tahoma" w:cs="Avant Garde"/>
                <w:color w:val="auto"/>
                <w:lang w:val="en-US"/>
              </w:rPr>
            </w:pPr>
          </w:p>
        </w:tc>
        <w:tc>
          <w:tcPr>
            <w:tcW w:w="1433" w:type="dxa"/>
          </w:tcPr>
          <w:p w:rsidR="00A03329" w:rsidRDefault="00A03329" w:rsidP="00D42FFC">
            <w:pPr>
              <w:pStyle w:val="Tabletextleft"/>
              <w:spacing w:before="30" w:after="30"/>
            </w:pPr>
            <w:r>
              <w:t>Quality of assessment</w:t>
            </w:r>
          </w:p>
        </w:tc>
        <w:tc>
          <w:tcPr>
            <w:tcW w:w="1951" w:type="dxa"/>
          </w:tcPr>
          <w:p w:rsidR="00A03329" w:rsidRDefault="00A03329" w:rsidP="00D42FFC">
            <w:pPr>
              <w:pStyle w:val="NoParagraphStyle"/>
              <w:spacing w:before="30" w:after="30" w:line="240" w:lineRule="auto"/>
              <w:textAlignment w:val="auto"/>
              <w:rPr>
                <w:rFonts w:ascii="Tahoma" w:hAnsi="Tahoma" w:cs="Avant Garde"/>
                <w:color w:val="auto"/>
                <w:lang w:val="en-US"/>
              </w:rPr>
            </w:pPr>
          </w:p>
        </w:tc>
        <w:tc>
          <w:tcPr>
            <w:tcW w:w="3717" w:type="dxa"/>
          </w:tcPr>
          <w:p w:rsidR="00A03329" w:rsidRDefault="00A03329" w:rsidP="00D42FFC">
            <w:pPr>
              <w:pStyle w:val="Tabletextleft"/>
              <w:spacing w:before="30" w:after="30"/>
            </w:pPr>
            <w:r>
              <w:t>No independent verification or moderation</w:t>
            </w:r>
          </w:p>
        </w:tc>
      </w:tr>
    </w:tbl>
    <w:p w:rsidR="00A03329" w:rsidRDefault="00A03329" w:rsidP="00A03329">
      <w:pPr>
        <w:pStyle w:val="Text"/>
        <w:rPr>
          <w:sz w:val="17"/>
          <w:szCs w:val="17"/>
        </w:rPr>
      </w:pPr>
      <w:r>
        <w:rPr>
          <w:sz w:val="17"/>
          <w:szCs w:val="17"/>
        </w:rPr>
        <w:lastRenderedPageBreak/>
        <w:t xml:space="preserve">From table 1 it can be seen that the labour and training markets require copious data if they are to function efficiently (and I am not confident I have listed all relevant variables). To the extent that the data are not available, individual players are at risk of making sub-optimal decisions. </w:t>
      </w:r>
    </w:p>
    <w:p w:rsidR="00A03329" w:rsidRDefault="00A03329" w:rsidP="00A03329">
      <w:pPr>
        <w:pStyle w:val="Text"/>
        <w:rPr>
          <w:sz w:val="17"/>
          <w:szCs w:val="17"/>
        </w:rPr>
      </w:pPr>
      <w:r>
        <w:rPr>
          <w:sz w:val="17"/>
          <w:szCs w:val="17"/>
        </w:rPr>
        <w:t>I now wish to contrast these data needs with what would be needed if we decide that the market should to be managed by regulating the training market; that is, some central planner decides how many people should be trained in each course. Essentially, the planner has to internalise or make explicit all the knowledge embedded in the decisions of individual market participants. While the planner does not need to know everything that an individual employer needs to know (such as internal job turnover), he or she does need to model the complicated dynamics of individual labour markets. Table 2 gives the flavour of the additional information needs.</w:t>
      </w:r>
    </w:p>
    <w:p w:rsidR="00A03329" w:rsidRDefault="00A03329" w:rsidP="00A03329">
      <w:pPr>
        <w:pStyle w:val="Tabletitle0"/>
      </w:pPr>
      <w:r>
        <w:t>Table 2</w:t>
      </w:r>
      <w:r>
        <w:tab/>
        <w:t>Additional data needs for a central planner</w:t>
      </w:r>
    </w:p>
    <w:tbl>
      <w:tblPr>
        <w:tblW w:w="0" w:type="auto"/>
        <w:tblInd w:w="85" w:type="dxa"/>
        <w:tblLayout w:type="fixed"/>
        <w:tblCellMar>
          <w:left w:w="0" w:type="dxa"/>
          <w:right w:w="0" w:type="dxa"/>
        </w:tblCellMar>
        <w:tblLook w:val="0000"/>
      </w:tblPr>
      <w:tblGrid>
        <w:gridCol w:w="2129"/>
        <w:gridCol w:w="2129"/>
        <w:gridCol w:w="4072"/>
      </w:tblGrid>
      <w:tr w:rsidR="00A03329">
        <w:trPr>
          <w:trHeight w:val="60"/>
        </w:trPr>
        <w:tc>
          <w:tcPr>
            <w:tcW w:w="2129" w:type="dxa"/>
            <w:tcBorders>
              <w:top w:val="single" w:sz="4" w:space="0" w:color="auto"/>
              <w:bottom w:val="single" w:sz="4" w:space="0" w:color="auto"/>
            </w:tcBorders>
            <w:tcMar>
              <w:top w:w="85" w:type="dxa"/>
              <w:left w:w="85" w:type="dxa"/>
              <w:bottom w:w="85" w:type="dxa"/>
              <w:right w:w="85" w:type="dxa"/>
            </w:tcMar>
          </w:tcPr>
          <w:p w:rsidR="00A03329" w:rsidRDefault="00A03329" w:rsidP="00233C79">
            <w:pPr>
              <w:pStyle w:val="Tableheadleft"/>
              <w:spacing w:before="0" w:after="0"/>
            </w:pPr>
            <w:r>
              <w:t>Broad area</w:t>
            </w:r>
          </w:p>
        </w:tc>
        <w:tc>
          <w:tcPr>
            <w:tcW w:w="2129" w:type="dxa"/>
            <w:tcBorders>
              <w:top w:val="single" w:sz="4" w:space="0" w:color="auto"/>
              <w:bottom w:val="single" w:sz="4" w:space="0" w:color="auto"/>
            </w:tcBorders>
            <w:tcMar>
              <w:top w:w="85" w:type="dxa"/>
              <w:left w:w="85" w:type="dxa"/>
              <w:bottom w:w="85" w:type="dxa"/>
              <w:right w:w="85" w:type="dxa"/>
            </w:tcMar>
          </w:tcPr>
          <w:p w:rsidR="00A03329" w:rsidRDefault="00A03329" w:rsidP="00233C79">
            <w:pPr>
              <w:pStyle w:val="Tableheadleft"/>
              <w:spacing w:before="0" w:after="0"/>
            </w:pPr>
            <w:r>
              <w:t>Possible indicator</w:t>
            </w:r>
          </w:p>
        </w:tc>
        <w:tc>
          <w:tcPr>
            <w:tcW w:w="4072" w:type="dxa"/>
            <w:tcBorders>
              <w:top w:val="single" w:sz="4" w:space="0" w:color="auto"/>
              <w:bottom w:val="single" w:sz="4" w:space="0" w:color="auto"/>
            </w:tcBorders>
            <w:tcMar>
              <w:top w:w="85" w:type="dxa"/>
              <w:left w:w="85" w:type="dxa"/>
              <w:bottom w:w="85" w:type="dxa"/>
              <w:right w:w="85" w:type="dxa"/>
            </w:tcMar>
          </w:tcPr>
          <w:p w:rsidR="00A03329" w:rsidRDefault="00A03329" w:rsidP="00233C79">
            <w:pPr>
              <w:pStyle w:val="Tableheadleft"/>
              <w:spacing w:before="0" w:after="0"/>
            </w:pPr>
            <w:r>
              <w:t>Assessment of information needs</w:t>
            </w:r>
          </w:p>
        </w:tc>
      </w:tr>
      <w:tr w:rsidR="00A03329">
        <w:trPr>
          <w:trHeight w:val="60"/>
        </w:trPr>
        <w:tc>
          <w:tcPr>
            <w:tcW w:w="2129" w:type="dxa"/>
            <w:tcBorders>
              <w:top w:val="single" w:sz="4" w:space="0" w:color="auto"/>
            </w:tcBorders>
            <w:tcMar>
              <w:top w:w="85" w:type="dxa"/>
              <w:left w:w="85" w:type="dxa"/>
              <w:bottom w:w="85" w:type="dxa"/>
              <w:right w:w="85" w:type="dxa"/>
            </w:tcMar>
          </w:tcPr>
          <w:p w:rsidR="00A03329" w:rsidRDefault="00A03329" w:rsidP="00233C79">
            <w:pPr>
              <w:pStyle w:val="Tabletext"/>
              <w:spacing w:before="0" w:after="0"/>
            </w:pPr>
            <w:r>
              <w:t>Dynamics of labour market</w:t>
            </w:r>
          </w:p>
        </w:tc>
        <w:tc>
          <w:tcPr>
            <w:tcW w:w="2129" w:type="dxa"/>
            <w:tcBorders>
              <w:top w:val="single" w:sz="4" w:space="0" w:color="auto"/>
            </w:tcBorders>
            <w:tcMar>
              <w:top w:w="85" w:type="dxa"/>
              <w:left w:w="85" w:type="dxa"/>
              <w:bottom w:w="85" w:type="dxa"/>
              <w:right w:w="85" w:type="dxa"/>
            </w:tcMar>
          </w:tcPr>
          <w:p w:rsidR="00A03329" w:rsidRDefault="00A03329" w:rsidP="00233C79">
            <w:pPr>
              <w:pStyle w:val="Tabletext"/>
              <w:spacing w:before="0" w:after="0"/>
            </w:pPr>
            <w:r>
              <w:t>Flows in and out of occupational labour markets</w:t>
            </w:r>
          </w:p>
        </w:tc>
        <w:tc>
          <w:tcPr>
            <w:tcW w:w="4072" w:type="dxa"/>
            <w:tcBorders>
              <w:top w:val="single" w:sz="4" w:space="0" w:color="auto"/>
            </w:tcBorders>
            <w:tcMar>
              <w:top w:w="85" w:type="dxa"/>
              <w:left w:w="85" w:type="dxa"/>
              <w:bottom w:w="85" w:type="dxa"/>
              <w:right w:w="85" w:type="dxa"/>
            </w:tcMar>
          </w:tcPr>
          <w:p w:rsidR="00A03329" w:rsidRDefault="00A03329" w:rsidP="00233C79">
            <w:pPr>
              <w:pStyle w:val="Tabletext"/>
              <w:spacing w:before="0" w:after="0"/>
            </w:pPr>
            <w:r>
              <w:t>ABS Mobility survey</w:t>
            </w:r>
          </w:p>
        </w:tc>
      </w:tr>
      <w:tr w:rsidR="00A03329">
        <w:trPr>
          <w:trHeight w:val="60"/>
        </w:trPr>
        <w:tc>
          <w:tcPr>
            <w:tcW w:w="2129" w:type="dxa"/>
            <w:tcMar>
              <w:top w:w="85" w:type="dxa"/>
              <w:left w:w="85" w:type="dxa"/>
              <w:bottom w:w="85" w:type="dxa"/>
              <w:right w:w="85" w:type="dxa"/>
            </w:tcMar>
          </w:tcPr>
          <w:p w:rsidR="00A03329" w:rsidRDefault="00A03329" w:rsidP="00233C79">
            <w:pPr>
              <w:pStyle w:val="Tabletext"/>
              <w:spacing w:before="0" w:after="0"/>
            </w:pPr>
            <w:r>
              <w:t>Potential supply</w:t>
            </w:r>
          </w:p>
        </w:tc>
        <w:tc>
          <w:tcPr>
            <w:tcW w:w="2129" w:type="dxa"/>
            <w:tcMar>
              <w:top w:w="85" w:type="dxa"/>
              <w:left w:w="85" w:type="dxa"/>
              <w:bottom w:w="85" w:type="dxa"/>
              <w:right w:w="85" w:type="dxa"/>
            </w:tcMar>
          </w:tcPr>
          <w:p w:rsidR="00A03329" w:rsidRDefault="00A03329" w:rsidP="00233C79">
            <w:pPr>
              <w:pStyle w:val="Tabletext"/>
              <w:spacing w:before="0" w:after="0"/>
            </w:pPr>
            <w:r>
              <w:t>Number of qualified people in workforce</w:t>
            </w:r>
          </w:p>
        </w:tc>
        <w:tc>
          <w:tcPr>
            <w:tcW w:w="4072" w:type="dxa"/>
            <w:tcMar>
              <w:top w:w="85" w:type="dxa"/>
              <w:left w:w="85" w:type="dxa"/>
              <w:bottom w:w="85" w:type="dxa"/>
              <w:right w:w="85" w:type="dxa"/>
            </w:tcMar>
          </w:tcPr>
          <w:p w:rsidR="00A03329" w:rsidRDefault="00A03329" w:rsidP="00233C79">
            <w:pPr>
              <w:pStyle w:val="Tabletext"/>
              <w:spacing w:before="0" w:after="0"/>
            </w:pPr>
            <w:r>
              <w:t>ABS Labour Force survey</w:t>
            </w:r>
          </w:p>
        </w:tc>
      </w:tr>
      <w:tr w:rsidR="00A03329">
        <w:trPr>
          <w:trHeight w:val="60"/>
        </w:trPr>
        <w:tc>
          <w:tcPr>
            <w:tcW w:w="2129" w:type="dxa"/>
            <w:tcMar>
              <w:top w:w="85" w:type="dxa"/>
              <w:left w:w="85" w:type="dxa"/>
              <w:bottom w:w="85" w:type="dxa"/>
              <w:right w:w="85" w:type="dxa"/>
            </w:tcMar>
          </w:tcPr>
          <w:p w:rsidR="00A03329" w:rsidRDefault="00A03329" w:rsidP="00233C79">
            <w:pPr>
              <w:pStyle w:val="Tabletext"/>
              <w:spacing w:before="0" w:after="0"/>
              <w:rPr>
                <w:rFonts w:ascii="Tahoma" w:hAnsi="Tahoma" w:cs="Avant Garde"/>
                <w:lang w:val="en-US"/>
              </w:rPr>
            </w:pPr>
          </w:p>
        </w:tc>
        <w:tc>
          <w:tcPr>
            <w:tcW w:w="2129" w:type="dxa"/>
            <w:tcMar>
              <w:top w:w="85" w:type="dxa"/>
              <w:left w:w="85" w:type="dxa"/>
              <w:bottom w:w="85" w:type="dxa"/>
              <w:right w:w="85" w:type="dxa"/>
            </w:tcMar>
          </w:tcPr>
          <w:p w:rsidR="00A03329" w:rsidRDefault="00A03329" w:rsidP="00233C79">
            <w:pPr>
              <w:pStyle w:val="Tabletext"/>
              <w:spacing w:before="0" w:after="0"/>
            </w:pPr>
            <w:r>
              <w:t xml:space="preserve">Wage </w:t>
            </w:r>
            <w:proofErr w:type="spellStart"/>
            <w:r>
              <w:t>elasticities</w:t>
            </w:r>
            <w:proofErr w:type="spellEnd"/>
            <w:r>
              <w:t xml:space="preserve"> (how are people attracted back to an occupation)</w:t>
            </w:r>
          </w:p>
        </w:tc>
        <w:tc>
          <w:tcPr>
            <w:tcW w:w="4072" w:type="dxa"/>
            <w:tcMar>
              <w:top w:w="85" w:type="dxa"/>
              <w:left w:w="85" w:type="dxa"/>
              <w:bottom w:w="85" w:type="dxa"/>
              <w:right w:w="85" w:type="dxa"/>
            </w:tcMar>
          </w:tcPr>
          <w:p w:rsidR="00A03329" w:rsidRDefault="00A03329" w:rsidP="00233C79">
            <w:pPr>
              <w:pStyle w:val="Tabletext"/>
              <w:spacing w:before="0" w:after="0"/>
            </w:pPr>
            <w:r>
              <w:t>Good luck</w:t>
            </w:r>
          </w:p>
        </w:tc>
      </w:tr>
      <w:tr w:rsidR="00A03329">
        <w:trPr>
          <w:trHeight w:val="60"/>
        </w:trPr>
        <w:tc>
          <w:tcPr>
            <w:tcW w:w="2129" w:type="dxa"/>
            <w:tcMar>
              <w:top w:w="85" w:type="dxa"/>
              <w:left w:w="85" w:type="dxa"/>
              <w:bottom w:w="85" w:type="dxa"/>
              <w:right w:w="85" w:type="dxa"/>
            </w:tcMar>
          </w:tcPr>
          <w:p w:rsidR="00A03329" w:rsidRDefault="00A03329" w:rsidP="00233C79">
            <w:pPr>
              <w:pStyle w:val="Tabletext"/>
              <w:spacing w:before="0" w:after="0"/>
              <w:rPr>
                <w:rFonts w:ascii="Tahoma" w:hAnsi="Tahoma" w:cs="Avant Garde"/>
                <w:lang w:val="en-US"/>
              </w:rPr>
            </w:pPr>
          </w:p>
        </w:tc>
        <w:tc>
          <w:tcPr>
            <w:tcW w:w="2129" w:type="dxa"/>
            <w:tcMar>
              <w:top w:w="85" w:type="dxa"/>
              <w:left w:w="85" w:type="dxa"/>
              <w:bottom w:w="85" w:type="dxa"/>
              <w:right w:w="85" w:type="dxa"/>
            </w:tcMar>
          </w:tcPr>
          <w:p w:rsidR="00A03329" w:rsidRDefault="00A03329" w:rsidP="00233C79">
            <w:pPr>
              <w:pStyle w:val="Tabletext"/>
              <w:spacing w:before="0" w:after="0"/>
            </w:pPr>
            <w:r>
              <w:t>Potential workforce (how to attract non-qualified people to occupation)</w:t>
            </w:r>
          </w:p>
        </w:tc>
        <w:tc>
          <w:tcPr>
            <w:tcW w:w="4072" w:type="dxa"/>
            <w:tcMar>
              <w:top w:w="85" w:type="dxa"/>
              <w:left w:w="85" w:type="dxa"/>
              <w:bottom w:w="85" w:type="dxa"/>
              <w:right w:w="85" w:type="dxa"/>
            </w:tcMar>
          </w:tcPr>
          <w:p w:rsidR="00A03329" w:rsidRDefault="00A03329" w:rsidP="00233C79">
            <w:pPr>
              <w:pStyle w:val="Tabletext"/>
              <w:spacing w:before="0" w:after="0"/>
            </w:pPr>
            <w:r>
              <w:t>Good luck</w:t>
            </w:r>
          </w:p>
        </w:tc>
      </w:tr>
      <w:tr w:rsidR="00A03329">
        <w:trPr>
          <w:trHeight w:val="286"/>
        </w:trPr>
        <w:tc>
          <w:tcPr>
            <w:tcW w:w="2129" w:type="dxa"/>
            <w:tcMar>
              <w:top w:w="85" w:type="dxa"/>
              <w:left w:w="85" w:type="dxa"/>
              <w:bottom w:w="85" w:type="dxa"/>
              <w:right w:w="85" w:type="dxa"/>
            </w:tcMar>
          </w:tcPr>
          <w:p w:rsidR="00A03329" w:rsidRDefault="00A03329" w:rsidP="00233C79">
            <w:pPr>
              <w:pStyle w:val="Tabletext"/>
              <w:spacing w:before="0" w:after="0"/>
            </w:pPr>
            <w:r>
              <w:t>Workforce structure</w:t>
            </w:r>
          </w:p>
        </w:tc>
        <w:tc>
          <w:tcPr>
            <w:tcW w:w="2129" w:type="dxa"/>
            <w:tcMar>
              <w:top w:w="85" w:type="dxa"/>
              <w:left w:w="85" w:type="dxa"/>
              <w:bottom w:w="85" w:type="dxa"/>
              <w:right w:w="85" w:type="dxa"/>
            </w:tcMar>
          </w:tcPr>
          <w:p w:rsidR="00A03329" w:rsidRDefault="00A03329" w:rsidP="00233C79">
            <w:pPr>
              <w:pStyle w:val="Tabletext"/>
              <w:spacing w:before="0" w:after="0"/>
            </w:pPr>
            <w:r>
              <w:t>Age structure</w:t>
            </w:r>
          </w:p>
        </w:tc>
        <w:tc>
          <w:tcPr>
            <w:tcW w:w="4072" w:type="dxa"/>
            <w:tcMar>
              <w:top w:w="85" w:type="dxa"/>
              <w:left w:w="85" w:type="dxa"/>
              <w:bottom w:w="85" w:type="dxa"/>
              <w:right w:w="85" w:type="dxa"/>
            </w:tcMar>
          </w:tcPr>
          <w:p w:rsidR="00A03329" w:rsidRDefault="00A03329" w:rsidP="00233C79">
            <w:pPr>
              <w:pStyle w:val="Tabletext"/>
              <w:spacing w:before="0" w:after="0"/>
            </w:pPr>
            <w:r>
              <w:t>ABS Labour Force survey and Census</w:t>
            </w:r>
          </w:p>
        </w:tc>
      </w:tr>
      <w:tr w:rsidR="00A03329">
        <w:trPr>
          <w:trHeight w:val="60"/>
        </w:trPr>
        <w:tc>
          <w:tcPr>
            <w:tcW w:w="2129" w:type="dxa"/>
            <w:tcMar>
              <w:top w:w="85" w:type="dxa"/>
              <w:left w:w="85" w:type="dxa"/>
              <w:bottom w:w="85" w:type="dxa"/>
              <w:right w:w="85" w:type="dxa"/>
            </w:tcMar>
          </w:tcPr>
          <w:p w:rsidR="00A03329" w:rsidRDefault="00A03329" w:rsidP="00233C79">
            <w:pPr>
              <w:pStyle w:val="Tabletext"/>
              <w:spacing w:before="0" w:after="0"/>
              <w:rPr>
                <w:rFonts w:ascii="Tahoma" w:hAnsi="Tahoma" w:cs="Avant Garde"/>
                <w:lang w:val="en-US"/>
              </w:rPr>
            </w:pPr>
          </w:p>
        </w:tc>
        <w:tc>
          <w:tcPr>
            <w:tcW w:w="2129" w:type="dxa"/>
            <w:tcMar>
              <w:top w:w="85" w:type="dxa"/>
              <w:left w:w="85" w:type="dxa"/>
              <w:bottom w:w="85" w:type="dxa"/>
              <w:right w:w="85" w:type="dxa"/>
            </w:tcMar>
          </w:tcPr>
          <w:p w:rsidR="00A03329" w:rsidRDefault="00A03329" w:rsidP="00233C79">
            <w:pPr>
              <w:pStyle w:val="Tabletext"/>
              <w:spacing w:before="0" w:after="0"/>
            </w:pPr>
            <w:r>
              <w:t>Retirement patterns</w:t>
            </w:r>
          </w:p>
        </w:tc>
        <w:tc>
          <w:tcPr>
            <w:tcW w:w="4072" w:type="dxa"/>
            <w:tcMar>
              <w:top w:w="85" w:type="dxa"/>
              <w:left w:w="85" w:type="dxa"/>
              <w:bottom w:w="85" w:type="dxa"/>
              <w:right w:w="85" w:type="dxa"/>
            </w:tcMar>
          </w:tcPr>
          <w:p w:rsidR="00A03329" w:rsidRDefault="00A03329" w:rsidP="00233C79">
            <w:pPr>
              <w:pStyle w:val="Tabletext"/>
              <w:spacing w:before="0" w:after="0"/>
            </w:pPr>
            <w:r>
              <w:t>ABS Mobility survey, synthetic cohort studies</w:t>
            </w:r>
          </w:p>
        </w:tc>
      </w:tr>
      <w:tr w:rsidR="00A03329">
        <w:trPr>
          <w:trHeight w:val="60"/>
        </w:trPr>
        <w:tc>
          <w:tcPr>
            <w:tcW w:w="2129" w:type="dxa"/>
            <w:tcMar>
              <w:top w:w="85" w:type="dxa"/>
              <w:left w:w="85" w:type="dxa"/>
              <w:bottom w:w="85" w:type="dxa"/>
              <w:right w:w="85" w:type="dxa"/>
            </w:tcMar>
          </w:tcPr>
          <w:p w:rsidR="00A03329" w:rsidRDefault="00A03329" w:rsidP="00233C79">
            <w:pPr>
              <w:pStyle w:val="Tabletext"/>
              <w:spacing w:before="0" w:after="0"/>
              <w:rPr>
                <w:rFonts w:ascii="Tahoma" w:hAnsi="Tahoma" w:cs="Avant Garde"/>
                <w:lang w:val="en-US"/>
              </w:rPr>
            </w:pPr>
          </w:p>
        </w:tc>
        <w:tc>
          <w:tcPr>
            <w:tcW w:w="2129" w:type="dxa"/>
            <w:tcMar>
              <w:top w:w="85" w:type="dxa"/>
              <w:left w:w="85" w:type="dxa"/>
              <w:bottom w:w="85" w:type="dxa"/>
              <w:right w:w="85" w:type="dxa"/>
            </w:tcMar>
          </w:tcPr>
          <w:p w:rsidR="00A03329" w:rsidRDefault="00A03329" w:rsidP="00233C79">
            <w:pPr>
              <w:pStyle w:val="Tabletext"/>
              <w:spacing w:before="0" w:after="0"/>
            </w:pPr>
            <w:r>
              <w:t>Factors which affect attrition or retirement</w:t>
            </w:r>
          </w:p>
        </w:tc>
        <w:tc>
          <w:tcPr>
            <w:tcW w:w="4072" w:type="dxa"/>
            <w:tcMar>
              <w:top w:w="85" w:type="dxa"/>
              <w:left w:w="85" w:type="dxa"/>
              <w:bottom w:w="85" w:type="dxa"/>
              <w:right w:w="85" w:type="dxa"/>
            </w:tcMar>
          </w:tcPr>
          <w:p w:rsidR="00A03329" w:rsidRDefault="00A03329" w:rsidP="00233C79">
            <w:pPr>
              <w:pStyle w:val="Tabletext"/>
              <w:spacing w:before="0" w:after="0"/>
            </w:pPr>
            <w:r>
              <w:t>Good luck</w:t>
            </w:r>
          </w:p>
        </w:tc>
      </w:tr>
      <w:tr w:rsidR="00A03329">
        <w:trPr>
          <w:trHeight w:val="60"/>
        </w:trPr>
        <w:tc>
          <w:tcPr>
            <w:tcW w:w="2129" w:type="dxa"/>
            <w:tcMar>
              <w:top w:w="85" w:type="dxa"/>
              <w:left w:w="85" w:type="dxa"/>
              <w:bottom w:w="85" w:type="dxa"/>
              <w:right w:w="85" w:type="dxa"/>
            </w:tcMar>
          </w:tcPr>
          <w:p w:rsidR="00A03329" w:rsidRDefault="00A03329" w:rsidP="00233C79">
            <w:pPr>
              <w:pStyle w:val="Tabletext"/>
              <w:spacing w:before="0" w:after="0"/>
            </w:pPr>
            <w:r>
              <w:t>Future of workforce</w:t>
            </w:r>
          </w:p>
        </w:tc>
        <w:tc>
          <w:tcPr>
            <w:tcW w:w="2129" w:type="dxa"/>
            <w:tcMar>
              <w:top w:w="85" w:type="dxa"/>
              <w:left w:w="85" w:type="dxa"/>
              <w:bottom w:w="85" w:type="dxa"/>
              <w:right w:w="85" w:type="dxa"/>
            </w:tcMar>
          </w:tcPr>
          <w:p w:rsidR="00A03329" w:rsidRDefault="00A03329" w:rsidP="00233C79">
            <w:pPr>
              <w:pStyle w:val="Tabletext"/>
              <w:spacing w:before="0" w:after="0"/>
            </w:pPr>
            <w:r>
              <w:t>Structural changes</w:t>
            </w:r>
          </w:p>
        </w:tc>
        <w:tc>
          <w:tcPr>
            <w:tcW w:w="4072" w:type="dxa"/>
            <w:tcMar>
              <w:top w:w="85" w:type="dxa"/>
              <w:left w:w="85" w:type="dxa"/>
              <w:bottom w:w="85" w:type="dxa"/>
              <w:right w:w="85" w:type="dxa"/>
            </w:tcMar>
          </w:tcPr>
          <w:p w:rsidR="00A03329" w:rsidRDefault="00A03329" w:rsidP="00233C79">
            <w:pPr>
              <w:pStyle w:val="Tabletext"/>
              <w:spacing w:before="0" w:after="0"/>
            </w:pPr>
            <w:r>
              <w:t>Some patterns are well known; good luck on other changes</w:t>
            </w:r>
          </w:p>
        </w:tc>
      </w:tr>
      <w:tr w:rsidR="00A03329">
        <w:trPr>
          <w:trHeight w:val="290"/>
        </w:trPr>
        <w:tc>
          <w:tcPr>
            <w:tcW w:w="2129" w:type="dxa"/>
            <w:tcBorders>
              <w:bottom w:val="single" w:sz="4" w:space="0" w:color="auto"/>
            </w:tcBorders>
            <w:tcMar>
              <w:top w:w="85" w:type="dxa"/>
              <w:left w:w="85" w:type="dxa"/>
              <w:bottom w:w="85" w:type="dxa"/>
              <w:right w:w="85" w:type="dxa"/>
            </w:tcMar>
          </w:tcPr>
          <w:p w:rsidR="00A03329" w:rsidRDefault="00A03329" w:rsidP="00233C79">
            <w:pPr>
              <w:pStyle w:val="Tabletext"/>
              <w:spacing w:before="0" w:after="0"/>
              <w:rPr>
                <w:rFonts w:ascii="Tahoma" w:hAnsi="Tahoma" w:cs="Avant Garde"/>
                <w:lang w:val="en-US"/>
              </w:rPr>
            </w:pPr>
          </w:p>
        </w:tc>
        <w:tc>
          <w:tcPr>
            <w:tcW w:w="2129" w:type="dxa"/>
            <w:tcBorders>
              <w:bottom w:val="single" w:sz="4" w:space="0" w:color="auto"/>
            </w:tcBorders>
            <w:tcMar>
              <w:top w:w="85" w:type="dxa"/>
              <w:left w:w="85" w:type="dxa"/>
              <w:bottom w:w="85" w:type="dxa"/>
              <w:right w:w="85" w:type="dxa"/>
            </w:tcMar>
          </w:tcPr>
          <w:p w:rsidR="00A03329" w:rsidRDefault="00A03329" w:rsidP="00233C79">
            <w:pPr>
              <w:pStyle w:val="Tabletext"/>
              <w:spacing w:before="0" w:after="0"/>
            </w:pPr>
            <w:r>
              <w:t>Strength of economy</w:t>
            </w:r>
          </w:p>
        </w:tc>
        <w:tc>
          <w:tcPr>
            <w:tcW w:w="4072" w:type="dxa"/>
            <w:tcBorders>
              <w:bottom w:val="single" w:sz="4" w:space="0" w:color="auto"/>
            </w:tcBorders>
            <w:tcMar>
              <w:top w:w="85" w:type="dxa"/>
              <w:left w:w="85" w:type="dxa"/>
              <w:bottom w:w="85" w:type="dxa"/>
              <w:right w:w="85" w:type="dxa"/>
            </w:tcMar>
          </w:tcPr>
          <w:p w:rsidR="00A03329" w:rsidRDefault="00A03329" w:rsidP="00233C79">
            <w:pPr>
              <w:pStyle w:val="Tabletext"/>
              <w:spacing w:before="0" w:after="0"/>
            </w:pPr>
            <w:r>
              <w:t>Good luck; modelling cyclical events for planning purposes is well nigh impossible</w:t>
            </w:r>
          </w:p>
        </w:tc>
      </w:tr>
    </w:tbl>
    <w:p w:rsidR="00A03329" w:rsidRDefault="00A03329" w:rsidP="00763836">
      <w:pPr>
        <w:pStyle w:val="Text"/>
        <w:spacing w:before="30" w:after="30"/>
        <w:rPr>
          <w:sz w:val="17"/>
          <w:szCs w:val="17"/>
        </w:rPr>
      </w:pPr>
    </w:p>
    <w:p w:rsidR="00A03329" w:rsidRDefault="00A03329" w:rsidP="00A03329">
      <w:pPr>
        <w:pStyle w:val="Text"/>
        <w:rPr>
          <w:sz w:val="17"/>
          <w:szCs w:val="17"/>
        </w:rPr>
      </w:pPr>
      <w:r>
        <w:rPr>
          <w:sz w:val="17"/>
          <w:szCs w:val="17"/>
        </w:rPr>
        <w:t>As can be seen from table 2, the task facing a central planner is Herculean. While there is good information about labour market dynamics, there is a very large number of unknowns that have to be modelled (hence the good luck).</w:t>
      </w:r>
    </w:p>
    <w:p w:rsidR="00A03329" w:rsidRDefault="00A03329" w:rsidP="00A03329">
      <w:pPr>
        <w:pStyle w:val="Text"/>
        <w:rPr>
          <w:sz w:val="17"/>
          <w:szCs w:val="17"/>
        </w:rPr>
      </w:pPr>
      <w:r>
        <w:rPr>
          <w:sz w:val="17"/>
          <w:szCs w:val="17"/>
        </w:rPr>
        <w:t>While it is easy to be very critical of the whole notion of central planning, governments are likely to be an active player (that is, unwilling to allow markets to operate unhindered) for numerous reasons. First, there is the traditional argument of market failure. The two obvious examples are externalities, which mean that there is underinvestment in education and training because not all the benefits are shared by individuals and employees (one example is the importance of the education of parents because of the impact on their children), and capital market constraints, which make it very difficult for individuals to borrow in order to invest in their education and training. To address the first of these, we would need to estimate the size of externalities. However, no one has had much success in actually estimating their size. The second of these issues has been addressed through income-contingent loans (VET fee help is the latest of these) and by heavily subsidising fees, as is done in the publicly funded part of VET. This role for government does not actually impose additional data requirements, except to the extent of needing accurate data on costs of provision and the bad debts associated with income-contingent loans.</w:t>
      </w:r>
    </w:p>
    <w:p w:rsidR="00A03329" w:rsidRDefault="00A03329" w:rsidP="00A03329">
      <w:pPr>
        <w:pStyle w:val="Text"/>
        <w:rPr>
          <w:sz w:val="17"/>
          <w:szCs w:val="17"/>
        </w:rPr>
      </w:pPr>
      <w:r>
        <w:rPr>
          <w:sz w:val="17"/>
          <w:szCs w:val="17"/>
        </w:rPr>
        <w:lastRenderedPageBreak/>
        <w:t>However, governments have at least three other roles: as an employer; as a funder of public services such as health, defence and education; and as the body responsible for macroeconomic settings. In all of these roles they have a direct interest in influencing the way the market operates. Take education for example. Governments have a large interest as both a large employer and as a funder. Like any employer, governments prefer to keep the wages of employees as low as possible. However, as a funder (as distinct from the role as employer), any increase in wages for teachers has a very large impact on the government budget. Therefore, governments wish to ensure that there are ‘sufficient’ teachers at a price they wish to pay. So if there is an imbalance in the teacher market, governments typically are unwilling to let the market sort it out and would prefer to increase the supply of teachers in order to keep wages down. In this context, manpower planning is an attractive idea — by understanding the flows of labour governments can try to anticipate how many teachers they should train in order to keep the system working without any significant wage breakouts. (This constraint can have some undesirable side effects which are realised changes to the quality of teachers.) Health is another example, and in fact there is a very extensive bureaucracy undertaking health and medical workforce planning.</w:t>
      </w:r>
    </w:p>
    <w:p w:rsidR="00A03329" w:rsidRDefault="00A03329" w:rsidP="00A03329">
      <w:pPr>
        <w:pStyle w:val="Text"/>
        <w:rPr>
          <w:sz w:val="17"/>
          <w:szCs w:val="17"/>
        </w:rPr>
      </w:pPr>
      <w:r>
        <w:rPr>
          <w:sz w:val="17"/>
          <w:szCs w:val="17"/>
        </w:rPr>
        <w:t>The role of government as a funder has important implications for data collection. While individual employers need to understand the dynamics of their own firm, governments need to understand the dynamics of the industries where they are large funders. They need accurate workforce data, an understanding of attrition rates and so on. This applies particularly to health, education, community services and defence. As an aside, changes in government regulatory policies can have a major impact on the labour markets of industries. For example, making qualifications mandatory in say, child care, will have very significant flow-on effects to the child care market and the child carers’ market.</w:t>
      </w:r>
    </w:p>
    <w:p w:rsidR="00A03329" w:rsidRDefault="00A03329" w:rsidP="00A03329">
      <w:pPr>
        <w:pStyle w:val="Text"/>
        <w:rPr>
          <w:sz w:val="17"/>
          <w:szCs w:val="17"/>
        </w:rPr>
      </w:pPr>
      <w:r>
        <w:rPr>
          <w:sz w:val="17"/>
          <w:szCs w:val="17"/>
        </w:rPr>
        <w:t xml:space="preserve">The role of governments as the custodian of the </w:t>
      </w:r>
      <w:proofErr w:type="spellStart"/>
      <w:r>
        <w:rPr>
          <w:sz w:val="17"/>
          <w:szCs w:val="17"/>
        </w:rPr>
        <w:t>macroeconomy</w:t>
      </w:r>
      <w:proofErr w:type="spellEnd"/>
      <w:r>
        <w:rPr>
          <w:sz w:val="17"/>
          <w:szCs w:val="17"/>
        </w:rPr>
        <w:t xml:space="preserve"> is a little different. Even if governments had no employees in industries such as health and education, they still have an interest in what is going on labour markets. That interest centres around two areas. First, there is always a focus on inflation and unemployment. If general wage inflation increases, then the Reserve Bank (which for convenience I am including as part of government) may well increase interest rates to slow the economy down. The second area governments are particularly interested in is that of structural imbalances. Thus inadequate infrastructure (roads, ports etc.) will limit the growth rate of the economy. Similarly, constraints in the availability of skilled labour may limit the growth rate of the economy. This is what drives the government’s interest in the skill requirements of the mining and resources industry. If we are worried about avoiding structural imbalances, then Richardson (2007) and Skills Australia (2011) argue that we only need to be concerned with occupations for which training is very lengthy or are critical for the broader economy. In table 3, I list the major information needs of governments worried about cyclical or structural developments. The variables revolve around common economic indicators and are generally pretty well covered by the ABS Labour Force survey.</w:t>
      </w:r>
    </w:p>
    <w:p w:rsidR="00152FDA" w:rsidRDefault="00A03329" w:rsidP="00152FDA">
      <w:pPr>
        <w:pStyle w:val="Text"/>
        <w:rPr>
          <w:sz w:val="17"/>
          <w:szCs w:val="17"/>
        </w:rPr>
      </w:pPr>
      <w:r>
        <w:rPr>
          <w:sz w:val="17"/>
          <w:szCs w:val="17"/>
        </w:rPr>
        <w:t>To date, I have not discussed the role of ‘industry’. I have always had some difficulty understanding the role of ‘industry’ because industry bodies are made up of individual employers, all of whom have rather different interests (and competition policy generally prohibits collusion). However, industry has played an important role in relation to education and training in two main ways. The first is in influencing the actual training through the content of training packages. The second is in combining to share training facilities — there are good examples in the construction industry but they occur in a range of industries. Group training companies are another example of an industry body which acts as an intermediary between firms and individuals and which makes it easier for small and medium-size firms to t</w:t>
      </w:r>
      <w:r w:rsidR="00152FDA">
        <w:rPr>
          <w:sz w:val="17"/>
          <w:szCs w:val="17"/>
        </w:rPr>
        <w:t>ake on apprentices or trainees.</w:t>
      </w:r>
    </w:p>
    <w:p w:rsidR="00233C79" w:rsidRPr="00152FDA" w:rsidRDefault="00233C79" w:rsidP="00152FDA">
      <w:pPr>
        <w:pStyle w:val="Text"/>
        <w:rPr>
          <w:sz w:val="17"/>
          <w:szCs w:val="17"/>
        </w:rPr>
      </w:pPr>
    </w:p>
    <w:p w:rsidR="00152FDA" w:rsidRDefault="00152FDA">
      <w:pPr>
        <w:spacing w:before="0" w:line="240" w:lineRule="auto"/>
        <w:rPr>
          <w:rFonts w:ascii="Tahoma-Bold" w:hAnsi="Tahoma-Bold" w:cs="Tahoma-Bold"/>
          <w:b/>
          <w:bCs/>
          <w:color w:val="000000"/>
          <w:sz w:val="17"/>
          <w:szCs w:val="17"/>
          <w:lang w:val="en-GB"/>
        </w:rPr>
      </w:pPr>
    </w:p>
    <w:p w:rsidR="00152FDA" w:rsidRDefault="00152FDA" w:rsidP="00233C79">
      <w:pPr>
        <w:pStyle w:val="Tabletitle0"/>
        <w:ind w:left="0" w:firstLine="0"/>
      </w:pPr>
    </w:p>
    <w:p w:rsidR="00A03329" w:rsidRDefault="00A03329" w:rsidP="00233C79">
      <w:pPr>
        <w:pStyle w:val="Tabletitle0"/>
        <w:ind w:left="0" w:firstLine="0"/>
      </w:pPr>
      <w:r>
        <w:lastRenderedPageBreak/>
        <w:t>Table 3</w:t>
      </w:r>
      <w:r>
        <w:tab/>
        <w:t>Labour market data needs for governments as custodians of the economy</w:t>
      </w:r>
    </w:p>
    <w:tbl>
      <w:tblPr>
        <w:tblW w:w="0" w:type="auto"/>
        <w:tblInd w:w="85" w:type="dxa"/>
        <w:tblLayout w:type="fixed"/>
        <w:tblCellMar>
          <w:left w:w="0" w:type="dxa"/>
          <w:right w:w="0" w:type="dxa"/>
        </w:tblCellMar>
        <w:tblLook w:val="0000"/>
      </w:tblPr>
      <w:tblGrid>
        <w:gridCol w:w="2129"/>
        <w:gridCol w:w="3649"/>
        <w:gridCol w:w="2552"/>
      </w:tblGrid>
      <w:tr w:rsidR="00A03329" w:rsidTr="00152FDA">
        <w:trPr>
          <w:trHeight w:val="60"/>
        </w:trPr>
        <w:tc>
          <w:tcPr>
            <w:tcW w:w="2129" w:type="dxa"/>
            <w:tcBorders>
              <w:top w:val="single" w:sz="4" w:space="0" w:color="auto"/>
            </w:tcBorders>
            <w:tcMar>
              <w:top w:w="85" w:type="dxa"/>
              <w:left w:w="85" w:type="dxa"/>
              <w:bottom w:w="85" w:type="dxa"/>
              <w:right w:w="85" w:type="dxa"/>
            </w:tcMar>
          </w:tcPr>
          <w:p w:rsidR="00A03329" w:rsidRDefault="00A03329" w:rsidP="00152FDA">
            <w:pPr>
              <w:pStyle w:val="Tabletextleft"/>
              <w:spacing w:before="0" w:after="0"/>
            </w:pPr>
            <w:r>
              <w:t>Strength of the labour market</w:t>
            </w:r>
          </w:p>
        </w:tc>
        <w:tc>
          <w:tcPr>
            <w:tcW w:w="3649" w:type="dxa"/>
            <w:tcBorders>
              <w:top w:val="single" w:sz="4" w:space="0" w:color="auto"/>
            </w:tcBorders>
            <w:tcMar>
              <w:top w:w="85" w:type="dxa"/>
              <w:left w:w="85" w:type="dxa"/>
              <w:bottom w:w="85" w:type="dxa"/>
              <w:right w:w="85" w:type="dxa"/>
            </w:tcMar>
          </w:tcPr>
          <w:p w:rsidR="00A03329" w:rsidRDefault="00A03329" w:rsidP="00152FDA">
            <w:pPr>
              <w:pStyle w:val="Tabletextleft"/>
              <w:spacing w:before="0" w:after="0"/>
            </w:pPr>
            <w:r>
              <w:t>Employment growth</w:t>
            </w:r>
          </w:p>
        </w:tc>
        <w:tc>
          <w:tcPr>
            <w:tcW w:w="2552" w:type="dxa"/>
            <w:tcBorders>
              <w:top w:val="single" w:sz="4" w:space="0" w:color="auto"/>
            </w:tcBorders>
            <w:tcMar>
              <w:top w:w="85" w:type="dxa"/>
              <w:left w:w="85" w:type="dxa"/>
              <w:bottom w:w="85" w:type="dxa"/>
              <w:right w:w="85" w:type="dxa"/>
            </w:tcMar>
          </w:tcPr>
          <w:p w:rsidR="00A03329" w:rsidRDefault="00A03329" w:rsidP="00152FDA">
            <w:pPr>
              <w:pStyle w:val="Tabletextleft"/>
              <w:spacing w:before="0" w:after="0"/>
            </w:pPr>
            <w:r>
              <w:t>ABS Labour Force survey</w:t>
            </w:r>
          </w:p>
        </w:tc>
      </w:tr>
      <w:tr w:rsidR="00A03329" w:rsidTr="00152FDA">
        <w:trPr>
          <w:trHeight w:val="60"/>
        </w:trPr>
        <w:tc>
          <w:tcPr>
            <w:tcW w:w="2129" w:type="dxa"/>
            <w:tcMar>
              <w:top w:w="85" w:type="dxa"/>
              <w:left w:w="85" w:type="dxa"/>
              <w:bottom w:w="85" w:type="dxa"/>
              <w:right w:w="85" w:type="dxa"/>
            </w:tcMar>
          </w:tcPr>
          <w:p w:rsidR="00A03329" w:rsidRDefault="00A03329" w:rsidP="00152FDA">
            <w:pPr>
              <w:pStyle w:val="NoParagraphStyle"/>
              <w:spacing w:line="240" w:lineRule="auto"/>
              <w:textAlignment w:val="auto"/>
              <w:rPr>
                <w:rFonts w:ascii="Tahoma" w:hAnsi="Tahoma" w:cs="Avant Garde"/>
                <w:color w:val="auto"/>
                <w:lang w:val="en-US"/>
              </w:rPr>
            </w:pPr>
          </w:p>
        </w:tc>
        <w:tc>
          <w:tcPr>
            <w:tcW w:w="3649" w:type="dxa"/>
            <w:tcMar>
              <w:top w:w="85" w:type="dxa"/>
              <w:left w:w="85" w:type="dxa"/>
              <w:bottom w:w="85" w:type="dxa"/>
              <w:right w:w="85" w:type="dxa"/>
            </w:tcMar>
          </w:tcPr>
          <w:p w:rsidR="00A03329" w:rsidRDefault="00A03329" w:rsidP="00152FDA">
            <w:pPr>
              <w:pStyle w:val="Tabletextleft"/>
              <w:spacing w:before="0" w:after="0"/>
            </w:pPr>
            <w:r>
              <w:t>Unemployment rate</w:t>
            </w:r>
          </w:p>
        </w:tc>
        <w:tc>
          <w:tcPr>
            <w:tcW w:w="2552" w:type="dxa"/>
            <w:tcMar>
              <w:top w:w="85" w:type="dxa"/>
              <w:left w:w="85" w:type="dxa"/>
              <w:bottom w:w="85" w:type="dxa"/>
              <w:right w:w="85" w:type="dxa"/>
            </w:tcMar>
          </w:tcPr>
          <w:p w:rsidR="00A03329" w:rsidRDefault="00A03329" w:rsidP="00152FDA">
            <w:pPr>
              <w:pStyle w:val="Tabletextleft"/>
              <w:spacing w:before="0" w:after="0"/>
            </w:pPr>
            <w:r>
              <w:t>ABS Labour Force survey</w:t>
            </w:r>
          </w:p>
        </w:tc>
      </w:tr>
      <w:tr w:rsidR="00A03329" w:rsidTr="00152FDA">
        <w:trPr>
          <w:trHeight w:val="60"/>
        </w:trPr>
        <w:tc>
          <w:tcPr>
            <w:tcW w:w="2129" w:type="dxa"/>
            <w:tcMar>
              <w:top w:w="85" w:type="dxa"/>
              <w:left w:w="85" w:type="dxa"/>
              <w:bottom w:w="85" w:type="dxa"/>
              <w:right w:w="85" w:type="dxa"/>
            </w:tcMar>
          </w:tcPr>
          <w:p w:rsidR="00A03329" w:rsidRDefault="00A03329" w:rsidP="00152FDA">
            <w:pPr>
              <w:pStyle w:val="NoParagraphStyle"/>
              <w:spacing w:line="240" w:lineRule="auto"/>
              <w:textAlignment w:val="auto"/>
              <w:rPr>
                <w:rFonts w:ascii="Tahoma" w:hAnsi="Tahoma" w:cs="Avant Garde"/>
                <w:color w:val="auto"/>
                <w:lang w:val="en-US"/>
              </w:rPr>
            </w:pPr>
          </w:p>
        </w:tc>
        <w:tc>
          <w:tcPr>
            <w:tcW w:w="3649" w:type="dxa"/>
            <w:tcMar>
              <w:top w:w="85" w:type="dxa"/>
              <w:left w:w="85" w:type="dxa"/>
              <w:bottom w:w="85" w:type="dxa"/>
              <w:right w:w="85" w:type="dxa"/>
            </w:tcMar>
          </w:tcPr>
          <w:p w:rsidR="00A03329" w:rsidRDefault="00A03329" w:rsidP="00152FDA">
            <w:pPr>
              <w:pStyle w:val="Tabletextleft"/>
              <w:spacing w:before="0" w:after="0"/>
            </w:pPr>
            <w:r>
              <w:t>Job vacancies</w:t>
            </w:r>
          </w:p>
        </w:tc>
        <w:tc>
          <w:tcPr>
            <w:tcW w:w="2552" w:type="dxa"/>
            <w:tcMar>
              <w:top w:w="85" w:type="dxa"/>
              <w:left w:w="85" w:type="dxa"/>
              <w:bottom w:w="85" w:type="dxa"/>
              <w:right w:w="85" w:type="dxa"/>
            </w:tcMar>
          </w:tcPr>
          <w:p w:rsidR="00A03329" w:rsidRDefault="00A03329" w:rsidP="00152FDA">
            <w:pPr>
              <w:pStyle w:val="Tabletextleft"/>
              <w:spacing w:before="0" w:after="0"/>
            </w:pPr>
            <w:r>
              <w:t>ABS Job Vacancies survey</w:t>
            </w:r>
          </w:p>
        </w:tc>
      </w:tr>
      <w:tr w:rsidR="00A03329" w:rsidTr="00152FDA">
        <w:trPr>
          <w:trHeight w:val="60"/>
        </w:trPr>
        <w:tc>
          <w:tcPr>
            <w:tcW w:w="2129" w:type="dxa"/>
            <w:tcMar>
              <w:top w:w="85" w:type="dxa"/>
              <w:left w:w="85" w:type="dxa"/>
              <w:bottom w:w="85" w:type="dxa"/>
              <w:right w:w="85" w:type="dxa"/>
            </w:tcMar>
          </w:tcPr>
          <w:p w:rsidR="00A03329" w:rsidRDefault="00A03329" w:rsidP="00152FDA">
            <w:pPr>
              <w:pStyle w:val="NoParagraphStyle"/>
              <w:spacing w:line="240" w:lineRule="auto"/>
              <w:textAlignment w:val="auto"/>
              <w:rPr>
                <w:rFonts w:ascii="Tahoma" w:hAnsi="Tahoma" w:cs="Avant Garde"/>
                <w:color w:val="auto"/>
                <w:lang w:val="en-US"/>
              </w:rPr>
            </w:pPr>
          </w:p>
        </w:tc>
        <w:tc>
          <w:tcPr>
            <w:tcW w:w="3649" w:type="dxa"/>
            <w:tcMar>
              <w:top w:w="85" w:type="dxa"/>
              <w:left w:w="85" w:type="dxa"/>
              <w:bottom w:w="85" w:type="dxa"/>
              <w:right w:w="85" w:type="dxa"/>
            </w:tcMar>
          </w:tcPr>
          <w:p w:rsidR="00A03329" w:rsidRDefault="00A03329" w:rsidP="00152FDA">
            <w:pPr>
              <w:pStyle w:val="Tabletextleft"/>
              <w:spacing w:before="0" w:after="0"/>
            </w:pPr>
            <w:r>
              <w:t>Overtime usage</w:t>
            </w:r>
          </w:p>
        </w:tc>
        <w:tc>
          <w:tcPr>
            <w:tcW w:w="2552" w:type="dxa"/>
            <w:tcMar>
              <w:top w:w="85" w:type="dxa"/>
              <w:left w:w="85" w:type="dxa"/>
              <w:bottom w:w="85" w:type="dxa"/>
              <w:right w:w="85" w:type="dxa"/>
            </w:tcMar>
          </w:tcPr>
          <w:p w:rsidR="00A03329" w:rsidRDefault="00A03329" w:rsidP="00152FDA">
            <w:pPr>
              <w:pStyle w:val="Tabletextleft"/>
              <w:spacing w:before="0" w:after="0"/>
            </w:pPr>
            <w:r>
              <w:t>ABS Job Vacancies and Overtime survey (until 1999)</w:t>
            </w:r>
          </w:p>
        </w:tc>
      </w:tr>
      <w:tr w:rsidR="00A03329" w:rsidTr="00152FDA">
        <w:trPr>
          <w:trHeight w:val="60"/>
        </w:trPr>
        <w:tc>
          <w:tcPr>
            <w:tcW w:w="2129" w:type="dxa"/>
            <w:tcMar>
              <w:top w:w="85" w:type="dxa"/>
              <w:left w:w="85" w:type="dxa"/>
              <w:bottom w:w="85" w:type="dxa"/>
              <w:right w:w="85" w:type="dxa"/>
            </w:tcMar>
          </w:tcPr>
          <w:p w:rsidR="00A03329" w:rsidRDefault="00A03329" w:rsidP="00152FDA">
            <w:pPr>
              <w:pStyle w:val="NoParagraphStyle"/>
              <w:spacing w:line="240" w:lineRule="auto"/>
              <w:textAlignment w:val="auto"/>
              <w:rPr>
                <w:rFonts w:ascii="Tahoma" w:hAnsi="Tahoma" w:cs="Avant Garde"/>
                <w:color w:val="auto"/>
                <w:lang w:val="en-US"/>
              </w:rPr>
            </w:pPr>
          </w:p>
        </w:tc>
        <w:tc>
          <w:tcPr>
            <w:tcW w:w="3649" w:type="dxa"/>
            <w:tcMar>
              <w:top w:w="85" w:type="dxa"/>
              <w:left w:w="85" w:type="dxa"/>
              <w:bottom w:w="85" w:type="dxa"/>
              <w:right w:w="85" w:type="dxa"/>
            </w:tcMar>
          </w:tcPr>
          <w:p w:rsidR="00A03329" w:rsidRDefault="00A03329" w:rsidP="00152FDA">
            <w:pPr>
              <w:pStyle w:val="Tabletextleft"/>
              <w:spacing w:before="0" w:after="0"/>
            </w:pPr>
            <w:r>
              <w:t>Wage growth</w:t>
            </w:r>
          </w:p>
        </w:tc>
        <w:tc>
          <w:tcPr>
            <w:tcW w:w="2552" w:type="dxa"/>
            <w:tcMar>
              <w:top w:w="85" w:type="dxa"/>
              <w:left w:w="85" w:type="dxa"/>
              <w:bottom w:w="85" w:type="dxa"/>
              <w:right w:w="85" w:type="dxa"/>
            </w:tcMar>
          </w:tcPr>
          <w:p w:rsidR="00A03329" w:rsidRDefault="00A03329" w:rsidP="00152FDA">
            <w:pPr>
              <w:pStyle w:val="Tabletextleft"/>
              <w:spacing w:before="0" w:after="0"/>
            </w:pPr>
            <w:r>
              <w:t>ABS Labour Force survey</w:t>
            </w:r>
          </w:p>
        </w:tc>
      </w:tr>
      <w:tr w:rsidR="00A03329" w:rsidTr="00152FDA">
        <w:trPr>
          <w:trHeight w:val="60"/>
        </w:trPr>
        <w:tc>
          <w:tcPr>
            <w:tcW w:w="2129" w:type="dxa"/>
            <w:tcMar>
              <w:top w:w="85" w:type="dxa"/>
              <w:left w:w="85" w:type="dxa"/>
              <w:bottom w:w="85" w:type="dxa"/>
              <w:right w:w="85" w:type="dxa"/>
            </w:tcMar>
          </w:tcPr>
          <w:p w:rsidR="00A03329" w:rsidRDefault="00A03329" w:rsidP="00152FDA">
            <w:pPr>
              <w:pStyle w:val="Tabletextleft"/>
              <w:spacing w:before="0" w:after="0"/>
            </w:pPr>
            <w:r>
              <w:t>Structural mismatch</w:t>
            </w:r>
          </w:p>
        </w:tc>
        <w:tc>
          <w:tcPr>
            <w:tcW w:w="3649" w:type="dxa"/>
            <w:tcMar>
              <w:top w:w="85" w:type="dxa"/>
              <w:left w:w="85" w:type="dxa"/>
              <w:bottom w:w="85" w:type="dxa"/>
              <w:right w:w="85" w:type="dxa"/>
            </w:tcMar>
          </w:tcPr>
          <w:p w:rsidR="00A03329" w:rsidRDefault="00A03329" w:rsidP="00152FDA">
            <w:pPr>
              <w:pStyle w:val="Tabletextleft"/>
              <w:spacing w:before="0" w:after="0"/>
            </w:pPr>
            <w:r>
              <w:t>Persistent low unemployment rates and high wages or wage growth</w:t>
            </w:r>
          </w:p>
        </w:tc>
        <w:tc>
          <w:tcPr>
            <w:tcW w:w="2552" w:type="dxa"/>
            <w:tcMar>
              <w:top w:w="85" w:type="dxa"/>
              <w:left w:w="85" w:type="dxa"/>
              <w:bottom w:w="85" w:type="dxa"/>
              <w:right w:w="85" w:type="dxa"/>
            </w:tcMar>
          </w:tcPr>
          <w:p w:rsidR="00A03329" w:rsidRDefault="00A03329" w:rsidP="00152FDA">
            <w:pPr>
              <w:pStyle w:val="Tabletextleft"/>
              <w:spacing w:before="0" w:after="0"/>
            </w:pPr>
            <w:r>
              <w:t>ABS Labour Force survey</w:t>
            </w:r>
          </w:p>
        </w:tc>
      </w:tr>
      <w:tr w:rsidR="00A03329" w:rsidTr="00152FDA">
        <w:trPr>
          <w:trHeight w:val="60"/>
        </w:trPr>
        <w:tc>
          <w:tcPr>
            <w:tcW w:w="2129" w:type="dxa"/>
            <w:tcBorders>
              <w:bottom w:val="single" w:sz="4" w:space="0" w:color="auto"/>
            </w:tcBorders>
            <w:tcMar>
              <w:top w:w="85" w:type="dxa"/>
              <w:left w:w="85" w:type="dxa"/>
              <w:bottom w:w="85" w:type="dxa"/>
              <w:right w:w="85" w:type="dxa"/>
            </w:tcMar>
          </w:tcPr>
          <w:p w:rsidR="00A03329" w:rsidRDefault="00A03329" w:rsidP="00152FDA">
            <w:pPr>
              <w:pStyle w:val="NoParagraphStyle"/>
              <w:spacing w:line="240" w:lineRule="auto"/>
              <w:textAlignment w:val="auto"/>
              <w:rPr>
                <w:rFonts w:ascii="Tahoma" w:hAnsi="Tahoma" w:cs="Avant Garde"/>
                <w:color w:val="auto"/>
                <w:lang w:val="en-US"/>
              </w:rPr>
            </w:pPr>
          </w:p>
        </w:tc>
        <w:tc>
          <w:tcPr>
            <w:tcW w:w="3649" w:type="dxa"/>
            <w:tcBorders>
              <w:bottom w:val="single" w:sz="4" w:space="0" w:color="auto"/>
            </w:tcBorders>
            <w:tcMar>
              <w:top w:w="85" w:type="dxa"/>
              <w:left w:w="85" w:type="dxa"/>
              <w:bottom w:w="85" w:type="dxa"/>
              <w:right w:w="85" w:type="dxa"/>
            </w:tcMar>
          </w:tcPr>
          <w:p w:rsidR="00A03329" w:rsidRDefault="00A03329" w:rsidP="00152FDA">
            <w:pPr>
              <w:pStyle w:val="Tabletextleft"/>
              <w:spacing w:before="0" w:after="0"/>
            </w:pPr>
            <w:r>
              <w:t>Persistent underutilisation of labour</w:t>
            </w:r>
          </w:p>
        </w:tc>
        <w:tc>
          <w:tcPr>
            <w:tcW w:w="2552" w:type="dxa"/>
            <w:tcBorders>
              <w:bottom w:val="single" w:sz="4" w:space="0" w:color="auto"/>
            </w:tcBorders>
            <w:tcMar>
              <w:top w:w="85" w:type="dxa"/>
              <w:left w:w="85" w:type="dxa"/>
              <w:bottom w:w="85" w:type="dxa"/>
              <w:right w:w="85" w:type="dxa"/>
            </w:tcMar>
          </w:tcPr>
          <w:p w:rsidR="00A03329" w:rsidRDefault="00A03329" w:rsidP="00152FDA">
            <w:pPr>
              <w:pStyle w:val="Tabletextleft"/>
              <w:spacing w:before="0" w:after="0"/>
            </w:pPr>
            <w:r>
              <w:t>ABS Labour Force survey</w:t>
            </w:r>
          </w:p>
        </w:tc>
      </w:tr>
    </w:tbl>
    <w:p w:rsidR="00A03329" w:rsidRDefault="00A03329" w:rsidP="00A03329">
      <w:pPr>
        <w:pStyle w:val="Text"/>
        <w:rPr>
          <w:sz w:val="17"/>
          <w:szCs w:val="17"/>
        </w:rPr>
      </w:pPr>
      <w:r>
        <w:rPr>
          <w:sz w:val="17"/>
          <w:szCs w:val="17"/>
        </w:rPr>
        <w:t>It is not obvious that industry, in this sense, imposes significant additional data requirements. However, as developers of training packages, industry should ensure that development is effective and efficient, so data on the uptake of training packages and modules are important.</w:t>
      </w:r>
    </w:p>
    <w:p w:rsidR="00A03329" w:rsidRDefault="00A03329" w:rsidP="00A03329">
      <w:pPr>
        <w:pStyle w:val="Text"/>
        <w:rPr>
          <w:sz w:val="17"/>
          <w:szCs w:val="17"/>
        </w:rPr>
      </w:pPr>
      <w:r>
        <w:rPr>
          <w:sz w:val="17"/>
          <w:szCs w:val="17"/>
        </w:rPr>
        <w:t>I have almost finished but there are a couple of aspects I wish to discuss. The first is industry as a lobby group for increased government expenditure. The sharing of costs of training between individuals, employers and the government is obviously a contested area. Industry tends to talk about skill shortages or skill deficits and lobbies government to spend more training dollars on their areas of concern. To the extent that they are successful, this obviates the need for the industry itself to spend the money on training. It also keeps wages down. As an employer, I much prefer facing a labour market in which I can readily recruit people with the requisite skills at a modest (but fair of course) wage. As an employer, I am very happy to make use of government-subsidised training for my employees. Of course, industry groups tend to point to ‘market failure’ as the pretext for request for government funding. But market failure is a slippery concept and is often used inappropriately to refer to a situation which one of the parties does not like; from an economic perspective there is no market failure if the benefits are split between employers and employees.</w:t>
      </w:r>
    </w:p>
    <w:p w:rsidR="00A03329" w:rsidRDefault="00A03329" w:rsidP="00A03329">
      <w:pPr>
        <w:pStyle w:val="Text"/>
        <w:rPr>
          <w:sz w:val="17"/>
          <w:szCs w:val="17"/>
        </w:rPr>
      </w:pPr>
      <w:r>
        <w:rPr>
          <w:sz w:val="17"/>
          <w:szCs w:val="17"/>
        </w:rPr>
        <w:t xml:space="preserve">The final aspect is government as a funder of general education. The discussion above has focused on the labour market, and it would be remiss not to refer to the government’s role in funding general education. In fact, one could argue that perhaps the best thing that a government can do for workforce development is to ensure that all of its citizens have a good general education. In times past, this has perhaps been taken to be up to the end of compulsory education. In the modern world, one could argue that the government should ensure that all citizens have the opportunity to obtain general and entry-level training, perhaps up to an initial degree. </w:t>
      </w:r>
    </w:p>
    <w:p w:rsidR="00A03329" w:rsidRDefault="00A03329" w:rsidP="00A03329">
      <w:pPr>
        <w:pStyle w:val="Heading2"/>
      </w:pPr>
      <w:r>
        <w:t>Final comment</w:t>
      </w:r>
    </w:p>
    <w:p w:rsidR="00A03329" w:rsidRDefault="00A03329" w:rsidP="00A03329">
      <w:pPr>
        <w:pStyle w:val="Text"/>
      </w:pPr>
      <w:r>
        <w:t>Data needs do depend on the extent to which central planning is practised. Central planning is demanding on the data, but there is also no denying that markets work better when there is prolific information. Overall, our data are not too bad, although there are some clear gaps, such as the lack of comprehensive data on both public and private VET. There are also poor data on the VET workforce (of particular interest to regulators) and job vacancy data are limited at the occupation level. Provider-level performance data have also not been published to date. Much of the relevant data are provided by the regular Australian Bureau of Statistics and NCVER collections, but it is acknowledged that there are clear limits to how far data can be disaggregated. Thus local knowledge is important and it is unlikely that official data collections can ever obviate the need for them.</w:t>
      </w:r>
    </w:p>
    <w:p w:rsidR="00A03329" w:rsidRDefault="00A03329" w:rsidP="00A03329">
      <w:pPr>
        <w:pStyle w:val="Text"/>
      </w:pPr>
      <w:r>
        <w:lastRenderedPageBreak/>
        <w:t>It is worth noting that I have been silent on one of the suggestions in the advertising blurb for this session; that is, the possibility of running a National Employer Skills Survey to provide more detailed information on skill shortages and skill gaps.</w:t>
      </w:r>
      <w:r>
        <w:rPr>
          <w:rFonts w:ascii="Garamond" w:hAnsi="Garamond" w:cs="Garamond"/>
          <w:vertAlign w:val="superscript"/>
        </w:rPr>
        <w:footnoteReference w:id="1"/>
      </w:r>
      <w:r>
        <w:t xml:space="preserve"> The UK National Employer Skills Survey, now called the UK Employer Perspectives Survey, has been run for some years to obtain ‘robust evidence regarding employers’ engagement and satisfaction with government support for recruitment and workforce development’ (UK Commission for Employment and Skills 2011). The purpose of the survey seems to presuppose that there should be government support for recruitment and workforce development. On this basis, the survey is more a customer satisfaction survey than one necessary for efficient workforce development. Australia does have a similar survey which is conducted every two years, the Survey of Employer Use and Views of the VET System, which provides high-level data on the use of and satisfaction with the Australian VET system. However, my view is that, while this type of survey does give an overall feel for the engagement of Australian industry with education and training, it is not a substitute for hard data on wages, unemployment rates, vacancy rates and the like.</w:t>
      </w:r>
    </w:p>
    <w:p w:rsidR="00A03329" w:rsidRDefault="00A03329" w:rsidP="00A03329">
      <w:pPr>
        <w:pStyle w:val="Text"/>
      </w:pPr>
    </w:p>
    <w:p w:rsidR="00A03329" w:rsidRDefault="00152FDA" w:rsidP="00152FDA">
      <w:pPr>
        <w:pStyle w:val="Heading1"/>
      </w:pPr>
      <w:r>
        <w:br w:type="page"/>
      </w:r>
      <w:r w:rsidR="00A03329">
        <w:lastRenderedPageBreak/>
        <w:t>References</w:t>
      </w:r>
    </w:p>
    <w:p w:rsidR="00A03329" w:rsidRDefault="00A03329" w:rsidP="00A03329">
      <w:pPr>
        <w:pStyle w:val="References"/>
      </w:pPr>
      <w:proofErr w:type="gramStart"/>
      <w:r>
        <w:t>Department of Education, Employment and Workplace Relations 2008, ‘Skill shortage methodology 2008–09’, DEEWR, Canberra.</w:t>
      </w:r>
      <w:proofErr w:type="gramEnd"/>
    </w:p>
    <w:p w:rsidR="00A03329" w:rsidRDefault="00A03329" w:rsidP="00A03329">
      <w:pPr>
        <w:pStyle w:val="References"/>
      </w:pPr>
      <w:r>
        <w:t>——2009, Skilled vacancy index, November, DEEWR, Canberra.</w:t>
      </w:r>
    </w:p>
    <w:p w:rsidR="00A03329" w:rsidRDefault="00A03329" w:rsidP="00A03329">
      <w:pPr>
        <w:pStyle w:val="References"/>
      </w:pPr>
      <w:r>
        <w:t xml:space="preserve">Richardson, S 2007, </w:t>
      </w:r>
      <w:proofErr w:type="gramStart"/>
      <w:r>
        <w:rPr>
          <w:rFonts w:ascii="TrebuchetMS-Italic" w:hAnsi="TrebuchetMS-Italic" w:cs="TrebuchetMS-Italic"/>
          <w:i/>
          <w:iCs/>
          <w:lang w:val="en-US"/>
        </w:rPr>
        <w:t>What</w:t>
      </w:r>
      <w:proofErr w:type="gramEnd"/>
      <w:r>
        <w:rPr>
          <w:rFonts w:ascii="TrebuchetMS-Italic" w:hAnsi="TrebuchetMS-Italic" w:cs="TrebuchetMS-Italic"/>
          <w:i/>
          <w:iCs/>
          <w:lang w:val="en-US"/>
        </w:rPr>
        <w:t xml:space="preserve"> is a skills shortage?</w:t>
      </w:r>
      <w:r>
        <w:t xml:space="preserve"> NCVER, Adelaide.</w:t>
      </w:r>
    </w:p>
    <w:p w:rsidR="00A03329" w:rsidRDefault="00A03329" w:rsidP="00A03329">
      <w:pPr>
        <w:pStyle w:val="References"/>
      </w:pPr>
      <w:r>
        <w:t xml:space="preserve">Shah, C &amp; Burke, G 2003, </w:t>
      </w:r>
      <w:r>
        <w:rPr>
          <w:rFonts w:ascii="TrebuchetMS-Italic" w:hAnsi="TrebuchetMS-Italic" w:cs="TrebuchetMS-Italic"/>
          <w:i/>
          <w:iCs/>
          <w:lang w:val="en-US"/>
        </w:rPr>
        <w:t>Skills shortages: concepts, measurement and implications</w:t>
      </w:r>
      <w:r>
        <w:t xml:space="preserve">, Centre for the </w:t>
      </w:r>
      <w:r>
        <w:br/>
        <w:t>Economics of Education &amp; Training, Melbourne</w:t>
      </w:r>
    </w:p>
    <w:p w:rsidR="00A03329" w:rsidRDefault="00A03329" w:rsidP="00A03329">
      <w:pPr>
        <w:pStyle w:val="References"/>
      </w:pPr>
      <w:r>
        <w:t xml:space="preserve">Skills Australia 2011, </w:t>
      </w:r>
      <w:r>
        <w:rPr>
          <w:rFonts w:ascii="TrebuchetMS-Italic" w:hAnsi="TrebuchetMS-Italic" w:cs="TrebuchetMS-Italic"/>
          <w:i/>
          <w:iCs/>
          <w:lang w:val="en-US"/>
        </w:rPr>
        <w:t>Skills for prosperity: a road map for vocational education and training</w:t>
      </w:r>
      <w:r>
        <w:t xml:space="preserve">, viewed 7 </w:t>
      </w:r>
      <w:r>
        <w:br/>
        <w:t>August 2011, &lt;http://www.skillsaustralia.gov.au/PDFs_RTFs/SkillsProsperityRoadmap.pdf&gt;.</w:t>
      </w:r>
    </w:p>
    <w:p w:rsidR="00150874" w:rsidRDefault="00A03329" w:rsidP="00152FDA">
      <w:pPr>
        <w:pStyle w:val="References"/>
      </w:pPr>
      <w:r>
        <w:t xml:space="preserve">UK Commission for Employment and Skills 2011, </w:t>
      </w:r>
      <w:r>
        <w:rPr>
          <w:rFonts w:ascii="TrebuchetMS-Italic" w:hAnsi="TrebuchetMS-Italic" w:cs="TrebuchetMS-Italic"/>
          <w:i/>
          <w:iCs/>
          <w:lang w:val="en-US"/>
        </w:rPr>
        <w:t>Executive summary 25, UK Employer Perspectives Survey 2010</w:t>
      </w:r>
      <w:r>
        <w:t>, HMSO, London.</w:t>
      </w:r>
    </w:p>
    <w:sectPr w:rsidR="00150874" w:rsidSect="009775C7">
      <w:footerReference w:type="even" r:id="rId11"/>
      <w:footerReference w:type="default" r:id="rId12"/>
      <w:pgSz w:w="11907" w:h="16840" w:code="9"/>
      <w:pgMar w:top="1276" w:right="1701" w:bottom="1276" w:left="1418" w:header="709" w:footer="556" w:gutter="0"/>
      <w:cols w:space="708" w:equalWidth="0">
        <w:col w:w="8788"/>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C79" w:rsidRDefault="00233C79">
      <w:r>
        <w:separator/>
      </w:r>
    </w:p>
  </w:endnote>
  <w:endnote w:type="continuationSeparator" w:id="0">
    <w:p w:rsidR="00233C79" w:rsidRDefault="00233C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rebuchetMS-Bold">
    <w:altName w:val="Trebuchet MS"/>
    <w:panose1 w:val="00000000000000000000"/>
    <w:charset w:val="4D"/>
    <w:family w:val="auto"/>
    <w:notTrueType/>
    <w:pitch w:val="default"/>
    <w:sig w:usb0="00000003" w:usb1="00000000" w:usb2="00000000" w:usb3="00000000" w:csb0="00000001" w:csb1="00000000"/>
  </w:font>
  <w:font w:name="TrebuchetMS">
    <w:altName w:val="Trebuchet MS"/>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Bold">
    <w:altName w:val="Tahoma"/>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TrebuchetMS-Italic">
    <w:altName w:val="Trebuchet MS"/>
    <w:panose1 w:val="00000000000000000000"/>
    <w:charset w:val="4D"/>
    <w:family w:val="auto"/>
    <w:notTrueType/>
    <w:pitch w:val="default"/>
    <w:sig w:usb0="00000003" w:usb1="00000000" w:usb2="00000000" w:usb3="00000000" w:csb0="00000001" w:csb1="00000000"/>
  </w:font>
  <w:font w:name="Avant Garde">
    <w:altName w:val="Century Gothic"/>
    <w:charset w:val="00"/>
    <w:family w:val="auto"/>
    <w:pitch w:val="variable"/>
    <w:sig w:usb0="03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C79" w:rsidRPr="00A03329" w:rsidRDefault="001167D9" w:rsidP="00A03329">
    <w:pPr>
      <w:pStyle w:val="Footer"/>
      <w:rPr>
        <w:rFonts w:ascii="Tahoma-Bold" w:hAnsi="Tahoma-Bold" w:cs="Tahoma-Bold"/>
        <w:b/>
        <w:bCs/>
        <w:color w:val="000000"/>
        <w:lang w:val="en-GB"/>
      </w:rPr>
    </w:pPr>
    <w:r w:rsidRPr="001167D9">
      <w:rPr>
        <w:b/>
        <w:noProof/>
        <w:color w:val="FFFFFF" w:themeColor="background1"/>
        <w:lang w:eastAsia="en-AU"/>
      </w:rPr>
      <w:pict>
        <v:rect id="_x0000_s2051" style="position:absolute;margin-left:-85.05pt;margin-top:-2.45pt;width:99pt;height:18.75pt;z-index:-251655168" fillcolor="black [3213]" stroked="f" strokecolor="#bfbfbf [2412]"/>
      </w:pict>
    </w:r>
    <w:r w:rsidRPr="008C0A74">
      <w:rPr>
        <w:b/>
        <w:color w:val="FFFFFF" w:themeColor="background1"/>
      </w:rPr>
      <w:fldChar w:fldCharType="begin"/>
    </w:r>
    <w:r w:rsidR="00233C79" w:rsidRPr="008C0A74">
      <w:rPr>
        <w:b/>
        <w:color w:val="FFFFFF" w:themeColor="background1"/>
      </w:rPr>
      <w:instrText xml:space="preserve"> PAGE </w:instrText>
    </w:r>
    <w:r w:rsidRPr="008C0A74">
      <w:rPr>
        <w:b/>
        <w:color w:val="FFFFFF" w:themeColor="background1"/>
      </w:rPr>
      <w:fldChar w:fldCharType="separate"/>
    </w:r>
    <w:r w:rsidR="003B2873">
      <w:rPr>
        <w:b/>
        <w:noProof/>
        <w:color w:val="FFFFFF" w:themeColor="background1"/>
      </w:rPr>
      <w:t>12</w:t>
    </w:r>
    <w:r w:rsidRPr="008C0A74">
      <w:rPr>
        <w:b/>
        <w:color w:val="FFFFFF" w:themeColor="background1"/>
      </w:rPr>
      <w:fldChar w:fldCharType="end"/>
    </w:r>
    <w:r w:rsidR="00233C79" w:rsidRPr="008C0A74">
      <w:rPr>
        <w:b/>
        <w:color w:val="FFFFFF" w:themeColor="background1"/>
      </w:rPr>
      <w:tab/>
    </w:r>
    <w:r w:rsidR="00233C79" w:rsidRPr="00A03329">
      <w:rPr>
        <w:rFonts w:ascii="Tahoma-Bold" w:hAnsi="Tahoma-Bold" w:cs="Tahoma-Bold"/>
        <w:b/>
        <w:bCs/>
        <w:color w:val="000000"/>
        <w:lang w:val="en-GB"/>
      </w:rPr>
      <w:t>The challenge of measurement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C79" w:rsidRPr="009775C7" w:rsidRDefault="001167D9" w:rsidP="008C0A74">
    <w:pPr>
      <w:pStyle w:val="Footer"/>
      <w:tabs>
        <w:tab w:val="clear" w:pos="8505"/>
        <w:tab w:val="right" w:pos="8789"/>
      </w:tabs>
      <w:rPr>
        <w:color w:val="FFFFFF" w:themeColor="background1"/>
      </w:rPr>
    </w:pPr>
    <w:r w:rsidRPr="001167D9">
      <w:rPr>
        <w:b/>
        <w:noProof/>
        <w:lang w:eastAsia="en-AU"/>
      </w:rPr>
      <w:pict>
        <v:rect id="_x0000_s2052" style="position:absolute;margin-left:425.6pt;margin-top:-2.45pt;width:99pt;height:18.75pt;z-index:-251653120" fillcolor="black [3213]" stroked="f" strokecolor="#bfbfbf [2412]"/>
      </w:pict>
    </w:r>
    <w:r w:rsidR="00233C79" w:rsidRPr="009775C7">
      <w:rPr>
        <w:b/>
      </w:rPr>
      <w:t>NCVER</w:t>
    </w:r>
    <w:r w:rsidR="00233C79" w:rsidRPr="009775C7">
      <w:tab/>
    </w:r>
    <w:r w:rsidRPr="009775C7">
      <w:rPr>
        <w:rStyle w:val="PageNumber"/>
        <w:rFonts w:cs="Tahoma"/>
        <w:b/>
        <w:color w:val="FFFFFF" w:themeColor="background1"/>
        <w:sz w:val="17"/>
      </w:rPr>
      <w:fldChar w:fldCharType="begin"/>
    </w:r>
    <w:r w:rsidR="00233C79" w:rsidRPr="009775C7">
      <w:rPr>
        <w:rStyle w:val="PageNumber"/>
        <w:rFonts w:cs="Tahoma"/>
        <w:b/>
        <w:color w:val="FFFFFF" w:themeColor="background1"/>
        <w:sz w:val="17"/>
      </w:rPr>
      <w:instrText xml:space="preserve"> PAGE </w:instrText>
    </w:r>
    <w:r w:rsidRPr="009775C7">
      <w:rPr>
        <w:rStyle w:val="PageNumber"/>
        <w:rFonts w:cs="Tahoma"/>
        <w:b/>
        <w:color w:val="FFFFFF" w:themeColor="background1"/>
        <w:sz w:val="17"/>
      </w:rPr>
      <w:fldChar w:fldCharType="separate"/>
    </w:r>
    <w:r w:rsidR="003B2873">
      <w:rPr>
        <w:rStyle w:val="PageNumber"/>
        <w:rFonts w:cs="Tahoma"/>
        <w:b/>
        <w:noProof/>
        <w:color w:val="FFFFFF" w:themeColor="background1"/>
        <w:sz w:val="17"/>
      </w:rPr>
      <w:t>11</w:t>
    </w:r>
    <w:r w:rsidRPr="009775C7">
      <w:rPr>
        <w:rStyle w:val="PageNumber"/>
        <w:rFonts w:cs="Tahoma"/>
        <w:b/>
        <w:color w:val="FFFFFF" w:themeColor="background1"/>
        <w:sz w:val="1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C79" w:rsidRDefault="00233C79">
      <w:r>
        <w:separator/>
      </w:r>
    </w:p>
  </w:footnote>
  <w:footnote w:type="continuationSeparator" w:id="0">
    <w:p w:rsidR="00233C79" w:rsidRDefault="00233C79">
      <w:r>
        <w:continuationSeparator/>
      </w:r>
    </w:p>
  </w:footnote>
  <w:footnote w:id="1">
    <w:p w:rsidR="00233C79" w:rsidRDefault="00233C79" w:rsidP="00152FDA">
      <w:pPr>
        <w:pStyle w:val="Footnote"/>
      </w:pPr>
      <w:r>
        <w:rPr>
          <w:vertAlign w:val="superscript"/>
        </w:rPr>
        <w:footnoteRef/>
      </w:r>
      <w:r>
        <w:t xml:space="preserve"> </w:t>
      </w:r>
      <w:r>
        <w:tab/>
        <w:t>See Shah and Burke (2003) for a discussion of the various concepts relating to skills shortages; also Department of Education, Employment and Workplace Relations (2008, 2009).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6AAB1B0"/>
    <w:lvl w:ilvl="0">
      <w:start w:val="1"/>
      <w:numFmt w:val="decimal"/>
      <w:lvlText w:val="%1."/>
      <w:lvlJc w:val="left"/>
      <w:pPr>
        <w:tabs>
          <w:tab w:val="num" w:pos="1492"/>
        </w:tabs>
        <w:ind w:left="1492" w:hanging="360"/>
      </w:pPr>
    </w:lvl>
  </w:abstractNum>
  <w:abstractNum w:abstractNumId="1">
    <w:nsid w:val="FFFFFF7D"/>
    <w:multiLevelType w:val="singleLevel"/>
    <w:tmpl w:val="EF123A56"/>
    <w:lvl w:ilvl="0">
      <w:start w:val="1"/>
      <w:numFmt w:val="decimal"/>
      <w:lvlText w:val="%1."/>
      <w:lvlJc w:val="left"/>
      <w:pPr>
        <w:tabs>
          <w:tab w:val="num" w:pos="1209"/>
        </w:tabs>
        <w:ind w:left="1209" w:hanging="360"/>
      </w:pPr>
    </w:lvl>
  </w:abstractNum>
  <w:abstractNum w:abstractNumId="2">
    <w:nsid w:val="FFFFFF7E"/>
    <w:multiLevelType w:val="singleLevel"/>
    <w:tmpl w:val="60C49B72"/>
    <w:lvl w:ilvl="0">
      <w:start w:val="1"/>
      <w:numFmt w:val="decimal"/>
      <w:lvlText w:val="%1."/>
      <w:lvlJc w:val="left"/>
      <w:pPr>
        <w:tabs>
          <w:tab w:val="num" w:pos="926"/>
        </w:tabs>
        <w:ind w:left="926" w:hanging="360"/>
      </w:pPr>
    </w:lvl>
  </w:abstractNum>
  <w:abstractNum w:abstractNumId="3">
    <w:nsid w:val="FFFFFF7F"/>
    <w:multiLevelType w:val="singleLevel"/>
    <w:tmpl w:val="461AADA0"/>
    <w:lvl w:ilvl="0">
      <w:start w:val="1"/>
      <w:numFmt w:val="decimal"/>
      <w:lvlText w:val="%1."/>
      <w:lvlJc w:val="left"/>
      <w:pPr>
        <w:tabs>
          <w:tab w:val="num" w:pos="643"/>
        </w:tabs>
        <w:ind w:left="643" w:hanging="360"/>
      </w:pPr>
    </w:lvl>
  </w:abstractNum>
  <w:abstractNum w:abstractNumId="4">
    <w:nsid w:val="FFFFFF80"/>
    <w:multiLevelType w:val="singleLevel"/>
    <w:tmpl w:val="A7F6FF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4E480A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9EC3C7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CA84E7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83AED68"/>
    <w:lvl w:ilvl="0">
      <w:start w:val="1"/>
      <w:numFmt w:val="decimal"/>
      <w:lvlText w:val="%1."/>
      <w:lvlJc w:val="left"/>
      <w:pPr>
        <w:tabs>
          <w:tab w:val="num" w:pos="360"/>
        </w:tabs>
        <w:ind w:left="360" w:hanging="360"/>
      </w:pPr>
    </w:lvl>
  </w:abstractNum>
  <w:abstractNum w:abstractNumId="9">
    <w:nsid w:val="FFFFFF89"/>
    <w:multiLevelType w:val="singleLevel"/>
    <w:tmpl w:val="AA224FC2"/>
    <w:lvl w:ilvl="0">
      <w:start w:val="1"/>
      <w:numFmt w:val="bullet"/>
      <w:lvlText w:val=""/>
      <w:lvlJc w:val="left"/>
      <w:pPr>
        <w:tabs>
          <w:tab w:val="num" w:pos="360"/>
        </w:tabs>
        <w:ind w:left="360" w:hanging="360"/>
      </w:pPr>
      <w:rPr>
        <w:rFonts w:ascii="Symbol" w:hAnsi="Symbol" w:hint="default"/>
      </w:rPr>
    </w:lvl>
  </w:abstractNum>
  <w:abstractNum w:abstractNumId="10">
    <w:nsid w:val="01F410EF"/>
    <w:multiLevelType w:val="hybridMultilevel"/>
    <w:tmpl w:val="42146892"/>
    <w:lvl w:ilvl="0" w:tplc="24BA3DD4">
      <w:start w:val="1"/>
      <w:numFmt w:val="decimal"/>
      <w:lvlText w:val="%1"/>
      <w:lvlJc w:val="left"/>
      <w:pPr>
        <w:tabs>
          <w:tab w:val="num" w:pos="284"/>
        </w:tabs>
        <w:ind w:left="0"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06FF05DF"/>
    <w:multiLevelType w:val="singleLevel"/>
    <w:tmpl w:val="00000000"/>
    <w:lvl w:ilvl="0">
      <w:numFmt w:val="bullet"/>
      <w:lvlText w:val=""/>
      <w:lvlJc w:val="left"/>
      <w:pPr>
        <w:tabs>
          <w:tab w:val="num" w:pos="360"/>
        </w:tabs>
        <w:ind w:left="360" w:hanging="360"/>
      </w:pPr>
      <w:rPr>
        <w:rFonts w:ascii="Wingdings" w:hAnsi="Wingdings" w:hint="default"/>
      </w:rPr>
    </w:lvl>
  </w:abstractNum>
  <w:abstractNum w:abstractNumId="12">
    <w:nsid w:val="074D4D76"/>
    <w:multiLevelType w:val="hybridMultilevel"/>
    <w:tmpl w:val="EB62C9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74A2C71"/>
    <w:multiLevelType w:val="singleLevel"/>
    <w:tmpl w:val="00000000"/>
    <w:lvl w:ilvl="0">
      <w:start w:val="1"/>
      <w:numFmt w:val="bullet"/>
      <w:lvlText w:val=""/>
      <w:lvlJc w:val="left"/>
      <w:pPr>
        <w:tabs>
          <w:tab w:val="num" w:pos="0"/>
        </w:tabs>
        <w:ind w:left="360" w:hanging="360"/>
      </w:pPr>
      <w:rPr>
        <w:rFonts w:ascii="Wingdings" w:hAnsi="Wingdings" w:hint="default"/>
      </w:rPr>
    </w:lvl>
  </w:abstractNum>
  <w:abstractNum w:abstractNumId="14">
    <w:nsid w:val="274249A8"/>
    <w:multiLevelType w:val="hybridMultilevel"/>
    <w:tmpl w:val="01CA13C2"/>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ArialMT"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ArialMT"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ArialMT"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5">
    <w:nsid w:val="2D595EBC"/>
    <w:multiLevelType w:val="hybridMultilevel"/>
    <w:tmpl w:val="5C325A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MT"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MT"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MT"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381650D4"/>
    <w:multiLevelType w:val="hybridMultilevel"/>
    <w:tmpl w:val="553EC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FA27D39"/>
    <w:multiLevelType w:val="hybridMultilevel"/>
    <w:tmpl w:val="D5A4838C"/>
    <w:lvl w:ilvl="0" w:tplc="B9FEC91C">
      <w:start w:val="1"/>
      <w:numFmt w:val="bullet"/>
      <w:lvlText w:val=""/>
      <w:lvlJc w:val="left"/>
      <w:pPr>
        <w:tabs>
          <w:tab w:val="num" w:pos="720"/>
        </w:tabs>
        <w:ind w:left="720" w:hanging="360"/>
      </w:pPr>
      <w:rPr>
        <w:rFonts w:ascii="Wingdings" w:hAnsi="Wingdings" w:hint="default"/>
        <w:sz w:val="16"/>
      </w:rPr>
    </w:lvl>
    <w:lvl w:ilvl="1" w:tplc="0C090003" w:tentative="1">
      <w:start w:val="1"/>
      <w:numFmt w:val="bullet"/>
      <w:lvlText w:val="o"/>
      <w:lvlJc w:val="left"/>
      <w:pPr>
        <w:tabs>
          <w:tab w:val="num" w:pos="1440"/>
        </w:tabs>
        <w:ind w:left="1440" w:hanging="360"/>
      </w:pPr>
      <w:rPr>
        <w:rFonts w:ascii="Courier New" w:hAnsi="Courier New" w:cs="ArialMT"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MT"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MT"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45D124CA"/>
    <w:multiLevelType w:val="hybridMultilevel"/>
    <w:tmpl w:val="22928A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6C40325"/>
    <w:multiLevelType w:val="hybridMultilevel"/>
    <w:tmpl w:val="BB0A1B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A850269"/>
    <w:multiLevelType w:val="hybridMultilevel"/>
    <w:tmpl w:val="3B06D1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MT"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MT"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MT"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50BD2CE1"/>
    <w:multiLevelType w:val="hybridMultilevel"/>
    <w:tmpl w:val="D534D2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MT"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MT"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MT"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51A57208"/>
    <w:multiLevelType w:val="hybridMultilevel"/>
    <w:tmpl w:val="DB82ABE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ArialMT"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ArialMT"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ArialMT"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nsid w:val="5BEC3DBD"/>
    <w:multiLevelType w:val="hybridMultilevel"/>
    <w:tmpl w:val="85A462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E104700"/>
    <w:multiLevelType w:val="hybridMultilevel"/>
    <w:tmpl w:val="FBCE9C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10A02C5"/>
    <w:multiLevelType w:val="hybridMultilevel"/>
    <w:tmpl w:val="B84CC4F0"/>
    <w:lvl w:ilvl="0" w:tplc="A0D0ED80">
      <w:start w:val="1"/>
      <w:numFmt w:val="bullet"/>
      <w:pStyle w:val="Dotpoin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ArialMT"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ArialMT"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ArialMT" w:hint="default"/>
      </w:rPr>
    </w:lvl>
    <w:lvl w:ilvl="8" w:tplc="0C090005" w:tentative="1">
      <w:start w:val="1"/>
      <w:numFmt w:val="bullet"/>
      <w:lvlText w:val=""/>
      <w:lvlJc w:val="left"/>
      <w:pPr>
        <w:ind w:left="7560" w:hanging="360"/>
      </w:pPr>
      <w:rPr>
        <w:rFonts w:ascii="Wingdings" w:hAnsi="Wingdings" w:hint="default"/>
      </w:rPr>
    </w:lvl>
  </w:abstractNum>
  <w:abstractNum w:abstractNumId="26">
    <w:nsid w:val="6BBA0B85"/>
    <w:multiLevelType w:val="hybridMultilevel"/>
    <w:tmpl w:val="44608D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E6568BB"/>
    <w:multiLevelType w:val="hybridMultilevel"/>
    <w:tmpl w:val="7D744170"/>
    <w:lvl w:ilvl="0" w:tplc="E8267DE4">
      <w:start w:val="1"/>
      <w:numFmt w:val="bullet"/>
      <w:pStyle w:val="Dotpoint1"/>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ArialMT"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MT"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MT"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0"/>
  </w:num>
  <w:num w:numId="4">
    <w:abstractNumId w:val="18"/>
  </w:num>
  <w:num w:numId="5">
    <w:abstractNumId w:val="12"/>
  </w:num>
  <w:num w:numId="6">
    <w:abstractNumId w:val="22"/>
  </w:num>
  <w:num w:numId="7">
    <w:abstractNumId w:val="24"/>
  </w:num>
  <w:num w:numId="8">
    <w:abstractNumId w:val="23"/>
  </w:num>
  <w:num w:numId="9">
    <w:abstractNumId w:val="26"/>
  </w:num>
  <w:num w:numId="10">
    <w:abstractNumId w:val="19"/>
  </w:num>
  <w:num w:numId="11">
    <w:abstractNumId w:val="16"/>
  </w:num>
  <w:num w:numId="12">
    <w:abstractNumId w:val="20"/>
  </w:num>
  <w:num w:numId="13">
    <w:abstractNumId w:val="21"/>
  </w:num>
  <w:num w:numId="14">
    <w:abstractNumId w:val="14"/>
  </w:num>
  <w:num w:numId="15">
    <w:abstractNumId w:val="17"/>
  </w:num>
  <w:num w:numId="16">
    <w:abstractNumId w:val="15"/>
  </w:num>
  <w:num w:numId="17">
    <w:abstractNumId w:val="9"/>
  </w:num>
  <w:num w:numId="18">
    <w:abstractNumId w:val="7"/>
  </w:num>
  <w:num w:numId="19">
    <w:abstractNumId w:val="6"/>
  </w:num>
  <w:num w:numId="20">
    <w:abstractNumId w:val="5"/>
  </w:num>
  <w:num w:numId="21">
    <w:abstractNumId w:val="4"/>
  </w:num>
  <w:num w:numId="22">
    <w:abstractNumId w:val="11"/>
  </w:num>
  <w:num w:numId="23">
    <w:abstractNumId w:val="13"/>
  </w:num>
  <w:num w:numId="24">
    <w:abstractNumId w:val="11"/>
  </w:num>
  <w:num w:numId="25">
    <w:abstractNumId w:val="13"/>
  </w:num>
  <w:num w:numId="26">
    <w:abstractNumId w:val="27"/>
  </w:num>
  <w:num w:numId="27">
    <w:abstractNumId w:val="25"/>
  </w:num>
  <w:num w:numId="28">
    <w:abstractNumId w:val="8"/>
  </w:num>
  <w:num w:numId="29">
    <w:abstractNumId w:val="3"/>
  </w:num>
  <w:num w:numId="30">
    <w:abstractNumId w:val="2"/>
  </w:num>
  <w:num w:numId="31">
    <w:abstractNumId w:val="1"/>
  </w:num>
  <w:num w:numId="3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mirrorMargins/>
  <w:activeWritingStyle w:appName="MSWord" w:lang="en-US" w:vendorID="8" w:dllVersion="513" w:checkStyle="1"/>
  <w:activeWritingStyle w:appName="MSWord" w:lang="en-AU" w:vendorID="8" w:dllVersion="513" w:checkStyle="1"/>
  <w:activeWritingStyle w:appName="MSWord" w:lang="en-GB" w:vendorID="8" w:dllVersion="513" w:checkStyle="1"/>
  <w:proofState w:spelling="clean" w:grammar="clean"/>
  <w:attachedTemplate r:id="rId1"/>
  <w:doNotTrackMoves/>
  <w:defaultTabStop w:val="720"/>
  <w:doNotHyphenateCaps/>
  <w:clickAndTypeStyle w:val="Text"/>
  <w:evenAndOddHeaders/>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515242"/>
    <w:rsid w:val="000108B2"/>
    <w:rsid w:val="00013265"/>
    <w:rsid w:val="00022290"/>
    <w:rsid w:val="0006125F"/>
    <w:rsid w:val="00074BD4"/>
    <w:rsid w:val="000F641C"/>
    <w:rsid w:val="0010761A"/>
    <w:rsid w:val="001167D9"/>
    <w:rsid w:val="00123B5C"/>
    <w:rsid w:val="00135C75"/>
    <w:rsid w:val="00150874"/>
    <w:rsid w:val="001509F3"/>
    <w:rsid w:val="00152FDA"/>
    <w:rsid w:val="00155839"/>
    <w:rsid w:val="00177827"/>
    <w:rsid w:val="001A175E"/>
    <w:rsid w:val="001B43CF"/>
    <w:rsid w:val="001F7D84"/>
    <w:rsid w:val="002277A9"/>
    <w:rsid w:val="00233BFA"/>
    <w:rsid w:val="00233C79"/>
    <w:rsid w:val="00241593"/>
    <w:rsid w:val="00284FCB"/>
    <w:rsid w:val="002B396C"/>
    <w:rsid w:val="002E196B"/>
    <w:rsid w:val="00340B4D"/>
    <w:rsid w:val="003B16DA"/>
    <w:rsid w:val="003B2873"/>
    <w:rsid w:val="003B483E"/>
    <w:rsid w:val="003E67CB"/>
    <w:rsid w:val="0048643A"/>
    <w:rsid w:val="0049453B"/>
    <w:rsid w:val="004C4063"/>
    <w:rsid w:val="004D4802"/>
    <w:rsid w:val="004E7227"/>
    <w:rsid w:val="00515242"/>
    <w:rsid w:val="0052276C"/>
    <w:rsid w:val="00570758"/>
    <w:rsid w:val="005C277E"/>
    <w:rsid w:val="005C61F8"/>
    <w:rsid w:val="005E4764"/>
    <w:rsid w:val="00652973"/>
    <w:rsid w:val="00656679"/>
    <w:rsid w:val="0067712D"/>
    <w:rsid w:val="00696A48"/>
    <w:rsid w:val="006C5DA9"/>
    <w:rsid w:val="007037A4"/>
    <w:rsid w:val="00711B61"/>
    <w:rsid w:val="00731EC8"/>
    <w:rsid w:val="00763836"/>
    <w:rsid w:val="00783F44"/>
    <w:rsid w:val="007A2079"/>
    <w:rsid w:val="007C50A7"/>
    <w:rsid w:val="00806C1C"/>
    <w:rsid w:val="00826757"/>
    <w:rsid w:val="00874DA5"/>
    <w:rsid w:val="008923B6"/>
    <w:rsid w:val="008C0A74"/>
    <w:rsid w:val="008F20BA"/>
    <w:rsid w:val="009058B5"/>
    <w:rsid w:val="00933317"/>
    <w:rsid w:val="009538E6"/>
    <w:rsid w:val="009704E4"/>
    <w:rsid w:val="009775C7"/>
    <w:rsid w:val="009C22BE"/>
    <w:rsid w:val="009E231A"/>
    <w:rsid w:val="009E2F64"/>
    <w:rsid w:val="00A03329"/>
    <w:rsid w:val="00A10A6B"/>
    <w:rsid w:val="00A10E2B"/>
    <w:rsid w:val="00A30084"/>
    <w:rsid w:val="00A50895"/>
    <w:rsid w:val="00A73318"/>
    <w:rsid w:val="00A93867"/>
    <w:rsid w:val="00AA44D4"/>
    <w:rsid w:val="00AF1005"/>
    <w:rsid w:val="00B10F65"/>
    <w:rsid w:val="00B41272"/>
    <w:rsid w:val="00B77043"/>
    <w:rsid w:val="00B86D06"/>
    <w:rsid w:val="00BB113D"/>
    <w:rsid w:val="00BC770A"/>
    <w:rsid w:val="00BC7C47"/>
    <w:rsid w:val="00BF4515"/>
    <w:rsid w:val="00BF690E"/>
    <w:rsid w:val="00C053D5"/>
    <w:rsid w:val="00C243A7"/>
    <w:rsid w:val="00C54125"/>
    <w:rsid w:val="00C63294"/>
    <w:rsid w:val="00C77DC6"/>
    <w:rsid w:val="00C926F0"/>
    <w:rsid w:val="00C9656D"/>
    <w:rsid w:val="00CA4AFC"/>
    <w:rsid w:val="00CD5F32"/>
    <w:rsid w:val="00D14FE7"/>
    <w:rsid w:val="00D42FFC"/>
    <w:rsid w:val="00DB599C"/>
    <w:rsid w:val="00DC5F5C"/>
    <w:rsid w:val="00E06B95"/>
    <w:rsid w:val="00E123CB"/>
    <w:rsid w:val="00E236D0"/>
    <w:rsid w:val="00E365F8"/>
    <w:rsid w:val="00E52313"/>
    <w:rsid w:val="00E56EC1"/>
    <w:rsid w:val="00E81A91"/>
    <w:rsid w:val="00E95948"/>
    <w:rsid w:val="00ED4D6D"/>
    <w:rsid w:val="00EE42D9"/>
    <w:rsid w:val="00EE67B3"/>
    <w:rsid w:val="00F427E7"/>
    <w:rsid w:val="00F93048"/>
    <w:rsid w:val="00FA79F7"/>
    <w:rsid w:val="00FE3F74"/>
    <w:rsid w:val="00FE4A2D"/>
    <w:rsid w:val="00FF5931"/>
  </w:rsids>
  <m:mathPr>
    <m:mathFont m:val="Cambria Math"/>
    <m:brkBin m:val="before"/>
    <m:brkBinSub m:val="--"/>
    <m:smallFrac m:val="off"/>
    <m:dispDef m:val="of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uiPriority w:val="1"/>
    <w:semiHidden/>
    <w:qFormat/>
    <w:rsid w:val="008923B6"/>
    <w:pPr>
      <w:spacing w:before="160" w:line="260" w:lineRule="exact"/>
    </w:pPr>
    <w:rPr>
      <w:rFonts w:ascii="Trebuchet MS" w:hAnsi="Trebuchet MS"/>
      <w:sz w:val="19"/>
      <w:lang w:val="en-AU"/>
    </w:rPr>
  </w:style>
  <w:style w:type="paragraph" w:styleId="Heading1">
    <w:name w:val="heading 1"/>
    <w:next w:val="Text"/>
    <w:qFormat/>
    <w:rsid w:val="009775C7"/>
    <w:pPr>
      <w:keepNext/>
      <w:spacing w:after="360"/>
      <w:outlineLvl w:val="0"/>
    </w:pPr>
    <w:rPr>
      <w:rFonts w:ascii="Tahoma" w:hAnsi="Tahoma" w:cs="Tahoma"/>
      <w:color w:val="000000"/>
      <w:kern w:val="28"/>
      <w:sz w:val="56"/>
      <w:szCs w:val="56"/>
      <w:lang w:val="en-AU"/>
    </w:rPr>
  </w:style>
  <w:style w:type="paragraph" w:styleId="Heading2">
    <w:name w:val="heading 2"/>
    <w:next w:val="Text"/>
    <w:qFormat/>
    <w:rsid w:val="009775C7"/>
    <w:pPr>
      <w:keepNext/>
      <w:spacing w:before="360"/>
      <w:ind w:right="-369"/>
      <w:outlineLvl w:val="1"/>
    </w:pPr>
    <w:rPr>
      <w:rFonts w:ascii="Tahoma" w:hAnsi="Tahoma" w:cs="Tahoma"/>
      <w:sz w:val="28"/>
      <w:lang w:val="en-AU"/>
    </w:rPr>
  </w:style>
  <w:style w:type="paragraph" w:styleId="Heading3">
    <w:name w:val="heading 3"/>
    <w:next w:val="Text"/>
    <w:link w:val="Heading3Char"/>
    <w:qFormat/>
    <w:rsid w:val="009775C7"/>
    <w:pPr>
      <w:spacing w:before="280"/>
      <w:outlineLvl w:val="2"/>
    </w:pPr>
    <w:rPr>
      <w:rFonts w:ascii="Tahoma" w:hAnsi="Tahoma" w:cs="Tahoma"/>
      <w:color w:val="000000"/>
      <w:lang w:val="en-AU"/>
    </w:rPr>
  </w:style>
  <w:style w:type="paragraph" w:styleId="Heading4">
    <w:name w:val="heading 4"/>
    <w:next w:val="Text"/>
    <w:qFormat/>
    <w:rsid w:val="007037A4"/>
    <w:pPr>
      <w:spacing w:before="240"/>
      <w:outlineLvl w:val="3"/>
    </w:pPr>
    <w:rPr>
      <w:rFonts w:ascii="Tahoma" w:hAnsi="Tahoma"/>
      <w:i/>
      <w:lang w:val="en-AU"/>
    </w:rPr>
  </w:style>
  <w:style w:type="paragraph" w:styleId="Heading5">
    <w:name w:val="heading 5"/>
    <w:basedOn w:val="Normal"/>
    <w:next w:val="Normal"/>
    <w:qFormat/>
    <w:rsid w:val="007037A4"/>
    <w:pPr>
      <w:keepNext/>
      <w:outlineLvl w:val="4"/>
    </w:pPr>
    <w:rPr>
      <w:rFonts w:ascii="Tahoma" w:hAnsi="Tahoma"/>
      <w:b/>
    </w:rPr>
  </w:style>
  <w:style w:type="paragraph" w:styleId="Heading6">
    <w:name w:val="heading 6"/>
    <w:basedOn w:val="Normal"/>
    <w:next w:val="Normal"/>
    <w:qFormat/>
    <w:rsid w:val="007037A4"/>
    <w:pPr>
      <w:keepNext/>
      <w:ind w:left="2977"/>
      <w:outlineLvl w:val="5"/>
    </w:pPr>
    <w:rPr>
      <w:rFonts w:ascii="Tahoma" w:hAnsi="Tahoma"/>
      <w:sz w:val="20"/>
    </w:rPr>
  </w:style>
  <w:style w:type="paragraph" w:styleId="Heading7">
    <w:name w:val="heading 7"/>
    <w:basedOn w:val="Normal"/>
    <w:next w:val="Normal"/>
    <w:qFormat/>
    <w:rsid w:val="007037A4"/>
    <w:pPr>
      <w:keepNext/>
      <w:jc w:val="center"/>
      <w:outlineLvl w:val="6"/>
    </w:pPr>
    <w:rPr>
      <w:rFonts w:ascii="Tahoma" w:hAnsi="Tahoma"/>
      <w:spacing w:val="20"/>
      <w:sz w:val="20"/>
    </w:rPr>
  </w:style>
  <w:style w:type="paragraph" w:styleId="Heading8">
    <w:name w:val="heading 8"/>
    <w:basedOn w:val="Normal"/>
    <w:next w:val="Normal"/>
    <w:qFormat/>
    <w:rsid w:val="007037A4"/>
    <w:pPr>
      <w:keepNext/>
      <w:jc w:val="center"/>
      <w:outlineLvl w:val="7"/>
    </w:pPr>
    <w:rPr>
      <w:rFonts w:ascii="Tahoma" w:hAnsi="Tahoma"/>
      <w:color w:val="C0C0C0"/>
      <w:spacing w:val="6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uiPriority w:val="99"/>
    <w:rsid w:val="0048643A"/>
    <w:pPr>
      <w:spacing w:before="160" w:line="300" w:lineRule="exact"/>
      <w:ind w:right="-1"/>
    </w:pPr>
    <w:rPr>
      <w:rFonts w:ascii="Trebuchet MS" w:hAnsi="Trebuchet MS"/>
      <w:sz w:val="19"/>
      <w:lang w:val="en-AU"/>
    </w:rPr>
  </w:style>
  <w:style w:type="character" w:customStyle="1" w:styleId="TextChar">
    <w:name w:val="Text Char"/>
    <w:basedOn w:val="DefaultParagraphFont"/>
    <w:link w:val="Text"/>
    <w:rsid w:val="0048643A"/>
    <w:rPr>
      <w:rFonts w:ascii="Trebuchet MS" w:hAnsi="Trebuchet MS"/>
      <w:sz w:val="19"/>
      <w:lang w:val="en-AU"/>
    </w:rPr>
  </w:style>
  <w:style w:type="character" w:styleId="PageNumber">
    <w:name w:val="page number"/>
    <w:basedOn w:val="DefaultParagraphFont"/>
    <w:rsid w:val="007037A4"/>
    <w:rPr>
      <w:rFonts w:ascii="Tahoma" w:hAnsi="Tahoma"/>
      <w:sz w:val="18"/>
    </w:rPr>
  </w:style>
  <w:style w:type="paragraph" w:styleId="Footer">
    <w:name w:val="footer"/>
    <w:basedOn w:val="Normal"/>
    <w:link w:val="FooterChar"/>
    <w:uiPriority w:val="99"/>
    <w:rsid w:val="00AA44D4"/>
    <w:pPr>
      <w:tabs>
        <w:tab w:val="right" w:pos="8505"/>
      </w:tabs>
      <w:spacing w:before="0"/>
    </w:pPr>
    <w:rPr>
      <w:rFonts w:ascii="Tahoma" w:hAnsi="Tahoma"/>
      <w:sz w:val="17"/>
      <w:szCs w:val="17"/>
    </w:rPr>
  </w:style>
  <w:style w:type="paragraph" w:styleId="TOC1">
    <w:name w:val="toc 1"/>
    <w:uiPriority w:val="39"/>
    <w:rsid w:val="00C053D5"/>
    <w:pPr>
      <w:tabs>
        <w:tab w:val="right" w:pos="6804"/>
      </w:tabs>
      <w:spacing w:before="120" w:line="300" w:lineRule="exact"/>
      <w:ind w:right="1984"/>
    </w:pPr>
    <w:rPr>
      <w:rFonts w:ascii="Trebuchet MS" w:hAnsi="Trebuchet MS"/>
      <w:noProof/>
      <w:color w:val="000000"/>
      <w:sz w:val="19"/>
      <w:szCs w:val="19"/>
      <w:lang w:val="en-AU"/>
    </w:rPr>
  </w:style>
  <w:style w:type="paragraph" w:styleId="TOC2">
    <w:name w:val="toc 2"/>
    <w:basedOn w:val="Normal"/>
    <w:next w:val="Normal"/>
    <w:uiPriority w:val="39"/>
    <w:rsid w:val="004E7227"/>
    <w:pPr>
      <w:tabs>
        <w:tab w:val="right" w:pos="6804"/>
      </w:tabs>
      <w:spacing w:before="20" w:after="20" w:line="300" w:lineRule="exact"/>
      <w:ind w:left="284"/>
    </w:pPr>
    <w:rPr>
      <w:noProof/>
      <w:color w:val="000000"/>
      <w:sz w:val="18"/>
      <w:szCs w:val="18"/>
    </w:rPr>
  </w:style>
  <w:style w:type="paragraph" w:customStyle="1" w:styleId="tabletitle">
    <w:name w:val="tabletitle"/>
    <w:next w:val="Text"/>
    <w:rsid w:val="00150874"/>
    <w:pPr>
      <w:spacing w:before="360" w:after="80"/>
      <w:ind w:left="851" w:hanging="851"/>
    </w:pPr>
    <w:rPr>
      <w:rFonts w:ascii="Tahoma" w:hAnsi="Tahoma"/>
      <w:b/>
      <w:sz w:val="17"/>
      <w:lang w:val="en-AU"/>
    </w:rPr>
  </w:style>
  <w:style w:type="paragraph" w:customStyle="1" w:styleId="Tabletext">
    <w:name w:val="Table text"/>
    <w:next w:val="Text"/>
    <w:rsid w:val="00A10A6B"/>
    <w:pPr>
      <w:spacing w:before="40" w:after="40"/>
    </w:pPr>
    <w:rPr>
      <w:rFonts w:ascii="Arial" w:hAnsi="Arial"/>
      <w:sz w:val="16"/>
      <w:lang w:val="en-AU"/>
    </w:rPr>
  </w:style>
  <w:style w:type="paragraph" w:customStyle="1" w:styleId="Tablehead1">
    <w:name w:val="Tablehead1"/>
    <w:rsid w:val="005C2FCF"/>
    <w:pPr>
      <w:spacing w:before="80" w:after="80"/>
    </w:pPr>
    <w:rPr>
      <w:rFonts w:ascii="Arial" w:hAnsi="Arial"/>
      <w:b/>
      <w:sz w:val="17"/>
      <w:lang w:val="en-AU"/>
    </w:rPr>
  </w:style>
  <w:style w:type="paragraph" w:styleId="Quote">
    <w:name w:val="Quote"/>
    <w:basedOn w:val="Text"/>
    <w:qFormat/>
    <w:rsid w:val="009C22BE"/>
    <w:pPr>
      <w:tabs>
        <w:tab w:val="right" w:pos="7853"/>
      </w:tabs>
      <w:spacing w:before="80"/>
      <w:ind w:left="567" w:right="652"/>
    </w:pPr>
    <w:rPr>
      <w:sz w:val="17"/>
    </w:rPr>
  </w:style>
  <w:style w:type="paragraph" w:customStyle="1" w:styleId="References">
    <w:name w:val="References"/>
    <w:uiPriority w:val="99"/>
    <w:rsid w:val="00123B5C"/>
    <w:pPr>
      <w:spacing w:before="80"/>
      <w:ind w:left="284" w:right="-369" w:hanging="284"/>
    </w:pPr>
    <w:rPr>
      <w:rFonts w:ascii="Trebuchet MS" w:hAnsi="Trebuchet MS"/>
      <w:sz w:val="18"/>
      <w:lang w:val="en-AU"/>
    </w:rPr>
  </w:style>
  <w:style w:type="paragraph" w:customStyle="1" w:styleId="Tablehead2">
    <w:name w:val="Tablehead2"/>
    <w:basedOn w:val="Tablehead1"/>
    <w:rsid w:val="00A10A6B"/>
    <w:pPr>
      <w:tabs>
        <w:tab w:val="left" w:pos="992"/>
      </w:tabs>
      <w:spacing w:before="20" w:after="20"/>
    </w:pPr>
    <w:rPr>
      <w:b w:val="0"/>
    </w:rPr>
  </w:style>
  <w:style w:type="paragraph" w:customStyle="1" w:styleId="Tablehead3">
    <w:name w:val="Tablehead3"/>
    <w:basedOn w:val="Tablehead2"/>
    <w:rsid w:val="005C2FCF"/>
    <w:rPr>
      <w:i/>
    </w:rPr>
  </w:style>
  <w:style w:type="paragraph" w:styleId="TableofFigures">
    <w:name w:val="table of figures"/>
    <w:basedOn w:val="TOC1"/>
    <w:next w:val="Normal"/>
    <w:uiPriority w:val="99"/>
    <w:semiHidden/>
    <w:rsid w:val="008923B6"/>
    <w:pPr>
      <w:tabs>
        <w:tab w:val="left" w:pos="284"/>
      </w:tabs>
      <w:spacing w:before="80"/>
      <w:ind w:left="425" w:right="1985" w:hanging="425"/>
    </w:pPr>
  </w:style>
  <w:style w:type="paragraph" w:customStyle="1" w:styleId="Imprint">
    <w:name w:val="Imprint"/>
    <w:basedOn w:val="Normal"/>
    <w:rsid w:val="003B2873"/>
    <w:pPr>
      <w:spacing w:line="260" w:lineRule="atLeast"/>
    </w:pPr>
    <w:rPr>
      <w:sz w:val="16"/>
      <w:szCs w:val="20"/>
    </w:rPr>
  </w:style>
  <w:style w:type="paragraph" w:customStyle="1" w:styleId="Figuretitle">
    <w:name w:val="Figuretitle"/>
    <w:basedOn w:val="tabletitle"/>
    <w:rsid w:val="005C2FCF"/>
  </w:style>
  <w:style w:type="paragraph" w:customStyle="1" w:styleId="Dotpoint1">
    <w:name w:val="Dotpoint1"/>
    <w:rsid w:val="0048643A"/>
    <w:pPr>
      <w:numPr>
        <w:numId w:val="26"/>
      </w:numPr>
      <w:tabs>
        <w:tab w:val="left" w:pos="284"/>
      </w:tabs>
      <w:spacing w:before="120" w:line="300" w:lineRule="exact"/>
      <w:ind w:left="284" w:hanging="284"/>
    </w:pPr>
    <w:rPr>
      <w:rFonts w:ascii="Trebuchet MS" w:hAnsi="Trebuchet MS"/>
      <w:color w:val="000000"/>
      <w:sz w:val="19"/>
      <w:lang w:val="en-AU"/>
    </w:rPr>
  </w:style>
  <w:style w:type="paragraph" w:customStyle="1" w:styleId="Dotpoint2">
    <w:name w:val="Dotpoint2"/>
    <w:basedOn w:val="Dotpoint1"/>
    <w:rsid w:val="005C277E"/>
    <w:pPr>
      <w:numPr>
        <w:numId w:val="27"/>
      </w:numPr>
      <w:tabs>
        <w:tab w:val="clear" w:pos="284"/>
        <w:tab w:val="left" w:pos="567"/>
      </w:tabs>
      <w:ind w:left="568" w:hanging="284"/>
    </w:pPr>
  </w:style>
  <w:style w:type="paragraph" w:customStyle="1" w:styleId="NumberedListContinuing">
    <w:name w:val="NumberedListContinuing"/>
    <w:basedOn w:val="Dotpoint1"/>
    <w:rsid w:val="00A50895"/>
    <w:pPr>
      <w:tabs>
        <w:tab w:val="num" w:pos="284"/>
      </w:tabs>
    </w:pPr>
    <w:rPr>
      <w:lang w:eastAsia="en-AU"/>
    </w:rPr>
  </w:style>
  <w:style w:type="paragraph" w:customStyle="1" w:styleId="Source">
    <w:name w:val="Source"/>
    <w:rsid w:val="00150874"/>
    <w:pPr>
      <w:spacing w:before="40"/>
      <w:ind w:left="567" w:hanging="567"/>
    </w:pPr>
    <w:rPr>
      <w:rFonts w:ascii="Tahoma" w:hAnsi="Tahoma"/>
      <w:sz w:val="15"/>
      <w:lang w:val="en-AU"/>
    </w:rPr>
  </w:style>
  <w:style w:type="paragraph" w:styleId="FootnoteText">
    <w:name w:val="footnote text"/>
    <w:basedOn w:val="Text"/>
    <w:rsid w:val="00A50895"/>
    <w:pPr>
      <w:tabs>
        <w:tab w:val="left" w:pos="1418"/>
      </w:tabs>
      <w:spacing w:before="0" w:line="220" w:lineRule="exact"/>
      <w:ind w:left="170" w:hanging="170"/>
    </w:pPr>
    <w:rPr>
      <w:sz w:val="16"/>
    </w:rPr>
  </w:style>
  <w:style w:type="paragraph" w:styleId="NormalWeb">
    <w:name w:val="Normal (Web)"/>
    <w:basedOn w:val="Normal"/>
    <w:uiPriority w:val="1"/>
    <w:semiHidden/>
    <w:rsid w:val="009058B5"/>
    <w:pPr>
      <w:spacing w:before="100" w:beforeAutospacing="1" w:after="240"/>
    </w:pPr>
    <w:rPr>
      <w:sz w:val="18"/>
      <w:szCs w:val="18"/>
    </w:rPr>
  </w:style>
  <w:style w:type="paragraph" w:customStyle="1" w:styleId="PublicationTitle">
    <w:name w:val="Publication Title"/>
    <w:qFormat/>
    <w:rsid w:val="0049453B"/>
    <w:pPr>
      <w:spacing w:before="3200" w:after="840"/>
      <w:ind w:left="1701"/>
    </w:pPr>
    <w:rPr>
      <w:rFonts w:ascii="Tahoma" w:hAnsi="Tahoma" w:cs="Tahoma"/>
      <w:color w:val="000000"/>
      <w:kern w:val="28"/>
      <w:sz w:val="56"/>
      <w:szCs w:val="56"/>
      <w:lang w:val="en-AU"/>
    </w:rPr>
  </w:style>
  <w:style w:type="paragraph" w:styleId="TOC3">
    <w:name w:val="toc 3"/>
    <w:basedOn w:val="TOC2"/>
    <w:next w:val="Normal"/>
    <w:autoRedefine/>
    <w:semiHidden/>
    <w:unhideWhenUsed/>
    <w:rsid w:val="00FA79F7"/>
    <w:pPr>
      <w:ind w:left="440"/>
    </w:pPr>
  </w:style>
  <w:style w:type="paragraph" w:styleId="TOC4">
    <w:name w:val="toc 4"/>
    <w:basedOn w:val="TOC3"/>
    <w:next w:val="Normal"/>
    <w:autoRedefine/>
    <w:semiHidden/>
    <w:unhideWhenUsed/>
    <w:rsid w:val="005C2FCF"/>
    <w:pPr>
      <w:ind w:left="660"/>
    </w:pPr>
  </w:style>
  <w:style w:type="paragraph" w:styleId="BalloonText">
    <w:name w:val="Balloon Text"/>
    <w:basedOn w:val="Normal"/>
    <w:link w:val="BalloonTextChar"/>
    <w:uiPriority w:val="99"/>
    <w:semiHidden/>
    <w:rsid w:val="00A7331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7A4"/>
    <w:rPr>
      <w:rFonts w:ascii="Tahoma" w:hAnsi="Tahoma" w:cs="Tahoma"/>
      <w:sz w:val="16"/>
      <w:szCs w:val="16"/>
      <w:lang w:val="en-AU"/>
    </w:rPr>
  </w:style>
  <w:style w:type="table" w:styleId="TableGrid">
    <w:name w:val="Table Grid"/>
    <w:basedOn w:val="TableNormal"/>
    <w:uiPriority w:val="59"/>
    <w:rsid w:val="00D42FFC"/>
    <w:tblPr>
      <w:tblInd w:w="0" w:type="dxa"/>
      <w:tblBorders>
        <w:top w:val="single" w:sz="4" w:space="0" w:color="auto"/>
        <w:bottom w:val="single" w:sz="4" w:space="0" w:color="auto"/>
      </w:tblBorders>
      <w:tblCellMar>
        <w:top w:w="0" w:type="dxa"/>
        <w:left w:w="108" w:type="dxa"/>
        <w:bottom w:w="0" w:type="dxa"/>
        <w:right w:w="108" w:type="dxa"/>
      </w:tblCellMar>
    </w:tblPr>
    <w:tblStylePr w:type="firstRow">
      <w:tblPr/>
      <w:tcPr>
        <w:tcBorders>
          <w:top w:val="single" w:sz="4" w:space="0" w:color="auto"/>
          <w:left w:val="nil"/>
          <w:bottom w:val="nil"/>
          <w:right w:val="nil"/>
        </w:tcBorders>
      </w:tcPr>
    </w:tblStylePr>
  </w:style>
  <w:style w:type="paragraph" w:styleId="Header">
    <w:name w:val="header"/>
    <w:basedOn w:val="Normal"/>
    <w:link w:val="HeaderChar"/>
    <w:uiPriority w:val="99"/>
    <w:semiHidden/>
    <w:rsid w:val="007037A4"/>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7037A4"/>
    <w:rPr>
      <w:rFonts w:ascii="Trebuchet MS" w:hAnsi="Trebuchet MS"/>
      <w:sz w:val="19"/>
      <w:lang w:val="en-AU"/>
    </w:rPr>
  </w:style>
  <w:style w:type="character" w:customStyle="1" w:styleId="Heading3Char">
    <w:name w:val="Heading 3 Char"/>
    <w:basedOn w:val="DefaultParagraphFont"/>
    <w:link w:val="Heading3"/>
    <w:rsid w:val="003B483E"/>
    <w:rPr>
      <w:rFonts w:ascii="Tahoma" w:hAnsi="Tahoma" w:cs="Tahoma"/>
      <w:color w:val="000000"/>
      <w:sz w:val="24"/>
      <w:lang w:val="en-AU"/>
    </w:rPr>
  </w:style>
  <w:style w:type="character" w:styleId="Hyperlink">
    <w:name w:val="Hyperlink"/>
    <w:basedOn w:val="DefaultParagraphFont"/>
    <w:unhideWhenUsed/>
    <w:rsid w:val="007037A4"/>
    <w:rPr>
      <w:rFonts w:ascii="Trebuchet MS" w:hAnsi="Trebuchet MS"/>
      <w:color w:val="auto"/>
      <w:sz w:val="19"/>
      <w:u w:val="none"/>
    </w:rPr>
  </w:style>
  <w:style w:type="paragraph" w:styleId="ListParagraph">
    <w:name w:val="List Paragraph"/>
    <w:basedOn w:val="Normal"/>
    <w:uiPriority w:val="34"/>
    <w:semiHidden/>
    <w:qFormat/>
    <w:rsid w:val="007037A4"/>
    <w:pPr>
      <w:ind w:left="720"/>
      <w:contextualSpacing/>
    </w:pPr>
  </w:style>
  <w:style w:type="paragraph" w:styleId="BodyText">
    <w:name w:val="Body Text"/>
    <w:basedOn w:val="Normal"/>
    <w:link w:val="BodyTextChar"/>
    <w:rsid w:val="00FE3F74"/>
    <w:pPr>
      <w:spacing w:before="0" w:line="240" w:lineRule="auto"/>
    </w:pPr>
    <w:rPr>
      <w:rFonts w:ascii="Times New Roman" w:hAnsi="Times New Roman"/>
      <w:b/>
      <w:sz w:val="20"/>
      <w:lang w:val="en-US" w:eastAsia="ko-KR"/>
    </w:rPr>
  </w:style>
  <w:style w:type="character" w:customStyle="1" w:styleId="BodyTextChar">
    <w:name w:val="Body Text Char"/>
    <w:basedOn w:val="DefaultParagraphFont"/>
    <w:link w:val="BodyText"/>
    <w:rsid w:val="00FE3F74"/>
    <w:rPr>
      <w:b/>
      <w:lang w:eastAsia="ko-KR"/>
    </w:rPr>
  </w:style>
  <w:style w:type="paragraph" w:styleId="BodyText2">
    <w:name w:val="Body Text 2"/>
    <w:basedOn w:val="Normal"/>
    <w:link w:val="BodyText2Char"/>
    <w:rsid w:val="00FE3F74"/>
    <w:pPr>
      <w:spacing w:before="0" w:line="240" w:lineRule="auto"/>
    </w:pPr>
    <w:rPr>
      <w:rFonts w:ascii="Times New Roman" w:hAnsi="Times New Roman"/>
      <w:sz w:val="22"/>
      <w:lang w:val="en-US" w:eastAsia="ko-KR"/>
    </w:rPr>
  </w:style>
  <w:style w:type="character" w:customStyle="1" w:styleId="BodyText2Char">
    <w:name w:val="Body Text 2 Char"/>
    <w:basedOn w:val="DefaultParagraphFont"/>
    <w:link w:val="BodyText2"/>
    <w:rsid w:val="00FE3F74"/>
    <w:rPr>
      <w:sz w:val="22"/>
      <w:lang w:eastAsia="ko-KR"/>
    </w:rPr>
  </w:style>
  <w:style w:type="paragraph" w:styleId="BodyTextIndent">
    <w:name w:val="Body Text Indent"/>
    <w:basedOn w:val="Normal"/>
    <w:link w:val="BodyTextIndentChar"/>
    <w:rsid w:val="00C77DC6"/>
    <w:pPr>
      <w:spacing w:before="0" w:after="120" w:line="240" w:lineRule="auto"/>
      <w:ind w:left="283"/>
    </w:pPr>
    <w:rPr>
      <w:rFonts w:ascii="Times New Roman" w:hAnsi="Times New Roman"/>
      <w:sz w:val="22"/>
      <w:lang w:eastAsia="en-AU"/>
    </w:rPr>
  </w:style>
  <w:style w:type="character" w:customStyle="1" w:styleId="BodyTextIndentChar">
    <w:name w:val="Body Text Indent Char"/>
    <w:basedOn w:val="DefaultParagraphFont"/>
    <w:link w:val="BodyTextIndent"/>
    <w:rsid w:val="00C77DC6"/>
    <w:rPr>
      <w:sz w:val="22"/>
      <w:lang w:val="en-AU" w:eastAsia="en-AU"/>
    </w:rPr>
  </w:style>
  <w:style w:type="paragraph" w:customStyle="1" w:styleId="Authors">
    <w:name w:val="Authors"/>
    <w:qFormat/>
    <w:rsid w:val="0049453B"/>
    <w:pPr>
      <w:ind w:left="1701" w:right="-1"/>
    </w:pPr>
    <w:rPr>
      <w:rFonts w:ascii="Tahoma" w:hAnsi="Tahoma" w:cs="Tahoma"/>
      <w:sz w:val="28"/>
      <w:lang w:val="en-AU"/>
    </w:rPr>
  </w:style>
  <w:style w:type="paragraph" w:customStyle="1" w:styleId="Contents">
    <w:name w:val="Contents"/>
    <w:qFormat/>
    <w:rsid w:val="00F93048"/>
    <w:pPr>
      <w:spacing w:after="360"/>
    </w:pPr>
    <w:rPr>
      <w:rFonts w:ascii="Tahoma" w:hAnsi="Tahoma" w:cs="Tahoma"/>
      <w:color w:val="000000"/>
      <w:kern w:val="28"/>
      <w:sz w:val="56"/>
      <w:szCs w:val="56"/>
      <w:lang w:val="en-AU"/>
    </w:rPr>
  </w:style>
  <w:style w:type="paragraph" w:customStyle="1" w:styleId="Abouttheresearchpubtitle">
    <w:name w:val="About the research pub title"/>
    <w:qFormat/>
    <w:rsid w:val="00F93048"/>
    <w:pPr>
      <w:spacing w:before="360"/>
    </w:pPr>
    <w:rPr>
      <w:rFonts w:ascii="Tahoma" w:hAnsi="Tahoma" w:cs="Tahoma"/>
      <w:i/>
      <w:sz w:val="28"/>
      <w:lang w:val="en-AU"/>
    </w:rPr>
  </w:style>
  <w:style w:type="paragraph" w:customStyle="1" w:styleId="Abouttheresearch">
    <w:name w:val="About the research"/>
    <w:uiPriority w:val="1"/>
    <w:qFormat/>
    <w:rsid w:val="0049453B"/>
    <w:rPr>
      <w:rFonts w:ascii="Tahoma" w:hAnsi="Tahoma" w:cs="Tahoma"/>
      <w:color w:val="000000"/>
      <w:kern w:val="28"/>
      <w:sz w:val="56"/>
      <w:szCs w:val="56"/>
      <w:lang w:val="en-AU"/>
    </w:rPr>
  </w:style>
  <w:style w:type="paragraph" w:customStyle="1" w:styleId="Keymessages">
    <w:name w:val="Key messages"/>
    <w:uiPriority w:val="1"/>
    <w:qFormat/>
    <w:rsid w:val="0049453B"/>
    <w:pPr>
      <w:spacing w:before="360"/>
    </w:pPr>
    <w:rPr>
      <w:rFonts w:ascii="Tahoma" w:hAnsi="Tahoma" w:cs="Tahoma"/>
      <w:sz w:val="28"/>
      <w:lang w:val="en-AU"/>
    </w:rPr>
  </w:style>
  <w:style w:type="paragraph" w:customStyle="1" w:styleId="Organisation">
    <w:name w:val="Organisation"/>
    <w:basedOn w:val="Authors"/>
    <w:uiPriority w:val="99"/>
    <w:qFormat/>
    <w:rsid w:val="00177827"/>
    <w:pPr>
      <w:spacing w:before="120"/>
      <w:ind w:right="0"/>
    </w:pPr>
    <w:rPr>
      <w:sz w:val="24"/>
    </w:rPr>
  </w:style>
  <w:style w:type="paragraph" w:customStyle="1" w:styleId="Authors0">
    <w:name w:val="Author(s)"/>
    <w:basedOn w:val="Normal"/>
    <w:uiPriority w:val="99"/>
    <w:rsid w:val="00241593"/>
    <w:pPr>
      <w:widowControl w:val="0"/>
      <w:suppressAutoHyphens/>
      <w:autoSpaceDE w:val="0"/>
      <w:autoSpaceDN w:val="0"/>
      <w:adjustRightInd w:val="0"/>
      <w:spacing w:before="0" w:line="288" w:lineRule="auto"/>
      <w:ind w:left="1701"/>
      <w:textAlignment w:val="center"/>
    </w:pPr>
    <w:rPr>
      <w:rFonts w:ascii="Tahoma" w:hAnsi="Tahoma" w:cs="Tahoma"/>
      <w:color w:val="000000"/>
      <w:sz w:val="28"/>
      <w:szCs w:val="28"/>
      <w:lang w:val="en-GB"/>
    </w:rPr>
  </w:style>
  <w:style w:type="paragraph" w:customStyle="1" w:styleId="Imprintbold">
    <w:name w:val="Imprint (bold)"/>
    <w:basedOn w:val="Imprint"/>
    <w:uiPriority w:val="99"/>
    <w:rsid w:val="00241593"/>
    <w:pPr>
      <w:widowControl w:val="0"/>
      <w:tabs>
        <w:tab w:val="left" w:pos="1417"/>
      </w:tabs>
      <w:suppressAutoHyphens/>
      <w:autoSpaceDE w:val="0"/>
      <w:autoSpaceDN w:val="0"/>
      <w:adjustRightInd w:val="0"/>
      <w:spacing w:before="170"/>
      <w:textAlignment w:val="center"/>
    </w:pPr>
    <w:rPr>
      <w:rFonts w:ascii="TrebuchetMS-Bold" w:hAnsi="TrebuchetMS-Bold" w:cs="TrebuchetMS-Bold"/>
      <w:b/>
      <w:bCs/>
      <w:color w:val="000000"/>
      <w:szCs w:val="16"/>
      <w:lang w:val="en-GB"/>
    </w:rPr>
  </w:style>
  <w:style w:type="paragraph" w:customStyle="1" w:styleId="ATRpublicationtitle">
    <w:name w:val="ATR publication title"/>
    <w:basedOn w:val="Normal"/>
    <w:uiPriority w:val="99"/>
    <w:rsid w:val="00241593"/>
    <w:pPr>
      <w:widowControl w:val="0"/>
      <w:suppressAutoHyphens/>
      <w:autoSpaceDE w:val="0"/>
      <w:autoSpaceDN w:val="0"/>
      <w:adjustRightInd w:val="0"/>
      <w:spacing w:before="340" w:line="288" w:lineRule="auto"/>
      <w:textAlignment w:val="center"/>
    </w:pPr>
    <w:rPr>
      <w:rFonts w:ascii="Tahoma" w:hAnsi="Tahoma" w:cs="Tahoma"/>
      <w:color w:val="000000"/>
      <w:sz w:val="28"/>
      <w:szCs w:val="28"/>
      <w:lang w:val="en-GB"/>
    </w:rPr>
  </w:style>
  <w:style w:type="paragraph" w:customStyle="1" w:styleId="TOC10">
    <w:name w:val="TOC1"/>
    <w:basedOn w:val="Normal"/>
    <w:uiPriority w:val="99"/>
    <w:rsid w:val="00A03329"/>
    <w:pPr>
      <w:widowControl w:val="0"/>
      <w:tabs>
        <w:tab w:val="left" w:pos="340"/>
        <w:tab w:val="right" w:pos="6520"/>
      </w:tabs>
      <w:suppressAutoHyphens/>
      <w:autoSpaceDE w:val="0"/>
      <w:autoSpaceDN w:val="0"/>
      <w:adjustRightInd w:val="0"/>
      <w:spacing w:before="113" w:line="300" w:lineRule="atLeast"/>
      <w:textAlignment w:val="center"/>
    </w:pPr>
    <w:rPr>
      <w:rFonts w:ascii="TrebuchetMS" w:hAnsi="TrebuchetMS" w:cs="TrebuchetMS"/>
      <w:color w:val="000000"/>
      <w:szCs w:val="19"/>
      <w:lang w:val="en-GB"/>
    </w:rPr>
  </w:style>
  <w:style w:type="paragraph" w:customStyle="1" w:styleId="TOC20">
    <w:name w:val="TOC2"/>
    <w:basedOn w:val="TOC10"/>
    <w:uiPriority w:val="99"/>
    <w:rsid w:val="00A03329"/>
    <w:pPr>
      <w:spacing w:before="0"/>
      <w:ind w:left="283"/>
    </w:pPr>
  </w:style>
  <w:style w:type="character" w:customStyle="1" w:styleId="FooterChar">
    <w:name w:val="Footer Char"/>
    <w:basedOn w:val="DefaultParagraphFont"/>
    <w:link w:val="Footer"/>
    <w:uiPriority w:val="99"/>
    <w:rsid w:val="00A03329"/>
    <w:rPr>
      <w:rFonts w:ascii="Tahoma" w:hAnsi="Tahoma"/>
      <w:sz w:val="17"/>
      <w:szCs w:val="17"/>
      <w:lang w:val="en-AU"/>
    </w:rPr>
  </w:style>
  <w:style w:type="paragraph" w:customStyle="1" w:styleId="NoParagraphStyle">
    <w:name w:val="[No Paragraph Style]"/>
    <w:rsid w:val="00A03329"/>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Tabletitle0">
    <w:name w:val="Table title"/>
    <w:basedOn w:val="NoParagraphStyle"/>
    <w:uiPriority w:val="99"/>
    <w:rsid w:val="00A03329"/>
    <w:pPr>
      <w:suppressAutoHyphens/>
      <w:spacing w:before="340" w:after="85"/>
      <w:ind w:left="850" w:hanging="850"/>
    </w:pPr>
    <w:rPr>
      <w:rFonts w:ascii="Tahoma-Bold" w:hAnsi="Tahoma-Bold" w:cs="Tahoma-Bold"/>
      <w:b/>
      <w:bCs/>
      <w:sz w:val="17"/>
      <w:szCs w:val="17"/>
    </w:rPr>
  </w:style>
  <w:style w:type="paragraph" w:customStyle="1" w:styleId="Tableheadleft">
    <w:name w:val="Table head (left)"/>
    <w:basedOn w:val="NoParagraphStyle"/>
    <w:uiPriority w:val="99"/>
    <w:rsid w:val="00A03329"/>
    <w:pPr>
      <w:suppressAutoHyphens/>
      <w:spacing w:before="85" w:after="85"/>
    </w:pPr>
    <w:rPr>
      <w:rFonts w:ascii="Arial-BoldMT" w:hAnsi="Arial-BoldMT" w:cs="Arial-BoldMT"/>
      <w:b/>
      <w:bCs/>
      <w:sz w:val="17"/>
      <w:szCs w:val="17"/>
    </w:rPr>
  </w:style>
  <w:style w:type="paragraph" w:customStyle="1" w:styleId="Tabletextleft">
    <w:name w:val="Table text (left)"/>
    <w:basedOn w:val="NoParagraphStyle"/>
    <w:uiPriority w:val="99"/>
    <w:rsid w:val="00A03329"/>
    <w:pPr>
      <w:suppressAutoHyphens/>
      <w:spacing w:before="85" w:after="85"/>
    </w:pPr>
    <w:rPr>
      <w:rFonts w:ascii="ArialMT" w:hAnsi="ArialMT" w:cs="ArialMT"/>
      <w:sz w:val="16"/>
      <w:szCs w:val="16"/>
    </w:rPr>
  </w:style>
  <w:style w:type="paragraph" w:customStyle="1" w:styleId="Footnote">
    <w:name w:val="Footnote"/>
    <w:basedOn w:val="NoParagraphStyle"/>
    <w:uiPriority w:val="99"/>
    <w:rsid w:val="00A03329"/>
    <w:pPr>
      <w:suppressAutoHyphens/>
      <w:ind w:left="170" w:hanging="170"/>
    </w:pPr>
    <w:rPr>
      <w:rFonts w:ascii="TrebuchetMS" w:hAnsi="TrebuchetMS" w:cs="TrebuchetMS"/>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creativecommons.org/licenses/by/3.0/a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yemcadam\Local%20Settings\Temporary%20Internet%20Files\Content.Outlook\4P4U1ESF\Publicatio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8954C-38E9-4F0B-81C5-6ABE80CB0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PublicationTemplate.dotx</Template>
  <TotalTime>73</TotalTime>
  <Pages>12</Pages>
  <Words>3408</Words>
  <Characters>19430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lpstr>
    </vt:vector>
  </TitlesOfParts>
  <Company>UQ</Company>
  <LinksUpToDate>false</LinksUpToDate>
  <CharactersWithSpaces>22793</CharactersWithSpaces>
  <SharedDoc>false</SharedDoc>
  <HLinks>
    <vt:vector size="156" baseType="variant">
      <vt:variant>
        <vt:i4>1769533</vt:i4>
      </vt:variant>
      <vt:variant>
        <vt:i4>150</vt:i4>
      </vt:variant>
      <vt:variant>
        <vt:i4>0</vt:i4>
      </vt:variant>
      <vt:variant>
        <vt:i4>5</vt:i4>
      </vt:variant>
      <vt:variant>
        <vt:lpwstr>http://www.dius.gov.uk/research</vt:lpwstr>
      </vt:variant>
      <vt:variant>
        <vt:lpwstr/>
      </vt:variant>
      <vt:variant>
        <vt:i4>7667763</vt:i4>
      </vt:variant>
      <vt:variant>
        <vt:i4>147</vt:i4>
      </vt:variant>
      <vt:variant>
        <vt:i4>0</vt:i4>
      </vt:variant>
      <vt:variant>
        <vt:i4>5</vt:i4>
      </vt:variant>
      <vt:variant>
        <vt:lpwstr>http://www.skope.ac.uk/PressReseaseDetails.asp?ReleaseID=5</vt:lpwstr>
      </vt:variant>
      <vt:variant>
        <vt:lpwstr/>
      </vt:variant>
      <vt:variant>
        <vt:i4>3932169</vt:i4>
      </vt:variant>
      <vt:variant>
        <vt:i4>144</vt:i4>
      </vt:variant>
      <vt:variant>
        <vt:i4>0</vt:i4>
      </vt:variant>
      <vt:variant>
        <vt:i4>5</vt:i4>
      </vt:variant>
      <vt:variant>
        <vt:lpwstr>http://www.trainingvillage.gr/etv/Projects_Networks/Skillsnet/Work/w_view.asp</vt:lpwstr>
      </vt:variant>
      <vt:variant>
        <vt:lpwstr/>
      </vt:variant>
      <vt:variant>
        <vt:i4>1769594</vt:i4>
      </vt:variant>
      <vt:variant>
        <vt:i4>141</vt:i4>
      </vt:variant>
      <vt:variant>
        <vt:i4>0</vt:i4>
      </vt:variant>
      <vt:variant>
        <vt:i4>5</vt:i4>
      </vt:variant>
      <vt:variant>
        <vt:lpwstr>http://www.hlst.heacademy.ac.uk/projects/r4 sheehan summary</vt:lpwstr>
      </vt:variant>
      <vt:variant>
        <vt:lpwstr/>
      </vt:variant>
      <vt:variant>
        <vt:i4>2162778</vt:i4>
      </vt:variant>
      <vt:variant>
        <vt:i4>138</vt:i4>
      </vt:variant>
      <vt:variant>
        <vt:i4>0</vt:i4>
      </vt:variant>
      <vt:variant>
        <vt:i4>5</vt:i4>
      </vt:variant>
      <vt:variant>
        <vt:lpwstr>http://heerd.open.ac.uk/1653/</vt:lpwstr>
      </vt:variant>
      <vt:variant>
        <vt:lpwstr/>
      </vt:variant>
      <vt:variant>
        <vt:i4>852014</vt:i4>
      </vt:variant>
      <vt:variant>
        <vt:i4>135</vt:i4>
      </vt:variant>
      <vt:variant>
        <vt:i4>0</vt:i4>
      </vt:variant>
      <vt:variant>
        <vt:i4>5</vt:i4>
      </vt:variant>
      <vt:variant>
        <vt:lpwstr>http://www.trainingvillage.gr/erv/Projects_Network/ResearchLab</vt:lpwstr>
      </vt:variant>
      <vt:variant>
        <vt:lpwstr/>
      </vt:variant>
      <vt:variant>
        <vt:i4>2162711</vt:i4>
      </vt:variant>
      <vt:variant>
        <vt:i4>132</vt:i4>
      </vt:variant>
      <vt:variant>
        <vt:i4>0</vt:i4>
      </vt:variant>
      <vt:variant>
        <vt:i4>5</vt:i4>
      </vt:variant>
      <vt:variant>
        <vt:lpwstr>http://www.innovative-apprenticeship.net/</vt:lpwstr>
      </vt:variant>
      <vt:variant>
        <vt:lpwstr/>
      </vt:variant>
      <vt:variant>
        <vt:i4>1900580</vt:i4>
      </vt:variant>
      <vt:variant>
        <vt:i4>129</vt:i4>
      </vt:variant>
      <vt:variant>
        <vt:i4>0</vt:i4>
      </vt:variant>
      <vt:variant>
        <vt:i4>5</vt:i4>
      </vt:variant>
      <vt:variant>
        <vt:lpwstr>http://ec.europa.eu/growthandjobs/pdf/illustrated-version_en.pdf</vt:lpwstr>
      </vt:variant>
      <vt:variant>
        <vt:lpwstr/>
      </vt:variant>
      <vt:variant>
        <vt:i4>2162711</vt:i4>
      </vt:variant>
      <vt:variant>
        <vt:i4>126</vt:i4>
      </vt:variant>
      <vt:variant>
        <vt:i4>0</vt:i4>
      </vt:variant>
      <vt:variant>
        <vt:i4>5</vt:i4>
      </vt:variant>
      <vt:variant>
        <vt:lpwstr>http://www.innovative-apprenticeship.net/</vt:lpwstr>
      </vt:variant>
      <vt:variant>
        <vt:lpwstr/>
      </vt:variant>
      <vt:variant>
        <vt:i4>7667818</vt:i4>
      </vt:variant>
      <vt:variant>
        <vt:i4>123</vt:i4>
      </vt:variant>
      <vt:variant>
        <vt:i4>0</vt:i4>
      </vt:variant>
      <vt:variant>
        <vt:i4>5</vt:i4>
      </vt:variant>
      <vt:variant>
        <vt:lpwstr>http://www.trainingvillage.gr/etc/Upload/Information_resources/Bookshop/489C18E</vt:lpwstr>
      </vt:variant>
      <vt:variant>
        <vt:lpwstr/>
      </vt:variant>
      <vt:variant>
        <vt:i4>6815769</vt:i4>
      </vt:variant>
      <vt:variant>
        <vt:i4>120</vt:i4>
      </vt:variant>
      <vt:variant>
        <vt:i4>0</vt:i4>
      </vt:variant>
      <vt:variant>
        <vt:i4>5</vt:i4>
      </vt:variant>
      <vt:variant>
        <vt:lpwstr>http://www.excellence.qia.org.uk/</vt:lpwstr>
      </vt:variant>
      <vt:variant>
        <vt:lpwstr/>
      </vt:variant>
      <vt:variant>
        <vt:i4>4456465</vt:i4>
      </vt:variant>
      <vt:variant>
        <vt:i4>117</vt:i4>
      </vt:variant>
      <vt:variant>
        <vt:i4>0</vt:i4>
      </vt:variant>
      <vt:variant>
        <vt:i4>5</vt:i4>
      </vt:variant>
      <vt:variant>
        <vt:lpwstr>http://www.surrey.ac.uk/sceptre/ResourcesandlinkstosupportPT.htm</vt:lpwstr>
      </vt:variant>
      <vt:variant>
        <vt:lpwstr/>
      </vt:variant>
      <vt:variant>
        <vt:i4>2031671</vt:i4>
      </vt:variant>
      <vt:variant>
        <vt:i4>114</vt:i4>
      </vt:variant>
      <vt:variant>
        <vt:i4>0</vt:i4>
      </vt:variant>
      <vt:variant>
        <vt:i4>5</vt:i4>
      </vt:variant>
      <vt:variant>
        <vt:lpwstr>http://www.lifelonglearning.org.uk/</vt:lpwstr>
      </vt:variant>
      <vt:variant>
        <vt:lpwstr/>
      </vt:variant>
      <vt:variant>
        <vt:i4>196633</vt:i4>
      </vt:variant>
      <vt:variant>
        <vt:i4>111</vt:i4>
      </vt:variant>
      <vt:variant>
        <vt:i4>0</vt:i4>
      </vt:variant>
      <vt:variant>
        <vt:i4>5</vt:i4>
      </vt:variant>
      <vt:variant>
        <vt:lpwstr>http://www.ccrc.tc.columbia.edu/</vt:lpwstr>
      </vt:variant>
      <vt:variant>
        <vt:lpwstr/>
      </vt:variant>
      <vt:variant>
        <vt:i4>7274497</vt:i4>
      </vt:variant>
      <vt:variant>
        <vt:i4>108</vt:i4>
      </vt:variant>
      <vt:variant>
        <vt:i4>0</vt:i4>
      </vt:variant>
      <vt:variant>
        <vt:i4>5</vt:i4>
      </vt:variant>
      <vt:variant>
        <vt:lpwstr>http://www.icvet.edu.au/resources/vet_pedagogy.htm</vt:lpwstr>
      </vt:variant>
      <vt:variant>
        <vt:lpwstr/>
      </vt:variant>
      <vt:variant>
        <vt:i4>3866698</vt:i4>
      </vt:variant>
      <vt:variant>
        <vt:i4>105</vt:i4>
      </vt:variant>
      <vt:variant>
        <vt:i4>0</vt:i4>
      </vt:variant>
      <vt:variant>
        <vt:i4>5</vt:i4>
      </vt:variant>
      <vt:variant>
        <vt:lpwstr>http://www.skillsdevelopment.org/</vt:lpwstr>
      </vt:variant>
      <vt:variant>
        <vt:lpwstr/>
      </vt:variant>
      <vt:variant>
        <vt:i4>5242960</vt:i4>
      </vt:variant>
      <vt:variant>
        <vt:i4>102</vt:i4>
      </vt:variant>
      <vt:variant>
        <vt:i4>0</vt:i4>
      </vt:variant>
      <vt:variant>
        <vt:i4>5</vt:i4>
      </vt:variant>
      <vt:variant>
        <vt:lpwstr>http://www.vts.intute.ac.uk/</vt:lpwstr>
      </vt:variant>
      <vt:variant>
        <vt:lpwstr/>
      </vt:variant>
      <vt:variant>
        <vt:i4>786471</vt:i4>
      </vt:variant>
      <vt:variant>
        <vt:i4>99</vt:i4>
      </vt:variant>
      <vt:variant>
        <vt:i4>0</vt:i4>
      </vt:variant>
      <vt:variant>
        <vt:i4>5</vt:i4>
      </vt:variant>
      <vt:variant>
        <vt:lpwstr>http://www.diploma-support.com/</vt:lpwstr>
      </vt:variant>
      <vt:variant>
        <vt:lpwstr/>
      </vt:variant>
      <vt:variant>
        <vt:i4>2949164</vt:i4>
      </vt:variant>
      <vt:variant>
        <vt:i4>96</vt:i4>
      </vt:variant>
      <vt:variant>
        <vt:i4>0</vt:i4>
      </vt:variant>
      <vt:variant>
        <vt:i4>5</vt:i4>
      </vt:variant>
      <vt:variant>
        <vt:lpwstr>http://excellence.qia.org.uk/vlsp0</vt:lpwstr>
      </vt:variant>
      <vt:variant>
        <vt:lpwstr/>
      </vt:variant>
      <vt:variant>
        <vt:i4>3080193</vt:i4>
      </vt:variant>
      <vt:variant>
        <vt:i4>93</vt:i4>
      </vt:variant>
      <vt:variant>
        <vt:i4>0</vt:i4>
      </vt:variant>
      <vt:variant>
        <vt:i4>5</vt:i4>
      </vt:variant>
      <vt:variant>
        <vt:lpwstr>http://www.nationalconstructioncollege.co.uk/</vt:lpwstr>
      </vt:variant>
      <vt:variant>
        <vt:lpwstr/>
      </vt:variant>
      <vt:variant>
        <vt:i4>2818063</vt:i4>
      </vt:variant>
      <vt:variant>
        <vt:i4>90</vt:i4>
      </vt:variant>
      <vt:variant>
        <vt:i4>0</vt:i4>
      </vt:variant>
      <vt:variant>
        <vt:i4>5</vt:i4>
      </vt:variant>
      <vt:variant>
        <vt:lpwstr>http://www.nln.ac.uk/</vt:lpwstr>
      </vt:variant>
      <vt:variant>
        <vt:lpwstr/>
      </vt:variant>
      <vt:variant>
        <vt:i4>1376273</vt:i4>
      </vt:variant>
      <vt:variant>
        <vt:i4>87</vt:i4>
      </vt:variant>
      <vt:variant>
        <vt:i4>0</vt:i4>
      </vt:variant>
      <vt:variant>
        <vt:i4>5</vt:i4>
      </vt:variant>
      <vt:variant>
        <vt:lpwstr>&lt;http://www.knewledge.at</vt:lpwstr>
      </vt:variant>
      <vt:variant>
        <vt:lpwstr/>
      </vt:variant>
      <vt:variant>
        <vt:i4>7929868</vt:i4>
      </vt:variant>
      <vt:variant>
        <vt:i4>84</vt:i4>
      </vt:variant>
      <vt:variant>
        <vt:i4>0</vt:i4>
      </vt:variant>
      <vt:variant>
        <vt:i4>5</vt:i4>
      </vt:variant>
      <vt:variant>
        <vt:lpwstr>&lt;http://www.skillnets.com</vt:lpwstr>
      </vt:variant>
      <vt:variant>
        <vt:lpwstr/>
      </vt:variant>
      <vt:variant>
        <vt:i4>3014696</vt:i4>
      </vt:variant>
      <vt:variant>
        <vt:i4>81</vt:i4>
      </vt:variant>
      <vt:variant>
        <vt:i4>0</vt:i4>
      </vt:variant>
      <vt:variant>
        <vt:i4>5</vt:i4>
      </vt:variant>
      <vt:variant>
        <vt:lpwstr>http://www.tektra.com/</vt:lpwstr>
      </vt:variant>
      <vt:variant>
        <vt:lpwstr/>
      </vt:variant>
      <vt:variant>
        <vt:i4>4915204</vt:i4>
      </vt:variant>
      <vt:variant>
        <vt:i4>0</vt:i4>
      </vt:variant>
      <vt:variant>
        <vt:i4>0</vt:i4>
      </vt:variant>
      <vt:variant>
        <vt:i4>5</vt:i4>
      </vt:variant>
      <vt:variant>
        <vt:lpwstr>http://www.voced.edu.au/</vt:lpwstr>
      </vt:variant>
      <vt:variant>
        <vt:lpwstr/>
      </vt:variant>
      <vt:variant>
        <vt:i4>1966137</vt:i4>
      </vt:variant>
      <vt:variant>
        <vt:i4>-1</vt:i4>
      </vt:variant>
      <vt:variant>
        <vt:i4>1033</vt:i4>
      </vt:variant>
      <vt:variant>
        <vt:i4>1</vt:i4>
      </vt:variant>
      <vt:variant>
        <vt:lpwstr>ncver right tab_mono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kayemcadam</dc:creator>
  <cp:keywords/>
  <dc:description/>
  <cp:lastModifiedBy>kayemcadam</cp:lastModifiedBy>
  <cp:revision>7</cp:revision>
  <cp:lastPrinted>2011-08-26T01:26:00Z</cp:lastPrinted>
  <dcterms:created xsi:type="dcterms:W3CDTF">2011-08-25T06:23:00Z</dcterms:created>
  <dcterms:modified xsi:type="dcterms:W3CDTF">2011-08-26T01:40:00Z</dcterms:modified>
</cp:coreProperties>
</file>