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827" w:rsidRDefault="0048663C" w:rsidP="00177827">
      <w:pPr>
        <w:pStyle w:val="PublicationTitle"/>
        <w:spacing w:before="0"/>
      </w:pPr>
      <w:bookmarkStart w:id="0" w:name="_Toc296423677"/>
      <w:bookmarkStart w:id="1" w:name="_Toc296497508"/>
      <w:r>
        <w:rPr>
          <w:noProof/>
          <w:lang w:eastAsia="en-AU"/>
        </w:rPr>
        <w:drawing>
          <wp:anchor distT="0" distB="0" distL="114300" distR="114300" simplePos="0" relativeHeight="251667456" behindDoc="0" locked="0" layoutInCell="1" allowOverlap="1">
            <wp:simplePos x="0" y="0"/>
            <wp:positionH relativeFrom="column">
              <wp:posOffset>-901700</wp:posOffset>
            </wp:positionH>
            <wp:positionV relativeFrom="paragraph">
              <wp:posOffset>104140</wp:posOffset>
            </wp:positionV>
            <wp:extent cx="2459990" cy="548640"/>
            <wp:effectExtent l="19050" t="0" r="0" b="0"/>
            <wp:wrapSquare wrapText="bothSides"/>
            <wp:docPr id="5" name="Picture 5" descr="P:\PublicationComponents\logos\NCVER LOGOS\EPS - pagemaker_quark\ncver left tab_mon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ublicationComponents\logos\NCVER LOGOS\EPS - pagemaker_quark\ncver left tab_mono.eps"/>
                    <pic:cNvPicPr>
                      <a:picLocks noChangeAspect="1" noChangeArrowheads="1"/>
                    </pic:cNvPicPr>
                  </pic:nvPicPr>
                  <pic:blipFill>
                    <a:blip r:embed="rId8" cstate="print"/>
                    <a:srcRect/>
                    <a:stretch>
                      <a:fillRect/>
                    </a:stretch>
                  </pic:blipFill>
                  <pic:spPr bwMode="auto">
                    <a:xfrm>
                      <a:off x="0" y="0"/>
                      <a:ext cx="2459990" cy="548640"/>
                    </a:xfrm>
                    <a:prstGeom prst="rect">
                      <a:avLst/>
                    </a:prstGeom>
                    <a:noFill/>
                    <a:ln w="9525">
                      <a:noFill/>
                      <a:miter lim="800000"/>
                      <a:headEnd/>
                      <a:tailEnd/>
                    </a:ln>
                  </pic:spPr>
                </pic:pic>
              </a:graphicData>
            </a:graphic>
          </wp:anchor>
        </w:drawing>
      </w:r>
    </w:p>
    <w:p w:rsidR="00177827" w:rsidRDefault="00177827" w:rsidP="00A56A4A">
      <w:pPr>
        <w:pStyle w:val="PublicationTitle"/>
        <w:spacing w:before="0" w:after="0"/>
      </w:pPr>
    </w:p>
    <w:p w:rsidR="0058276B" w:rsidRDefault="00C96DFB" w:rsidP="00A56A4A">
      <w:pPr>
        <w:pStyle w:val="PublicationTitle"/>
        <w:spacing w:before="0" w:after="0"/>
        <w:rPr>
          <w:noProof/>
          <w:lang w:eastAsia="en-AU"/>
        </w:rPr>
      </w:pPr>
      <w:r>
        <w:rPr>
          <w:noProof/>
          <w:lang w:eastAsia="en-AU"/>
        </w:rPr>
        <w:pict>
          <v:shapetype id="_x0000_t202" coordsize="21600,21600" o:spt="202" path="m,l,21600r21600,l21600,xe">
            <v:stroke joinstyle="miter"/>
            <v:path gradientshapeok="t" o:connecttype="rect"/>
          </v:shapetype>
          <v:shape id="_x0000_s1030" type="#_x0000_t202" style="position:absolute;left:0;text-align:left;margin-left:79.75pt;margin-top:112.55pt;width:264.8pt;height:83pt;z-index:251671552;mso-position-vertical-relative:margin" filled="f" stroked="f">
            <v:textbox style="mso-next-textbox:#_x0000_s1030">
              <w:txbxContent>
                <w:p w:rsidR="00570FE0" w:rsidRPr="00750EE4" w:rsidRDefault="00570FE0" w:rsidP="0058276B">
                  <w:pPr>
                    <w:pStyle w:val="Heading3"/>
                    <w:rPr>
                      <w:rFonts w:ascii="Trebuchet MS" w:hAnsi="Trebuchet MS"/>
                      <w:szCs w:val="24"/>
                    </w:rPr>
                  </w:pPr>
                  <w:r w:rsidRPr="00750EE4">
                    <w:rPr>
                      <w:rFonts w:ascii="Trebuchet MS" w:hAnsi="Trebuchet MS"/>
                      <w:szCs w:val="24"/>
                    </w:rPr>
                    <w:t>NATIONAL CENTRE FOR VOCATIONAL</w:t>
                  </w:r>
                  <w:r w:rsidRPr="00750EE4">
                    <w:rPr>
                      <w:rFonts w:ascii="Trebuchet MS" w:hAnsi="Trebuchet MS"/>
                      <w:szCs w:val="24"/>
                    </w:rPr>
                    <w:br/>
                    <w:t>EDUCATION RESEARCH</w:t>
                  </w:r>
                </w:p>
                <w:p w:rsidR="00570FE0" w:rsidRPr="00750EE4" w:rsidRDefault="00570FE0" w:rsidP="0058276B">
                  <w:pPr>
                    <w:pStyle w:val="Heading3"/>
                    <w:spacing w:before="80"/>
                    <w:rPr>
                      <w:rFonts w:ascii="Trebuchet MS" w:hAnsi="Trebuchet MS"/>
                      <w:szCs w:val="24"/>
                    </w:rPr>
                  </w:pPr>
                  <w:r w:rsidRPr="00750EE4">
                    <w:rPr>
                      <w:rFonts w:ascii="Trebuchet MS" w:hAnsi="Trebuchet MS"/>
                      <w:b/>
                      <w:szCs w:val="24"/>
                    </w:rPr>
                    <w:t>CONFERENCE PAPER</w:t>
                  </w:r>
                </w:p>
                <w:p w:rsidR="00570FE0" w:rsidRDefault="00570FE0" w:rsidP="0058276B">
                  <w:pPr>
                    <w:pStyle w:val="Heading3"/>
                  </w:pPr>
                </w:p>
              </w:txbxContent>
            </v:textbox>
            <w10:wrap anchory="margin"/>
          </v:shape>
        </w:pict>
      </w:r>
    </w:p>
    <w:p w:rsidR="0058276B" w:rsidRDefault="0058276B" w:rsidP="00A56A4A">
      <w:pPr>
        <w:pStyle w:val="PublicationTitle"/>
        <w:spacing w:before="0" w:after="0"/>
        <w:rPr>
          <w:noProof/>
          <w:lang w:eastAsia="en-AU"/>
        </w:rPr>
      </w:pPr>
    </w:p>
    <w:p w:rsidR="0058276B" w:rsidRDefault="0058276B" w:rsidP="00A56A4A">
      <w:pPr>
        <w:pStyle w:val="PublicationTitle"/>
        <w:spacing w:before="0" w:after="0"/>
        <w:rPr>
          <w:noProof/>
          <w:lang w:eastAsia="en-AU"/>
        </w:rPr>
      </w:pPr>
    </w:p>
    <w:p w:rsidR="0058276B" w:rsidRDefault="0058276B" w:rsidP="00A56A4A">
      <w:pPr>
        <w:pStyle w:val="PublicationTitle"/>
        <w:spacing w:before="0" w:after="0"/>
        <w:rPr>
          <w:noProof/>
          <w:lang w:eastAsia="en-AU"/>
        </w:rPr>
      </w:pPr>
    </w:p>
    <w:p w:rsidR="0058276B" w:rsidRDefault="0058276B" w:rsidP="00A56A4A">
      <w:pPr>
        <w:pStyle w:val="PublicationTitle"/>
        <w:spacing w:before="0" w:after="0"/>
        <w:rPr>
          <w:noProof/>
          <w:lang w:eastAsia="en-AU"/>
        </w:rPr>
      </w:pPr>
    </w:p>
    <w:p w:rsidR="009E231A" w:rsidRPr="005C2FCF" w:rsidRDefault="003E0D32" w:rsidP="00177827">
      <w:pPr>
        <w:pStyle w:val="PublicationTitle"/>
        <w:spacing w:before="0"/>
      </w:pPr>
      <w:r>
        <w:t>Youth transitions in Australia</w:t>
      </w:r>
      <w:r w:rsidR="00806C1C">
        <w:t xml:space="preserve">: </w:t>
      </w:r>
      <w:r>
        <w:t xml:space="preserve">lessons for </w:t>
      </w:r>
      <w:r w:rsidR="00721D4A">
        <w:br/>
      </w:r>
      <w:r>
        <w:t>other countries?</w:t>
      </w:r>
      <w:bookmarkEnd w:id="0"/>
      <w:bookmarkEnd w:id="1"/>
    </w:p>
    <w:p w:rsidR="00177827" w:rsidRDefault="003E0D32" w:rsidP="00177827">
      <w:pPr>
        <w:pStyle w:val="Authors"/>
      </w:pPr>
      <w:bookmarkStart w:id="2" w:name="_Toc98394874"/>
      <w:bookmarkStart w:id="3" w:name="_Toc296423678"/>
      <w:bookmarkStart w:id="4" w:name="_Toc296497509"/>
      <w:r>
        <w:t>Tom Karmel</w:t>
      </w:r>
      <w:bookmarkEnd w:id="2"/>
    </w:p>
    <w:p w:rsidR="009E231A" w:rsidRDefault="003E0D32" w:rsidP="00177827">
      <w:pPr>
        <w:pStyle w:val="Organisation"/>
      </w:pPr>
      <w:r>
        <w:t>National Centre for Vocational Education Research</w:t>
      </w:r>
      <w:bookmarkEnd w:id="3"/>
      <w:bookmarkEnd w:id="4"/>
    </w:p>
    <w:p w:rsidR="000315D7" w:rsidRDefault="000315D7" w:rsidP="00177827">
      <w:pPr>
        <w:pStyle w:val="Organisation"/>
      </w:pPr>
    </w:p>
    <w:p w:rsidR="003E0D32" w:rsidRPr="00721D4A" w:rsidRDefault="003E0D32" w:rsidP="00177827">
      <w:pPr>
        <w:pStyle w:val="Organisation"/>
        <w:rPr>
          <w:i/>
          <w:sz w:val="20"/>
        </w:rPr>
      </w:pPr>
      <w:r w:rsidRPr="00721D4A">
        <w:rPr>
          <w:i/>
          <w:sz w:val="20"/>
        </w:rPr>
        <w:t xml:space="preserve">Paper presented to the </w:t>
      </w:r>
      <w:r w:rsidR="00710327" w:rsidRPr="00721D4A">
        <w:rPr>
          <w:i/>
          <w:sz w:val="20"/>
        </w:rPr>
        <w:t>third</w:t>
      </w:r>
      <w:r w:rsidRPr="00721D4A">
        <w:rPr>
          <w:i/>
          <w:sz w:val="20"/>
        </w:rPr>
        <w:t xml:space="preserve"> International congress on Technical and Vocational</w:t>
      </w:r>
      <w:r w:rsidR="00750EE4">
        <w:rPr>
          <w:i/>
          <w:sz w:val="20"/>
        </w:rPr>
        <w:t> </w:t>
      </w:r>
      <w:r w:rsidRPr="00721D4A">
        <w:rPr>
          <w:i/>
          <w:sz w:val="20"/>
        </w:rPr>
        <w:t>Educ</w:t>
      </w:r>
      <w:r w:rsidR="00710327" w:rsidRPr="00721D4A">
        <w:rPr>
          <w:i/>
          <w:sz w:val="20"/>
        </w:rPr>
        <w:t>a</w:t>
      </w:r>
      <w:r w:rsidRPr="00721D4A">
        <w:rPr>
          <w:i/>
          <w:sz w:val="20"/>
        </w:rPr>
        <w:t>tion and Training 13</w:t>
      </w:r>
      <w:r w:rsidR="00750EE4">
        <w:rPr>
          <w:i/>
          <w:sz w:val="20"/>
        </w:rPr>
        <w:t>–</w:t>
      </w:r>
      <w:r w:rsidRPr="00721D4A">
        <w:rPr>
          <w:i/>
          <w:sz w:val="20"/>
        </w:rPr>
        <w:t>16 May 2012, Shanghai</w:t>
      </w:r>
    </w:p>
    <w:p w:rsidR="006C5DA9" w:rsidRPr="006C5DA9" w:rsidRDefault="006C5DA9" w:rsidP="0048643A">
      <w:pPr>
        <w:pStyle w:val="Text"/>
      </w:pPr>
    </w:p>
    <w:p w:rsidR="001B43CF" w:rsidRDefault="001B43CF" w:rsidP="0048643A">
      <w:pPr>
        <w:pStyle w:val="Text"/>
      </w:pPr>
    </w:p>
    <w:p w:rsidR="001B43CF" w:rsidRDefault="00C96DFB" w:rsidP="0048643A">
      <w:pPr>
        <w:pStyle w:val="Text"/>
      </w:pPr>
      <w:r>
        <w:rPr>
          <w:noProof/>
          <w:lang w:eastAsia="en-AU"/>
        </w:rPr>
        <w:pict>
          <v:shape id="_x0000_s1026" type="#_x0000_t202" style="position:absolute;margin-left:73.1pt;margin-top:659.7pt;width:357pt;height:83pt;z-index:251668480;mso-position-vertical-relative:margin" filled="f" stroked="f">
            <v:textbox style="mso-next-textbox:#_x0000_s1026">
              <w:txbxContent>
                <w:p w:rsidR="00570FE0" w:rsidRPr="00861CE5" w:rsidRDefault="00570FE0" w:rsidP="00721D4A">
                  <w:pPr>
                    <w:pStyle w:val="Imprint"/>
                    <w:spacing w:before="0"/>
                    <w:ind w:left="142" w:right="10"/>
                    <w:rPr>
                      <w:color w:val="000000"/>
                    </w:rPr>
                  </w:pPr>
                  <w:r w:rsidRPr="005C2FCF">
                    <w:rPr>
                      <w:color w:val="000000"/>
                    </w:rPr>
                    <w:t>The views and opinions expressed in this document are those of the author/</w:t>
                  </w:r>
                  <w:r>
                    <w:rPr>
                      <w:color w:val="000000"/>
                    </w:rPr>
                    <w:br/>
                  </w:r>
                  <w:r w:rsidRPr="005C2FCF">
                    <w:rPr>
                      <w:color w:val="000000"/>
                    </w:rPr>
                    <w:t>project</w:t>
                  </w:r>
                  <w:r>
                    <w:rPr>
                      <w:color w:val="000000"/>
                    </w:rPr>
                    <w:t xml:space="preserve"> </w:t>
                  </w:r>
                  <w:r w:rsidRPr="005C2FCF">
                    <w:rPr>
                      <w:color w:val="000000"/>
                    </w:rPr>
                    <w:t>team and do not necessarily reflect the vie</w:t>
                  </w:r>
                  <w:r>
                    <w:rPr>
                      <w:color w:val="000000"/>
                    </w:rPr>
                    <w:t xml:space="preserve">ws of the Australian Government </w:t>
                  </w:r>
                  <w:r>
                    <w:rPr>
                      <w:color w:val="000000"/>
                    </w:rPr>
                    <w:br/>
                    <w:t>or</w:t>
                  </w:r>
                  <w:r w:rsidRPr="005C2FCF">
                    <w:rPr>
                      <w:color w:val="000000"/>
                    </w:rPr>
                    <w:t xml:space="preserve"> </w:t>
                  </w:r>
                  <w:r>
                    <w:rPr>
                      <w:color w:val="000000"/>
                    </w:rPr>
                    <w:t>state and territory governments.</w:t>
                  </w:r>
                </w:p>
              </w:txbxContent>
            </v:textbox>
            <w10:wrap anchory="margin"/>
          </v:shape>
        </w:pict>
      </w:r>
    </w:p>
    <w:p w:rsidR="001B43CF" w:rsidRDefault="001B43CF" w:rsidP="0048643A">
      <w:pPr>
        <w:pStyle w:val="Text"/>
      </w:pPr>
    </w:p>
    <w:p w:rsidR="00DB599C" w:rsidRDefault="00DB599C" w:rsidP="0048643A">
      <w:pPr>
        <w:pStyle w:val="Text"/>
      </w:pPr>
    </w:p>
    <w:p w:rsidR="00DB599C" w:rsidRDefault="00DB599C" w:rsidP="0048643A">
      <w:pPr>
        <w:pStyle w:val="Text"/>
      </w:pPr>
    </w:p>
    <w:p w:rsidR="008B22E2" w:rsidRDefault="00FE4A2D" w:rsidP="00E57478">
      <w:pPr>
        <w:pStyle w:val="Heading3"/>
        <w:ind w:right="-1"/>
      </w:pPr>
      <w:r w:rsidRPr="005C2FCF">
        <w:br w:type="page"/>
      </w:r>
    </w:p>
    <w:p w:rsidR="00721D4A" w:rsidRDefault="00C96DFB">
      <w:pPr>
        <w:spacing w:before="0" w:line="240" w:lineRule="auto"/>
        <w:rPr>
          <w:rFonts w:ascii="Tahoma" w:hAnsi="Tahoma" w:cs="Tahoma"/>
          <w:color w:val="000000"/>
          <w:kern w:val="28"/>
          <w:sz w:val="56"/>
          <w:szCs w:val="56"/>
        </w:rPr>
      </w:pPr>
      <w:bookmarkStart w:id="5" w:name="_Toc73766312"/>
      <w:bookmarkStart w:id="6" w:name="_Toc77937774"/>
      <w:bookmarkStart w:id="7" w:name="_Toc80174750"/>
      <w:bookmarkStart w:id="8" w:name="_Toc81560506"/>
      <w:bookmarkStart w:id="9" w:name="_Toc82071799"/>
      <w:bookmarkStart w:id="10" w:name="_Toc82151754"/>
      <w:bookmarkStart w:id="11" w:name="_Toc82498260"/>
      <w:bookmarkStart w:id="12" w:name="_Toc86829097"/>
      <w:bookmarkStart w:id="13" w:name="_Toc89226248"/>
      <w:bookmarkStart w:id="14" w:name="_Toc89240893"/>
      <w:bookmarkStart w:id="15" w:name="_Toc98394875"/>
      <w:bookmarkStart w:id="16" w:name="_Toc296423679"/>
      <w:bookmarkStart w:id="17" w:name="_Toc296497510"/>
      <w:r w:rsidRPr="00C96DFB">
        <w:rPr>
          <w:noProof/>
          <w:lang w:eastAsia="en-AU"/>
        </w:rPr>
        <w:lastRenderedPageBreak/>
        <w:pict>
          <v:shape id="_x0000_s1028" type="#_x0000_t202" style="position:absolute;margin-left:13.95pt;margin-top:284.1pt;width:366.75pt;height:408.85pt;z-index:251670528;v-text-anchor:bottom" filled="f" stroked="f">
            <v:textbox style="mso-next-textbox:#_x0000_s1028" inset="0,,0">
              <w:txbxContent>
                <w:p w:rsidR="00570FE0" w:rsidRPr="0091203A" w:rsidRDefault="00570FE0" w:rsidP="007B40A5">
                  <w:pPr>
                    <w:pStyle w:val="Imprint"/>
                    <w:rPr>
                      <w:b/>
                    </w:rPr>
                  </w:pPr>
                  <w:r w:rsidRPr="0091203A">
                    <w:rPr>
                      <w:b/>
                    </w:rPr>
                    <w:t>© National Centre for Vocational Education Research, 2012</w:t>
                  </w:r>
                </w:p>
                <w:p w:rsidR="00570FE0" w:rsidRPr="007B40A5" w:rsidRDefault="00570FE0" w:rsidP="007B40A5">
                  <w:pPr>
                    <w:pStyle w:val="Imprint"/>
                  </w:pPr>
                  <w:r w:rsidRPr="007B40A5">
                    <w:rPr>
                      <w:noProof/>
                      <w:lang w:eastAsia="en-AU"/>
                    </w:rPr>
                    <w:drawing>
                      <wp:inline distT="0" distB="0" distL="0" distR="0">
                        <wp:extent cx="838200" cy="295275"/>
                        <wp:effectExtent l="19050" t="0" r="0" b="0"/>
                        <wp:docPr id="3" name="licensebutton" descr="C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sebutton" descr="Creative Commons License">
                                  <a:hlinkClick r:id="rId9"/>
                                </pic:cNvPr>
                                <pic:cNvPicPr>
                                  <a:picLocks noChangeAspect="1" noChangeArrowheads="1"/>
                                </pic:cNvPicPr>
                              </pic:nvPicPr>
                              <pic:blipFill>
                                <a:blip r:embed="rId10" cstate="print"/>
                                <a:srcRect/>
                                <a:stretch>
                                  <a:fillRect/>
                                </a:stretch>
                              </pic:blipFill>
                              <pic:spPr bwMode="auto">
                                <a:xfrm>
                                  <a:off x="0" y="0"/>
                                  <a:ext cx="838200" cy="295275"/>
                                </a:xfrm>
                                <a:prstGeom prst="rect">
                                  <a:avLst/>
                                </a:prstGeom>
                                <a:noFill/>
                                <a:ln w="9525">
                                  <a:noFill/>
                                  <a:miter lim="800000"/>
                                  <a:headEnd/>
                                  <a:tailEnd/>
                                </a:ln>
                              </pic:spPr>
                            </pic:pic>
                          </a:graphicData>
                        </a:graphic>
                      </wp:inline>
                    </w:drawing>
                  </w:r>
                </w:p>
                <w:p w:rsidR="00570FE0" w:rsidRPr="007B40A5" w:rsidRDefault="00570FE0" w:rsidP="007B40A5">
                  <w:pPr>
                    <w:pStyle w:val="Imprint"/>
                  </w:pPr>
                  <w:r w:rsidRPr="007B40A5">
                    <w:t xml:space="preserve">With the exception of cover design, artwork, photographs, all logos, and any other material where copyright is owned by a third party, all material presented in this document </w:t>
                  </w:r>
                  <w:proofErr w:type="gramStart"/>
                  <w:r w:rsidRPr="007B40A5">
                    <w:t>is</w:t>
                  </w:r>
                  <w:proofErr w:type="gramEnd"/>
                  <w:r w:rsidRPr="007B40A5">
                    <w:t xml:space="preserve"> provided under a Creative Commons Attribution 3.0 Australia &lt;http://creativecommons.org/licenses/by/3.0/au&gt;. </w:t>
                  </w:r>
                </w:p>
                <w:p w:rsidR="00570FE0" w:rsidRPr="007B40A5" w:rsidRDefault="00570FE0" w:rsidP="00750EE4">
                  <w:pPr>
                    <w:pStyle w:val="Imprint"/>
                    <w:spacing w:before="80"/>
                  </w:pPr>
                  <w:r w:rsidRPr="007B40A5">
                    <w:t>NCVER is an independent body responsible for collecting, managing and analysing, evaluating and communicating research and statistics about vocational education and training (VET).</w:t>
                  </w:r>
                </w:p>
                <w:p w:rsidR="00570FE0" w:rsidRDefault="00570FE0" w:rsidP="00750EE4">
                  <w:pPr>
                    <w:pStyle w:val="Imprint"/>
                    <w:spacing w:before="80"/>
                  </w:pPr>
                  <w:r w:rsidRPr="007B40A5">
                    <w:t>NCVER’s in</w:t>
                  </w:r>
                  <w:r>
                    <w:t>-</w:t>
                  </w:r>
                  <w:r w:rsidRPr="007B40A5">
                    <w:t xml:space="preserve">house research and evaluation program undertakes projects which are strategic to the VET sector. These projects are developed and conducted by NCVER’s research staff and are funded by NCVER. This research aims to improve policy </w:t>
                  </w:r>
                  <w:r>
                    <w:t>and practice in the VET sector.</w:t>
                  </w:r>
                </w:p>
                <w:p w:rsidR="00570FE0" w:rsidRPr="0091203A" w:rsidRDefault="00570FE0" w:rsidP="00750EE4">
                  <w:pPr>
                    <w:pStyle w:val="Imprint"/>
                    <w:spacing w:before="80"/>
                    <w:rPr>
                      <w:i/>
                      <w:iCs/>
                      <w:lang w:val="en-GB"/>
                    </w:rPr>
                  </w:pPr>
                  <w:r w:rsidRPr="0091203A">
                    <w:rPr>
                      <w:lang w:val="en-GB"/>
                    </w:rPr>
                    <w:t xml:space="preserve">This document should be attributed as </w:t>
                  </w:r>
                  <w:r>
                    <w:rPr>
                      <w:lang w:val="en-GB"/>
                    </w:rPr>
                    <w:t xml:space="preserve">Karmel, T 2012, </w:t>
                  </w:r>
                  <w:r>
                    <w:rPr>
                      <w:i/>
                      <w:lang w:val="en-GB"/>
                    </w:rPr>
                    <w:t>Youth transitions in Australia: lessons for other countries</w:t>
                  </w:r>
                  <w:proofErr w:type="gramStart"/>
                  <w:r>
                    <w:rPr>
                      <w:i/>
                      <w:lang w:val="en-GB"/>
                    </w:rPr>
                    <w:t>?,</w:t>
                  </w:r>
                  <w:proofErr w:type="gramEnd"/>
                  <w:r>
                    <w:rPr>
                      <w:lang w:val="en-GB"/>
                    </w:rPr>
                    <w:t xml:space="preserve"> conference paper,</w:t>
                  </w:r>
                  <w:r w:rsidRPr="0091203A">
                    <w:rPr>
                      <w:i/>
                      <w:iCs/>
                      <w:lang w:val="en-GB"/>
                    </w:rPr>
                    <w:t xml:space="preserve"> </w:t>
                  </w:r>
                  <w:r w:rsidRPr="0091203A">
                    <w:rPr>
                      <w:iCs/>
                      <w:lang w:val="en-GB"/>
                    </w:rPr>
                    <w:t>NCVER, Adelaide</w:t>
                  </w:r>
                  <w:r w:rsidRPr="0091203A">
                    <w:rPr>
                      <w:i/>
                      <w:iCs/>
                      <w:lang w:val="en-GB"/>
                    </w:rPr>
                    <w:t>.</w:t>
                  </w:r>
                </w:p>
                <w:p w:rsidR="00570FE0" w:rsidRPr="007B40A5" w:rsidRDefault="00570FE0" w:rsidP="00750EE4">
                  <w:pPr>
                    <w:pStyle w:val="Imprint"/>
                    <w:spacing w:before="80"/>
                  </w:pPr>
                  <w:r w:rsidRPr="005C2FCF">
                    <w:rPr>
                      <w:color w:val="000000"/>
                    </w:rPr>
                    <w:t>TD/TNC</w:t>
                  </w:r>
                  <w:r w:rsidRPr="005C2FCF">
                    <w:rPr>
                      <w:color w:val="000000"/>
                    </w:rPr>
                    <w:tab/>
                  </w:r>
                  <w:r>
                    <w:rPr>
                      <w:color w:val="000000"/>
                    </w:rPr>
                    <w:t>109.08</w:t>
                  </w:r>
                </w:p>
                <w:p w:rsidR="00570FE0" w:rsidRPr="005C2FCF" w:rsidRDefault="00570FE0" w:rsidP="00750EE4">
                  <w:pPr>
                    <w:pStyle w:val="Imprint"/>
                    <w:spacing w:before="80"/>
                    <w:ind w:right="1700"/>
                    <w:rPr>
                      <w:color w:val="000000"/>
                    </w:rPr>
                  </w:pPr>
                  <w:r w:rsidRPr="005C2FCF">
                    <w:rPr>
                      <w:color w:val="000000"/>
                    </w:rPr>
                    <w:t>Published by NCVER</w:t>
                  </w:r>
                  <w:r>
                    <w:rPr>
                      <w:color w:val="000000"/>
                    </w:rPr>
                    <w:t xml:space="preserve">, </w:t>
                  </w:r>
                  <w:r w:rsidRPr="005C2FCF">
                    <w:rPr>
                      <w:color w:val="000000"/>
                    </w:rPr>
                    <w:t>ABN 87 007 967 311</w:t>
                  </w:r>
                </w:p>
                <w:p w:rsidR="00570FE0" w:rsidRPr="005C2FCF" w:rsidRDefault="00570FE0" w:rsidP="00750EE4">
                  <w:pPr>
                    <w:pStyle w:val="Imprint"/>
                    <w:spacing w:before="80"/>
                    <w:ind w:right="1700"/>
                    <w:rPr>
                      <w:color w:val="000000"/>
                    </w:rPr>
                  </w:pPr>
                  <w:r w:rsidRPr="005C2FCF">
                    <w:rPr>
                      <w:color w:val="000000"/>
                    </w:rPr>
                    <w:t>Level 11, 33 King William Street, Adelaide, SA 5000</w:t>
                  </w:r>
                  <w:r w:rsidRPr="005C2FCF">
                    <w:rPr>
                      <w:color w:val="000000"/>
                    </w:rPr>
                    <w:br/>
                    <w:t>PO Box 8288 Station Arcade, Adelaide SA 5000, Australia</w:t>
                  </w:r>
                </w:p>
                <w:p w:rsidR="00570FE0" w:rsidRPr="00541B94" w:rsidRDefault="00570FE0" w:rsidP="00750EE4">
                  <w:pPr>
                    <w:pStyle w:val="Imprint"/>
                    <w:spacing w:before="80"/>
                    <w:rPr>
                      <w:color w:val="000000"/>
                    </w:rPr>
                  </w:pPr>
                  <w:r w:rsidRPr="00750EE4">
                    <w:rPr>
                      <w:b/>
                      <w:color w:val="000000"/>
                    </w:rPr>
                    <w:t>P</w:t>
                  </w:r>
                  <w:r w:rsidRPr="005C2FCF">
                    <w:rPr>
                      <w:color w:val="000000"/>
                    </w:rPr>
                    <w:t xml:space="preserve"> +61 8 8230 8400 </w:t>
                  </w:r>
                  <w:r>
                    <w:rPr>
                      <w:color w:val="000000"/>
                    </w:rPr>
                    <w:t xml:space="preserve">  </w:t>
                  </w:r>
                  <w:r w:rsidRPr="00750EE4">
                    <w:rPr>
                      <w:b/>
                      <w:color w:val="000000"/>
                    </w:rPr>
                    <w:t>F</w:t>
                  </w:r>
                  <w:r w:rsidRPr="005C2FCF">
                    <w:rPr>
                      <w:color w:val="000000"/>
                    </w:rPr>
                    <w:t xml:space="preserve"> +61 8 8212 3436</w:t>
                  </w:r>
                  <w:r>
                    <w:rPr>
                      <w:color w:val="000000"/>
                    </w:rPr>
                    <w:t xml:space="preserve">   </w:t>
                  </w:r>
                  <w:r w:rsidRPr="00750EE4">
                    <w:rPr>
                      <w:b/>
                      <w:color w:val="000000"/>
                    </w:rPr>
                    <w:t>E</w:t>
                  </w:r>
                  <w:r w:rsidRPr="005C2FCF">
                    <w:rPr>
                      <w:color w:val="000000"/>
                    </w:rPr>
                    <w:t xml:space="preserve"> </w:t>
                  </w:r>
                  <w:hyperlink r:id="rId11" w:history="1">
                    <w:r w:rsidRPr="00441898">
                      <w:rPr>
                        <w:rStyle w:val="Hyperlink"/>
                        <w:sz w:val="16"/>
                      </w:rPr>
                      <w:t>ncver@ncver.edu.au</w:t>
                    </w:r>
                  </w:hyperlink>
                  <w:r>
                    <w:rPr>
                      <w:color w:val="000000"/>
                    </w:rPr>
                    <w:t xml:space="preserve">   </w:t>
                  </w:r>
                  <w:r w:rsidRPr="00750EE4">
                    <w:rPr>
                      <w:b/>
                      <w:color w:val="000000"/>
                    </w:rPr>
                    <w:t>W</w:t>
                  </w:r>
                  <w:r>
                    <w:rPr>
                      <w:color w:val="000000"/>
                    </w:rPr>
                    <w:t xml:space="preserve"> </w:t>
                  </w:r>
                  <w:r w:rsidRPr="005C2FCF">
                    <w:rPr>
                      <w:color w:val="000000"/>
                    </w:rPr>
                    <w:t>&lt;http://www.ncver.edu.au&gt;</w:t>
                  </w:r>
                  <w:r>
                    <w:rPr>
                      <w:color w:val="000000"/>
                    </w:rPr>
                    <w:t xml:space="preserve"> </w:t>
                  </w:r>
                </w:p>
              </w:txbxContent>
            </v:textbox>
          </v:shape>
        </w:pict>
      </w:r>
      <w:r w:rsidR="00721D4A">
        <w:br w:type="page"/>
      </w:r>
    </w:p>
    <w:p w:rsidR="009E231A" w:rsidRPr="00C77DC6" w:rsidRDefault="00FE4A2D" w:rsidP="0049453B">
      <w:pPr>
        <w:pStyle w:val="Abouttheresearch"/>
      </w:pPr>
      <w:r w:rsidRPr="005C2FCF">
        <w:lastRenderedPageBreak/>
        <w:t>About the research</w:t>
      </w:r>
      <w:bookmarkEnd w:id="5"/>
      <w:bookmarkEnd w:id="6"/>
      <w:bookmarkEnd w:id="7"/>
      <w:bookmarkEnd w:id="8"/>
      <w:bookmarkEnd w:id="9"/>
      <w:bookmarkEnd w:id="10"/>
      <w:bookmarkEnd w:id="11"/>
      <w:bookmarkEnd w:id="12"/>
      <w:bookmarkEnd w:id="13"/>
      <w:bookmarkEnd w:id="14"/>
      <w:bookmarkEnd w:id="15"/>
      <w:bookmarkEnd w:id="16"/>
      <w:bookmarkEnd w:id="17"/>
    </w:p>
    <w:p w:rsidR="001B43CF" w:rsidRDefault="00851338" w:rsidP="00F93048">
      <w:pPr>
        <w:pStyle w:val="Abouttheresearchpubtitle"/>
      </w:pPr>
      <w:bookmarkStart w:id="18" w:name="_Toc296423680"/>
      <w:bookmarkStart w:id="19" w:name="_Toc296497511"/>
      <w:bookmarkStart w:id="20" w:name="_Toc98394877"/>
      <w:r>
        <w:t>Youth transitions in Australia: lessons for other countries?</w:t>
      </w:r>
      <w:bookmarkEnd w:id="18"/>
      <w:bookmarkEnd w:id="19"/>
    </w:p>
    <w:bookmarkEnd w:id="20"/>
    <w:p w:rsidR="009E231A" w:rsidRPr="001B43CF" w:rsidRDefault="00851338" w:rsidP="006D7CE2">
      <w:pPr>
        <w:pStyle w:val="Heading3"/>
        <w:spacing w:before="200"/>
      </w:pPr>
      <w:r>
        <w:t>Tom Karmel</w:t>
      </w:r>
    </w:p>
    <w:p w:rsidR="009E231A" w:rsidRDefault="00851338" w:rsidP="0048643A">
      <w:pPr>
        <w:pStyle w:val="Text"/>
      </w:pPr>
      <w:r>
        <w:t xml:space="preserve">This paper was presented to the third International </w:t>
      </w:r>
      <w:r w:rsidR="00750EE4">
        <w:t xml:space="preserve">Congress </w:t>
      </w:r>
      <w:r>
        <w:t>on Technical and Vocational Education and Training 13</w:t>
      </w:r>
      <w:r w:rsidR="00750EE4">
        <w:t>—</w:t>
      </w:r>
      <w:r>
        <w:t>16 May 2012, Shanghai</w:t>
      </w:r>
      <w:r w:rsidR="00233BFA">
        <w:t>.</w:t>
      </w:r>
    </w:p>
    <w:p w:rsidR="00851338" w:rsidRDefault="00851338" w:rsidP="00851338">
      <w:pPr>
        <w:pStyle w:val="Text"/>
        <w:ind w:right="0"/>
      </w:pPr>
      <w:r>
        <w:t xml:space="preserve">Compared </w:t>
      </w:r>
      <w:r w:rsidR="00750EE4">
        <w:t>with</w:t>
      </w:r>
      <w:r>
        <w:t xml:space="preserve"> many countries, Australia has relatively few young people who are unemployed. The presentation examines the features of Australia’s education system and labour market to see the extent to which they contribute to this outcome. These features include: recent increases to the school leaving age and an emphasis on post-school education</w:t>
      </w:r>
      <w:r w:rsidR="00750EE4">
        <w:t>;</w:t>
      </w:r>
      <w:r>
        <w:t xml:space="preserve"> the apprenticeship and traineeship system</w:t>
      </w:r>
      <w:r w:rsidR="00750EE4">
        <w:t>;</w:t>
      </w:r>
      <w:r w:rsidRPr="00851338">
        <w:t xml:space="preserve"> </w:t>
      </w:r>
      <w:r>
        <w:t xml:space="preserve">the vocational stream of education within the schooling system; and the high proportion of students undertaking part-time work. It argues that there are </w:t>
      </w:r>
      <w:r w:rsidR="0082093F">
        <w:t>two</w:t>
      </w:r>
      <w:r>
        <w:t xml:space="preserve"> key factors behind Australia’s good performance in this area: high levels of post-school education with the consequence that there is not a large cohort of people in their mid-to</w:t>
      </w:r>
      <w:r w:rsidR="00750EE4">
        <w:t>-</w:t>
      </w:r>
      <w:r>
        <w:t xml:space="preserve">late teens flooding on to the labour market; </w:t>
      </w:r>
      <w:r w:rsidR="0082093F">
        <w:t xml:space="preserve">and </w:t>
      </w:r>
      <w:r>
        <w:t>a flexible education system which gives individuals multiple choices</w:t>
      </w:r>
      <w:r w:rsidR="0082093F">
        <w:t>. However</w:t>
      </w:r>
      <w:r>
        <w:t xml:space="preserve">, </w:t>
      </w:r>
      <w:r w:rsidR="0082093F">
        <w:t xml:space="preserve">these factors are not sufficient </w:t>
      </w:r>
      <w:r>
        <w:t xml:space="preserve">and </w:t>
      </w:r>
      <w:r w:rsidR="0082093F">
        <w:t xml:space="preserve">are unlikely to be effective without </w:t>
      </w:r>
      <w:r>
        <w:t>a strong economy</w:t>
      </w:r>
      <w:r w:rsidR="00750EE4">
        <w:t xml:space="preserve"> —</w:t>
      </w:r>
      <w:r>
        <w:t xml:space="preserve"> it is very difficult to absorb teenage </w:t>
      </w:r>
      <w:r w:rsidR="0082093F">
        <w:t xml:space="preserve">and young adults’ </w:t>
      </w:r>
      <w:r>
        <w:t>labour in a depressed labour market</w:t>
      </w:r>
      <w:r w:rsidR="0082093F">
        <w:t>.</w:t>
      </w:r>
    </w:p>
    <w:p w:rsidR="006D7CE2" w:rsidRDefault="006D7CE2" w:rsidP="00851338">
      <w:pPr>
        <w:pStyle w:val="Text"/>
        <w:ind w:right="0"/>
      </w:pPr>
    </w:p>
    <w:p w:rsidR="009E231A" w:rsidRDefault="00FE4A2D" w:rsidP="0048643A">
      <w:pPr>
        <w:pStyle w:val="Text"/>
      </w:pPr>
      <w:r w:rsidRPr="005C2FCF">
        <w:t>Tom Karmel</w:t>
      </w:r>
      <w:r w:rsidRPr="005C2FCF">
        <w:br/>
        <w:t>Managing Director, NCVER</w:t>
      </w:r>
    </w:p>
    <w:p w:rsidR="00F9625F" w:rsidRDefault="00F9625F">
      <w:pPr>
        <w:spacing w:before="0" w:line="240" w:lineRule="auto"/>
      </w:pPr>
      <w:r>
        <w:br w:type="page"/>
      </w:r>
    </w:p>
    <w:p w:rsidR="00750EE4" w:rsidRPr="005C2FCF" w:rsidRDefault="00750EE4" w:rsidP="0048643A">
      <w:pPr>
        <w:pStyle w:val="Text"/>
      </w:pPr>
    </w:p>
    <w:p w:rsidR="00177827" w:rsidRDefault="00177827" w:rsidP="00D354D6">
      <w:pPr>
        <w:spacing w:before="0" w:line="240" w:lineRule="auto"/>
        <w:sectPr w:rsidR="00177827" w:rsidSect="00F60BA5">
          <w:pgSz w:w="11907" w:h="16840" w:code="9"/>
          <w:pgMar w:top="1276" w:right="1701" w:bottom="1276" w:left="1418" w:header="709" w:footer="556" w:gutter="0"/>
          <w:cols w:space="708"/>
          <w:docGrid w:linePitch="360"/>
        </w:sectPr>
      </w:pPr>
    </w:p>
    <w:p w:rsidR="009E231A" w:rsidRPr="00DC5F5C" w:rsidRDefault="00FE4A2D" w:rsidP="00874DA5">
      <w:pPr>
        <w:pStyle w:val="Contents"/>
      </w:pPr>
      <w:bookmarkStart w:id="21" w:name="_Toc98394880"/>
      <w:bookmarkStart w:id="22" w:name="_Toc296423683"/>
      <w:bookmarkStart w:id="23" w:name="_Toc296497514"/>
      <w:r w:rsidRPr="00DC5F5C">
        <w:lastRenderedPageBreak/>
        <w:t>Contents</w:t>
      </w:r>
      <w:bookmarkEnd w:id="21"/>
      <w:bookmarkEnd w:id="22"/>
      <w:bookmarkEnd w:id="23"/>
    </w:p>
    <w:p w:rsidR="00467E47" w:rsidRDefault="00C96DFB">
      <w:pPr>
        <w:pStyle w:val="TOC1"/>
        <w:rPr>
          <w:rFonts w:asciiTheme="minorHAnsi" w:eastAsiaTheme="minorEastAsia" w:hAnsiTheme="minorHAnsi" w:cstheme="minorBidi"/>
          <w:color w:val="auto"/>
          <w:sz w:val="22"/>
          <w:szCs w:val="22"/>
          <w:lang w:eastAsia="en-AU"/>
        </w:rPr>
      </w:pPr>
      <w:r w:rsidRPr="00C96DFB">
        <w:rPr>
          <w:rFonts w:ascii="Avant Garde" w:hAnsi="Avant Garde"/>
        </w:rPr>
        <w:fldChar w:fldCharType="begin"/>
      </w:r>
      <w:r w:rsidR="00FE4A2D" w:rsidRPr="009775C7">
        <w:rPr>
          <w:rFonts w:ascii="Avant Garde" w:hAnsi="Avant Garde"/>
        </w:rPr>
        <w:instrText xml:space="preserve"> TOC \o "1-2" </w:instrText>
      </w:r>
      <w:r w:rsidRPr="00C96DFB">
        <w:rPr>
          <w:rFonts w:ascii="Avant Garde" w:hAnsi="Avant Garde"/>
        </w:rPr>
        <w:fldChar w:fldCharType="separate"/>
      </w:r>
      <w:r w:rsidR="00467E47">
        <w:t>Tables and figures</w:t>
      </w:r>
      <w:r w:rsidR="00467E47">
        <w:tab/>
      </w:r>
      <w:r>
        <w:fldChar w:fldCharType="begin"/>
      </w:r>
      <w:r w:rsidR="00467E47">
        <w:instrText xml:space="preserve"> PAGEREF _Toc331516764 \h </w:instrText>
      </w:r>
      <w:r>
        <w:fldChar w:fldCharType="separate"/>
      </w:r>
      <w:r w:rsidR="00570FE0">
        <w:t>6</w:t>
      </w:r>
      <w:r>
        <w:fldChar w:fldCharType="end"/>
      </w:r>
    </w:p>
    <w:p w:rsidR="00467E47" w:rsidRDefault="00467E47">
      <w:pPr>
        <w:pStyle w:val="TOC1"/>
        <w:rPr>
          <w:rFonts w:asciiTheme="minorHAnsi" w:eastAsiaTheme="minorEastAsia" w:hAnsiTheme="minorHAnsi" w:cstheme="minorBidi"/>
          <w:color w:val="auto"/>
          <w:sz w:val="22"/>
          <w:szCs w:val="22"/>
          <w:lang w:eastAsia="en-AU"/>
        </w:rPr>
      </w:pPr>
      <w:r>
        <w:t>Introduction</w:t>
      </w:r>
      <w:r>
        <w:tab/>
      </w:r>
      <w:r w:rsidR="00C96DFB">
        <w:fldChar w:fldCharType="begin"/>
      </w:r>
      <w:r>
        <w:instrText xml:space="preserve"> PAGEREF _Toc331516767 \h </w:instrText>
      </w:r>
      <w:r w:rsidR="00C96DFB">
        <w:fldChar w:fldCharType="separate"/>
      </w:r>
      <w:r w:rsidR="00570FE0">
        <w:t>7</w:t>
      </w:r>
      <w:r w:rsidR="00C96DFB">
        <w:fldChar w:fldCharType="end"/>
      </w:r>
    </w:p>
    <w:p w:rsidR="00467E47" w:rsidRDefault="00467E47">
      <w:pPr>
        <w:pStyle w:val="TOC2"/>
        <w:rPr>
          <w:rFonts w:asciiTheme="minorHAnsi" w:eastAsiaTheme="minorEastAsia" w:hAnsiTheme="minorHAnsi" w:cstheme="minorBidi"/>
          <w:color w:val="auto"/>
          <w:sz w:val="22"/>
          <w:szCs w:val="22"/>
          <w:lang w:eastAsia="en-AU"/>
        </w:rPr>
      </w:pPr>
      <w:r>
        <w:t>Context</w:t>
      </w:r>
      <w:r>
        <w:tab/>
      </w:r>
      <w:r w:rsidR="00C96DFB">
        <w:fldChar w:fldCharType="begin"/>
      </w:r>
      <w:r>
        <w:instrText xml:space="preserve"> PAGEREF _Toc331516768 \h </w:instrText>
      </w:r>
      <w:r w:rsidR="00C96DFB">
        <w:fldChar w:fldCharType="separate"/>
      </w:r>
      <w:r w:rsidR="00570FE0">
        <w:t>7</w:t>
      </w:r>
      <w:r w:rsidR="00C96DFB">
        <w:fldChar w:fldCharType="end"/>
      </w:r>
    </w:p>
    <w:p w:rsidR="00467E47" w:rsidRDefault="00467E47">
      <w:pPr>
        <w:pStyle w:val="TOC2"/>
        <w:rPr>
          <w:rFonts w:asciiTheme="minorHAnsi" w:eastAsiaTheme="minorEastAsia" w:hAnsiTheme="minorHAnsi" w:cstheme="minorBidi"/>
          <w:color w:val="auto"/>
          <w:sz w:val="22"/>
          <w:szCs w:val="22"/>
          <w:lang w:eastAsia="en-AU"/>
        </w:rPr>
      </w:pPr>
      <w:r>
        <w:t xml:space="preserve">Features of Australia’s education and training system relevant to </w:t>
      </w:r>
      <w:r>
        <w:br/>
        <w:t>youth transitions</w:t>
      </w:r>
      <w:r>
        <w:tab/>
      </w:r>
      <w:r w:rsidR="00C96DFB">
        <w:fldChar w:fldCharType="begin"/>
      </w:r>
      <w:r>
        <w:instrText xml:space="preserve"> PAGEREF _Toc331516769 \h </w:instrText>
      </w:r>
      <w:r w:rsidR="00C96DFB">
        <w:fldChar w:fldCharType="separate"/>
      </w:r>
      <w:r w:rsidR="00570FE0">
        <w:t>9</w:t>
      </w:r>
      <w:r w:rsidR="00C96DFB">
        <w:fldChar w:fldCharType="end"/>
      </w:r>
    </w:p>
    <w:p w:rsidR="00467E47" w:rsidRDefault="00467E47">
      <w:pPr>
        <w:pStyle w:val="TOC2"/>
        <w:rPr>
          <w:rFonts w:asciiTheme="minorHAnsi" w:eastAsiaTheme="minorEastAsia" w:hAnsiTheme="minorHAnsi" w:cstheme="minorBidi"/>
          <w:color w:val="auto"/>
          <w:sz w:val="22"/>
          <w:szCs w:val="22"/>
          <w:lang w:eastAsia="en-AU"/>
        </w:rPr>
      </w:pPr>
      <w:r>
        <w:t>Final comments</w:t>
      </w:r>
      <w:r>
        <w:tab/>
      </w:r>
      <w:r w:rsidR="00C96DFB">
        <w:fldChar w:fldCharType="begin"/>
      </w:r>
      <w:r>
        <w:instrText xml:space="preserve"> PAGEREF _Toc331516770 \h </w:instrText>
      </w:r>
      <w:r w:rsidR="00C96DFB">
        <w:fldChar w:fldCharType="separate"/>
      </w:r>
      <w:r w:rsidR="00570FE0">
        <w:t>14</w:t>
      </w:r>
      <w:r w:rsidR="00C96DFB">
        <w:fldChar w:fldCharType="end"/>
      </w:r>
    </w:p>
    <w:p w:rsidR="00467E47" w:rsidRDefault="00467E47">
      <w:pPr>
        <w:pStyle w:val="TOC1"/>
        <w:rPr>
          <w:rFonts w:asciiTheme="minorHAnsi" w:eastAsiaTheme="minorEastAsia" w:hAnsiTheme="minorHAnsi" w:cstheme="minorBidi"/>
          <w:color w:val="auto"/>
          <w:sz w:val="22"/>
          <w:szCs w:val="22"/>
          <w:lang w:eastAsia="en-AU"/>
        </w:rPr>
      </w:pPr>
      <w:r>
        <w:t>References</w:t>
      </w:r>
      <w:r>
        <w:tab/>
      </w:r>
      <w:r w:rsidR="00C96DFB">
        <w:fldChar w:fldCharType="begin"/>
      </w:r>
      <w:r>
        <w:instrText xml:space="preserve"> PAGEREF _Toc331516771 \h </w:instrText>
      </w:r>
      <w:r w:rsidR="00C96DFB">
        <w:fldChar w:fldCharType="separate"/>
      </w:r>
      <w:r w:rsidR="00570FE0">
        <w:t>15</w:t>
      </w:r>
      <w:r w:rsidR="00C96DFB">
        <w:fldChar w:fldCharType="end"/>
      </w:r>
    </w:p>
    <w:p w:rsidR="00467E47" w:rsidRDefault="00467E47">
      <w:pPr>
        <w:pStyle w:val="TOC1"/>
        <w:rPr>
          <w:rFonts w:asciiTheme="minorHAnsi" w:eastAsiaTheme="minorEastAsia" w:hAnsiTheme="minorHAnsi" w:cstheme="minorBidi"/>
          <w:color w:val="auto"/>
          <w:sz w:val="22"/>
          <w:szCs w:val="22"/>
          <w:lang w:eastAsia="en-AU"/>
        </w:rPr>
      </w:pPr>
      <w:r>
        <w:t>Appendix A</w:t>
      </w:r>
      <w:r>
        <w:tab/>
      </w:r>
      <w:r w:rsidR="00C96DFB">
        <w:fldChar w:fldCharType="begin"/>
      </w:r>
      <w:r>
        <w:instrText xml:space="preserve"> PAGEREF _Toc331516772 \h </w:instrText>
      </w:r>
      <w:r w:rsidR="00C96DFB">
        <w:fldChar w:fldCharType="separate"/>
      </w:r>
      <w:r w:rsidR="00570FE0">
        <w:t>16</w:t>
      </w:r>
      <w:r w:rsidR="00C96DFB">
        <w:fldChar w:fldCharType="end"/>
      </w:r>
    </w:p>
    <w:p w:rsidR="004E7227" w:rsidRDefault="00C96DFB" w:rsidP="00E03164">
      <w:pPr>
        <w:pStyle w:val="Text"/>
        <w:tabs>
          <w:tab w:val="right" w:pos="7655"/>
          <w:tab w:val="right" w:pos="8222"/>
        </w:tabs>
        <w:ind w:right="1984"/>
      </w:pPr>
      <w:r w:rsidRPr="009775C7">
        <w:fldChar w:fldCharType="end"/>
      </w:r>
    </w:p>
    <w:p w:rsidR="004E7227" w:rsidRDefault="004E7227" w:rsidP="0048643A">
      <w:pPr>
        <w:pStyle w:val="Text"/>
        <w:rPr>
          <w:rFonts w:ascii="Tahoma" w:hAnsi="Tahoma" w:cs="Tahoma"/>
          <w:color w:val="000000"/>
          <w:kern w:val="28"/>
          <w:sz w:val="56"/>
          <w:szCs w:val="56"/>
        </w:rPr>
      </w:pPr>
      <w:r>
        <w:br w:type="page"/>
      </w:r>
    </w:p>
    <w:p w:rsidR="004E7227" w:rsidRDefault="004E7227" w:rsidP="004E7227">
      <w:pPr>
        <w:pStyle w:val="Heading1"/>
      </w:pPr>
      <w:bookmarkStart w:id="24" w:name="_Toc331516764"/>
      <w:r>
        <w:lastRenderedPageBreak/>
        <w:t>Tables and figures</w:t>
      </w:r>
      <w:bookmarkEnd w:id="24"/>
    </w:p>
    <w:p w:rsidR="004E7227" w:rsidRDefault="004E7227" w:rsidP="00CF0E17">
      <w:pPr>
        <w:pStyle w:val="Heading2"/>
      </w:pPr>
      <w:bookmarkStart w:id="25" w:name="_Toc296497516"/>
      <w:bookmarkStart w:id="26" w:name="_Toc298162801"/>
      <w:bookmarkStart w:id="27" w:name="_Toc324175037"/>
      <w:bookmarkStart w:id="28" w:name="_Toc331516765"/>
      <w:r>
        <w:t>Tables</w:t>
      </w:r>
      <w:bookmarkEnd w:id="25"/>
      <w:bookmarkEnd w:id="26"/>
      <w:bookmarkEnd w:id="27"/>
      <w:bookmarkEnd w:id="28"/>
    </w:p>
    <w:p w:rsidR="00467E47" w:rsidRDefault="00C96DFB">
      <w:pPr>
        <w:pStyle w:val="TableofFigures"/>
        <w:tabs>
          <w:tab w:val="left" w:pos="1100"/>
        </w:tabs>
        <w:rPr>
          <w:rFonts w:asciiTheme="minorHAnsi" w:eastAsiaTheme="minorEastAsia" w:hAnsiTheme="minorHAnsi" w:cstheme="minorBidi"/>
          <w:color w:val="auto"/>
          <w:sz w:val="22"/>
          <w:szCs w:val="22"/>
          <w:lang w:eastAsia="en-AU"/>
        </w:rPr>
      </w:pPr>
      <w:r w:rsidRPr="00C96DFB">
        <w:fldChar w:fldCharType="begin"/>
      </w:r>
      <w:r w:rsidR="004E7227">
        <w:instrText xml:space="preserve"> TOC \f F \t "tabletitle" \c </w:instrText>
      </w:r>
      <w:r w:rsidRPr="00C96DFB">
        <w:fldChar w:fldCharType="separate"/>
      </w:r>
      <w:r w:rsidR="00467E47">
        <w:t>1A</w:t>
      </w:r>
      <w:r w:rsidR="00467E47">
        <w:rPr>
          <w:rFonts w:asciiTheme="minorHAnsi" w:eastAsiaTheme="minorEastAsia" w:hAnsiTheme="minorHAnsi" w:cstheme="minorBidi"/>
          <w:color w:val="auto"/>
          <w:sz w:val="22"/>
          <w:szCs w:val="22"/>
          <w:lang w:eastAsia="en-AU"/>
        </w:rPr>
        <w:tab/>
      </w:r>
      <w:r w:rsidR="00467E47">
        <w:t>Education paths, males</w:t>
      </w:r>
      <w:r w:rsidR="00467E47">
        <w:tab/>
      </w:r>
      <w:r>
        <w:fldChar w:fldCharType="begin"/>
      </w:r>
      <w:r w:rsidR="00467E47">
        <w:instrText xml:space="preserve"> PAGEREF _Toc331516800 \h </w:instrText>
      </w:r>
      <w:r>
        <w:fldChar w:fldCharType="separate"/>
      </w:r>
      <w:r w:rsidR="00570FE0">
        <w:t>11</w:t>
      </w:r>
      <w:r>
        <w:fldChar w:fldCharType="end"/>
      </w:r>
    </w:p>
    <w:p w:rsidR="00467E47" w:rsidRDefault="00467E47">
      <w:pPr>
        <w:pStyle w:val="TableofFigures"/>
        <w:tabs>
          <w:tab w:val="left" w:pos="1100"/>
        </w:tabs>
        <w:rPr>
          <w:rFonts w:asciiTheme="minorHAnsi" w:eastAsiaTheme="minorEastAsia" w:hAnsiTheme="minorHAnsi" w:cstheme="minorBidi"/>
          <w:color w:val="auto"/>
          <w:sz w:val="22"/>
          <w:szCs w:val="22"/>
          <w:lang w:eastAsia="en-AU"/>
        </w:rPr>
      </w:pPr>
      <w:r>
        <w:t>1B</w:t>
      </w:r>
      <w:r>
        <w:rPr>
          <w:rFonts w:asciiTheme="minorHAnsi" w:eastAsiaTheme="minorEastAsia" w:hAnsiTheme="minorHAnsi" w:cstheme="minorBidi"/>
          <w:color w:val="auto"/>
          <w:sz w:val="22"/>
          <w:szCs w:val="22"/>
          <w:lang w:eastAsia="en-AU"/>
        </w:rPr>
        <w:tab/>
      </w:r>
      <w:r>
        <w:t>Education paths, females</w:t>
      </w:r>
      <w:r>
        <w:tab/>
      </w:r>
      <w:r w:rsidR="00C96DFB">
        <w:fldChar w:fldCharType="begin"/>
      </w:r>
      <w:r>
        <w:instrText xml:space="preserve"> PAGEREF _Toc331516801 \h </w:instrText>
      </w:r>
      <w:r w:rsidR="00C96DFB">
        <w:fldChar w:fldCharType="separate"/>
      </w:r>
      <w:r w:rsidR="00570FE0">
        <w:t>11</w:t>
      </w:r>
      <w:r w:rsidR="00C96DFB">
        <w:fldChar w:fldCharType="end"/>
      </w:r>
    </w:p>
    <w:p w:rsidR="00467E47" w:rsidRDefault="00467E47">
      <w:pPr>
        <w:pStyle w:val="TableofFigures"/>
        <w:tabs>
          <w:tab w:val="left" w:pos="1100"/>
        </w:tabs>
        <w:rPr>
          <w:rFonts w:asciiTheme="minorHAnsi" w:eastAsiaTheme="minorEastAsia" w:hAnsiTheme="minorHAnsi" w:cstheme="minorBidi"/>
          <w:color w:val="auto"/>
          <w:sz w:val="22"/>
          <w:szCs w:val="22"/>
          <w:lang w:eastAsia="en-AU"/>
        </w:rPr>
      </w:pPr>
      <w:r>
        <w:t>A1</w:t>
      </w:r>
      <w:r>
        <w:rPr>
          <w:rFonts w:asciiTheme="minorHAnsi" w:eastAsiaTheme="minorEastAsia" w:hAnsiTheme="minorHAnsi" w:cstheme="minorBidi"/>
          <w:color w:val="auto"/>
          <w:sz w:val="22"/>
          <w:szCs w:val="22"/>
          <w:lang w:eastAsia="en-AU"/>
        </w:rPr>
        <w:tab/>
      </w:r>
      <w:r>
        <w:t xml:space="preserve">Unemployment rate, unemployment-to-population ratio, males </w:t>
      </w:r>
      <w:r>
        <w:br/>
        <w:t>aged 15—24 years, selected countries, 2010</w:t>
      </w:r>
      <w:r>
        <w:tab/>
      </w:r>
      <w:r w:rsidR="00C96DFB">
        <w:fldChar w:fldCharType="begin"/>
      </w:r>
      <w:r>
        <w:instrText xml:space="preserve"> PAGEREF _Toc331516802 \h </w:instrText>
      </w:r>
      <w:r w:rsidR="00C96DFB">
        <w:fldChar w:fldCharType="separate"/>
      </w:r>
      <w:r w:rsidR="00570FE0">
        <w:t>16</w:t>
      </w:r>
      <w:r w:rsidR="00C96DFB">
        <w:fldChar w:fldCharType="end"/>
      </w:r>
    </w:p>
    <w:p w:rsidR="00467E47" w:rsidRDefault="00C96DFB" w:rsidP="00CF0E17">
      <w:pPr>
        <w:pStyle w:val="Heading2"/>
        <w:rPr>
          <w:noProof/>
        </w:rPr>
      </w:pPr>
      <w:r>
        <w:fldChar w:fldCharType="end"/>
      </w:r>
      <w:bookmarkStart w:id="29" w:name="_Toc296497517"/>
      <w:bookmarkStart w:id="30" w:name="_Toc298162802"/>
      <w:bookmarkStart w:id="31" w:name="_Toc324175038"/>
      <w:bookmarkStart w:id="32" w:name="_Toc331516766"/>
      <w:r w:rsidR="004E7227">
        <w:t>Figures</w:t>
      </w:r>
      <w:bookmarkEnd w:id="29"/>
      <w:bookmarkEnd w:id="30"/>
      <w:bookmarkEnd w:id="31"/>
      <w:bookmarkEnd w:id="32"/>
      <w:r w:rsidRPr="00C96DFB">
        <w:rPr>
          <w:rFonts w:ascii="Garamond" w:hAnsi="Garamond"/>
          <w:sz w:val="22"/>
        </w:rPr>
        <w:fldChar w:fldCharType="begin"/>
      </w:r>
      <w:r w:rsidR="004E7227">
        <w:instrText xml:space="preserve"> TOC \t "Figuretitle" \c </w:instrText>
      </w:r>
      <w:r w:rsidRPr="00C96DFB">
        <w:rPr>
          <w:rFonts w:ascii="Garamond" w:hAnsi="Garamond"/>
          <w:sz w:val="22"/>
        </w:rPr>
        <w:fldChar w:fldCharType="separate"/>
      </w:r>
    </w:p>
    <w:p w:rsidR="00467E47" w:rsidRDefault="00467E47">
      <w:pPr>
        <w:pStyle w:val="TableofFigures"/>
        <w:tabs>
          <w:tab w:val="left" w:pos="1100"/>
        </w:tabs>
        <w:rPr>
          <w:rFonts w:asciiTheme="minorHAnsi" w:eastAsiaTheme="minorEastAsia" w:hAnsiTheme="minorHAnsi" w:cstheme="minorBidi"/>
          <w:color w:val="auto"/>
          <w:sz w:val="22"/>
          <w:szCs w:val="22"/>
          <w:lang w:eastAsia="en-AU"/>
        </w:rPr>
      </w:pPr>
      <w:r>
        <w:t>1</w:t>
      </w:r>
      <w:r>
        <w:rPr>
          <w:rFonts w:asciiTheme="minorHAnsi" w:eastAsiaTheme="minorEastAsia" w:hAnsiTheme="minorHAnsi" w:cstheme="minorBidi"/>
          <w:color w:val="auto"/>
          <w:sz w:val="22"/>
          <w:szCs w:val="22"/>
          <w:lang w:eastAsia="en-AU"/>
        </w:rPr>
        <w:tab/>
      </w:r>
      <w:r>
        <w:t xml:space="preserve">Unemployment rate, unemployment-to-population ratio, males </w:t>
      </w:r>
      <w:r>
        <w:br/>
        <w:t>aged 15—24 years, selected countries, 2010</w:t>
      </w:r>
      <w:r>
        <w:tab/>
      </w:r>
      <w:r w:rsidR="00C96DFB">
        <w:fldChar w:fldCharType="begin"/>
      </w:r>
      <w:r>
        <w:instrText xml:space="preserve"> PAGEREF _Toc331516810 \h </w:instrText>
      </w:r>
      <w:r w:rsidR="00C96DFB">
        <w:fldChar w:fldCharType="separate"/>
      </w:r>
      <w:r w:rsidR="00570FE0">
        <w:t>7</w:t>
      </w:r>
      <w:r w:rsidR="00C96DFB">
        <w:fldChar w:fldCharType="end"/>
      </w:r>
    </w:p>
    <w:p w:rsidR="00467E47" w:rsidRDefault="00467E47">
      <w:pPr>
        <w:pStyle w:val="TableofFigures"/>
        <w:tabs>
          <w:tab w:val="left" w:pos="1100"/>
        </w:tabs>
        <w:rPr>
          <w:rFonts w:asciiTheme="minorHAnsi" w:eastAsiaTheme="minorEastAsia" w:hAnsiTheme="minorHAnsi" w:cstheme="minorBidi"/>
          <w:color w:val="auto"/>
          <w:sz w:val="22"/>
          <w:szCs w:val="22"/>
          <w:lang w:eastAsia="en-AU"/>
        </w:rPr>
      </w:pPr>
      <w:r>
        <w:t>2</w:t>
      </w:r>
      <w:r>
        <w:rPr>
          <w:rFonts w:asciiTheme="minorHAnsi" w:eastAsiaTheme="minorEastAsia" w:hAnsiTheme="minorHAnsi" w:cstheme="minorBidi"/>
          <w:color w:val="auto"/>
          <w:sz w:val="22"/>
          <w:szCs w:val="22"/>
          <w:lang w:eastAsia="en-AU"/>
        </w:rPr>
        <w:tab/>
      </w:r>
      <w:r>
        <w:t>Unemployment rates, males, 15 to 24-year-olds, Australia and selected countries, 1980—2009</w:t>
      </w:r>
      <w:r>
        <w:tab/>
      </w:r>
      <w:r w:rsidR="00C96DFB">
        <w:fldChar w:fldCharType="begin"/>
      </w:r>
      <w:r>
        <w:instrText xml:space="preserve"> PAGEREF _Toc331516811 \h </w:instrText>
      </w:r>
      <w:r w:rsidR="00C96DFB">
        <w:fldChar w:fldCharType="separate"/>
      </w:r>
      <w:r w:rsidR="00570FE0">
        <w:t>8</w:t>
      </w:r>
      <w:r w:rsidR="00C96DFB">
        <w:fldChar w:fldCharType="end"/>
      </w:r>
    </w:p>
    <w:p w:rsidR="00467E47" w:rsidRDefault="00467E47">
      <w:pPr>
        <w:pStyle w:val="TableofFigures"/>
        <w:tabs>
          <w:tab w:val="left" w:pos="1100"/>
        </w:tabs>
        <w:rPr>
          <w:rFonts w:asciiTheme="minorHAnsi" w:eastAsiaTheme="minorEastAsia" w:hAnsiTheme="minorHAnsi" w:cstheme="minorBidi"/>
          <w:color w:val="auto"/>
          <w:sz w:val="22"/>
          <w:szCs w:val="22"/>
          <w:lang w:eastAsia="en-AU"/>
        </w:rPr>
      </w:pPr>
      <w:r>
        <w:t>3</w:t>
      </w:r>
      <w:r>
        <w:rPr>
          <w:rFonts w:asciiTheme="minorHAnsi" w:eastAsiaTheme="minorEastAsia" w:hAnsiTheme="minorHAnsi" w:cstheme="minorBidi"/>
          <w:color w:val="auto"/>
          <w:sz w:val="22"/>
          <w:szCs w:val="22"/>
          <w:lang w:eastAsia="en-AU"/>
        </w:rPr>
        <w:tab/>
      </w:r>
      <w:r>
        <w:t xml:space="preserve">The ratio of the unemployment rate of males, 15—24 years, relative </w:t>
      </w:r>
      <w:r>
        <w:br/>
        <w:t>to that of males, 15—64 years</w:t>
      </w:r>
      <w:r>
        <w:tab/>
      </w:r>
      <w:r w:rsidR="00C96DFB">
        <w:fldChar w:fldCharType="begin"/>
      </w:r>
      <w:r>
        <w:instrText xml:space="preserve"> PAGEREF _Toc331516812 \h </w:instrText>
      </w:r>
      <w:r w:rsidR="00C96DFB">
        <w:fldChar w:fldCharType="separate"/>
      </w:r>
      <w:r w:rsidR="00570FE0">
        <w:t>9</w:t>
      </w:r>
      <w:r w:rsidR="00C96DFB">
        <w:fldChar w:fldCharType="end"/>
      </w:r>
    </w:p>
    <w:p w:rsidR="00467E47" w:rsidRDefault="00467E47">
      <w:pPr>
        <w:pStyle w:val="TableofFigures"/>
        <w:tabs>
          <w:tab w:val="left" w:pos="1100"/>
        </w:tabs>
        <w:rPr>
          <w:rFonts w:asciiTheme="minorHAnsi" w:eastAsiaTheme="minorEastAsia" w:hAnsiTheme="minorHAnsi" w:cstheme="minorBidi"/>
          <w:color w:val="auto"/>
          <w:sz w:val="22"/>
          <w:szCs w:val="22"/>
          <w:lang w:eastAsia="en-AU"/>
        </w:rPr>
      </w:pPr>
      <w:r>
        <w:t>4</w:t>
      </w:r>
      <w:r>
        <w:rPr>
          <w:rFonts w:asciiTheme="minorHAnsi" w:eastAsiaTheme="minorEastAsia" w:hAnsiTheme="minorHAnsi" w:cstheme="minorBidi"/>
          <w:color w:val="auto"/>
          <w:sz w:val="22"/>
          <w:szCs w:val="22"/>
          <w:lang w:eastAsia="en-AU"/>
        </w:rPr>
        <w:tab/>
      </w:r>
      <w:r>
        <w:t>Gross enrolments rates in tertiary education, selected countries, 2008</w:t>
      </w:r>
      <w:r>
        <w:tab/>
      </w:r>
      <w:r w:rsidR="00C96DFB">
        <w:fldChar w:fldCharType="begin"/>
      </w:r>
      <w:r>
        <w:instrText xml:space="preserve"> PAGEREF _Toc331516813 \h </w:instrText>
      </w:r>
      <w:r w:rsidR="00C96DFB">
        <w:fldChar w:fldCharType="separate"/>
      </w:r>
      <w:r w:rsidR="00570FE0">
        <w:t>10</w:t>
      </w:r>
      <w:r w:rsidR="00C96DFB">
        <w:fldChar w:fldCharType="end"/>
      </w:r>
    </w:p>
    <w:p w:rsidR="00467E47" w:rsidRDefault="00467E47">
      <w:pPr>
        <w:pStyle w:val="TableofFigures"/>
        <w:tabs>
          <w:tab w:val="left" w:pos="1100"/>
        </w:tabs>
        <w:rPr>
          <w:rFonts w:asciiTheme="minorHAnsi" w:eastAsiaTheme="minorEastAsia" w:hAnsiTheme="minorHAnsi" w:cstheme="minorBidi"/>
          <w:color w:val="auto"/>
          <w:sz w:val="22"/>
          <w:szCs w:val="22"/>
          <w:lang w:eastAsia="en-AU"/>
        </w:rPr>
      </w:pPr>
      <w:r>
        <w:t>5</w:t>
      </w:r>
      <w:r>
        <w:rPr>
          <w:rFonts w:asciiTheme="minorHAnsi" w:eastAsiaTheme="minorEastAsia" w:hAnsiTheme="minorHAnsi" w:cstheme="minorBidi"/>
          <w:color w:val="auto"/>
          <w:sz w:val="22"/>
          <w:szCs w:val="22"/>
          <w:lang w:eastAsia="en-AU"/>
        </w:rPr>
        <w:tab/>
      </w:r>
      <w:r>
        <w:t>Full-time education participation, Australia, 2009</w:t>
      </w:r>
      <w:r>
        <w:tab/>
      </w:r>
      <w:r w:rsidR="00C96DFB">
        <w:fldChar w:fldCharType="begin"/>
      </w:r>
      <w:r>
        <w:instrText xml:space="preserve"> PAGEREF _Toc331516814 \h </w:instrText>
      </w:r>
      <w:r w:rsidR="00C96DFB">
        <w:fldChar w:fldCharType="separate"/>
      </w:r>
      <w:r w:rsidR="00570FE0">
        <w:t>10</w:t>
      </w:r>
      <w:r w:rsidR="00C96DFB">
        <w:fldChar w:fldCharType="end"/>
      </w:r>
    </w:p>
    <w:p w:rsidR="00467E47" w:rsidRDefault="00467E47">
      <w:pPr>
        <w:pStyle w:val="TableofFigures"/>
        <w:tabs>
          <w:tab w:val="left" w:pos="1100"/>
        </w:tabs>
        <w:rPr>
          <w:rFonts w:asciiTheme="minorHAnsi" w:eastAsiaTheme="minorEastAsia" w:hAnsiTheme="minorHAnsi" w:cstheme="minorBidi"/>
          <w:color w:val="auto"/>
          <w:sz w:val="22"/>
          <w:szCs w:val="22"/>
          <w:lang w:eastAsia="en-AU"/>
        </w:rPr>
      </w:pPr>
      <w:r>
        <w:t>6</w:t>
      </w:r>
      <w:r>
        <w:rPr>
          <w:rFonts w:asciiTheme="minorHAnsi" w:eastAsiaTheme="minorEastAsia" w:hAnsiTheme="minorHAnsi" w:cstheme="minorBidi"/>
          <w:color w:val="auto"/>
          <w:sz w:val="22"/>
          <w:szCs w:val="22"/>
          <w:lang w:eastAsia="en-AU"/>
        </w:rPr>
        <w:tab/>
      </w:r>
      <w:r>
        <w:t>Percentage of young people in full-time work, by age, Australia, 2009</w:t>
      </w:r>
      <w:r>
        <w:tab/>
      </w:r>
      <w:r w:rsidR="00C96DFB">
        <w:fldChar w:fldCharType="begin"/>
      </w:r>
      <w:r>
        <w:instrText xml:space="preserve"> PAGEREF _Toc331516815 \h </w:instrText>
      </w:r>
      <w:r w:rsidR="00C96DFB">
        <w:fldChar w:fldCharType="separate"/>
      </w:r>
      <w:r w:rsidR="00570FE0">
        <w:t>11</w:t>
      </w:r>
      <w:r w:rsidR="00C96DFB">
        <w:fldChar w:fldCharType="end"/>
      </w:r>
    </w:p>
    <w:p w:rsidR="004E7227" w:rsidRDefault="00C96DFB" w:rsidP="00E03164">
      <w:pPr>
        <w:pStyle w:val="TableofFigures"/>
        <w:tabs>
          <w:tab w:val="clear" w:pos="6804"/>
          <w:tab w:val="left" w:pos="1134"/>
          <w:tab w:val="right" w:pos="8505"/>
        </w:tabs>
        <w:ind w:left="1134" w:hanging="1134"/>
      </w:pPr>
      <w:r>
        <w:fldChar w:fldCharType="end"/>
      </w:r>
    </w:p>
    <w:p w:rsidR="00A93867" w:rsidRPr="00A93867" w:rsidRDefault="00A93867">
      <w:pPr>
        <w:spacing w:before="0" w:line="240" w:lineRule="auto"/>
        <w:rPr>
          <w:rFonts w:ascii="Tahoma" w:hAnsi="Tahoma" w:cs="Tahoma"/>
          <w:b/>
          <w:color w:val="000000"/>
          <w:kern w:val="28"/>
          <w:sz w:val="56"/>
          <w:szCs w:val="56"/>
        </w:rPr>
      </w:pPr>
      <w:r w:rsidRPr="00A93867">
        <w:rPr>
          <w:b/>
        </w:rPr>
        <w:br w:type="page"/>
      </w:r>
    </w:p>
    <w:p w:rsidR="007377D5" w:rsidRDefault="007377D5" w:rsidP="008C0A74">
      <w:pPr>
        <w:pStyle w:val="Heading1"/>
        <w:sectPr w:rsidR="007377D5" w:rsidSect="0091203A">
          <w:footerReference w:type="even" r:id="rId12"/>
          <w:footerReference w:type="default" r:id="rId13"/>
          <w:pgSz w:w="11907" w:h="16840" w:code="9"/>
          <w:pgMar w:top="1276" w:right="1701" w:bottom="1276" w:left="1418" w:header="709" w:footer="556" w:gutter="0"/>
          <w:cols w:space="708"/>
          <w:titlePg/>
          <w:docGrid w:linePitch="360"/>
        </w:sectPr>
      </w:pPr>
    </w:p>
    <w:p w:rsidR="009E231A" w:rsidRPr="005C2FCF" w:rsidRDefault="003E0D32" w:rsidP="008C0A74">
      <w:pPr>
        <w:pStyle w:val="Heading1"/>
      </w:pPr>
      <w:bookmarkStart w:id="33" w:name="_Toc331516767"/>
      <w:r>
        <w:lastRenderedPageBreak/>
        <w:t>Introduction</w:t>
      </w:r>
      <w:bookmarkEnd w:id="33"/>
    </w:p>
    <w:p w:rsidR="00EF1F19" w:rsidRDefault="00EF1F19" w:rsidP="0048643A">
      <w:pPr>
        <w:pStyle w:val="Text"/>
      </w:pPr>
      <w:r>
        <w:t>In this presentation, I first provide some context for looking at the way Australia handles youth transition</w:t>
      </w:r>
      <w:r w:rsidR="00851338">
        <w:t xml:space="preserve">, by looking at Australia’s youth labour market </w:t>
      </w:r>
      <w:r w:rsidR="00CF0E17">
        <w:t>by</w:t>
      </w:r>
      <w:r w:rsidR="00851338">
        <w:t xml:space="preserve"> comparison </w:t>
      </w:r>
      <w:r w:rsidR="00CF0E17">
        <w:t>with</w:t>
      </w:r>
      <w:r w:rsidR="00851338">
        <w:t xml:space="preserve"> other countries</w:t>
      </w:r>
      <w:r>
        <w:t>. I then briefly discuss the distinctive features of the Australian education and training system, as well as pertinent labour market issues.</w:t>
      </w:r>
      <w:r w:rsidR="00710327">
        <w:t xml:space="preserve"> I end with some final comments.</w:t>
      </w:r>
    </w:p>
    <w:p w:rsidR="00EF1F19" w:rsidRDefault="00EF1F19" w:rsidP="00EF1F19">
      <w:pPr>
        <w:pStyle w:val="Heading2"/>
      </w:pPr>
      <w:bookmarkStart w:id="34" w:name="_Toc331516768"/>
      <w:r>
        <w:t>Context</w:t>
      </w:r>
      <w:bookmarkEnd w:id="34"/>
    </w:p>
    <w:p w:rsidR="00D357B3" w:rsidRDefault="003E0D32" w:rsidP="0048643A">
      <w:pPr>
        <w:pStyle w:val="Text"/>
      </w:pPr>
      <w:r>
        <w:t>Recent data from</w:t>
      </w:r>
      <w:r w:rsidR="00D357B3">
        <w:t xml:space="preserve"> the </w:t>
      </w:r>
      <w:r w:rsidR="00CF0E17">
        <w:t>Organisation for Economic Co-operation and Development (</w:t>
      </w:r>
      <w:r w:rsidR="00D357B3">
        <w:t>OECD</w:t>
      </w:r>
      <w:r w:rsidR="00CF0E17">
        <w:t>)</w:t>
      </w:r>
      <w:r w:rsidR="00D357B3">
        <w:t xml:space="preserve"> indicate that Australia’s performance in managing youth transitions to the labour market is good, if we take youth unemployment as an indicator. Figure 1 takes two measures of youth unemployment for males aged 15</w:t>
      </w:r>
      <w:r w:rsidR="00CF0E17">
        <w:t>—</w:t>
      </w:r>
      <w:r w:rsidR="00D357B3">
        <w:t>24 years: the standard unemployment rate (unemployed as a percen</w:t>
      </w:r>
      <w:r w:rsidR="00EF1F19">
        <w:t>t</w:t>
      </w:r>
      <w:r w:rsidR="00D357B3">
        <w:t>age of those in the labour force) and the unemployment to population ratio for some 35 countries).</w:t>
      </w:r>
    </w:p>
    <w:p w:rsidR="00E87AA1" w:rsidRDefault="002A1AB1" w:rsidP="00EF1F19">
      <w:pPr>
        <w:pStyle w:val="Figuretitle"/>
      </w:pPr>
      <w:bookmarkStart w:id="35" w:name="_Toc331516810"/>
      <w:r>
        <w:t>Figure 1</w:t>
      </w:r>
      <w:r w:rsidR="00C4255D">
        <w:tab/>
      </w:r>
      <w:r>
        <w:t>Unemployment rate, unemployment</w:t>
      </w:r>
      <w:r w:rsidR="00CF0E17">
        <w:t>-</w:t>
      </w:r>
      <w:r>
        <w:t>to</w:t>
      </w:r>
      <w:r w:rsidR="00CF0E17">
        <w:t>-</w:t>
      </w:r>
      <w:r>
        <w:t>population ratio, males aged 15</w:t>
      </w:r>
      <w:r w:rsidR="00CF0E17">
        <w:t>–</w:t>
      </w:r>
      <w:r>
        <w:t>24 years, selected countries</w:t>
      </w:r>
      <w:r w:rsidR="00754DAE">
        <w:t>, 2010</w:t>
      </w:r>
      <w:bookmarkEnd w:id="35"/>
    </w:p>
    <w:p w:rsidR="007377D5" w:rsidRDefault="00CD74B6" w:rsidP="007377D5">
      <w:pPr>
        <w:tabs>
          <w:tab w:val="left" w:pos="1560"/>
        </w:tabs>
        <w:spacing w:before="0" w:line="240" w:lineRule="auto"/>
      </w:pPr>
      <w:r>
        <w:rPr>
          <w:noProof/>
          <w:lang w:eastAsia="en-AU"/>
        </w:rPr>
        <w:drawing>
          <wp:inline distT="0" distB="0" distL="0" distR="0">
            <wp:extent cx="5553221" cy="2600325"/>
            <wp:effectExtent l="19050" t="0" r="9379"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srcRect/>
                    <a:stretch>
                      <a:fillRect/>
                    </a:stretch>
                  </pic:blipFill>
                  <pic:spPr bwMode="auto">
                    <a:xfrm>
                      <a:off x="0" y="0"/>
                      <a:ext cx="5552253" cy="2599872"/>
                    </a:xfrm>
                    <a:prstGeom prst="rect">
                      <a:avLst/>
                    </a:prstGeom>
                    <a:noFill/>
                  </pic:spPr>
                </pic:pic>
              </a:graphicData>
            </a:graphic>
          </wp:inline>
        </w:drawing>
      </w:r>
    </w:p>
    <w:p w:rsidR="00721D4A" w:rsidRPr="00AE0B81" w:rsidRDefault="00721D4A" w:rsidP="00721D4A">
      <w:pPr>
        <w:pStyle w:val="Source"/>
      </w:pPr>
      <w:r w:rsidRPr="00AE0B81">
        <w:t xml:space="preserve">Note: </w:t>
      </w:r>
      <w:r>
        <w:tab/>
        <w:t>C</w:t>
      </w:r>
      <w:r w:rsidRPr="00AE0B81">
        <w:t>ountries are sorted according to the unemployed</w:t>
      </w:r>
      <w:r w:rsidR="00CF0E17">
        <w:t>-</w:t>
      </w:r>
      <w:r w:rsidRPr="00AE0B81">
        <w:t>to</w:t>
      </w:r>
      <w:r w:rsidR="00CF0E17">
        <w:t>-</w:t>
      </w:r>
      <w:r w:rsidRPr="00AE0B81">
        <w:t xml:space="preserve">population ratio. The individual country data are shown in </w:t>
      </w:r>
      <w:r w:rsidR="00CF0E17" w:rsidRPr="00AE0B81">
        <w:t xml:space="preserve">appendix </w:t>
      </w:r>
      <w:r w:rsidRPr="00AE0B81">
        <w:t>A.</w:t>
      </w:r>
    </w:p>
    <w:p w:rsidR="00754DAE" w:rsidRPr="00AE0B81" w:rsidRDefault="00D357B3" w:rsidP="00AE0B81">
      <w:pPr>
        <w:pStyle w:val="Source"/>
        <w:rPr>
          <w:szCs w:val="16"/>
        </w:rPr>
      </w:pPr>
      <w:r w:rsidRPr="00AE0B81">
        <w:t>Source:</w:t>
      </w:r>
      <w:r w:rsidR="0091203A">
        <w:tab/>
      </w:r>
      <w:r w:rsidR="00CF0E17">
        <w:t>&lt;</w:t>
      </w:r>
      <w:r w:rsidRPr="00AE0B81">
        <w:t>OECD</w:t>
      </w:r>
      <w:r w:rsidR="00CF0E17">
        <w:t>.Stat&gt;, viewed 23 April 2012.</w:t>
      </w:r>
    </w:p>
    <w:p w:rsidR="002A1AB1" w:rsidRDefault="00D357B3" w:rsidP="00E66432">
      <w:pPr>
        <w:pStyle w:val="Text"/>
        <w:spacing w:before="360"/>
        <w:ind w:right="-143"/>
      </w:pPr>
      <w:r>
        <w:t>As can be seen from figure 1</w:t>
      </w:r>
      <w:r w:rsidR="00E66432">
        <w:t>,</w:t>
      </w:r>
      <w:r>
        <w:t xml:space="preserve"> Australia by no means has the lowest youth unemployment but on both measures the level of unemployment is toward the low side. The reason for </w:t>
      </w:r>
      <w:r w:rsidR="002A1AB1">
        <w:t>looking at the unemployment</w:t>
      </w:r>
      <w:r w:rsidR="00E66432">
        <w:t>-</w:t>
      </w:r>
      <w:r w:rsidR="002A1AB1">
        <w:t>to</w:t>
      </w:r>
      <w:r w:rsidR="00E66432">
        <w:t>-</w:t>
      </w:r>
      <w:r w:rsidR="002A1AB1">
        <w:t xml:space="preserve">population rate, rather than the more usual </w:t>
      </w:r>
      <w:r w:rsidR="00710327">
        <w:t>unemployment</w:t>
      </w:r>
      <w:r w:rsidR="002A1AB1">
        <w:t xml:space="preserve"> rate, is the confounding effect of education. If large numbers of young people are in full-time education</w:t>
      </w:r>
      <w:r w:rsidR="00E66432">
        <w:t>,</w:t>
      </w:r>
      <w:r w:rsidR="002A1AB1">
        <w:t xml:space="preserve"> then the unemployment rate can give a very misleading view of the size of the problem of youth unemployment. For example, in the above figure</w:t>
      </w:r>
      <w:r w:rsidR="00E66432">
        <w:t>,</w:t>
      </w:r>
      <w:r w:rsidR="002A1AB1">
        <w:t xml:space="preserve"> Hungary (point 14) has an unemployment rate of 27.9% but only 7.7% of young people are unemployed. By contrast</w:t>
      </w:r>
      <w:r w:rsidR="0031344B">
        <w:t>,</w:t>
      </w:r>
      <w:r w:rsidR="002A1AB1">
        <w:t xml:space="preserve"> Sweden </w:t>
      </w:r>
      <w:r w:rsidR="00EF1F19">
        <w:t xml:space="preserve">(point </w:t>
      </w:r>
      <w:r w:rsidR="0031344B">
        <w:t>31</w:t>
      </w:r>
      <w:r w:rsidR="00EF1F19">
        <w:t xml:space="preserve">) </w:t>
      </w:r>
      <w:r w:rsidR="002A1AB1">
        <w:t xml:space="preserve">has a youth </w:t>
      </w:r>
      <w:r w:rsidR="0031344B">
        <w:t>unemployment</w:t>
      </w:r>
      <w:r w:rsidR="002A1AB1">
        <w:t xml:space="preserve"> rate of 26.7% but has 13.8% of young people unemployed</w:t>
      </w:r>
      <w:r w:rsidR="00754DAE">
        <w:t>, so is in a worse position than Hungary</w:t>
      </w:r>
      <w:r w:rsidR="002A1AB1">
        <w:t>.</w:t>
      </w:r>
    </w:p>
    <w:p w:rsidR="00E87AA1" w:rsidRDefault="00754DAE" w:rsidP="0048643A">
      <w:pPr>
        <w:pStyle w:val="Text"/>
      </w:pPr>
      <w:r>
        <w:t xml:space="preserve">Figure 1 shows youth unemployment for 2010. However, the youth unemployment rate has changed very significantly over time, </w:t>
      </w:r>
      <w:r w:rsidR="0031344B">
        <w:t>driven</w:t>
      </w:r>
      <w:r>
        <w:t xml:space="preserve"> by both cyclical and </w:t>
      </w:r>
      <w:r w:rsidR="0031344B">
        <w:t>structural</w:t>
      </w:r>
      <w:r>
        <w:t xml:space="preserve"> economic factors. Figure 2 gives a tim</w:t>
      </w:r>
      <w:r w:rsidR="00E87AA1">
        <w:t xml:space="preserve">e series view for </w:t>
      </w:r>
      <w:r w:rsidR="0031344B">
        <w:t>Australia</w:t>
      </w:r>
      <w:r w:rsidR="00E87AA1">
        <w:t xml:space="preserve"> and a number of comparator groupings of countries.</w:t>
      </w:r>
    </w:p>
    <w:p w:rsidR="00E03164" w:rsidRDefault="00E87AA1" w:rsidP="00EF1F19">
      <w:pPr>
        <w:pStyle w:val="Figuretitle"/>
      </w:pPr>
      <w:bookmarkStart w:id="36" w:name="_Toc331516811"/>
      <w:r>
        <w:lastRenderedPageBreak/>
        <w:t>Figure 2</w:t>
      </w:r>
      <w:r w:rsidR="00C4255D">
        <w:tab/>
      </w:r>
      <w:r>
        <w:t>Unemployment rates, males, 15</w:t>
      </w:r>
      <w:r w:rsidR="00E66432">
        <w:t xml:space="preserve"> to 24-</w:t>
      </w:r>
      <w:r>
        <w:t>year</w:t>
      </w:r>
      <w:r w:rsidR="00E66432">
        <w:t>-</w:t>
      </w:r>
      <w:r>
        <w:t xml:space="preserve">olds, Australia and selected countries, </w:t>
      </w:r>
      <w:r w:rsidR="00E66432">
        <w:br/>
      </w:r>
      <w:r>
        <w:t>1980</w:t>
      </w:r>
      <w:r w:rsidR="00E66432">
        <w:t>–</w:t>
      </w:r>
      <w:r>
        <w:t>2009</w:t>
      </w:r>
      <w:bookmarkEnd w:id="36"/>
    </w:p>
    <w:p w:rsidR="00E03164" w:rsidRDefault="000526AC" w:rsidP="00EF1F19">
      <w:pPr>
        <w:pStyle w:val="Source"/>
      </w:pPr>
      <w:r>
        <w:rPr>
          <w:noProof/>
          <w:lang w:eastAsia="en-AU"/>
        </w:rPr>
        <w:drawing>
          <wp:inline distT="0" distB="0" distL="0" distR="0">
            <wp:extent cx="4596765" cy="276796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srcRect/>
                    <a:stretch>
                      <a:fillRect/>
                    </a:stretch>
                  </pic:blipFill>
                  <pic:spPr bwMode="auto">
                    <a:xfrm>
                      <a:off x="0" y="0"/>
                      <a:ext cx="4596765" cy="2767965"/>
                    </a:xfrm>
                    <a:prstGeom prst="rect">
                      <a:avLst/>
                    </a:prstGeom>
                    <a:noFill/>
                  </pic:spPr>
                </pic:pic>
              </a:graphicData>
            </a:graphic>
          </wp:inline>
        </w:drawing>
      </w:r>
    </w:p>
    <w:p w:rsidR="00EF1F19" w:rsidRPr="00EF1F19" w:rsidRDefault="00EF1F19" w:rsidP="00EF1F19">
      <w:pPr>
        <w:pStyle w:val="Source"/>
        <w:rPr>
          <w:lang w:eastAsia="en-AU"/>
        </w:rPr>
      </w:pPr>
      <w:r>
        <w:t>Source:</w:t>
      </w:r>
      <w:r w:rsidRPr="00EF1F19">
        <w:rPr>
          <w:lang w:eastAsia="en-AU"/>
        </w:rPr>
        <w:t xml:space="preserve"> </w:t>
      </w:r>
      <w:r w:rsidR="0091203A">
        <w:rPr>
          <w:lang w:eastAsia="en-AU"/>
        </w:rPr>
        <w:tab/>
      </w:r>
      <w:r w:rsidRPr="00EF1F19">
        <w:rPr>
          <w:lang w:eastAsia="en-AU"/>
        </w:rPr>
        <w:t xml:space="preserve">World Bank, International Labour Organization, Key Indicators of the Labour Market database, </w:t>
      </w:r>
      <w:r w:rsidR="00E66432" w:rsidRPr="006026DE">
        <w:rPr>
          <w:lang w:eastAsia="en-AU"/>
        </w:rPr>
        <w:t>&lt;</w:t>
      </w:r>
      <w:r w:rsidRPr="006026DE">
        <w:rPr>
          <w:lang w:eastAsia="en-AU"/>
        </w:rPr>
        <w:t>http</w:t>
      </w:r>
      <w:r w:rsidR="006026DE" w:rsidRPr="006026DE">
        <w:rPr>
          <w:lang w:eastAsia="en-AU"/>
        </w:rPr>
        <w:t xml:space="preserve">://data.worldbank.org/indicator </w:t>
      </w:r>
      <w:r w:rsidR="00E66432" w:rsidRPr="006026DE">
        <w:rPr>
          <w:lang w:eastAsia="en-AU"/>
        </w:rPr>
        <w:t xml:space="preserve">&gt;, viewed </w:t>
      </w:r>
      <w:r w:rsidR="006026DE" w:rsidRPr="006026DE">
        <w:rPr>
          <w:lang w:eastAsia="en-AU"/>
        </w:rPr>
        <w:t>March 2012.</w:t>
      </w:r>
    </w:p>
    <w:p w:rsidR="00EF1F19" w:rsidRDefault="0031344B" w:rsidP="00E66432">
      <w:pPr>
        <w:pStyle w:val="Text"/>
        <w:spacing w:before="360"/>
        <w:ind w:right="0"/>
      </w:pPr>
      <w:r>
        <w:t>We see that there have been points where Australia’s youth unemployment rate was high, in line with</w:t>
      </w:r>
      <w:r w:rsidR="00E66432">
        <w:t> </w:t>
      </w:r>
      <w:r>
        <w:t>the experience of many countries. However, while Australia’s youth unemployment rate has increased</w:t>
      </w:r>
      <w:r w:rsidR="00E66432">
        <w:t> </w:t>
      </w:r>
      <w:r>
        <w:t xml:space="preserve">over the time of the recent </w:t>
      </w:r>
      <w:r w:rsidR="00E66432">
        <w:t>Global Financial Crisis</w:t>
      </w:r>
      <w:r>
        <w:t xml:space="preserve">, the increase has been relatively modest. </w:t>
      </w:r>
      <w:r w:rsidR="00E66432">
        <w:t xml:space="preserve">Perhaps </w:t>
      </w:r>
      <w:r>
        <w:t>this is</w:t>
      </w:r>
      <w:r w:rsidR="003B280D">
        <w:t xml:space="preserve"> because of the emphasis that is being placed on education and training, </w:t>
      </w:r>
      <w:r w:rsidR="00710327">
        <w:t>particularly</w:t>
      </w:r>
      <w:r w:rsidR="003B280D">
        <w:t xml:space="preserve"> if a young person has not obtained a full-time job</w:t>
      </w:r>
      <w:r>
        <w:t xml:space="preserve">, </w:t>
      </w:r>
      <w:r w:rsidR="00D128B0">
        <w:t>al</w:t>
      </w:r>
      <w:r>
        <w:t>though</w:t>
      </w:r>
      <w:r w:rsidR="003B280D">
        <w:t xml:space="preserve"> part of the reason may be due</w:t>
      </w:r>
      <w:r>
        <w:t xml:space="preserve"> to Australia’s relatively good economic performance</w:t>
      </w:r>
      <w:r w:rsidR="00E66432">
        <w:t>,</w:t>
      </w:r>
      <w:r>
        <w:t xml:space="preserve"> driven by the resources sector (allied to economic growth particularly in China</w:t>
      </w:r>
      <w:r w:rsidR="00606445">
        <w:t>)</w:t>
      </w:r>
      <w:r>
        <w:t>.</w:t>
      </w:r>
    </w:p>
    <w:p w:rsidR="000B501C" w:rsidRDefault="000B501C" w:rsidP="00E87AA1">
      <w:pPr>
        <w:pStyle w:val="Text"/>
      </w:pPr>
      <w:r>
        <w:t xml:space="preserve">We should point out that Australia’s performance is middling in terms of the relationship between youth and total </w:t>
      </w:r>
      <w:r w:rsidR="00710327">
        <w:t>unemployment</w:t>
      </w:r>
      <w:r>
        <w:t>. In figure 3, we show the ratio of the unemployment rate for males,15</w:t>
      </w:r>
      <w:r w:rsidR="00E66432">
        <w:t>—</w:t>
      </w:r>
      <w:r>
        <w:t>24 years to the corresponding rate for males 15</w:t>
      </w:r>
      <w:r w:rsidR="00E66432">
        <w:t>—</w:t>
      </w:r>
      <w:r>
        <w:t>64 years for 2010. Interestingly, these ratios within countries are remarkably stable across time</w:t>
      </w:r>
      <w:r w:rsidR="007E244A">
        <w:t xml:space="preserve">, suggesting that the rapid increase in youth unemployment rates is largely driven by </w:t>
      </w:r>
      <w:r w:rsidR="00710327">
        <w:t>macroeconomic</w:t>
      </w:r>
      <w:r w:rsidR="007E244A">
        <w:t xml:space="preserve"> labour market conditions</w:t>
      </w:r>
      <w:r>
        <w:t>.</w:t>
      </w:r>
    </w:p>
    <w:p w:rsidR="003E2EC5" w:rsidRDefault="003E2EC5">
      <w:pPr>
        <w:spacing w:before="0" w:line="240" w:lineRule="auto"/>
        <w:rPr>
          <w:rFonts w:ascii="Tahoma" w:hAnsi="Tahoma"/>
          <w:b/>
          <w:sz w:val="17"/>
        </w:rPr>
      </w:pPr>
    </w:p>
    <w:p w:rsidR="0091203A" w:rsidRDefault="0091203A">
      <w:pPr>
        <w:spacing w:before="0" w:line="240" w:lineRule="auto"/>
        <w:rPr>
          <w:rFonts w:ascii="Tahoma" w:hAnsi="Tahoma"/>
          <w:b/>
          <w:sz w:val="17"/>
        </w:rPr>
      </w:pPr>
      <w:r>
        <w:br w:type="page"/>
      </w:r>
    </w:p>
    <w:p w:rsidR="000B501C" w:rsidRDefault="000B501C" w:rsidP="002765F4">
      <w:pPr>
        <w:pStyle w:val="Figuretitle"/>
      </w:pPr>
      <w:bookmarkStart w:id="37" w:name="_Toc331516812"/>
      <w:r>
        <w:lastRenderedPageBreak/>
        <w:t>Figure 3</w:t>
      </w:r>
      <w:r w:rsidR="00C4255D">
        <w:tab/>
      </w:r>
      <w:r>
        <w:t xml:space="preserve">The ratio </w:t>
      </w:r>
      <w:r w:rsidR="002765F4">
        <w:t>of the unemployment rate of males, 15</w:t>
      </w:r>
      <w:r w:rsidR="00E66432">
        <w:t>–</w:t>
      </w:r>
      <w:r w:rsidR="002765F4">
        <w:t>24 years</w:t>
      </w:r>
      <w:r w:rsidR="00E66432">
        <w:t>,</w:t>
      </w:r>
      <w:r w:rsidR="002765F4">
        <w:t xml:space="preserve"> relative to that of males, </w:t>
      </w:r>
      <w:r w:rsidR="00E66432">
        <w:br/>
      </w:r>
      <w:r w:rsidR="002765F4">
        <w:t>15</w:t>
      </w:r>
      <w:r w:rsidR="00E66432">
        <w:t>–</w:t>
      </w:r>
      <w:r w:rsidR="002765F4">
        <w:t>64 years</w:t>
      </w:r>
      <w:bookmarkEnd w:id="37"/>
    </w:p>
    <w:p w:rsidR="003E2EC5" w:rsidRDefault="003E2EC5">
      <w:pPr>
        <w:spacing w:before="0" w:line="240" w:lineRule="auto"/>
      </w:pPr>
      <w:r>
        <w:rPr>
          <w:noProof/>
          <w:lang w:eastAsia="en-AU"/>
        </w:rPr>
        <w:drawing>
          <wp:inline distT="0" distB="0" distL="0" distR="0">
            <wp:extent cx="5206365" cy="2767965"/>
            <wp:effectExtent l="19050" t="0" r="0" b="0"/>
            <wp:docPr id="1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srcRect/>
                    <a:stretch>
                      <a:fillRect/>
                    </a:stretch>
                  </pic:blipFill>
                  <pic:spPr bwMode="auto">
                    <a:xfrm>
                      <a:off x="0" y="0"/>
                      <a:ext cx="5206365" cy="2767965"/>
                    </a:xfrm>
                    <a:prstGeom prst="rect">
                      <a:avLst/>
                    </a:prstGeom>
                    <a:noFill/>
                  </pic:spPr>
                </pic:pic>
              </a:graphicData>
            </a:graphic>
          </wp:inline>
        </w:drawing>
      </w:r>
    </w:p>
    <w:p w:rsidR="00035E12" w:rsidRPr="00035E12" w:rsidRDefault="002765F4" w:rsidP="00035E12">
      <w:pPr>
        <w:pStyle w:val="Source"/>
        <w:rPr>
          <w:lang w:eastAsia="en-AU"/>
        </w:rPr>
      </w:pPr>
      <w:r>
        <w:t>Source:</w:t>
      </w:r>
      <w:r w:rsidR="0091203A">
        <w:tab/>
      </w:r>
      <w:r w:rsidR="00035E12">
        <w:t xml:space="preserve">Derived from </w:t>
      </w:r>
      <w:r w:rsidR="00035E12" w:rsidRPr="00035E12">
        <w:rPr>
          <w:lang w:eastAsia="en-AU"/>
        </w:rPr>
        <w:t>I</w:t>
      </w:r>
      <w:r w:rsidR="00E66432">
        <w:rPr>
          <w:lang w:eastAsia="en-AU"/>
        </w:rPr>
        <w:t xml:space="preserve">nternational </w:t>
      </w:r>
      <w:r w:rsidR="00035E12" w:rsidRPr="00035E12">
        <w:rPr>
          <w:lang w:eastAsia="en-AU"/>
        </w:rPr>
        <w:t>L</w:t>
      </w:r>
      <w:r w:rsidR="00E66432">
        <w:rPr>
          <w:lang w:eastAsia="en-AU"/>
        </w:rPr>
        <w:t xml:space="preserve">abour </w:t>
      </w:r>
      <w:r w:rsidR="00035E12" w:rsidRPr="00035E12">
        <w:rPr>
          <w:lang w:eastAsia="en-AU"/>
        </w:rPr>
        <w:t>O</w:t>
      </w:r>
      <w:r w:rsidR="00E66432">
        <w:rPr>
          <w:lang w:eastAsia="en-AU"/>
        </w:rPr>
        <w:t>rganisation 2012,</w:t>
      </w:r>
      <w:r w:rsidR="00035E12" w:rsidRPr="00035E12">
        <w:rPr>
          <w:lang w:eastAsia="en-AU"/>
        </w:rPr>
        <w:t xml:space="preserve"> </w:t>
      </w:r>
      <w:r w:rsidR="00035E12" w:rsidRPr="00035E12">
        <w:rPr>
          <w:i/>
          <w:iCs/>
          <w:lang w:eastAsia="en-AU"/>
        </w:rPr>
        <w:t>Short-term indicators of the labour market</w:t>
      </w:r>
      <w:r w:rsidR="00035E12" w:rsidRPr="00035E12">
        <w:rPr>
          <w:lang w:eastAsia="en-AU"/>
        </w:rPr>
        <w:t xml:space="preserve">, </w:t>
      </w:r>
      <w:r w:rsidR="00E66432">
        <w:rPr>
          <w:lang w:eastAsia="en-AU"/>
        </w:rPr>
        <w:t xml:space="preserve">ILO, Geneva, viewed </w:t>
      </w:r>
      <w:r w:rsidR="00035E12" w:rsidRPr="00035E12">
        <w:rPr>
          <w:lang w:eastAsia="en-AU"/>
        </w:rPr>
        <w:t xml:space="preserve">March 2012, </w:t>
      </w:r>
      <w:r w:rsidR="00E66432">
        <w:rPr>
          <w:lang w:eastAsia="en-AU"/>
        </w:rPr>
        <w:t>&lt;</w:t>
      </w:r>
      <w:r w:rsidR="00035E12" w:rsidRPr="00035E12">
        <w:rPr>
          <w:lang w:eastAsia="en-AU"/>
        </w:rPr>
        <w:t>http://laborsta.ilo.org/sti/sti_E.html</w:t>
      </w:r>
      <w:r w:rsidR="00E66432">
        <w:rPr>
          <w:lang w:eastAsia="en-AU"/>
        </w:rPr>
        <w:t>&gt;.</w:t>
      </w:r>
    </w:p>
    <w:p w:rsidR="003B280D" w:rsidRDefault="003B280D" w:rsidP="0044674F">
      <w:pPr>
        <w:pStyle w:val="Heading2"/>
      </w:pPr>
      <w:bookmarkStart w:id="38" w:name="_Toc331516769"/>
      <w:r>
        <w:t xml:space="preserve">Features of Australia’s education and training system relevant to </w:t>
      </w:r>
      <w:r w:rsidR="006D7CE2">
        <w:br/>
      </w:r>
      <w:r>
        <w:t>youth transitions</w:t>
      </w:r>
      <w:bookmarkEnd w:id="38"/>
    </w:p>
    <w:p w:rsidR="003B280D" w:rsidRDefault="003B280D" w:rsidP="0048643A">
      <w:pPr>
        <w:pStyle w:val="Text"/>
      </w:pPr>
      <w:r>
        <w:t xml:space="preserve">There are </w:t>
      </w:r>
      <w:r w:rsidR="002765F4">
        <w:t xml:space="preserve">a number of </w:t>
      </w:r>
      <w:r>
        <w:t xml:space="preserve">features that </w:t>
      </w:r>
      <w:r w:rsidR="002765F4">
        <w:t>I wish to discuss</w:t>
      </w:r>
      <w:r>
        <w:t>: the emphasis being placed on education and training; the apprenti</w:t>
      </w:r>
      <w:r w:rsidR="007E244A">
        <w:t>ce</w:t>
      </w:r>
      <w:r>
        <w:t>ship and traineeship system; vocational education and training</w:t>
      </w:r>
      <w:r w:rsidR="00E66432">
        <w:t xml:space="preserve"> (VET)</w:t>
      </w:r>
      <w:r>
        <w:t xml:space="preserve"> in schools; and the extent of part-time work among students.</w:t>
      </w:r>
    </w:p>
    <w:p w:rsidR="003B280D" w:rsidRDefault="003B280D" w:rsidP="0044674F">
      <w:pPr>
        <w:pStyle w:val="Heading3"/>
      </w:pPr>
      <w:r>
        <w:t>Emphasis on education and training</w:t>
      </w:r>
    </w:p>
    <w:p w:rsidR="00846AF2" w:rsidRDefault="003B280D" w:rsidP="0048643A">
      <w:pPr>
        <w:pStyle w:val="Text"/>
      </w:pPr>
      <w:r>
        <w:t>It is an accepted fact in the Australian context that those with better educational qualifications have higher labour force participation rates and low unemployment rates than those with lower</w:t>
      </w:r>
      <w:r w:rsidR="00356DDA">
        <w:t>-</w:t>
      </w:r>
      <w:r>
        <w:t>level qualifications. This has been the fundamental underpinning of increases in the school leaving age from 15</w:t>
      </w:r>
      <w:r w:rsidR="00606445">
        <w:rPr>
          <w:rStyle w:val="FootnoteReference"/>
        </w:rPr>
        <w:footnoteReference w:id="1"/>
      </w:r>
      <w:r>
        <w:t xml:space="preserve"> and a push for higher</w:t>
      </w:r>
      <w:r w:rsidR="00356DDA">
        <w:t>-</w:t>
      </w:r>
      <w:r>
        <w:t xml:space="preserve">level vocational qualifications and new targets for the proportion of an age cohort with a </w:t>
      </w:r>
      <w:r w:rsidR="007E244A">
        <w:t>university</w:t>
      </w:r>
      <w:r>
        <w:t xml:space="preserve"> degree. It also has been behind the change in rhetoric from</w:t>
      </w:r>
      <w:r w:rsidR="00846AF2">
        <w:t xml:space="preserve"> a singular focus on completion of school to </w:t>
      </w:r>
      <w:proofErr w:type="gramStart"/>
      <w:r w:rsidR="00356DDA">
        <w:t xml:space="preserve">a </w:t>
      </w:r>
      <w:r w:rsidR="00710327">
        <w:t>recognition</w:t>
      </w:r>
      <w:proofErr w:type="gramEnd"/>
      <w:r w:rsidR="00846AF2">
        <w:t xml:space="preserve"> that vocational pathways also have merit. So concepts such </w:t>
      </w:r>
      <w:r w:rsidR="00356DDA">
        <w:t xml:space="preserve">as </w:t>
      </w:r>
      <w:r w:rsidR="00846AF2">
        <w:t>‘</w:t>
      </w:r>
      <w:r w:rsidR="00356DDA">
        <w:t xml:space="preserve">Year </w:t>
      </w:r>
      <w:r w:rsidR="00846AF2">
        <w:t>12 (</w:t>
      </w:r>
      <w:r w:rsidR="00356DDA">
        <w:t>that is,</w:t>
      </w:r>
      <w:r w:rsidR="00846AF2">
        <w:t xml:space="preserve"> school completion) or its vocational equivalent’ and targets incorporating </w:t>
      </w:r>
      <w:r w:rsidR="00356DDA">
        <w:t xml:space="preserve">Year </w:t>
      </w:r>
      <w:r w:rsidR="00846AF2">
        <w:t xml:space="preserve">12 or certificate III (the </w:t>
      </w:r>
      <w:r w:rsidR="00710327">
        <w:t>vocational</w:t>
      </w:r>
      <w:r w:rsidR="00846AF2">
        <w:t xml:space="preserve"> qualification that is the cornerstone of the </w:t>
      </w:r>
      <w:r w:rsidR="00710327">
        <w:t>vocational</w:t>
      </w:r>
      <w:r w:rsidR="00846AF2">
        <w:t xml:space="preserve"> and education system) feature heavily in policy discussions.</w:t>
      </w:r>
    </w:p>
    <w:p w:rsidR="00846AF2" w:rsidRDefault="00846AF2" w:rsidP="0048643A">
      <w:pPr>
        <w:pStyle w:val="Text"/>
      </w:pPr>
      <w:r>
        <w:t xml:space="preserve">Internationally, Australia now has a very high proportion of its population attending tertiary education of some description. Internationally comparable data are hard to get, but this point is made by gross </w:t>
      </w:r>
      <w:r w:rsidR="00710327">
        <w:t>enrolments</w:t>
      </w:r>
      <w:r>
        <w:t xml:space="preserve"> rates in tertiary education </w:t>
      </w:r>
      <w:r w:rsidR="00710327">
        <w:t>compiled</w:t>
      </w:r>
      <w:r>
        <w:t xml:space="preserve"> by UNESCO</w:t>
      </w:r>
      <w:r w:rsidR="00356DDA">
        <w:t>.</w:t>
      </w:r>
      <w:r>
        <w:rPr>
          <w:rStyle w:val="FootnoteReference"/>
        </w:rPr>
        <w:footnoteReference w:id="2"/>
      </w:r>
      <w:r w:rsidR="006A5457">
        <w:t xml:space="preserve"> Figure </w:t>
      </w:r>
      <w:r w:rsidR="002765F4">
        <w:t>4</w:t>
      </w:r>
      <w:r w:rsidR="006A5457">
        <w:t xml:space="preserve"> shows where A</w:t>
      </w:r>
      <w:r>
        <w:t>ustralia sits internationally.</w:t>
      </w:r>
    </w:p>
    <w:p w:rsidR="006A5457" w:rsidRDefault="006A5457" w:rsidP="002765F4">
      <w:pPr>
        <w:pStyle w:val="Figuretitle"/>
      </w:pPr>
      <w:bookmarkStart w:id="39" w:name="_Toc331516813"/>
      <w:r>
        <w:lastRenderedPageBreak/>
        <w:t xml:space="preserve">Figure </w:t>
      </w:r>
      <w:r w:rsidR="008E38FC">
        <w:t>4</w:t>
      </w:r>
      <w:r w:rsidR="00C4255D">
        <w:tab/>
      </w:r>
      <w:r>
        <w:t xml:space="preserve">Gross enrolments rates in tertiary education, selected countries, </w:t>
      </w:r>
      <w:proofErr w:type="gramStart"/>
      <w:r>
        <w:t>2008</w:t>
      </w:r>
      <w:bookmarkEnd w:id="39"/>
      <w:proofErr w:type="gramEnd"/>
    </w:p>
    <w:p w:rsidR="003E2EC5" w:rsidRDefault="003E2EC5" w:rsidP="003E2EC5">
      <w:pPr>
        <w:pStyle w:val="Source"/>
      </w:pPr>
      <w:r>
        <w:rPr>
          <w:noProof/>
          <w:lang w:eastAsia="en-AU"/>
        </w:rPr>
        <w:drawing>
          <wp:inline distT="0" distB="0" distL="0" distR="0">
            <wp:extent cx="5487035" cy="276796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srcRect/>
                    <a:stretch>
                      <a:fillRect/>
                    </a:stretch>
                  </pic:blipFill>
                  <pic:spPr bwMode="auto">
                    <a:xfrm>
                      <a:off x="0" y="0"/>
                      <a:ext cx="5487035" cy="2767965"/>
                    </a:xfrm>
                    <a:prstGeom prst="rect">
                      <a:avLst/>
                    </a:prstGeom>
                    <a:noFill/>
                  </pic:spPr>
                </pic:pic>
              </a:graphicData>
            </a:graphic>
          </wp:inline>
        </w:drawing>
      </w:r>
    </w:p>
    <w:p w:rsidR="006A5457" w:rsidRDefault="003E2EC5" w:rsidP="003E2EC5">
      <w:pPr>
        <w:pStyle w:val="Source"/>
      </w:pPr>
      <w:r>
        <w:t>Source:</w:t>
      </w:r>
      <w:r w:rsidR="0091203A">
        <w:tab/>
      </w:r>
      <w:r w:rsidR="00410046">
        <w:t>&lt;</w:t>
      </w:r>
      <w:r w:rsidR="00356DDA" w:rsidRPr="00410046">
        <w:rPr>
          <w:lang w:eastAsia="en-AU"/>
        </w:rPr>
        <w:t>http://social.un.org/index/Youth/OurWork/Youthdevelopmentindicators.aspx</w:t>
      </w:r>
      <w:r w:rsidR="00410046">
        <w:rPr>
          <w:lang w:eastAsia="en-AU"/>
        </w:rPr>
        <w:t>&gt;</w:t>
      </w:r>
      <w:r w:rsidR="00356DDA">
        <w:rPr>
          <w:lang w:eastAsia="en-AU"/>
        </w:rPr>
        <w:t xml:space="preserve">, </w:t>
      </w:r>
      <w:r w:rsidR="00356DDA" w:rsidRPr="00410046">
        <w:rPr>
          <w:lang w:eastAsia="en-AU"/>
        </w:rPr>
        <w:t xml:space="preserve">viewed </w:t>
      </w:r>
      <w:r w:rsidR="00410046">
        <w:rPr>
          <w:lang w:eastAsia="en-AU"/>
        </w:rPr>
        <w:t>March 2012.</w:t>
      </w:r>
    </w:p>
    <w:p w:rsidR="006A5457" w:rsidRDefault="006A5457" w:rsidP="00356DDA">
      <w:pPr>
        <w:pStyle w:val="Text"/>
        <w:spacing w:before="360"/>
        <w:ind w:right="0"/>
      </w:pPr>
      <w:r>
        <w:t>While one would not interpret these rates li</w:t>
      </w:r>
      <w:r w:rsidR="00AE0B81">
        <w:t>terally, they do indicate that A</w:t>
      </w:r>
      <w:r>
        <w:t>ustralia has a very high rate of tertiary education. Using more recent educational particip</w:t>
      </w:r>
      <w:r w:rsidR="00356DDA">
        <w:t>a</w:t>
      </w:r>
      <w:r>
        <w:t>tion data (not readily availab</w:t>
      </w:r>
      <w:r w:rsidR="00356DDA">
        <w:t>l</w:t>
      </w:r>
      <w:r>
        <w:t>e internationally)</w:t>
      </w:r>
      <w:r w:rsidR="00356DDA">
        <w:t>,</w:t>
      </w:r>
      <w:r>
        <w:t xml:space="preserve"> we see that the proportion of the population still in full-time education ranges from </w:t>
      </w:r>
      <w:r w:rsidR="0082093F">
        <w:t>around</w:t>
      </w:r>
      <w:r w:rsidR="00851338">
        <w:t xml:space="preserve"> 90% at age 16 years to around 20</w:t>
      </w:r>
      <w:r w:rsidR="00356DDA">
        <w:t>%</w:t>
      </w:r>
      <w:r w:rsidR="00851338">
        <w:t xml:space="preserve"> at age 24 years</w:t>
      </w:r>
      <w:r>
        <w:t xml:space="preserve"> (</w:t>
      </w:r>
      <w:r w:rsidR="00356DDA">
        <w:t>f</w:t>
      </w:r>
      <w:r>
        <w:t>igure 4)</w:t>
      </w:r>
      <w:r w:rsidR="00356DDA">
        <w:t>.</w:t>
      </w:r>
    </w:p>
    <w:p w:rsidR="006A5457" w:rsidRDefault="006A5457" w:rsidP="00B169E3">
      <w:pPr>
        <w:pStyle w:val="Figuretitle"/>
      </w:pPr>
      <w:bookmarkStart w:id="40" w:name="_Toc331516814"/>
      <w:r>
        <w:t xml:space="preserve">Figure </w:t>
      </w:r>
      <w:proofErr w:type="gramStart"/>
      <w:r w:rsidR="008E38FC">
        <w:t>5</w:t>
      </w:r>
      <w:r w:rsidR="00C4255D">
        <w:tab/>
        <w:t>F</w:t>
      </w:r>
      <w:r>
        <w:t>ull-time education participation,</w:t>
      </w:r>
      <w:proofErr w:type="gramEnd"/>
      <w:r>
        <w:t xml:space="preserve"> Australia, 20</w:t>
      </w:r>
      <w:r w:rsidR="00035E12">
        <w:t>09</w:t>
      </w:r>
      <w:bookmarkEnd w:id="40"/>
    </w:p>
    <w:p w:rsidR="003E2EC5" w:rsidRDefault="00CD74B6">
      <w:pPr>
        <w:spacing w:before="0" w:line="240" w:lineRule="auto"/>
      </w:pPr>
      <w:r>
        <w:rPr>
          <w:noProof/>
          <w:lang w:eastAsia="en-AU"/>
        </w:rPr>
        <w:drawing>
          <wp:inline distT="0" distB="0" distL="0" distR="0">
            <wp:extent cx="4596765" cy="2920365"/>
            <wp:effectExtent l="19050" t="0" r="0" b="0"/>
            <wp:docPr id="1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srcRect/>
                    <a:stretch>
                      <a:fillRect/>
                    </a:stretch>
                  </pic:blipFill>
                  <pic:spPr bwMode="auto">
                    <a:xfrm>
                      <a:off x="0" y="0"/>
                      <a:ext cx="4596765" cy="2920365"/>
                    </a:xfrm>
                    <a:prstGeom prst="rect">
                      <a:avLst/>
                    </a:prstGeom>
                    <a:noFill/>
                  </pic:spPr>
                </pic:pic>
              </a:graphicData>
            </a:graphic>
          </wp:inline>
        </w:drawing>
      </w:r>
    </w:p>
    <w:p w:rsidR="003E2EC5" w:rsidRDefault="00CA27DA" w:rsidP="00CA27DA">
      <w:pPr>
        <w:pStyle w:val="Source"/>
      </w:pPr>
      <w:r w:rsidRPr="00B169E3">
        <w:rPr>
          <w:lang w:eastAsia="en-AU"/>
        </w:rPr>
        <w:t xml:space="preserve">Source: </w:t>
      </w:r>
      <w:r w:rsidR="0091203A">
        <w:rPr>
          <w:lang w:eastAsia="en-AU"/>
        </w:rPr>
        <w:tab/>
      </w:r>
      <w:r w:rsidRPr="00B169E3">
        <w:rPr>
          <w:lang w:eastAsia="en-AU"/>
        </w:rPr>
        <w:t>Australian Bureau of Statistics 2009 Survey of</w:t>
      </w:r>
      <w:r>
        <w:rPr>
          <w:lang w:eastAsia="en-AU"/>
        </w:rPr>
        <w:t xml:space="preserve"> Education and Training, </w:t>
      </w:r>
      <w:r w:rsidR="00356DDA">
        <w:rPr>
          <w:lang w:eastAsia="en-AU"/>
        </w:rPr>
        <w:t xml:space="preserve">basic </w:t>
      </w:r>
      <w:r>
        <w:rPr>
          <w:lang w:eastAsia="en-AU"/>
        </w:rPr>
        <w:t xml:space="preserve">confidentialised unit </w:t>
      </w:r>
      <w:proofErr w:type="gramStart"/>
      <w:r>
        <w:rPr>
          <w:lang w:eastAsia="en-AU"/>
        </w:rPr>
        <w:t>record file</w:t>
      </w:r>
      <w:proofErr w:type="gramEnd"/>
      <w:r w:rsidR="00356DDA">
        <w:rPr>
          <w:lang w:eastAsia="en-AU"/>
        </w:rPr>
        <w:t>.</w:t>
      </w:r>
    </w:p>
    <w:p w:rsidR="006A5457" w:rsidRDefault="006A5457" w:rsidP="00356DDA">
      <w:pPr>
        <w:pStyle w:val="Text"/>
        <w:spacing w:before="360"/>
        <w:ind w:right="0"/>
      </w:pPr>
      <w:r>
        <w:t>Th</w:t>
      </w:r>
      <w:r w:rsidR="00410046">
        <w:t>is high rate of educational par</w:t>
      </w:r>
      <w:r>
        <w:t>tic</w:t>
      </w:r>
      <w:r w:rsidR="00410046">
        <w:t>i</w:t>
      </w:r>
      <w:r>
        <w:t xml:space="preserve">pation has two impacts on youth transition. First, it reduces </w:t>
      </w:r>
      <w:r w:rsidR="00356DDA">
        <w:t>the number of young people comp</w:t>
      </w:r>
      <w:r>
        <w:t>eting for full-time jobs (taking full-time employment as the most obvious alternative to full-time study</w:t>
      </w:r>
      <w:r w:rsidR="00035E12">
        <w:t>)</w:t>
      </w:r>
      <w:r>
        <w:t>. Second</w:t>
      </w:r>
      <w:r w:rsidR="00356DDA">
        <w:t>,</w:t>
      </w:r>
      <w:r>
        <w:t xml:space="preserve"> it means that the cohort of new entrants to the labour market is spread over </w:t>
      </w:r>
      <w:r w:rsidR="00356DDA">
        <w:t>the</w:t>
      </w:r>
      <w:r>
        <w:t xml:space="preserve"> wider range of ages that would be the case if everyone entered the labour mark</w:t>
      </w:r>
      <w:r w:rsidR="0072360E">
        <w:t>e</w:t>
      </w:r>
      <w:r>
        <w:t>t immediate</w:t>
      </w:r>
      <w:r w:rsidR="0072360E">
        <w:t>l</w:t>
      </w:r>
      <w:r>
        <w:t>y after reaching school leaving age</w:t>
      </w:r>
      <w:r w:rsidR="00B63283">
        <w:t xml:space="preserve">, as can be seen from figure </w:t>
      </w:r>
      <w:r w:rsidR="00035E12">
        <w:t>6</w:t>
      </w:r>
      <w:r w:rsidR="00B63283">
        <w:t>.</w:t>
      </w:r>
    </w:p>
    <w:p w:rsidR="00CA27DA" w:rsidRDefault="00CA27DA">
      <w:pPr>
        <w:spacing w:before="0" w:line="240" w:lineRule="auto"/>
        <w:rPr>
          <w:rFonts w:ascii="Tahoma" w:hAnsi="Tahoma"/>
          <w:b/>
          <w:sz w:val="17"/>
        </w:rPr>
      </w:pPr>
      <w:r>
        <w:br w:type="page"/>
      </w:r>
    </w:p>
    <w:p w:rsidR="006A5457" w:rsidRDefault="006A5457" w:rsidP="00CA27DA">
      <w:pPr>
        <w:pStyle w:val="Figuretitle"/>
      </w:pPr>
      <w:bookmarkStart w:id="41" w:name="_Toc331516815"/>
      <w:r>
        <w:lastRenderedPageBreak/>
        <w:t xml:space="preserve">Figure </w:t>
      </w:r>
      <w:r w:rsidR="00F85882">
        <w:t>6</w:t>
      </w:r>
      <w:r w:rsidR="00C4255D">
        <w:tab/>
      </w:r>
      <w:r w:rsidR="00B63283">
        <w:t>Percentage of young pe</w:t>
      </w:r>
      <w:r w:rsidR="00F85882">
        <w:t>o</w:t>
      </w:r>
      <w:r w:rsidR="00B63283">
        <w:t>ple in full-time work, by age, Australia, 2009</w:t>
      </w:r>
      <w:bookmarkEnd w:id="41"/>
    </w:p>
    <w:p w:rsidR="00CA27DA" w:rsidRDefault="00B80997">
      <w:pPr>
        <w:spacing w:before="0" w:line="240" w:lineRule="auto"/>
        <w:rPr>
          <w:noProof/>
          <w:lang w:eastAsia="en-AU"/>
        </w:rPr>
      </w:pPr>
      <w:r>
        <w:rPr>
          <w:noProof/>
          <w:lang w:eastAsia="en-AU"/>
        </w:rPr>
        <w:drawing>
          <wp:inline distT="0" distB="0" distL="0" distR="0">
            <wp:extent cx="4596765" cy="2767965"/>
            <wp:effectExtent l="19050" t="0" r="0" b="0"/>
            <wp:docPr id="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srcRect/>
                    <a:stretch>
                      <a:fillRect/>
                    </a:stretch>
                  </pic:blipFill>
                  <pic:spPr bwMode="auto">
                    <a:xfrm>
                      <a:off x="0" y="0"/>
                      <a:ext cx="4596765" cy="2767965"/>
                    </a:xfrm>
                    <a:prstGeom prst="rect">
                      <a:avLst/>
                    </a:prstGeom>
                    <a:noFill/>
                  </pic:spPr>
                </pic:pic>
              </a:graphicData>
            </a:graphic>
          </wp:inline>
        </w:drawing>
      </w:r>
    </w:p>
    <w:p w:rsidR="00CA27DA" w:rsidRDefault="00CA27DA" w:rsidP="00CA27DA">
      <w:pPr>
        <w:pStyle w:val="Source"/>
      </w:pPr>
      <w:r w:rsidRPr="00B169E3">
        <w:rPr>
          <w:lang w:eastAsia="en-AU"/>
        </w:rPr>
        <w:t>Source: Australian Bureau of Statistics 2009</w:t>
      </w:r>
      <w:r w:rsidR="00356DDA">
        <w:rPr>
          <w:lang w:eastAsia="en-AU"/>
        </w:rPr>
        <w:t>,</w:t>
      </w:r>
      <w:r w:rsidRPr="00B169E3">
        <w:rPr>
          <w:lang w:eastAsia="en-AU"/>
        </w:rPr>
        <w:t xml:space="preserve"> Survey of Education and Training, </w:t>
      </w:r>
      <w:r w:rsidR="00356DDA">
        <w:rPr>
          <w:lang w:eastAsia="en-AU"/>
        </w:rPr>
        <w:t xml:space="preserve">basic </w:t>
      </w:r>
      <w:r>
        <w:rPr>
          <w:lang w:eastAsia="en-AU"/>
        </w:rPr>
        <w:t xml:space="preserve">confidentialised unit </w:t>
      </w:r>
      <w:proofErr w:type="gramStart"/>
      <w:r>
        <w:rPr>
          <w:lang w:eastAsia="en-AU"/>
        </w:rPr>
        <w:t>record file</w:t>
      </w:r>
      <w:proofErr w:type="gramEnd"/>
      <w:r w:rsidR="00356DDA">
        <w:rPr>
          <w:lang w:eastAsia="en-AU"/>
        </w:rPr>
        <w:t>.</w:t>
      </w:r>
    </w:p>
    <w:p w:rsidR="00B63283" w:rsidRDefault="00710327" w:rsidP="00FC2F0C">
      <w:pPr>
        <w:pStyle w:val="Text"/>
        <w:spacing w:before="360"/>
        <w:ind w:right="-284"/>
      </w:pPr>
      <w:r>
        <w:t>In fact in Australia there are a relatively large number of pathways from full-time education to the</w:t>
      </w:r>
      <w:r w:rsidR="00FC2F0C">
        <w:t xml:space="preserve"> </w:t>
      </w:r>
      <w:r>
        <w:t>labour</w:t>
      </w:r>
      <w:r w:rsidR="00FC2F0C">
        <w:t> </w:t>
      </w:r>
      <w:r>
        <w:t xml:space="preserve">market. </w:t>
      </w:r>
      <w:r w:rsidR="00B63283">
        <w:t>Karmel and Liu</w:t>
      </w:r>
      <w:r w:rsidR="00356DDA">
        <w:t xml:space="preserve"> (2011)</w:t>
      </w:r>
      <w:r w:rsidR="00B63283">
        <w:t xml:space="preserve"> looked at the relative success of the various pathways, listed below in </w:t>
      </w:r>
      <w:r w:rsidR="00356DDA">
        <w:t>t</w:t>
      </w:r>
      <w:r w:rsidR="00B63283">
        <w:t xml:space="preserve">able 1. </w:t>
      </w:r>
      <w:r w:rsidR="00035E12">
        <w:t>It is this range of pathways that creates the gradual transition to full-time employment.</w:t>
      </w:r>
    </w:p>
    <w:p w:rsidR="00EA070F" w:rsidRDefault="00B169E3" w:rsidP="00EA070F">
      <w:pPr>
        <w:pStyle w:val="tabletitle"/>
      </w:pPr>
      <w:bookmarkStart w:id="42" w:name="_Toc297308746"/>
      <w:bookmarkStart w:id="43" w:name="_Toc331516800"/>
      <w:r>
        <w:t>Table 1</w:t>
      </w:r>
      <w:r w:rsidR="00EA070F">
        <w:t>A</w:t>
      </w:r>
      <w:r w:rsidR="0072360E">
        <w:tab/>
      </w:r>
      <w:r w:rsidR="00AF6A7B">
        <w:t>E</w:t>
      </w:r>
      <w:r w:rsidR="00EA070F">
        <w:t>ducation paths, m</w:t>
      </w:r>
      <w:r w:rsidR="00EA070F" w:rsidRPr="004123C2">
        <w:t>ales</w:t>
      </w:r>
      <w:bookmarkEnd w:id="42"/>
      <w:bookmarkEnd w:id="43"/>
    </w:p>
    <w:tbl>
      <w:tblPr>
        <w:tblW w:w="6237" w:type="dxa"/>
        <w:tblInd w:w="108" w:type="dxa"/>
        <w:tblBorders>
          <w:top w:val="single" w:sz="4" w:space="0" w:color="auto"/>
          <w:bottom w:val="single" w:sz="4" w:space="0" w:color="auto"/>
        </w:tblBorders>
        <w:tblLayout w:type="fixed"/>
        <w:tblLook w:val="01E0"/>
      </w:tblPr>
      <w:tblGrid>
        <w:gridCol w:w="3969"/>
        <w:gridCol w:w="2268"/>
      </w:tblGrid>
      <w:tr w:rsidR="00EA070F" w:rsidRPr="00C31F81" w:rsidTr="00EA070F">
        <w:tc>
          <w:tcPr>
            <w:tcW w:w="3969" w:type="dxa"/>
            <w:tcBorders>
              <w:top w:val="single" w:sz="4" w:space="0" w:color="auto"/>
              <w:bottom w:val="single" w:sz="4" w:space="0" w:color="auto"/>
            </w:tcBorders>
          </w:tcPr>
          <w:p w:rsidR="00EA070F" w:rsidRPr="00C31F81" w:rsidRDefault="00EA070F" w:rsidP="00EA070F">
            <w:pPr>
              <w:pStyle w:val="Tablehead1"/>
            </w:pPr>
            <w:r w:rsidRPr="00C31F81">
              <w:t>Paths</w:t>
            </w:r>
          </w:p>
        </w:tc>
        <w:tc>
          <w:tcPr>
            <w:tcW w:w="2268" w:type="dxa"/>
            <w:tcBorders>
              <w:top w:val="single" w:sz="4" w:space="0" w:color="auto"/>
              <w:bottom w:val="single" w:sz="4" w:space="0" w:color="auto"/>
            </w:tcBorders>
          </w:tcPr>
          <w:p w:rsidR="00EA070F" w:rsidRPr="00C31F81" w:rsidRDefault="00EA070F" w:rsidP="00EA070F">
            <w:pPr>
              <w:pStyle w:val="Tablehead1"/>
              <w:jc w:val="center"/>
            </w:pPr>
            <w:r w:rsidRPr="00C31F81">
              <w:t xml:space="preserve">Weighted % who </w:t>
            </w:r>
            <w:r>
              <w:br/>
            </w:r>
            <w:r w:rsidRPr="00C31F81">
              <w:t xml:space="preserve">take each path by </w:t>
            </w:r>
            <w:r>
              <w:br/>
            </w:r>
            <w:r w:rsidRPr="00C31F81">
              <w:t>age 25.5 in 2006</w:t>
            </w:r>
          </w:p>
        </w:tc>
      </w:tr>
      <w:tr w:rsidR="00EA070F" w:rsidRPr="00C31F81" w:rsidTr="00EA070F">
        <w:tc>
          <w:tcPr>
            <w:tcW w:w="3969" w:type="dxa"/>
            <w:tcBorders>
              <w:top w:val="single" w:sz="4" w:space="0" w:color="auto"/>
            </w:tcBorders>
          </w:tcPr>
          <w:p w:rsidR="00EA070F" w:rsidRPr="00C31F81" w:rsidRDefault="00EA070F" w:rsidP="00EA070F">
            <w:pPr>
              <w:pStyle w:val="Tabletext"/>
              <w:ind w:left="454" w:hanging="454"/>
            </w:pPr>
            <w:r w:rsidRPr="00C31F81">
              <w:t>Early school leaver, no post-school study</w:t>
            </w:r>
          </w:p>
        </w:tc>
        <w:tc>
          <w:tcPr>
            <w:tcW w:w="2268" w:type="dxa"/>
            <w:tcBorders>
              <w:top w:val="single" w:sz="4" w:space="0" w:color="auto"/>
            </w:tcBorders>
          </w:tcPr>
          <w:p w:rsidR="00EA070F" w:rsidRPr="00C31F81" w:rsidRDefault="00EA070F" w:rsidP="00FC2F0C">
            <w:pPr>
              <w:pStyle w:val="Tabletext"/>
              <w:tabs>
                <w:tab w:val="decimal" w:pos="1077"/>
              </w:tabs>
            </w:pPr>
            <w:r w:rsidRPr="00C31F81">
              <w:t>9</w:t>
            </w:r>
          </w:p>
        </w:tc>
      </w:tr>
      <w:tr w:rsidR="00EA070F" w:rsidRPr="00C31F81" w:rsidTr="00EA070F">
        <w:tc>
          <w:tcPr>
            <w:tcW w:w="3969" w:type="dxa"/>
          </w:tcPr>
          <w:p w:rsidR="00EA070F" w:rsidRPr="00C31F81" w:rsidRDefault="00EA070F" w:rsidP="00EA070F">
            <w:pPr>
              <w:pStyle w:val="Tabletext"/>
              <w:ind w:left="454" w:hanging="454"/>
            </w:pPr>
            <w:r w:rsidRPr="00C31F81">
              <w:t>Early school leaver, apprenticeship</w:t>
            </w:r>
          </w:p>
        </w:tc>
        <w:tc>
          <w:tcPr>
            <w:tcW w:w="2268" w:type="dxa"/>
          </w:tcPr>
          <w:p w:rsidR="00EA070F" w:rsidRPr="00C31F81" w:rsidRDefault="00EA070F" w:rsidP="00FC2F0C">
            <w:pPr>
              <w:pStyle w:val="Tabletext"/>
              <w:tabs>
                <w:tab w:val="decimal" w:pos="1077"/>
              </w:tabs>
            </w:pPr>
            <w:r w:rsidRPr="00C31F81">
              <w:t>5</w:t>
            </w:r>
          </w:p>
        </w:tc>
      </w:tr>
      <w:tr w:rsidR="00EA070F" w:rsidRPr="00C31F81" w:rsidTr="00EA070F">
        <w:tc>
          <w:tcPr>
            <w:tcW w:w="3969" w:type="dxa"/>
          </w:tcPr>
          <w:p w:rsidR="00EA070F" w:rsidRPr="00C31F81" w:rsidRDefault="00EA070F" w:rsidP="00EA070F">
            <w:pPr>
              <w:pStyle w:val="Tabletext"/>
              <w:ind w:left="454" w:hanging="454"/>
            </w:pPr>
            <w:r w:rsidRPr="00C31F81">
              <w:t xml:space="preserve">Early school leaver, traineeship/other </w:t>
            </w:r>
            <w:r>
              <w:br/>
            </w:r>
            <w:r w:rsidRPr="00C31F81">
              <w:t>post-school VET study</w:t>
            </w:r>
          </w:p>
        </w:tc>
        <w:tc>
          <w:tcPr>
            <w:tcW w:w="2268" w:type="dxa"/>
          </w:tcPr>
          <w:p w:rsidR="00EA070F" w:rsidRPr="00C31F81" w:rsidRDefault="00EA070F" w:rsidP="00FC2F0C">
            <w:pPr>
              <w:pStyle w:val="Tabletext"/>
              <w:tabs>
                <w:tab w:val="decimal" w:pos="1077"/>
              </w:tabs>
            </w:pPr>
            <w:r w:rsidRPr="00C31F81">
              <w:t>5</w:t>
            </w:r>
          </w:p>
        </w:tc>
      </w:tr>
      <w:tr w:rsidR="00EA070F" w:rsidRPr="00C31F81" w:rsidTr="00EA070F">
        <w:tc>
          <w:tcPr>
            <w:tcW w:w="3969" w:type="dxa"/>
          </w:tcPr>
          <w:p w:rsidR="00EA070F" w:rsidRPr="00C31F81" w:rsidRDefault="00EA070F" w:rsidP="00EA070F">
            <w:pPr>
              <w:pStyle w:val="Tabletext"/>
              <w:ind w:left="454" w:hanging="454"/>
            </w:pPr>
            <w:r w:rsidRPr="00C31F81">
              <w:t>Completed Year 12, no post-school study</w:t>
            </w:r>
          </w:p>
        </w:tc>
        <w:tc>
          <w:tcPr>
            <w:tcW w:w="2268" w:type="dxa"/>
          </w:tcPr>
          <w:p w:rsidR="00EA070F" w:rsidRPr="00C31F81" w:rsidRDefault="00EA070F" w:rsidP="00FC2F0C">
            <w:pPr>
              <w:pStyle w:val="Tabletext"/>
              <w:tabs>
                <w:tab w:val="decimal" w:pos="1077"/>
              </w:tabs>
            </w:pPr>
            <w:r w:rsidRPr="00C31F81">
              <w:t>23</w:t>
            </w:r>
          </w:p>
        </w:tc>
      </w:tr>
      <w:tr w:rsidR="00EA070F" w:rsidRPr="00C31F81" w:rsidTr="00EA070F">
        <w:tc>
          <w:tcPr>
            <w:tcW w:w="3969" w:type="dxa"/>
          </w:tcPr>
          <w:p w:rsidR="00EA070F" w:rsidRPr="00C31F81" w:rsidRDefault="00EA070F" w:rsidP="00EA070F">
            <w:pPr>
              <w:pStyle w:val="Tabletext"/>
              <w:ind w:left="454" w:hanging="454"/>
            </w:pPr>
            <w:r w:rsidRPr="00C31F81">
              <w:t>Completed Year 12, apprenticeship</w:t>
            </w:r>
          </w:p>
        </w:tc>
        <w:tc>
          <w:tcPr>
            <w:tcW w:w="2268" w:type="dxa"/>
          </w:tcPr>
          <w:p w:rsidR="00EA070F" w:rsidRPr="00C31F81" w:rsidRDefault="00EA070F" w:rsidP="00FC2F0C">
            <w:pPr>
              <w:pStyle w:val="Tabletext"/>
              <w:tabs>
                <w:tab w:val="decimal" w:pos="1077"/>
              </w:tabs>
            </w:pPr>
            <w:r w:rsidRPr="00C31F81">
              <w:t>5</w:t>
            </w:r>
          </w:p>
        </w:tc>
      </w:tr>
      <w:tr w:rsidR="00EA070F" w:rsidRPr="00C31F81" w:rsidTr="00EA070F">
        <w:tc>
          <w:tcPr>
            <w:tcW w:w="3969" w:type="dxa"/>
          </w:tcPr>
          <w:p w:rsidR="00EA070F" w:rsidRPr="00C31F81" w:rsidRDefault="00EA070F" w:rsidP="00EA070F">
            <w:pPr>
              <w:pStyle w:val="Tabletext"/>
              <w:ind w:left="454" w:hanging="454"/>
            </w:pPr>
            <w:r w:rsidRPr="00C31F81">
              <w:t>Completed Year 12, traineeship</w:t>
            </w:r>
          </w:p>
        </w:tc>
        <w:tc>
          <w:tcPr>
            <w:tcW w:w="2268" w:type="dxa"/>
          </w:tcPr>
          <w:p w:rsidR="00EA070F" w:rsidRPr="00C31F81" w:rsidRDefault="00EA070F" w:rsidP="00FC2F0C">
            <w:pPr>
              <w:pStyle w:val="Tabletext"/>
              <w:tabs>
                <w:tab w:val="decimal" w:pos="1077"/>
              </w:tabs>
            </w:pPr>
            <w:r w:rsidRPr="00C31F81">
              <w:t>4</w:t>
            </w:r>
          </w:p>
        </w:tc>
      </w:tr>
      <w:tr w:rsidR="00EA070F" w:rsidRPr="00C31F81" w:rsidTr="00EA070F">
        <w:tc>
          <w:tcPr>
            <w:tcW w:w="3969" w:type="dxa"/>
          </w:tcPr>
          <w:p w:rsidR="00EA070F" w:rsidRPr="00C31F81" w:rsidRDefault="00EA070F" w:rsidP="00EA070F">
            <w:pPr>
              <w:pStyle w:val="Tabletext"/>
              <w:ind w:left="454" w:hanging="454"/>
            </w:pPr>
            <w:r w:rsidRPr="00C31F81">
              <w:t xml:space="preserve">Completed Year 12, other post-school </w:t>
            </w:r>
            <w:r>
              <w:br/>
            </w:r>
            <w:r w:rsidRPr="00C31F81">
              <w:t>VET study</w:t>
            </w:r>
          </w:p>
        </w:tc>
        <w:tc>
          <w:tcPr>
            <w:tcW w:w="2268" w:type="dxa"/>
          </w:tcPr>
          <w:p w:rsidR="00EA070F" w:rsidRPr="00C31F81" w:rsidRDefault="00EA070F" w:rsidP="00FC2F0C">
            <w:pPr>
              <w:pStyle w:val="Tabletext"/>
              <w:tabs>
                <w:tab w:val="decimal" w:pos="1077"/>
              </w:tabs>
            </w:pPr>
            <w:r w:rsidRPr="00C31F81">
              <w:t>13</w:t>
            </w:r>
          </w:p>
        </w:tc>
      </w:tr>
      <w:tr w:rsidR="00EA070F" w:rsidRPr="00C31F81" w:rsidTr="00EA070F">
        <w:tc>
          <w:tcPr>
            <w:tcW w:w="3969" w:type="dxa"/>
          </w:tcPr>
          <w:p w:rsidR="00EA070F" w:rsidRPr="00C31F81" w:rsidRDefault="00EA070F" w:rsidP="00EA070F">
            <w:pPr>
              <w:pStyle w:val="Tabletext"/>
              <w:ind w:left="454" w:hanging="454"/>
            </w:pPr>
            <w:r w:rsidRPr="00C31F81">
              <w:t>Completed Year 12, university study</w:t>
            </w:r>
          </w:p>
        </w:tc>
        <w:tc>
          <w:tcPr>
            <w:tcW w:w="2268" w:type="dxa"/>
          </w:tcPr>
          <w:p w:rsidR="00EA070F" w:rsidRPr="00C31F81" w:rsidRDefault="00EA070F" w:rsidP="00FC2F0C">
            <w:pPr>
              <w:pStyle w:val="Tabletext"/>
              <w:tabs>
                <w:tab w:val="decimal" w:pos="1077"/>
              </w:tabs>
            </w:pPr>
            <w:r w:rsidRPr="00C31F81">
              <w:t>36</w:t>
            </w:r>
          </w:p>
        </w:tc>
      </w:tr>
    </w:tbl>
    <w:p w:rsidR="00EA070F" w:rsidRDefault="00035E12" w:rsidP="00EA070F">
      <w:pPr>
        <w:pStyle w:val="tabletitle"/>
      </w:pPr>
      <w:bookmarkStart w:id="44" w:name="_Toc297308747"/>
      <w:bookmarkStart w:id="45" w:name="_Toc331516801"/>
      <w:r>
        <w:t>Table 1</w:t>
      </w:r>
      <w:r w:rsidR="00EA070F">
        <w:t>B</w:t>
      </w:r>
      <w:r w:rsidR="0072360E">
        <w:tab/>
      </w:r>
      <w:r w:rsidR="00EA070F" w:rsidRPr="004123C2">
        <w:t xml:space="preserve">Education </w:t>
      </w:r>
      <w:r w:rsidR="00EA070F">
        <w:t>path</w:t>
      </w:r>
      <w:r w:rsidR="00EA070F" w:rsidRPr="004123C2">
        <w:t>s</w:t>
      </w:r>
      <w:r w:rsidR="00EA070F">
        <w:t xml:space="preserve">, </w:t>
      </w:r>
      <w:r w:rsidR="00EA070F" w:rsidRPr="00C31F81">
        <w:t>females</w:t>
      </w:r>
      <w:bookmarkEnd w:id="44"/>
      <w:bookmarkEnd w:id="45"/>
      <w:r w:rsidR="00EA070F" w:rsidRPr="004123C2">
        <w:t xml:space="preserve"> </w:t>
      </w:r>
    </w:p>
    <w:tbl>
      <w:tblPr>
        <w:tblW w:w="6237" w:type="dxa"/>
        <w:tblInd w:w="108" w:type="dxa"/>
        <w:tblBorders>
          <w:top w:val="single" w:sz="4" w:space="0" w:color="auto"/>
          <w:bottom w:val="single" w:sz="4" w:space="0" w:color="auto"/>
        </w:tblBorders>
        <w:tblLayout w:type="fixed"/>
        <w:tblLook w:val="01E0"/>
      </w:tblPr>
      <w:tblGrid>
        <w:gridCol w:w="3969"/>
        <w:gridCol w:w="2268"/>
      </w:tblGrid>
      <w:tr w:rsidR="00EA070F" w:rsidRPr="00C31F81" w:rsidTr="00EA070F">
        <w:tc>
          <w:tcPr>
            <w:tcW w:w="3969" w:type="dxa"/>
            <w:tcBorders>
              <w:top w:val="single" w:sz="4" w:space="0" w:color="auto"/>
              <w:bottom w:val="single" w:sz="4" w:space="0" w:color="auto"/>
            </w:tcBorders>
          </w:tcPr>
          <w:p w:rsidR="00EA070F" w:rsidRPr="00C31F81" w:rsidRDefault="00EA070F" w:rsidP="00EA070F">
            <w:pPr>
              <w:pStyle w:val="Tablehead1"/>
            </w:pPr>
            <w:r w:rsidRPr="00C31F81">
              <w:t>Paths</w:t>
            </w:r>
          </w:p>
        </w:tc>
        <w:tc>
          <w:tcPr>
            <w:tcW w:w="2268" w:type="dxa"/>
            <w:tcBorders>
              <w:top w:val="single" w:sz="4" w:space="0" w:color="auto"/>
              <w:bottom w:val="single" w:sz="4" w:space="0" w:color="auto"/>
            </w:tcBorders>
          </w:tcPr>
          <w:p w:rsidR="00EA070F" w:rsidRPr="00C31F81" w:rsidRDefault="00EA070F" w:rsidP="00EA070F">
            <w:pPr>
              <w:pStyle w:val="Tablehead1"/>
              <w:jc w:val="center"/>
            </w:pPr>
            <w:r w:rsidRPr="00C31F81">
              <w:t xml:space="preserve">Weighted % who </w:t>
            </w:r>
            <w:r>
              <w:br/>
            </w:r>
            <w:r w:rsidRPr="00C31F81">
              <w:t xml:space="preserve">take each path by </w:t>
            </w:r>
            <w:r>
              <w:br/>
            </w:r>
            <w:r w:rsidRPr="00C31F81">
              <w:t>age 25.5 in 2006</w:t>
            </w:r>
          </w:p>
        </w:tc>
      </w:tr>
      <w:tr w:rsidR="00EA070F" w:rsidRPr="00C31F81" w:rsidTr="00EA070F">
        <w:tc>
          <w:tcPr>
            <w:tcW w:w="3969" w:type="dxa"/>
            <w:tcBorders>
              <w:top w:val="single" w:sz="4" w:space="0" w:color="auto"/>
            </w:tcBorders>
          </w:tcPr>
          <w:p w:rsidR="00EA070F" w:rsidRPr="00C31F81" w:rsidRDefault="00EA070F" w:rsidP="00EA070F">
            <w:pPr>
              <w:pStyle w:val="Tabletext"/>
              <w:ind w:left="454" w:hanging="454"/>
            </w:pPr>
            <w:r w:rsidRPr="00C31F81">
              <w:t>Early school leaver, no post-school study</w:t>
            </w:r>
          </w:p>
        </w:tc>
        <w:tc>
          <w:tcPr>
            <w:tcW w:w="2268" w:type="dxa"/>
            <w:tcBorders>
              <w:top w:val="single" w:sz="4" w:space="0" w:color="auto"/>
            </w:tcBorders>
          </w:tcPr>
          <w:p w:rsidR="00EA070F" w:rsidRPr="00C31F81" w:rsidRDefault="00EA070F" w:rsidP="00FC2F0C">
            <w:pPr>
              <w:pStyle w:val="Tabletext"/>
              <w:tabs>
                <w:tab w:val="decimal" w:pos="1077"/>
              </w:tabs>
            </w:pPr>
            <w:r w:rsidRPr="00C31F81">
              <w:t>9</w:t>
            </w:r>
          </w:p>
        </w:tc>
      </w:tr>
      <w:tr w:rsidR="00EA070F" w:rsidRPr="00C31F81" w:rsidTr="00EA070F">
        <w:tc>
          <w:tcPr>
            <w:tcW w:w="3969" w:type="dxa"/>
          </w:tcPr>
          <w:p w:rsidR="00EA070F" w:rsidRPr="00C31F81" w:rsidRDefault="00EA070F" w:rsidP="00EA070F">
            <w:pPr>
              <w:pStyle w:val="Tabletext"/>
              <w:ind w:left="454" w:hanging="454"/>
            </w:pPr>
            <w:r w:rsidRPr="00C31F81">
              <w:t>Early school leaver, further post-school study</w:t>
            </w:r>
          </w:p>
        </w:tc>
        <w:tc>
          <w:tcPr>
            <w:tcW w:w="2268" w:type="dxa"/>
          </w:tcPr>
          <w:p w:rsidR="00EA070F" w:rsidRPr="00C31F81" w:rsidRDefault="00EA070F" w:rsidP="00FC2F0C">
            <w:pPr>
              <w:pStyle w:val="Tabletext"/>
              <w:tabs>
                <w:tab w:val="decimal" w:pos="1077"/>
              </w:tabs>
            </w:pPr>
            <w:r w:rsidRPr="00C31F81">
              <w:t>5</w:t>
            </w:r>
          </w:p>
        </w:tc>
      </w:tr>
      <w:tr w:rsidR="00EA070F" w:rsidRPr="00C31F81" w:rsidTr="00EA070F">
        <w:tc>
          <w:tcPr>
            <w:tcW w:w="3969" w:type="dxa"/>
          </w:tcPr>
          <w:p w:rsidR="00EA070F" w:rsidRPr="00C31F81" w:rsidRDefault="00EA070F" w:rsidP="00EA070F">
            <w:pPr>
              <w:pStyle w:val="Tabletext"/>
              <w:ind w:left="454" w:hanging="454"/>
            </w:pPr>
            <w:r w:rsidRPr="00C31F81">
              <w:t>Completed Year 12, no post-school study</w:t>
            </w:r>
          </w:p>
        </w:tc>
        <w:tc>
          <w:tcPr>
            <w:tcW w:w="2268" w:type="dxa"/>
          </w:tcPr>
          <w:p w:rsidR="00EA070F" w:rsidRPr="00C31F81" w:rsidRDefault="00EA070F" w:rsidP="00FC2F0C">
            <w:pPr>
              <w:pStyle w:val="Tabletext"/>
              <w:tabs>
                <w:tab w:val="decimal" w:pos="1077"/>
              </w:tabs>
            </w:pPr>
            <w:r w:rsidRPr="00C31F81">
              <w:t>25</w:t>
            </w:r>
          </w:p>
        </w:tc>
      </w:tr>
      <w:tr w:rsidR="00EA070F" w:rsidRPr="00C31F81" w:rsidTr="00EA070F">
        <w:tc>
          <w:tcPr>
            <w:tcW w:w="3969" w:type="dxa"/>
          </w:tcPr>
          <w:p w:rsidR="00EA070F" w:rsidRPr="00C31F81" w:rsidRDefault="00EA070F" w:rsidP="00EA070F">
            <w:pPr>
              <w:pStyle w:val="Tabletext"/>
              <w:ind w:left="454" w:hanging="454"/>
            </w:pPr>
            <w:r w:rsidRPr="00C31F81">
              <w:t>Completed Year 12, apprenticeship/</w:t>
            </w:r>
            <w:r>
              <w:t xml:space="preserve"> </w:t>
            </w:r>
            <w:r w:rsidRPr="00C31F81">
              <w:t>traineeship</w:t>
            </w:r>
          </w:p>
        </w:tc>
        <w:tc>
          <w:tcPr>
            <w:tcW w:w="2268" w:type="dxa"/>
          </w:tcPr>
          <w:p w:rsidR="00EA070F" w:rsidRPr="00C31F81" w:rsidRDefault="00EA070F" w:rsidP="00FC2F0C">
            <w:pPr>
              <w:pStyle w:val="Tabletext"/>
              <w:tabs>
                <w:tab w:val="decimal" w:pos="1077"/>
              </w:tabs>
            </w:pPr>
            <w:r w:rsidRPr="00C31F81">
              <w:t>6</w:t>
            </w:r>
          </w:p>
        </w:tc>
      </w:tr>
      <w:tr w:rsidR="00EA070F" w:rsidRPr="00C31F81" w:rsidTr="00EA070F">
        <w:tc>
          <w:tcPr>
            <w:tcW w:w="3969" w:type="dxa"/>
          </w:tcPr>
          <w:p w:rsidR="00EA070F" w:rsidRPr="00C31F81" w:rsidRDefault="00EA070F" w:rsidP="00EA070F">
            <w:pPr>
              <w:pStyle w:val="Tabletext"/>
              <w:ind w:left="454" w:hanging="454"/>
            </w:pPr>
            <w:r w:rsidRPr="00C31F81">
              <w:t xml:space="preserve">Completed Year 12, other post-school </w:t>
            </w:r>
            <w:r>
              <w:br/>
            </w:r>
            <w:r w:rsidRPr="00C31F81">
              <w:t>VET study</w:t>
            </w:r>
          </w:p>
        </w:tc>
        <w:tc>
          <w:tcPr>
            <w:tcW w:w="2268" w:type="dxa"/>
          </w:tcPr>
          <w:p w:rsidR="00EA070F" w:rsidRPr="00C31F81" w:rsidRDefault="00EA070F" w:rsidP="00FC2F0C">
            <w:pPr>
              <w:pStyle w:val="Tabletext"/>
              <w:tabs>
                <w:tab w:val="decimal" w:pos="1077"/>
              </w:tabs>
            </w:pPr>
            <w:r w:rsidRPr="00C31F81">
              <w:t>13</w:t>
            </w:r>
          </w:p>
        </w:tc>
      </w:tr>
      <w:tr w:rsidR="00EA070F" w:rsidRPr="00C31F81" w:rsidTr="00EA070F">
        <w:tc>
          <w:tcPr>
            <w:tcW w:w="3969" w:type="dxa"/>
          </w:tcPr>
          <w:p w:rsidR="00EA070F" w:rsidRPr="00C31F81" w:rsidRDefault="00EA070F" w:rsidP="00EA070F">
            <w:pPr>
              <w:pStyle w:val="Tabletext"/>
              <w:ind w:left="454" w:hanging="454"/>
            </w:pPr>
            <w:r w:rsidRPr="00C31F81">
              <w:t>Completed Year 12, university study</w:t>
            </w:r>
          </w:p>
        </w:tc>
        <w:tc>
          <w:tcPr>
            <w:tcW w:w="2268" w:type="dxa"/>
          </w:tcPr>
          <w:p w:rsidR="00EA070F" w:rsidRPr="00C31F81" w:rsidRDefault="00EA070F" w:rsidP="00FC2F0C">
            <w:pPr>
              <w:pStyle w:val="Tabletext"/>
              <w:tabs>
                <w:tab w:val="decimal" w:pos="1077"/>
              </w:tabs>
            </w:pPr>
            <w:r w:rsidRPr="00C31F81">
              <w:t>43</w:t>
            </w:r>
          </w:p>
        </w:tc>
      </w:tr>
    </w:tbl>
    <w:p w:rsidR="00EA070F" w:rsidRDefault="00FC2F0C" w:rsidP="00EA070F">
      <w:pPr>
        <w:pStyle w:val="Source"/>
      </w:pPr>
      <w:r>
        <w:t>Source:</w:t>
      </w:r>
      <w:r>
        <w:tab/>
      </w:r>
      <w:r w:rsidR="0091203A">
        <w:t>D</w:t>
      </w:r>
      <w:r w:rsidR="00EA070F">
        <w:t>erived from the Longitudinal Survey</w:t>
      </w:r>
      <w:r>
        <w:t>s</w:t>
      </w:r>
      <w:r w:rsidR="00EA070F">
        <w:t xml:space="preserve"> of Australian Youth</w:t>
      </w:r>
      <w:r>
        <w:t>;</w:t>
      </w:r>
      <w:r w:rsidR="00EA070F">
        <w:t xml:space="preserve"> see Karmel and Liu </w:t>
      </w:r>
      <w:r>
        <w:t>(</w:t>
      </w:r>
      <w:r w:rsidR="00EA070F">
        <w:t>2011</w:t>
      </w:r>
      <w:r>
        <w:t>)</w:t>
      </w:r>
      <w:r w:rsidR="00EA070F">
        <w:t>.</w:t>
      </w:r>
      <w:r w:rsidR="00EA070F">
        <w:rPr>
          <w:rStyle w:val="FootnoteReference"/>
        </w:rPr>
        <w:footnoteReference w:id="3"/>
      </w:r>
    </w:p>
    <w:p w:rsidR="007E2D8C" w:rsidRDefault="00EA070F" w:rsidP="0044674F">
      <w:pPr>
        <w:pStyle w:val="Text"/>
      </w:pPr>
      <w:r>
        <w:lastRenderedPageBreak/>
        <w:t>The point here is that A</w:t>
      </w:r>
      <w:r w:rsidR="006A5457">
        <w:t>ustralia does not have ‘all its eggs in one basket’</w:t>
      </w:r>
      <w:r>
        <w:t>, although the two largest groups of new entrants are those who complete school and do not go on (at least at this stage in their life) to further study, and those who do go onto university</w:t>
      </w:r>
      <w:r w:rsidR="00940248">
        <w:t>.</w:t>
      </w:r>
      <w:r>
        <w:t xml:space="preserve"> Apprenticeships and traineeships are also important, especially for males.</w:t>
      </w:r>
      <w:r w:rsidR="00940248">
        <w:t xml:space="preserve"> While </w:t>
      </w:r>
      <w:r>
        <w:t>on some measures some pathways are better than others (for example, wages and occupational status at age 26</w:t>
      </w:r>
      <w:r w:rsidR="0044674F">
        <w:t>)</w:t>
      </w:r>
      <w:r w:rsidR="00FC2F0C">
        <w:t>,</w:t>
      </w:r>
      <w:r w:rsidR="0044674F">
        <w:t xml:space="preserve"> all pathways are equally effective in terms of employment at age 26. The conclusion from this is that</w:t>
      </w:r>
      <w:r w:rsidR="00FC2F0C">
        <w:t>,</w:t>
      </w:r>
      <w:r w:rsidR="0044674F">
        <w:t xml:space="preserve"> on the whole</w:t>
      </w:r>
      <w:r w:rsidR="00FC2F0C">
        <w:t>,</w:t>
      </w:r>
      <w:r w:rsidR="0044674F">
        <w:t xml:space="preserve"> Australia is relatively successful in effecting positive transitions from education to work, and there </w:t>
      </w:r>
      <w:r w:rsidR="00710327">
        <w:t>are</w:t>
      </w:r>
      <w:r w:rsidR="0044674F">
        <w:t xml:space="preserve"> not just one or two paths to such a successful transition.</w:t>
      </w:r>
    </w:p>
    <w:p w:rsidR="0044674F" w:rsidRDefault="0044674F" w:rsidP="0044674F">
      <w:pPr>
        <w:pStyle w:val="Heading3"/>
      </w:pPr>
      <w:r>
        <w:t>The role of the apprenticeship and traineeship system</w:t>
      </w:r>
    </w:p>
    <w:p w:rsidR="0044674F" w:rsidRDefault="000C0E59" w:rsidP="0044674F">
      <w:pPr>
        <w:pStyle w:val="Text"/>
      </w:pPr>
      <w:r>
        <w:t xml:space="preserve">One </w:t>
      </w:r>
      <w:r w:rsidR="0082093F">
        <w:t>of the paths available to young Australians is to undertake an apprenticeship or</w:t>
      </w:r>
      <w:r w:rsidR="0044674F">
        <w:t xml:space="preserve"> traineeship</w:t>
      </w:r>
      <w:r w:rsidR="0082093F">
        <w:t>.</w:t>
      </w:r>
      <w:r w:rsidR="0044674F">
        <w:t xml:space="preserve"> </w:t>
      </w:r>
      <w:r w:rsidR="0082093F">
        <w:t>I</w:t>
      </w:r>
      <w:r w:rsidR="0044674F">
        <w:t xml:space="preserve">n Australia </w:t>
      </w:r>
      <w:r w:rsidR="0082093F">
        <w:t xml:space="preserve">these </w:t>
      </w:r>
      <w:r w:rsidR="0044674F">
        <w:t xml:space="preserve">are built around a contract of training </w:t>
      </w:r>
      <w:r w:rsidR="00FC2F0C">
        <w:t>—</w:t>
      </w:r>
      <w:r w:rsidR="0044674F">
        <w:t xml:space="preserve"> a legal contract between an individual, an employer and a training provider. The </w:t>
      </w:r>
      <w:r w:rsidR="00710327">
        <w:t>apprenticeship</w:t>
      </w:r>
      <w:r w:rsidR="0044674F">
        <w:t xml:space="preserve"> or traineeship </w:t>
      </w:r>
      <w:r w:rsidR="00710327">
        <w:t>consist</w:t>
      </w:r>
      <w:r w:rsidR="00035E12">
        <w:t>s</w:t>
      </w:r>
      <w:r w:rsidR="0044674F">
        <w:t xml:space="preserve"> of on the job work experience and training, and formal off-the-job (in almost all cases) training delivered by a training provider. </w:t>
      </w:r>
      <w:r w:rsidR="00710327">
        <w:t>Apprenticeships</w:t>
      </w:r>
      <w:r w:rsidR="0044674F">
        <w:t xml:space="preserve"> in the trades have been part of Australia’s training system virtually forever, while traineeships were introduce</w:t>
      </w:r>
      <w:r w:rsidR="00035E12">
        <w:t>d</w:t>
      </w:r>
      <w:r w:rsidR="0044674F">
        <w:t xml:space="preserve"> in the 1980s in response to very high levels of youth unemployment (although numbers did not become significant until the mid</w:t>
      </w:r>
      <w:r w:rsidR="00FC2F0C">
        <w:t>-</w:t>
      </w:r>
      <w:r w:rsidR="0044674F">
        <w:t xml:space="preserve">1990s). </w:t>
      </w:r>
      <w:r w:rsidR="00710327">
        <w:t>Apprenticeships</w:t>
      </w:r>
      <w:r w:rsidR="0044674F">
        <w:t xml:space="preserve"> are typically of </w:t>
      </w:r>
      <w:r w:rsidR="00FC2F0C">
        <w:t>three to four</w:t>
      </w:r>
      <w:r w:rsidR="0044674F">
        <w:t xml:space="preserve"> </w:t>
      </w:r>
      <w:r w:rsidR="00710327">
        <w:t>years</w:t>
      </w:r>
      <w:r w:rsidR="00FC2F0C">
        <w:t>’</w:t>
      </w:r>
      <w:r w:rsidR="0044674F">
        <w:t xml:space="preserve"> duration</w:t>
      </w:r>
      <w:r w:rsidR="00687856">
        <w:t>,</w:t>
      </w:r>
      <w:r w:rsidR="0044674F">
        <w:t xml:space="preserve"> while traineeships are shorter, the majority less than two years</w:t>
      </w:r>
      <w:r w:rsidR="00FC2F0C">
        <w:t>’</w:t>
      </w:r>
      <w:r w:rsidR="0044674F">
        <w:t xml:space="preserve"> duration. </w:t>
      </w:r>
      <w:r w:rsidR="00710327">
        <w:t>Apprentices</w:t>
      </w:r>
      <w:r w:rsidR="00FD0767">
        <w:t xml:space="preserve"> and trainees are paid a training wage during the contract of training, and are often, but not necessarily, kept on by their employer after the </w:t>
      </w:r>
      <w:r w:rsidR="00710327">
        <w:t>contract</w:t>
      </w:r>
      <w:r w:rsidR="00FD0767">
        <w:t xml:space="preserve"> of training has been </w:t>
      </w:r>
      <w:r w:rsidR="00710327">
        <w:t>completed</w:t>
      </w:r>
      <w:r w:rsidR="00FD0767">
        <w:t xml:space="preserve">. Certain subsidies are paid to employers who take on </w:t>
      </w:r>
      <w:r w:rsidR="00710327">
        <w:t>apprentices</w:t>
      </w:r>
      <w:r w:rsidR="00FD0767">
        <w:t xml:space="preserve"> or trainees</w:t>
      </w:r>
      <w:r w:rsidR="00035E12">
        <w:t>.</w:t>
      </w:r>
    </w:p>
    <w:p w:rsidR="0044674F" w:rsidRDefault="0044674F" w:rsidP="0044674F">
      <w:pPr>
        <w:pStyle w:val="Text"/>
      </w:pPr>
      <w:r>
        <w:t xml:space="preserve">The most obvious benefit of </w:t>
      </w:r>
      <w:r w:rsidR="00710327">
        <w:t>apprenticeships</w:t>
      </w:r>
      <w:r>
        <w:t xml:space="preserve"> and traineeship</w:t>
      </w:r>
      <w:r w:rsidR="00FD0767">
        <w:t xml:space="preserve">s is the combination of training and working. The work element in effect means that the individual has made the transition into </w:t>
      </w:r>
      <w:r w:rsidR="00710327">
        <w:t>employment</w:t>
      </w:r>
      <w:r w:rsidR="00FD0767">
        <w:t xml:space="preserve">, while the training element is designed to provide the individual with skills that are valued in the labour market. The </w:t>
      </w:r>
      <w:r w:rsidR="00710327">
        <w:t>apprenticeship</w:t>
      </w:r>
      <w:r w:rsidR="00FD0767">
        <w:t xml:space="preserve"> and traineeship model seems </w:t>
      </w:r>
      <w:r w:rsidR="00710327">
        <w:t>particularly</w:t>
      </w:r>
      <w:r w:rsidR="00FD0767">
        <w:t xml:space="preserve"> good for individuals from a disadvantaged background.</w:t>
      </w:r>
      <w:r w:rsidR="00035E12">
        <w:t xml:space="preserve"> For example, Indigenous people are over</w:t>
      </w:r>
      <w:r w:rsidR="00FC2F0C">
        <w:t>-</w:t>
      </w:r>
      <w:r w:rsidR="00035E12">
        <w:t xml:space="preserve">represented among apprentice and trainee commencements, relative to their share of employment, and outcomes for Indigenous people who complete an apprenticeship or traineeship are superior to those who complete an alternative vocational qualification (Karmel </w:t>
      </w:r>
      <w:r w:rsidR="00FC2F0C">
        <w:t>&amp;</w:t>
      </w:r>
      <w:r w:rsidR="00035E12">
        <w:t xml:space="preserve"> Rice, 2010</w:t>
      </w:r>
      <w:r w:rsidR="00FC2F0C">
        <w:t>,</w:t>
      </w:r>
      <w:r w:rsidR="00035E12">
        <w:t xml:space="preserve"> </w:t>
      </w:r>
      <w:r w:rsidR="00FC2F0C">
        <w:t>pp.</w:t>
      </w:r>
      <w:r w:rsidR="00035E12">
        <w:t>29</w:t>
      </w:r>
      <w:r w:rsidR="00FC2F0C">
        <w:t>—</w:t>
      </w:r>
      <w:r w:rsidR="00035E12">
        <w:t>31).</w:t>
      </w:r>
    </w:p>
    <w:p w:rsidR="00FD0767" w:rsidRDefault="00FD0767" w:rsidP="00FC2F0C">
      <w:pPr>
        <w:pStyle w:val="Text"/>
        <w:ind w:right="-143"/>
      </w:pPr>
      <w:r>
        <w:t>While the model has many desirable featu</w:t>
      </w:r>
      <w:r w:rsidR="00035E12">
        <w:t>res, it is not without issues. T</w:t>
      </w:r>
      <w:r>
        <w:t xml:space="preserve">he first is that an apprenticeship or traineeship is dependent on an employer offering one. In times of economic downturn, employers typically take on fewer </w:t>
      </w:r>
      <w:r w:rsidR="00710327">
        <w:t>apprentices</w:t>
      </w:r>
      <w:r>
        <w:t xml:space="preserve"> or trainees so that it is a pro-cyclical model. This implies that there is a risk of inadequate</w:t>
      </w:r>
      <w:r w:rsidR="00FC2F0C">
        <w:t>ly</w:t>
      </w:r>
      <w:r>
        <w:t xml:space="preserve"> trained individuals after the economy has recovered from a recession </w:t>
      </w:r>
      <w:r w:rsidR="00FC2F0C">
        <w:t>—</w:t>
      </w:r>
      <w:r>
        <w:t xml:space="preserve"> although it appears that this was not the case in respect of the recent downturn in Australia (see </w:t>
      </w:r>
      <w:r w:rsidR="00504A10">
        <w:t xml:space="preserve">Karmel </w:t>
      </w:r>
      <w:r w:rsidR="00FC2F0C">
        <w:t>&amp;</w:t>
      </w:r>
      <w:r w:rsidR="00504A10">
        <w:t xml:space="preserve"> Oliver 2011</w:t>
      </w:r>
      <w:r>
        <w:t xml:space="preserve">). </w:t>
      </w:r>
      <w:r w:rsidR="00736E67">
        <w:t xml:space="preserve">One implication here is that it is probably useful to have more than one way of providing the skills, such as an </w:t>
      </w:r>
      <w:r w:rsidR="00710327">
        <w:t>institutionally</w:t>
      </w:r>
      <w:r w:rsidR="00736E67">
        <w:t xml:space="preserve"> based model. A</w:t>
      </w:r>
      <w:r>
        <w:t xml:space="preserve"> second issue is that completion rates are not as high as </w:t>
      </w:r>
      <w:r w:rsidR="00FC2F0C">
        <w:t>are</w:t>
      </w:r>
      <w:r>
        <w:t xml:space="preserve"> desired, especially in some occupations, raising question</w:t>
      </w:r>
      <w:r w:rsidR="00035E12">
        <w:t>s</w:t>
      </w:r>
      <w:r>
        <w:t xml:space="preserve"> about the efficacy of the model. A third issue is that the level of skills acquisition </w:t>
      </w:r>
      <w:r w:rsidR="00736E67">
        <w:t xml:space="preserve">(at least as measured by the wages premium </w:t>
      </w:r>
      <w:r w:rsidR="00710327">
        <w:t>associated</w:t>
      </w:r>
      <w:r w:rsidR="00736E67">
        <w:t xml:space="preserve"> with completion) is variable across occupations, implying that there needs to be clarity about the objectives of the model</w:t>
      </w:r>
      <w:r w:rsidR="00FC2F0C">
        <w:t xml:space="preserve"> —</w:t>
      </w:r>
      <w:r w:rsidR="00736E67">
        <w:t xml:space="preserve"> whether it is about skills acquisition or about getting individuals into jobs. These issues are part of the policy debate in </w:t>
      </w:r>
      <w:r w:rsidR="00FC2F0C">
        <w:t>Australia</w:t>
      </w:r>
      <w:r w:rsidR="00736E67">
        <w:t>.</w:t>
      </w:r>
    </w:p>
    <w:p w:rsidR="00721D4A" w:rsidRDefault="00721D4A">
      <w:pPr>
        <w:spacing w:before="0" w:line="240" w:lineRule="auto"/>
        <w:rPr>
          <w:rFonts w:ascii="Tahoma" w:hAnsi="Tahoma" w:cs="Tahoma"/>
          <w:color w:val="000000"/>
          <w:sz w:val="24"/>
        </w:rPr>
      </w:pPr>
      <w:r>
        <w:br w:type="page"/>
      </w:r>
    </w:p>
    <w:p w:rsidR="00736E67" w:rsidRDefault="00736E67" w:rsidP="00736E67">
      <w:pPr>
        <w:pStyle w:val="Heading3"/>
      </w:pPr>
      <w:r>
        <w:lastRenderedPageBreak/>
        <w:t>Vocational education and training in schools</w:t>
      </w:r>
    </w:p>
    <w:p w:rsidR="00736E67" w:rsidRDefault="00736E67" w:rsidP="00736E67">
      <w:pPr>
        <w:pStyle w:val="Text"/>
      </w:pPr>
      <w:r>
        <w:t xml:space="preserve">A </w:t>
      </w:r>
      <w:r w:rsidR="00710327">
        <w:t>significant</w:t>
      </w:r>
      <w:r>
        <w:t xml:space="preserve"> initiative is the introduction of vocational education and training in senior </w:t>
      </w:r>
      <w:r w:rsidR="00710327">
        <w:t>secondary</w:t>
      </w:r>
      <w:r>
        <w:t xml:space="preserve"> schooling. Here, we are talking about undertaking certificates (mostly level II and some III) from the training packages designed to meet industry needs, rather than academic courses with a </w:t>
      </w:r>
      <w:r w:rsidR="00710327">
        <w:t>vocational</w:t>
      </w:r>
      <w:r>
        <w:t xml:space="preserve"> orientation.</w:t>
      </w:r>
    </w:p>
    <w:p w:rsidR="00E31DAE" w:rsidRDefault="00E31DAE" w:rsidP="00736E67">
      <w:pPr>
        <w:pStyle w:val="Text"/>
      </w:pPr>
      <w:r>
        <w:t>The m</w:t>
      </w:r>
      <w:r w:rsidR="00736E67">
        <w:t xml:space="preserve">otivation for this </w:t>
      </w:r>
      <w:r w:rsidR="00710327">
        <w:t>initiative</w:t>
      </w:r>
      <w:r w:rsidR="00736E67">
        <w:t xml:space="preserve"> is twofold. First, while the value of completion of school is generally </w:t>
      </w:r>
      <w:r w:rsidR="00710327">
        <w:t>acknowledged</w:t>
      </w:r>
      <w:r w:rsidR="00FC2F0C">
        <w:t>,</w:t>
      </w:r>
      <w:r w:rsidR="00736E67">
        <w:t xml:space="preserve"> there is a realisation that an academic pathway is not for everyone. A vocational stream is therefore aimed at those who are unlikely to be engaged with an academic approach. Second, the initiative is aimed at </w:t>
      </w:r>
      <w:r w:rsidR="00FC2F0C">
        <w:t>providing</w:t>
      </w:r>
      <w:r w:rsidR="00736E67">
        <w:t xml:space="preserve"> some familiarity with the world of work.</w:t>
      </w:r>
    </w:p>
    <w:p w:rsidR="00E31DAE" w:rsidRDefault="00E31DAE" w:rsidP="00736E67">
      <w:pPr>
        <w:pStyle w:val="Text"/>
      </w:pPr>
      <w:r>
        <w:t>The numbers of students taking part in vocational education and training in school is very large</w:t>
      </w:r>
      <w:r w:rsidR="00B80690">
        <w:t>, of the order 40%</w:t>
      </w:r>
      <w:r w:rsidR="00B85C06">
        <w:t xml:space="preserve"> (</w:t>
      </w:r>
      <w:r w:rsidR="00F67C3E">
        <w:t>NCVER</w:t>
      </w:r>
      <w:r w:rsidR="00B85C06" w:rsidRPr="00FA2FD5">
        <w:t xml:space="preserve"> 2010</w:t>
      </w:r>
      <w:r w:rsidR="00B85C06">
        <w:t>)</w:t>
      </w:r>
      <w:r>
        <w:t xml:space="preserve">. However, the level of involvement by students is variable. For </w:t>
      </w:r>
      <w:r w:rsidR="00710327">
        <w:t>example, some</w:t>
      </w:r>
      <w:r>
        <w:t xml:space="preserve"> undertake a school</w:t>
      </w:r>
      <w:r w:rsidR="008441ED">
        <w:t>-</w:t>
      </w:r>
      <w:r>
        <w:t xml:space="preserve">based </w:t>
      </w:r>
      <w:r w:rsidR="00710327">
        <w:t>apprenticeship</w:t>
      </w:r>
      <w:r>
        <w:t xml:space="preserve"> or traineeship</w:t>
      </w:r>
      <w:r w:rsidR="008441ED">
        <w:t>,</w:t>
      </w:r>
      <w:r>
        <w:t xml:space="preserve"> which typically would not be </w:t>
      </w:r>
      <w:r w:rsidR="00710327">
        <w:t>completed</w:t>
      </w:r>
      <w:r>
        <w:t xml:space="preserve"> until the individual has left school (if completed at all). Others are academically oriented students who are interested in getting experience and a qualification in areas such as retail or </w:t>
      </w:r>
      <w:r w:rsidR="00710327">
        <w:t>hospitality</w:t>
      </w:r>
      <w:r w:rsidR="008441ED">
        <w:t>,</w:t>
      </w:r>
      <w:r>
        <w:t xml:space="preserve"> which will be helpful for part-time employment while at university.</w:t>
      </w:r>
    </w:p>
    <w:p w:rsidR="00736E67" w:rsidRDefault="00E31DAE" w:rsidP="00736E67">
      <w:pPr>
        <w:pStyle w:val="Text"/>
      </w:pPr>
      <w:r>
        <w:t>As with any model</w:t>
      </w:r>
      <w:r w:rsidR="008441ED">
        <w:t>,</w:t>
      </w:r>
      <w:r>
        <w:t xml:space="preserve"> there are issues that are being grappled with. The first is the recognition of VET in schools as a legitimate form of training from the point of view of employers. In some areas, employers are unwilling to recognise training in a school environment</w:t>
      </w:r>
      <w:r w:rsidR="008441ED">
        <w:t xml:space="preserve"> —</w:t>
      </w:r>
      <w:r>
        <w:t xml:space="preserve"> they argue that only training i</w:t>
      </w:r>
      <w:r w:rsidR="00B85C06">
        <w:t>n</w:t>
      </w:r>
      <w:r>
        <w:t xml:space="preserve"> a proper work environment is worthwhile. A second is whether VET in </w:t>
      </w:r>
      <w:r w:rsidR="008441ED">
        <w:t xml:space="preserve">Schools </w:t>
      </w:r>
      <w:r>
        <w:t>is offering a high</w:t>
      </w:r>
      <w:r w:rsidR="008441ED">
        <w:t>-</w:t>
      </w:r>
      <w:r>
        <w:t xml:space="preserve">level alternative to an academic stream. On this last point, </w:t>
      </w:r>
      <w:r w:rsidR="00504A10">
        <w:t>I</w:t>
      </w:r>
      <w:r>
        <w:t xml:space="preserve"> have argued that a certificate III, for example, is different from the completion of </w:t>
      </w:r>
      <w:r w:rsidR="008441ED">
        <w:t xml:space="preserve">Year </w:t>
      </w:r>
      <w:r>
        <w:t>12 and therefore needs to be thought of as an alternative rather than a literal equivalent</w:t>
      </w:r>
      <w:r w:rsidR="00504A10">
        <w:t xml:space="preserve"> (Karmel </w:t>
      </w:r>
      <w:r w:rsidR="008441ED">
        <w:t>&amp;</w:t>
      </w:r>
      <w:r w:rsidR="00504A10">
        <w:t xml:space="preserve"> Lim 2011)</w:t>
      </w:r>
      <w:r>
        <w:t>.</w:t>
      </w:r>
    </w:p>
    <w:p w:rsidR="00E31DAE" w:rsidRDefault="00E31DAE" w:rsidP="00736E67">
      <w:pPr>
        <w:pStyle w:val="Text"/>
      </w:pPr>
      <w:r>
        <w:t xml:space="preserve">In terms of whether the model has been a success, the outcomes typically considered are whether VET in </w:t>
      </w:r>
      <w:r w:rsidR="008441ED">
        <w:t xml:space="preserve">Schools </w:t>
      </w:r>
      <w:r>
        <w:t xml:space="preserve">has led individuals to complete school and whether the model leads to better employment outcomes. The evidence is a little mixed. </w:t>
      </w:r>
      <w:r w:rsidR="00826353">
        <w:t>Some research I was involved with (Anlezark</w:t>
      </w:r>
      <w:r w:rsidR="008441ED">
        <w:t>,</w:t>
      </w:r>
      <w:r w:rsidR="00826353">
        <w:t xml:space="preserve"> </w:t>
      </w:r>
      <w:r w:rsidR="008441ED">
        <w:t>Karmel &amp; Ong</w:t>
      </w:r>
      <w:r w:rsidR="005002C3">
        <w:t xml:space="preserve"> 2006</w:t>
      </w:r>
      <w:r w:rsidR="00826353">
        <w:t xml:space="preserve">) suggested that the evidence that VET in </w:t>
      </w:r>
      <w:r w:rsidR="008441ED">
        <w:t xml:space="preserve">Schools </w:t>
      </w:r>
      <w:r w:rsidR="00826353">
        <w:t xml:space="preserve">led to increased </w:t>
      </w:r>
      <w:r w:rsidR="008441ED">
        <w:t xml:space="preserve">Year </w:t>
      </w:r>
      <w:r w:rsidR="00826353">
        <w:t>12 completion was not compelling</w:t>
      </w:r>
      <w:r w:rsidR="008441ED">
        <w:t>,</w:t>
      </w:r>
      <w:r w:rsidR="00826353">
        <w:t xml:space="preserve"> while there was very strong evidence that those who had undertaken VET in </w:t>
      </w:r>
      <w:r w:rsidR="008441ED">
        <w:t xml:space="preserve">Schools </w:t>
      </w:r>
      <w:r w:rsidR="00826353">
        <w:t xml:space="preserve">who left after </w:t>
      </w:r>
      <w:r w:rsidR="008441ED">
        <w:t xml:space="preserve">Year </w:t>
      </w:r>
      <w:r w:rsidR="00826353">
        <w:t xml:space="preserve">11 (the penultimate year of schooling) had far superior employment outcomes to their peers who left after </w:t>
      </w:r>
      <w:r w:rsidR="008441ED">
        <w:t xml:space="preserve">Year </w:t>
      </w:r>
      <w:r w:rsidR="00826353">
        <w:t>11</w:t>
      </w:r>
      <w:r w:rsidR="008441ED">
        <w:t>,</w:t>
      </w:r>
      <w:r w:rsidR="002353CA">
        <w:t xml:space="preserve"> but </w:t>
      </w:r>
      <w:r w:rsidR="008441ED">
        <w:t xml:space="preserve">who </w:t>
      </w:r>
      <w:r w:rsidR="002353CA">
        <w:t xml:space="preserve">had not </w:t>
      </w:r>
      <w:r w:rsidR="00710327">
        <w:t>participated</w:t>
      </w:r>
      <w:r w:rsidR="002353CA">
        <w:t xml:space="preserve"> in VET in </w:t>
      </w:r>
      <w:r w:rsidR="008441ED">
        <w:t>Schools</w:t>
      </w:r>
      <w:r w:rsidR="002353CA">
        <w:t xml:space="preserve">. </w:t>
      </w:r>
      <w:r w:rsidR="00710327">
        <w:t>Presumably</w:t>
      </w:r>
      <w:r w:rsidR="002353CA">
        <w:t>, the reason for this result is the work experience and contacts made during work placements</w:t>
      </w:r>
      <w:r w:rsidR="008441ED">
        <w:t xml:space="preserve"> as part of the vocational education at school</w:t>
      </w:r>
      <w:r w:rsidR="002353CA">
        <w:t xml:space="preserve">. One of the design features of VET in </w:t>
      </w:r>
      <w:r w:rsidR="008441ED">
        <w:t xml:space="preserve">Schools </w:t>
      </w:r>
      <w:r w:rsidR="002353CA">
        <w:t xml:space="preserve">type programs that </w:t>
      </w:r>
      <w:proofErr w:type="gramStart"/>
      <w:r w:rsidR="002353CA">
        <w:t>needs</w:t>
      </w:r>
      <w:proofErr w:type="gramEnd"/>
      <w:r w:rsidR="002353CA">
        <w:t xml:space="preserve"> to be considered is when it is offered. It could be argued that such programs are more likely to keep students at school if they are offered during </w:t>
      </w:r>
      <w:r w:rsidR="00710327">
        <w:t>compulsory</w:t>
      </w:r>
      <w:r w:rsidR="002353CA">
        <w:t xml:space="preserve"> schooling. A further issue is the extent to which VET in </w:t>
      </w:r>
      <w:r w:rsidR="008441ED">
        <w:t xml:space="preserve">Schools </w:t>
      </w:r>
      <w:r w:rsidR="002353CA">
        <w:t xml:space="preserve">programs should be emphasising basic educational outcomes (although in a </w:t>
      </w:r>
      <w:r w:rsidR="00710327">
        <w:t>vocational</w:t>
      </w:r>
      <w:r w:rsidR="002353CA">
        <w:t xml:space="preserve"> context), as distinct from attempting to make students work</w:t>
      </w:r>
      <w:r w:rsidR="008441ED">
        <w:t>-</w:t>
      </w:r>
      <w:r w:rsidR="002353CA">
        <w:t xml:space="preserve">ready so that they can </w:t>
      </w:r>
      <w:r w:rsidR="005002C3">
        <w:t>walk into a job fully trained. W</w:t>
      </w:r>
      <w:r w:rsidR="002353CA">
        <w:t>hile the latter approach may be better in obtaining immediate employment, perhaps the former provides a better foundation for future skills acquisition.</w:t>
      </w:r>
    </w:p>
    <w:p w:rsidR="002353CA" w:rsidRDefault="002353CA" w:rsidP="002353CA">
      <w:pPr>
        <w:pStyle w:val="Heading3"/>
      </w:pPr>
      <w:r>
        <w:t>Part-time work while in education</w:t>
      </w:r>
    </w:p>
    <w:p w:rsidR="002353CA" w:rsidRDefault="002353CA" w:rsidP="002353CA">
      <w:pPr>
        <w:pStyle w:val="Text"/>
      </w:pPr>
      <w:r>
        <w:t>The final feature I wish to discuss is the prevalence of part-time work by full-time students</w:t>
      </w:r>
      <w:r w:rsidR="008441ED">
        <w:t>,</w:t>
      </w:r>
      <w:r>
        <w:t xml:space="preserve"> whether at school or attending </w:t>
      </w:r>
      <w:r w:rsidR="00710327">
        <w:t>tertiary</w:t>
      </w:r>
      <w:r>
        <w:t xml:space="preserve"> education.</w:t>
      </w:r>
      <w:r w:rsidR="005440B4">
        <w:t xml:space="preserve"> It has been estimated that around </w:t>
      </w:r>
      <w:r w:rsidR="00B85C06">
        <w:t>55</w:t>
      </w:r>
      <w:r w:rsidR="005440B4">
        <w:t xml:space="preserve">% of school students in their latter years of schooling </w:t>
      </w:r>
      <w:r w:rsidR="00B85C06">
        <w:t xml:space="preserve">(Anlezark </w:t>
      </w:r>
      <w:r w:rsidR="008441ED">
        <w:t>&amp;</w:t>
      </w:r>
      <w:r w:rsidR="00B85C06">
        <w:t xml:space="preserve"> Lim 2011</w:t>
      </w:r>
      <w:r w:rsidR="008441ED">
        <w:t>, p.</w:t>
      </w:r>
      <w:r w:rsidR="00B85C06">
        <w:t xml:space="preserve">15) </w:t>
      </w:r>
      <w:r w:rsidR="005440B4">
        <w:t xml:space="preserve">and </w:t>
      </w:r>
      <w:r w:rsidR="00B85C06">
        <w:t>70</w:t>
      </w:r>
      <w:r w:rsidR="005440B4">
        <w:t xml:space="preserve">% of tertiary students </w:t>
      </w:r>
      <w:r w:rsidR="00B85C06">
        <w:t xml:space="preserve">(ABS 2008) </w:t>
      </w:r>
      <w:r w:rsidR="005440B4">
        <w:t>a</w:t>
      </w:r>
      <w:r w:rsidR="005002C3">
        <w:t>re undertaking part-time work. T</w:t>
      </w:r>
      <w:r w:rsidR="005440B4">
        <w:t>his proportion has been growing in recent years.</w:t>
      </w:r>
    </w:p>
    <w:p w:rsidR="00A85495" w:rsidRDefault="005440B4" w:rsidP="002353CA">
      <w:pPr>
        <w:pStyle w:val="Text"/>
      </w:pPr>
      <w:r>
        <w:lastRenderedPageBreak/>
        <w:t>The benefits of part-time work are obvious. First, it provides income to help with the student’s living expenses (income support for students is means</w:t>
      </w:r>
      <w:r w:rsidR="008441ED">
        <w:t>-</w:t>
      </w:r>
      <w:r>
        <w:t xml:space="preserve">tested for persons up to the age of 22 years). Second, it provides work experience with the positive social behaviours that go with it </w:t>
      </w:r>
      <w:r w:rsidR="008441ED">
        <w:t>—</w:t>
      </w:r>
      <w:r>
        <w:t xml:space="preserve"> punctuality, reliability, </w:t>
      </w:r>
      <w:r w:rsidR="00710327">
        <w:t>communication</w:t>
      </w:r>
      <w:r>
        <w:t xml:space="preserve"> etc. However, there is a downside</w:t>
      </w:r>
      <w:r w:rsidR="008441ED">
        <w:t>,</w:t>
      </w:r>
      <w:r>
        <w:t xml:space="preserve"> with</w:t>
      </w:r>
      <w:r w:rsidR="00A85495">
        <w:t xml:space="preserve"> the research suggesting that too much part-time work has a detrimental e</w:t>
      </w:r>
      <w:r w:rsidR="00FA2FD5">
        <w:t xml:space="preserve">ffect on academic performance. </w:t>
      </w:r>
      <w:r w:rsidR="00B85C06">
        <w:t xml:space="preserve">Anlezark and Lim (2010) </w:t>
      </w:r>
      <w:r w:rsidR="00A85495">
        <w:t xml:space="preserve">show that working up to </w:t>
      </w:r>
      <w:r w:rsidR="008441ED">
        <w:t>ten</w:t>
      </w:r>
      <w:r w:rsidR="00A85495">
        <w:t xml:space="preserve"> hours a week </w:t>
      </w:r>
      <w:r w:rsidR="00FA2FD5">
        <w:t>h</w:t>
      </w:r>
      <w:r w:rsidR="00A85495">
        <w:t xml:space="preserve">as no </w:t>
      </w:r>
      <w:r w:rsidR="00710327">
        <w:t>impact</w:t>
      </w:r>
      <w:r w:rsidR="00A85495">
        <w:t xml:space="preserve"> on academic </w:t>
      </w:r>
      <w:r w:rsidR="00710327">
        <w:t>performance</w:t>
      </w:r>
      <w:r w:rsidR="00A85495">
        <w:t xml:space="preserve"> at school, while 20 plus hours has a clear and negative impact. </w:t>
      </w:r>
      <w:r w:rsidR="00710327">
        <w:t>Similarly</w:t>
      </w:r>
      <w:r w:rsidR="00A85495">
        <w:t xml:space="preserve">, </w:t>
      </w:r>
      <w:r w:rsidR="00B85C06" w:rsidRPr="00453DDD">
        <w:t>Polidano and Zakir</w:t>
      </w:r>
      <w:r w:rsidR="008441ED" w:rsidRPr="00453DDD">
        <w:t>ov</w:t>
      </w:r>
      <w:r w:rsidR="00B85C06" w:rsidRPr="00453DDD">
        <w:t>a (2011</w:t>
      </w:r>
      <w:r w:rsidR="00B85C06">
        <w:t xml:space="preserve">) found that those who were working more than </w:t>
      </w:r>
      <w:r w:rsidR="008441ED">
        <w:t>eight</w:t>
      </w:r>
      <w:r w:rsidR="00B85C06">
        <w:t xml:space="preserve"> hours a week were less likely to complete their studies, with those working the most (more than 24 hours a week) being 14 percentage points less likely to complete.</w:t>
      </w:r>
    </w:p>
    <w:p w:rsidR="005440B4" w:rsidRPr="002353CA" w:rsidRDefault="00A85495" w:rsidP="002353CA">
      <w:pPr>
        <w:pStyle w:val="Text"/>
      </w:pPr>
      <w:r>
        <w:t>Thus, for Australia at least, part-time work for full-time students can be taken to be a positive feature of the landscape, as long as the hours per week are modest.</w:t>
      </w:r>
    </w:p>
    <w:p w:rsidR="002353CA" w:rsidRDefault="00A85495" w:rsidP="008E3C42">
      <w:pPr>
        <w:pStyle w:val="Heading2"/>
      </w:pPr>
      <w:bookmarkStart w:id="46" w:name="_Toc331516770"/>
      <w:r>
        <w:t>Final comments</w:t>
      </w:r>
      <w:bookmarkEnd w:id="46"/>
    </w:p>
    <w:p w:rsidR="00A85495" w:rsidRDefault="00A85495" w:rsidP="00736E67">
      <w:pPr>
        <w:pStyle w:val="Text"/>
      </w:pPr>
      <w:r>
        <w:t xml:space="preserve">While one should always be prudent in assuming that what works in one country is transferable to another, the Australian education and training system and </w:t>
      </w:r>
      <w:r w:rsidR="008441ED">
        <w:t xml:space="preserve">the </w:t>
      </w:r>
      <w:r>
        <w:t>labour market ha</w:t>
      </w:r>
      <w:r w:rsidR="008441ED">
        <w:t>ve</w:t>
      </w:r>
      <w:r>
        <w:t xml:space="preserve"> two </w:t>
      </w:r>
      <w:r w:rsidR="00710327">
        <w:t>dominant</w:t>
      </w:r>
      <w:r>
        <w:t xml:space="preserve"> features that appear to help youth transitions:</w:t>
      </w:r>
    </w:p>
    <w:p w:rsidR="00A85495" w:rsidRDefault="008441ED" w:rsidP="005002C3">
      <w:pPr>
        <w:pStyle w:val="Dotpoint1"/>
      </w:pPr>
      <w:r>
        <w:t xml:space="preserve">high </w:t>
      </w:r>
      <w:r w:rsidR="00A85495">
        <w:t xml:space="preserve">full-time participation in </w:t>
      </w:r>
      <w:r w:rsidR="00710327">
        <w:t>education,</w:t>
      </w:r>
      <w:r w:rsidR="00A85495">
        <w:t xml:space="preserve"> although this is only going to be effective if the labour market is demanding educated labour</w:t>
      </w:r>
    </w:p>
    <w:p w:rsidR="00A85495" w:rsidRDefault="008441ED" w:rsidP="005002C3">
      <w:pPr>
        <w:pStyle w:val="Dotpoint1"/>
      </w:pPr>
      <w:proofErr w:type="gramStart"/>
      <w:r>
        <w:t>multiple</w:t>
      </w:r>
      <w:proofErr w:type="gramEnd"/>
      <w:r>
        <w:t xml:space="preserve"> </w:t>
      </w:r>
      <w:r w:rsidR="00A85495">
        <w:t>pathways</w:t>
      </w:r>
      <w:r>
        <w:t>:</w:t>
      </w:r>
      <w:r w:rsidR="00A85495">
        <w:t xml:space="preserve"> </w:t>
      </w:r>
      <w:r>
        <w:t>a</w:t>
      </w:r>
      <w:r w:rsidR="00A85495">
        <w:t>pprenticeship</w:t>
      </w:r>
      <w:r>
        <w:t>s</w:t>
      </w:r>
      <w:r w:rsidR="00A85495">
        <w:t xml:space="preserve"> and traineeships, and VET in </w:t>
      </w:r>
      <w:r>
        <w:t xml:space="preserve">Schools </w:t>
      </w:r>
      <w:r w:rsidR="00A85495">
        <w:t xml:space="preserve">all offer a variety of paths to a successful transition. These, together with the high proportions of individuals going on to </w:t>
      </w:r>
      <w:r w:rsidR="00710327">
        <w:t>tertiary</w:t>
      </w:r>
      <w:r w:rsidR="00A85495">
        <w:t xml:space="preserve"> education, ‘spread the risk’ and also mean that young people entering the full-time labour market are spread across a range of ages. If one pathway does not work out for an individual</w:t>
      </w:r>
      <w:r w:rsidR="00453DDD">
        <w:t>,</w:t>
      </w:r>
      <w:r w:rsidR="00A85495">
        <w:t xml:space="preserve"> then there are options</w:t>
      </w:r>
      <w:r w:rsidR="00453DDD">
        <w:t>.</w:t>
      </w:r>
      <w:r w:rsidR="00A85495">
        <w:t xml:space="preserve"> (</w:t>
      </w:r>
      <w:r w:rsidR="00453DDD">
        <w:t xml:space="preserve">One </w:t>
      </w:r>
      <w:r w:rsidR="00A85495">
        <w:t xml:space="preserve">of the very positive features of Australia’s tertiary education system is its </w:t>
      </w:r>
      <w:r w:rsidR="00710327">
        <w:t>ability</w:t>
      </w:r>
      <w:r w:rsidR="00A85495">
        <w:t xml:space="preserve"> to offer second chances</w:t>
      </w:r>
      <w:r w:rsidR="00453DDD">
        <w:t>.</w:t>
      </w:r>
      <w:r w:rsidR="005002C3">
        <w:t>)</w:t>
      </w:r>
    </w:p>
    <w:p w:rsidR="00A85495" w:rsidRPr="00736E67" w:rsidRDefault="00A85495" w:rsidP="00736E67">
      <w:pPr>
        <w:pStyle w:val="Text"/>
      </w:pPr>
      <w:r>
        <w:t>While both of these features are very important, on</w:t>
      </w:r>
      <w:r w:rsidR="005002C3">
        <w:t>e</w:t>
      </w:r>
      <w:r>
        <w:t xml:space="preserve"> cannot forget the importance of the </w:t>
      </w:r>
      <w:r w:rsidR="00710327">
        <w:t>macro economy</w:t>
      </w:r>
      <w:r>
        <w:t xml:space="preserve">. If the labour market is </w:t>
      </w:r>
      <w:r w:rsidR="00710327">
        <w:t>buoyant</w:t>
      </w:r>
      <w:r w:rsidR="00453DDD">
        <w:t>,</w:t>
      </w:r>
      <w:r>
        <w:t xml:space="preserve"> then it is </w:t>
      </w:r>
      <w:r w:rsidR="00710327">
        <w:t>relatively</w:t>
      </w:r>
      <w:r>
        <w:t xml:space="preserve"> easy to absorb new entrants. However, if aggregate </w:t>
      </w:r>
      <w:r w:rsidR="00710327">
        <w:t>unemployment</w:t>
      </w:r>
      <w:r>
        <w:t xml:space="preserve"> is very high</w:t>
      </w:r>
      <w:r w:rsidR="00453DDD">
        <w:t>,</w:t>
      </w:r>
      <w:r>
        <w:t xml:space="preserve"> then</w:t>
      </w:r>
      <w:r w:rsidR="008E3C42">
        <w:t xml:space="preserve"> it will be very difficult to construct models that deliver effective </w:t>
      </w:r>
      <w:r w:rsidR="005002C3">
        <w:t xml:space="preserve">youth </w:t>
      </w:r>
      <w:r w:rsidR="008E3C42">
        <w:t>transitions.</w:t>
      </w:r>
    </w:p>
    <w:p w:rsidR="00D43B5F" w:rsidRDefault="00D43B5F">
      <w:pPr>
        <w:spacing w:before="0" w:line="240" w:lineRule="auto"/>
        <w:rPr>
          <w:rFonts w:ascii="Tahoma" w:hAnsi="Tahoma"/>
          <w:b/>
          <w:sz w:val="17"/>
        </w:rPr>
      </w:pPr>
      <w:bookmarkStart w:id="47" w:name="_Toc296497273"/>
      <w:r>
        <w:br w:type="page"/>
      </w:r>
    </w:p>
    <w:p w:rsidR="00A50895" w:rsidRDefault="00A50895" w:rsidP="00A50895">
      <w:pPr>
        <w:pStyle w:val="Heading1"/>
      </w:pPr>
      <w:bookmarkStart w:id="48" w:name="_Toc456000800"/>
      <w:bookmarkStart w:id="49" w:name="_Toc457122465"/>
      <w:bookmarkStart w:id="50" w:name="_Toc188077643"/>
      <w:bookmarkStart w:id="51" w:name="_Toc331516771"/>
      <w:bookmarkEnd w:id="47"/>
      <w:r>
        <w:lastRenderedPageBreak/>
        <w:t>References</w:t>
      </w:r>
      <w:bookmarkEnd w:id="48"/>
      <w:bookmarkEnd w:id="49"/>
      <w:bookmarkEnd w:id="50"/>
      <w:bookmarkEnd w:id="51"/>
    </w:p>
    <w:p w:rsidR="00B85C06" w:rsidRPr="0091203A" w:rsidRDefault="00453DDD" w:rsidP="0091203A">
      <w:pPr>
        <w:pStyle w:val="References"/>
      </w:pPr>
      <w:proofErr w:type="gramStart"/>
      <w:r>
        <w:t>ABS (</w:t>
      </w:r>
      <w:r w:rsidR="00B85C06" w:rsidRPr="0091203A">
        <w:t>Australian Bureau of Statistics</w:t>
      </w:r>
      <w:r>
        <w:t>)</w:t>
      </w:r>
      <w:r w:rsidR="00B85C06" w:rsidRPr="0091203A">
        <w:t xml:space="preserve"> 2008</w:t>
      </w:r>
      <w:r>
        <w:t>,</w:t>
      </w:r>
      <w:r w:rsidR="00B85C06" w:rsidRPr="0091203A">
        <w:t xml:space="preserve"> </w:t>
      </w:r>
      <w:r w:rsidR="00B85C06" w:rsidRPr="00453DDD">
        <w:rPr>
          <w:i/>
        </w:rPr>
        <w:t>Year book of Australia</w:t>
      </w:r>
      <w:r>
        <w:t>, ABS, Canberra.</w:t>
      </w:r>
      <w:proofErr w:type="gramEnd"/>
    </w:p>
    <w:p w:rsidR="005002C3" w:rsidRPr="0091203A" w:rsidRDefault="005002C3" w:rsidP="0091203A">
      <w:pPr>
        <w:pStyle w:val="References"/>
      </w:pPr>
      <w:r w:rsidRPr="0091203A">
        <w:t xml:space="preserve">Anlezark, A, Karmel, T </w:t>
      </w:r>
      <w:r w:rsidR="00453DDD">
        <w:t>&amp;</w:t>
      </w:r>
      <w:r w:rsidRPr="0091203A">
        <w:t xml:space="preserve"> Ong, K 2006, </w:t>
      </w:r>
      <w:r w:rsidRPr="003D1BC0">
        <w:rPr>
          <w:i/>
        </w:rPr>
        <w:t>Have school vocational education and training programs been successful</w:t>
      </w:r>
      <w:proofErr w:type="gramStart"/>
      <w:r w:rsidRPr="003D1BC0">
        <w:rPr>
          <w:i/>
        </w:rPr>
        <w:t>?</w:t>
      </w:r>
      <w:r w:rsidR="00453DDD">
        <w:t>,</w:t>
      </w:r>
      <w:proofErr w:type="gramEnd"/>
      <w:r w:rsidRPr="0091203A">
        <w:t xml:space="preserve"> NCVER, Adelaide</w:t>
      </w:r>
      <w:r w:rsidR="00453DDD">
        <w:t>.</w:t>
      </w:r>
    </w:p>
    <w:p w:rsidR="00B85C06" w:rsidRDefault="00B85C06" w:rsidP="0091203A">
      <w:pPr>
        <w:pStyle w:val="References"/>
      </w:pPr>
      <w:r w:rsidRPr="0091203A">
        <w:t xml:space="preserve">Anlezark, </w:t>
      </w:r>
      <w:r w:rsidR="00453DDD" w:rsidRPr="0091203A">
        <w:t>A</w:t>
      </w:r>
      <w:r w:rsidRPr="0091203A">
        <w:t xml:space="preserve"> </w:t>
      </w:r>
      <w:r w:rsidR="00453DDD">
        <w:t>&amp;</w:t>
      </w:r>
      <w:r w:rsidRPr="0091203A">
        <w:t xml:space="preserve"> Lim, P 2010, </w:t>
      </w:r>
      <w:r w:rsidRPr="00453DDD">
        <w:rPr>
          <w:i/>
        </w:rPr>
        <w:t>Does combining school and work affect school and post-school outcomes</w:t>
      </w:r>
      <w:proofErr w:type="gramStart"/>
      <w:r w:rsidRPr="00453DDD">
        <w:rPr>
          <w:i/>
        </w:rPr>
        <w:t>?</w:t>
      </w:r>
      <w:r w:rsidR="003D1BC0">
        <w:rPr>
          <w:i/>
        </w:rPr>
        <w:t>,</w:t>
      </w:r>
      <w:proofErr w:type="gramEnd"/>
      <w:r w:rsidRPr="0091203A">
        <w:t xml:space="preserve"> NCVER, Adelaide</w:t>
      </w:r>
      <w:r w:rsidR="00453DDD">
        <w:t>.</w:t>
      </w:r>
    </w:p>
    <w:p w:rsidR="00453DDD" w:rsidRPr="0091203A" w:rsidRDefault="00453DDD" w:rsidP="0091203A">
      <w:pPr>
        <w:pStyle w:val="References"/>
      </w:pPr>
      <w:r w:rsidRPr="00035E12">
        <w:rPr>
          <w:lang w:eastAsia="en-AU"/>
        </w:rPr>
        <w:t>I</w:t>
      </w:r>
      <w:r>
        <w:rPr>
          <w:lang w:eastAsia="en-AU"/>
        </w:rPr>
        <w:t xml:space="preserve">nternational </w:t>
      </w:r>
      <w:r w:rsidRPr="00035E12">
        <w:rPr>
          <w:lang w:eastAsia="en-AU"/>
        </w:rPr>
        <w:t>L</w:t>
      </w:r>
      <w:r>
        <w:rPr>
          <w:lang w:eastAsia="en-AU"/>
        </w:rPr>
        <w:t xml:space="preserve">abour </w:t>
      </w:r>
      <w:r w:rsidRPr="00035E12">
        <w:rPr>
          <w:lang w:eastAsia="en-AU"/>
        </w:rPr>
        <w:t>O</w:t>
      </w:r>
      <w:r>
        <w:rPr>
          <w:lang w:eastAsia="en-AU"/>
        </w:rPr>
        <w:t>rganisation 2012,</w:t>
      </w:r>
      <w:r w:rsidRPr="00035E12">
        <w:rPr>
          <w:lang w:eastAsia="en-AU"/>
        </w:rPr>
        <w:t xml:space="preserve"> </w:t>
      </w:r>
      <w:r w:rsidRPr="00035E12">
        <w:rPr>
          <w:i/>
          <w:iCs/>
          <w:lang w:eastAsia="en-AU"/>
        </w:rPr>
        <w:t>Short-term indicators of the labour market</w:t>
      </w:r>
      <w:r w:rsidRPr="00035E12">
        <w:rPr>
          <w:lang w:eastAsia="en-AU"/>
        </w:rPr>
        <w:t xml:space="preserve">, </w:t>
      </w:r>
      <w:r>
        <w:rPr>
          <w:lang w:eastAsia="en-AU"/>
        </w:rPr>
        <w:t xml:space="preserve">ILO, Geneva, viewed </w:t>
      </w:r>
      <w:r w:rsidRPr="00035E12">
        <w:rPr>
          <w:lang w:eastAsia="en-AU"/>
        </w:rPr>
        <w:t xml:space="preserve">March 2012, </w:t>
      </w:r>
      <w:r>
        <w:rPr>
          <w:lang w:eastAsia="en-AU"/>
        </w:rPr>
        <w:t>&lt;</w:t>
      </w:r>
      <w:r w:rsidRPr="00035E12">
        <w:rPr>
          <w:lang w:eastAsia="en-AU"/>
        </w:rPr>
        <w:t>http://laborsta.ilo.org/sti/sti_E.html</w:t>
      </w:r>
      <w:r>
        <w:rPr>
          <w:lang w:eastAsia="en-AU"/>
        </w:rPr>
        <w:t>&gt;.</w:t>
      </w:r>
    </w:p>
    <w:p w:rsidR="00A50895" w:rsidRPr="0091203A" w:rsidRDefault="00B169E3" w:rsidP="0091203A">
      <w:pPr>
        <w:pStyle w:val="References"/>
      </w:pPr>
      <w:r w:rsidRPr="0091203A">
        <w:t xml:space="preserve">Karmel, T </w:t>
      </w:r>
      <w:r w:rsidR="00453DDD">
        <w:t>&amp;</w:t>
      </w:r>
      <w:r w:rsidRPr="0091203A">
        <w:t xml:space="preserve"> Liu, </w:t>
      </w:r>
      <w:r w:rsidR="001464C5" w:rsidRPr="0091203A">
        <w:t xml:space="preserve">S 2011, </w:t>
      </w:r>
      <w:proofErr w:type="gramStart"/>
      <w:r w:rsidR="001464C5" w:rsidRPr="00453DDD">
        <w:rPr>
          <w:i/>
        </w:rPr>
        <w:t>Which</w:t>
      </w:r>
      <w:proofErr w:type="gramEnd"/>
      <w:r w:rsidR="001464C5" w:rsidRPr="00453DDD">
        <w:rPr>
          <w:i/>
        </w:rPr>
        <w:t xml:space="preserve"> paths work for which young</w:t>
      </w:r>
      <w:r w:rsidR="003D1BC0">
        <w:rPr>
          <w:i/>
        </w:rPr>
        <w:t xml:space="preserve"> people</w:t>
      </w:r>
      <w:r w:rsidR="00A50895" w:rsidRPr="0091203A">
        <w:t>, NCVER, Adelaide.</w:t>
      </w:r>
    </w:p>
    <w:p w:rsidR="001464C5" w:rsidRPr="0091203A" w:rsidRDefault="001464C5" w:rsidP="0091203A">
      <w:pPr>
        <w:pStyle w:val="References"/>
      </w:pPr>
      <w:proofErr w:type="gramStart"/>
      <w:r w:rsidRPr="0091203A">
        <w:t xml:space="preserve">Karmel, T </w:t>
      </w:r>
      <w:r w:rsidR="00453DDD">
        <w:t>&amp;</w:t>
      </w:r>
      <w:r w:rsidRPr="0091203A">
        <w:t xml:space="preserve"> Oliver, D 2011</w:t>
      </w:r>
      <w:r w:rsidR="00504A10" w:rsidRPr="0091203A">
        <w:t xml:space="preserve">, </w:t>
      </w:r>
      <w:r w:rsidR="00504A10" w:rsidRPr="00453DDD">
        <w:rPr>
          <w:i/>
        </w:rPr>
        <w:t>Effect of the downturn on apprentices and trainees</w:t>
      </w:r>
      <w:r w:rsidR="00504A10" w:rsidRPr="0091203A">
        <w:t>, NCVER, Adelaide</w:t>
      </w:r>
      <w:r w:rsidR="00453DDD">
        <w:t>.</w:t>
      </w:r>
      <w:proofErr w:type="gramEnd"/>
    </w:p>
    <w:p w:rsidR="00504A10" w:rsidRPr="0091203A" w:rsidRDefault="00504A10" w:rsidP="0091203A">
      <w:pPr>
        <w:pStyle w:val="References"/>
      </w:pPr>
      <w:r w:rsidRPr="0091203A">
        <w:t xml:space="preserve">Karmel, T </w:t>
      </w:r>
      <w:r w:rsidR="00453DDD">
        <w:t>&amp;</w:t>
      </w:r>
      <w:r w:rsidRPr="0091203A">
        <w:t xml:space="preserve"> Lim, P 2011, </w:t>
      </w:r>
      <w:proofErr w:type="gramStart"/>
      <w:r w:rsidRPr="00453DDD">
        <w:rPr>
          <w:i/>
        </w:rPr>
        <w:t>The</w:t>
      </w:r>
      <w:proofErr w:type="gramEnd"/>
      <w:r w:rsidRPr="00453DDD">
        <w:rPr>
          <w:i/>
        </w:rPr>
        <w:t xml:space="preserve"> vocational equivalent to </w:t>
      </w:r>
      <w:r w:rsidR="00453DDD" w:rsidRPr="00453DDD">
        <w:rPr>
          <w:i/>
        </w:rPr>
        <w:t xml:space="preserve">Year </w:t>
      </w:r>
      <w:r w:rsidRPr="00453DDD">
        <w:rPr>
          <w:i/>
        </w:rPr>
        <w:t>12</w:t>
      </w:r>
      <w:r w:rsidRPr="0091203A">
        <w:t>, NCVER, Adelaide</w:t>
      </w:r>
      <w:r w:rsidR="00453DDD">
        <w:t>.</w:t>
      </w:r>
    </w:p>
    <w:p w:rsidR="00035E12" w:rsidRDefault="00035E12" w:rsidP="0091203A">
      <w:pPr>
        <w:pStyle w:val="References"/>
      </w:pPr>
      <w:r w:rsidRPr="0091203A">
        <w:t xml:space="preserve">Karmel, </w:t>
      </w:r>
      <w:r w:rsidR="001D6539" w:rsidRPr="0091203A">
        <w:t>T</w:t>
      </w:r>
      <w:r w:rsidRPr="0091203A">
        <w:t xml:space="preserve"> </w:t>
      </w:r>
      <w:r w:rsidR="00453DDD">
        <w:t>&amp;</w:t>
      </w:r>
      <w:r w:rsidRPr="0091203A">
        <w:t xml:space="preserve"> Rice, J 2010, </w:t>
      </w:r>
      <w:r w:rsidRPr="00453DDD">
        <w:rPr>
          <w:i/>
        </w:rPr>
        <w:t>The economics of apprenticeships and traineeships</w:t>
      </w:r>
      <w:r w:rsidRPr="0091203A">
        <w:t>, Commonwealth of Australia</w:t>
      </w:r>
      <w:r w:rsidR="001D6539" w:rsidRPr="0091203A">
        <w:t xml:space="preserve">, </w:t>
      </w:r>
      <w:r w:rsidR="00453DDD" w:rsidRPr="00687856">
        <w:t xml:space="preserve">viewed </w:t>
      </w:r>
      <w:r w:rsidR="00687856">
        <w:t>March 2012</w:t>
      </w:r>
      <w:r w:rsidR="00453DDD" w:rsidRPr="00687856">
        <w:t>,</w:t>
      </w:r>
      <w:r w:rsidR="00453DDD">
        <w:t xml:space="preserve"> &lt;</w:t>
      </w:r>
      <w:r w:rsidR="001D6539" w:rsidRPr="0091203A">
        <w:t>http://www.australianapprenticeships.gov.au/documents/ncverreport4.pdf</w:t>
      </w:r>
      <w:r w:rsidR="00453DDD">
        <w:t>&gt;.</w:t>
      </w:r>
    </w:p>
    <w:p w:rsidR="00F67C3E" w:rsidRDefault="00F67C3E" w:rsidP="0091203A">
      <w:pPr>
        <w:pStyle w:val="References"/>
      </w:pPr>
      <w:r>
        <w:t>NCVER (</w:t>
      </w:r>
      <w:r w:rsidRPr="0091203A">
        <w:t>National Centre for Vocational Education Research)</w:t>
      </w:r>
      <w:r>
        <w:t xml:space="preserve"> 2010, </w:t>
      </w:r>
      <w:r w:rsidRPr="00F67C3E">
        <w:rPr>
          <w:i/>
        </w:rPr>
        <w:t>Australian vocational education and training statistics: VET in Schools 2008</w:t>
      </w:r>
      <w:r>
        <w:t xml:space="preserve">, NCVER, </w:t>
      </w:r>
      <w:proofErr w:type="gramStart"/>
      <w:r>
        <w:t>Adelaide</w:t>
      </w:r>
      <w:proofErr w:type="gramEnd"/>
      <w:r>
        <w:t>.</w:t>
      </w:r>
    </w:p>
    <w:p w:rsidR="00606445" w:rsidRDefault="00F67C3E" w:rsidP="0091203A">
      <w:pPr>
        <w:pStyle w:val="References"/>
      </w:pPr>
      <w:r>
        <w:t>——</w:t>
      </w:r>
      <w:r w:rsidR="00606445" w:rsidRPr="0091203A">
        <w:t xml:space="preserve"> 2011, </w:t>
      </w:r>
      <w:r w:rsidR="00483BEE" w:rsidRPr="00483BEE">
        <w:rPr>
          <w:i/>
        </w:rPr>
        <w:t xml:space="preserve">Australian vocational education and training statistics: </w:t>
      </w:r>
      <w:r w:rsidR="00483BEE">
        <w:rPr>
          <w:i/>
        </w:rPr>
        <w:t>s</w:t>
      </w:r>
      <w:r w:rsidR="00606445" w:rsidRPr="00453DDD">
        <w:rPr>
          <w:i/>
        </w:rPr>
        <w:t>tudents and courses</w:t>
      </w:r>
      <w:r w:rsidR="00483BEE">
        <w:rPr>
          <w:i/>
        </w:rPr>
        <w:t xml:space="preserve"> 2010</w:t>
      </w:r>
      <w:r w:rsidR="00606445" w:rsidRPr="0091203A">
        <w:t>, NCVER</w:t>
      </w:r>
      <w:r w:rsidR="00453DDD">
        <w:t>,</w:t>
      </w:r>
      <w:r w:rsidR="00606445" w:rsidRPr="0091203A">
        <w:t xml:space="preserve"> Adelaide</w:t>
      </w:r>
      <w:r w:rsidR="00453DDD">
        <w:t>.</w:t>
      </w:r>
    </w:p>
    <w:p w:rsidR="00453DDD" w:rsidRPr="0091203A" w:rsidRDefault="00453DDD" w:rsidP="0091203A">
      <w:pPr>
        <w:pStyle w:val="References"/>
      </w:pPr>
      <w:proofErr w:type="gramStart"/>
      <w:r>
        <w:t xml:space="preserve">Polidano, C &amp; Zakirova, R 2011, </w:t>
      </w:r>
      <w:r w:rsidRPr="00453DDD">
        <w:rPr>
          <w:i/>
        </w:rPr>
        <w:t>Outcomes from combining work with study</w:t>
      </w:r>
      <w:r>
        <w:t>, NCVER, Adelaide.</w:t>
      </w:r>
      <w:proofErr w:type="gramEnd"/>
    </w:p>
    <w:p w:rsidR="00A50895" w:rsidRDefault="00A50895" w:rsidP="00A50895">
      <w:pPr>
        <w:pStyle w:val="Heading1"/>
      </w:pPr>
      <w:r>
        <w:br w:type="page"/>
      </w:r>
      <w:bookmarkStart w:id="52" w:name="_Toc188077644"/>
      <w:bookmarkStart w:id="53" w:name="_Toc331516772"/>
      <w:r w:rsidR="00BB7EBF">
        <w:lastRenderedPageBreak/>
        <w:t>Appendix A</w:t>
      </w:r>
      <w:bookmarkEnd w:id="52"/>
      <w:bookmarkEnd w:id="53"/>
    </w:p>
    <w:p w:rsidR="00BB7EBF" w:rsidRPr="00E03164" w:rsidRDefault="002765F4" w:rsidP="002765F4">
      <w:pPr>
        <w:pStyle w:val="tabletitle"/>
      </w:pPr>
      <w:bookmarkStart w:id="54" w:name="_Toc331516802"/>
      <w:r>
        <w:t>Table A1</w:t>
      </w:r>
      <w:r w:rsidR="0072360E">
        <w:tab/>
      </w:r>
      <w:r>
        <w:t>Unemployment rate, unemployment</w:t>
      </w:r>
      <w:r w:rsidR="00EE1336">
        <w:t>-</w:t>
      </w:r>
      <w:r>
        <w:t>to</w:t>
      </w:r>
      <w:r w:rsidR="00EE1336">
        <w:t>-</w:t>
      </w:r>
      <w:r>
        <w:t xml:space="preserve">population ratio, males </w:t>
      </w:r>
      <w:r w:rsidR="00EE509B">
        <w:br/>
      </w:r>
      <w:r>
        <w:t>aged 15</w:t>
      </w:r>
      <w:r w:rsidR="00EE1336">
        <w:t>–</w:t>
      </w:r>
      <w:r>
        <w:t>24 years, selected countries, 2010</w:t>
      </w:r>
      <w:bookmarkEnd w:id="54"/>
    </w:p>
    <w:tbl>
      <w:tblPr>
        <w:tblW w:w="7093" w:type="dxa"/>
        <w:tblInd w:w="103" w:type="dxa"/>
        <w:tblLook w:val="04A0"/>
      </w:tblPr>
      <w:tblGrid>
        <w:gridCol w:w="3297"/>
        <w:gridCol w:w="1687"/>
        <w:gridCol w:w="2113"/>
      </w:tblGrid>
      <w:tr w:rsidR="00BB7EBF" w:rsidRPr="00A759EA" w:rsidTr="00EE1336">
        <w:trPr>
          <w:tblHeader/>
        </w:trPr>
        <w:tc>
          <w:tcPr>
            <w:tcW w:w="3297" w:type="dxa"/>
            <w:tcBorders>
              <w:top w:val="single" w:sz="4" w:space="0" w:color="auto"/>
              <w:bottom w:val="single" w:sz="4" w:space="0" w:color="auto"/>
            </w:tcBorders>
            <w:shd w:val="clear" w:color="auto" w:fill="auto"/>
            <w:noWrap/>
            <w:hideMark/>
          </w:tcPr>
          <w:p w:rsidR="00BB7EBF" w:rsidRPr="00A759EA" w:rsidRDefault="00EE509B" w:rsidP="00EE509B">
            <w:pPr>
              <w:pStyle w:val="Tablehead1"/>
              <w:rPr>
                <w:sz w:val="18"/>
                <w:szCs w:val="18"/>
                <w:lang w:eastAsia="en-AU"/>
              </w:rPr>
            </w:pPr>
            <w:r w:rsidRPr="00A759EA">
              <w:rPr>
                <w:sz w:val="18"/>
                <w:szCs w:val="18"/>
                <w:lang w:eastAsia="en-AU"/>
              </w:rPr>
              <w:t>Country</w:t>
            </w:r>
          </w:p>
        </w:tc>
        <w:tc>
          <w:tcPr>
            <w:tcW w:w="1683" w:type="dxa"/>
            <w:tcBorders>
              <w:top w:val="single" w:sz="4" w:space="0" w:color="auto"/>
              <w:left w:val="nil"/>
              <w:bottom w:val="single" w:sz="4" w:space="0" w:color="auto"/>
              <w:right w:val="nil"/>
            </w:tcBorders>
            <w:shd w:val="clear" w:color="auto" w:fill="auto"/>
            <w:noWrap/>
            <w:hideMark/>
          </w:tcPr>
          <w:p w:rsidR="00BB7EBF" w:rsidRPr="00A759EA" w:rsidRDefault="00BB7EBF" w:rsidP="00EE1336">
            <w:pPr>
              <w:pStyle w:val="Tablehead1"/>
              <w:ind w:right="170"/>
              <w:jc w:val="right"/>
              <w:rPr>
                <w:sz w:val="18"/>
                <w:szCs w:val="18"/>
                <w:lang w:eastAsia="en-AU"/>
              </w:rPr>
            </w:pPr>
            <w:r w:rsidRPr="00A759EA">
              <w:rPr>
                <w:sz w:val="18"/>
                <w:szCs w:val="18"/>
                <w:lang w:eastAsia="en-AU"/>
              </w:rPr>
              <w:t>Unemp</w:t>
            </w:r>
            <w:r w:rsidR="00EE1336" w:rsidRPr="00A759EA">
              <w:rPr>
                <w:sz w:val="18"/>
                <w:szCs w:val="18"/>
                <w:lang w:eastAsia="en-AU"/>
              </w:rPr>
              <w:t>loyment</w:t>
            </w:r>
            <w:r w:rsidR="008B6361" w:rsidRPr="00A759EA">
              <w:rPr>
                <w:sz w:val="18"/>
                <w:szCs w:val="18"/>
                <w:lang w:eastAsia="en-AU"/>
              </w:rPr>
              <w:br/>
              <w:t>r</w:t>
            </w:r>
            <w:r w:rsidRPr="00A759EA">
              <w:rPr>
                <w:sz w:val="18"/>
                <w:szCs w:val="18"/>
                <w:lang w:eastAsia="en-AU"/>
              </w:rPr>
              <w:t>ate</w:t>
            </w:r>
          </w:p>
        </w:tc>
        <w:tc>
          <w:tcPr>
            <w:tcW w:w="2113" w:type="dxa"/>
            <w:tcBorders>
              <w:top w:val="single" w:sz="4" w:space="0" w:color="auto"/>
              <w:left w:val="nil"/>
              <w:bottom w:val="single" w:sz="4" w:space="0" w:color="auto"/>
              <w:right w:val="nil"/>
            </w:tcBorders>
            <w:shd w:val="clear" w:color="auto" w:fill="auto"/>
            <w:noWrap/>
            <w:hideMark/>
          </w:tcPr>
          <w:p w:rsidR="00BB7EBF" w:rsidRPr="00A759EA" w:rsidRDefault="00BB7EBF" w:rsidP="00EE1336">
            <w:pPr>
              <w:pStyle w:val="Tablehead1"/>
              <w:ind w:right="170"/>
              <w:jc w:val="right"/>
              <w:rPr>
                <w:sz w:val="18"/>
                <w:szCs w:val="18"/>
                <w:lang w:eastAsia="en-AU"/>
              </w:rPr>
            </w:pPr>
            <w:r w:rsidRPr="00A759EA">
              <w:rPr>
                <w:sz w:val="18"/>
                <w:szCs w:val="18"/>
                <w:lang w:eastAsia="en-AU"/>
              </w:rPr>
              <w:t>Unemp</w:t>
            </w:r>
            <w:r w:rsidR="00EE1336" w:rsidRPr="00A759EA">
              <w:rPr>
                <w:sz w:val="18"/>
                <w:szCs w:val="18"/>
                <w:lang w:eastAsia="en-AU"/>
              </w:rPr>
              <w:t>loyment</w:t>
            </w:r>
            <w:r w:rsidRPr="00A759EA">
              <w:rPr>
                <w:sz w:val="18"/>
                <w:szCs w:val="18"/>
                <w:lang w:eastAsia="en-AU"/>
              </w:rPr>
              <w:t>/</w:t>
            </w:r>
            <w:r w:rsidR="008B6361" w:rsidRPr="00A759EA">
              <w:rPr>
                <w:sz w:val="18"/>
                <w:szCs w:val="18"/>
                <w:lang w:eastAsia="en-AU"/>
              </w:rPr>
              <w:br/>
              <w:t>p</w:t>
            </w:r>
            <w:r w:rsidRPr="00A759EA">
              <w:rPr>
                <w:sz w:val="18"/>
                <w:szCs w:val="18"/>
                <w:lang w:eastAsia="en-AU"/>
              </w:rPr>
              <w:t>op</w:t>
            </w:r>
            <w:r w:rsidR="00EE1336" w:rsidRPr="00A759EA">
              <w:rPr>
                <w:sz w:val="18"/>
                <w:szCs w:val="18"/>
                <w:lang w:eastAsia="en-AU"/>
              </w:rPr>
              <w:t>ulation</w:t>
            </w:r>
            <w:r w:rsidR="008B6361" w:rsidRPr="00A759EA">
              <w:rPr>
                <w:sz w:val="18"/>
                <w:szCs w:val="18"/>
                <w:lang w:eastAsia="en-AU"/>
              </w:rPr>
              <w:t xml:space="preserve"> </w:t>
            </w:r>
            <w:r w:rsidR="00EE1336" w:rsidRPr="00A759EA">
              <w:rPr>
                <w:sz w:val="18"/>
                <w:szCs w:val="18"/>
                <w:lang w:eastAsia="en-AU"/>
              </w:rPr>
              <w:t>(</w:t>
            </w:r>
            <w:r w:rsidRPr="00A759EA">
              <w:rPr>
                <w:sz w:val="18"/>
                <w:szCs w:val="18"/>
                <w:lang w:eastAsia="en-AU"/>
              </w:rPr>
              <w:t>%</w:t>
            </w:r>
            <w:r w:rsidR="00EE1336" w:rsidRPr="00A759EA">
              <w:rPr>
                <w:sz w:val="18"/>
                <w:szCs w:val="18"/>
                <w:lang w:eastAsia="en-AU"/>
              </w:rPr>
              <w:t>)</w:t>
            </w:r>
          </w:p>
        </w:tc>
      </w:tr>
      <w:tr w:rsidR="00BB7EBF" w:rsidRPr="00BB7EBF" w:rsidTr="00A759EA">
        <w:trPr>
          <w:trHeight w:val="284"/>
        </w:trPr>
        <w:tc>
          <w:tcPr>
            <w:tcW w:w="3297" w:type="dxa"/>
            <w:tcBorders>
              <w:top w:val="single" w:sz="4" w:space="0" w:color="auto"/>
            </w:tcBorders>
            <w:shd w:val="clear" w:color="auto" w:fill="auto"/>
            <w:noWrap/>
            <w:hideMark/>
          </w:tcPr>
          <w:p w:rsidR="00BB7EBF" w:rsidRPr="00BB7EBF" w:rsidRDefault="00C96DFB" w:rsidP="00A759EA">
            <w:pPr>
              <w:pStyle w:val="Tabletext"/>
              <w:spacing w:before="3" w:after="3"/>
              <w:rPr>
                <w:rFonts w:cs="Arial"/>
                <w:sz w:val="18"/>
                <w:szCs w:val="18"/>
                <w:lang w:eastAsia="en-AU"/>
              </w:rPr>
            </w:pPr>
            <w:hyperlink r:id="rId20" w:tooltip="Click once to display linked information. Click and hold to select this cell." w:history="1">
              <w:r w:rsidR="00BB7EBF" w:rsidRPr="00BB7EBF">
                <w:rPr>
                  <w:rFonts w:cs="Arial"/>
                  <w:sz w:val="18"/>
                  <w:lang w:eastAsia="en-AU"/>
                </w:rPr>
                <w:t>Korea</w:t>
              </w:r>
            </w:hyperlink>
          </w:p>
        </w:tc>
        <w:tc>
          <w:tcPr>
            <w:tcW w:w="1683" w:type="dxa"/>
            <w:tcBorders>
              <w:top w:val="single" w:sz="4" w:space="0" w:color="auto"/>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11.2</w:t>
            </w:r>
          </w:p>
        </w:tc>
        <w:tc>
          <w:tcPr>
            <w:tcW w:w="2113" w:type="dxa"/>
            <w:tcBorders>
              <w:top w:val="single" w:sz="4" w:space="0" w:color="auto"/>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2.3</w:t>
            </w:r>
          </w:p>
        </w:tc>
      </w:tr>
      <w:tr w:rsidR="00BB7EBF" w:rsidRPr="00BB7EBF" w:rsidTr="00A759EA">
        <w:trPr>
          <w:trHeight w:val="284"/>
        </w:trPr>
        <w:tc>
          <w:tcPr>
            <w:tcW w:w="3297" w:type="dxa"/>
            <w:shd w:val="clear" w:color="auto" w:fill="auto"/>
            <w:noWrap/>
            <w:hideMark/>
          </w:tcPr>
          <w:p w:rsidR="00BB7EBF" w:rsidRPr="00BB7EBF" w:rsidRDefault="00BB7EBF" w:rsidP="00A759EA">
            <w:pPr>
              <w:pStyle w:val="Tabletext"/>
              <w:spacing w:before="3" w:after="3"/>
              <w:rPr>
                <w:rFonts w:cs="Arial"/>
                <w:sz w:val="18"/>
                <w:szCs w:val="18"/>
                <w:lang w:eastAsia="en-AU"/>
              </w:rPr>
            </w:pPr>
            <w:r w:rsidRPr="00BB7EBF">
              <w:rPr>
                <w:rFonts w:cs="Arial"/>
                <w:sz w:val="18"/>
                <w:szCs w:val="18"/>
                <w:lang w:eastAsia="en-AU"/>
              </w:rPr>
              <w:t>Israel</w:t>
            </w:r>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14.5</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4.2</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21" w:tooltip="Click once to display linked information. Click and hold to select this cell." w:history="1">
              <w:r w:rsidR="00BB7EBF" w:rsidRPr="00BB7EBF">
                <w:rPr>
                  <w:rFonts w:cs="Arial"/>
                  <w:sz w:val="18"/>
                  <w:lang w:eastAsia="en-AU"/>
                </w:rPr>
                <w:t>Japan</w:t>
              </w:r>
            </w:hyperlink>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10.4</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4.4</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22" w:tooltip="Click once to display linked information. Click and hold to select this cell." w:history="1">
              <w:r w:rsidR="00BB7EBF" w:rsidRPr="00BB7EBF">
                <w:rPr>
                  <w:rFonts w:cs="Arial"/>
                  <w:sz w:val="18"/>
                  <w:lang w:eastAsia="en-AU"/>
                </w:rPr>
                <w:t>Switzerland</w:t>
              </w:r>
            </w:hyperlink>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6.8</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4.7</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23" w:tooltip="Click once to display linked information. Click and hold to select this cell." w:history="1">
              <w:r w:rsidR="00BB7EBF" w:rsidRPr="00BB7EBF">
                <w:rPr>
                  <w:rFonts w:cs="Arial"/>
                  <w:sz w:val="18"/>
                  <w:lang w:eastAsia="en-AU"/>
                </w:rPr>
                <w:t>Luxembourg</w:t>
              </w:r>
            </w:hyperlink>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17.6</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4.7</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24" w:tooltip="Click once to display linked information. Click and hold to select this cell." w:history="1">
              <w:r w:rsidR="00BB7EBF" w:rsidRPr="00BB7EBF">
                <w:rPr>
                  <w:rFonts w:cs="Arial"/>
                  <w:sz w:val="18"/>
                  <w:lang w:eastAsia="en-AU"/>
                </w:rPr>
                <w:t>Mexico</w:t>
              </w:r>
            </w:hyperlink>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9.1</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5.6</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25" w:tooltip="Click once to display linked information. Click and hold to select this cell." w:history="1">
              <w:r w:rsidR="00BB7EBF" w:rsidRPr="00BB7EBF">
                <w:rPr>
                  <w:rFonts w:cs="Arial"/>
                  <w:sz w:val="18"/>
                  <w:lang w:eastAsia="en-AU"/>
                </w:rPr>
                <w:t>Austria</w:t>
              </w:r>
            </w:hyperlink>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8.9</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5.7</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26" w:tooltip="Click once to display linked information. Click and hold to select this cell." w:history="1">
              <w:r w:rsidR="00BB7EBF" w:rsidRPr="00BB7EBF">
                <w:rPr>
                  <w:rFonts w:cs="Arial"/>
                  <w:sz w:val="18"/>
                  <w:lang w:eastAsia="en-AU"/>
                </w:rPr>
                <w:t>Germany</w:t>
              </w:r>
            </w:hyperlink>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10.4</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5.7</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27" w:tooltip="Click once to display linked information. Click and hold to select this cell." w:history="1">
              <w:r w:rsidR="00BB7EBF" w:rsidRPr="00BB7EBF">
                <w:rPr>
                  <w:rFonts w:cs="Arial"/>
                  <w:sz w:val="18"/>
                  <w:lang w:eastAsia="en-AU"/>
                </w:rPr>
                <w:t>Netherlands</w:t>
              </w:r>
            </w:hyperlink>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8.7</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6.0</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28" w:tooltip="Click once to display linked information. Click and hold to select this cell." w:history="1">
              <w:r w:rsidR="00BB7EBF" w:rsidRPr="00BB7EBF">
                <w:rPr>
                  <w:rFonts w:cs="Arial"/>
                  <w:sz w:val="18"/>
                  <w:lang w:eastAsia="en-AU"/>
                </w:rPr>
                <w:t>Norway</w:t>
              </w:r>
            </w:hyperlink>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10.9</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6.3</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29" w:tooltip="Click once to display linked information. Click and hold to select this cell." w:history="1">
              <w:r w:rsidR="00BB7EBF" w:rsidRPr="00BB7EBF">
                <w:rPr>
                  <w:rFonts w:cs="Arial"/>
                  <w:sz w:val="18"/>
                  <w:lang w:eastAsia="en-AU"/>
                </w:rPr>
                <w:t>Czech Republic</w:t>
              </w:r>
            </w:hyperlink>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18.3</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6.6</w:t>
            </w:r>
          </w:p>
        </w:tc>
      </w:tr>
      <w:tr w:rsidR="00BB7EBF" w:rsidRPr="00BB7EBF" w:rsidTr="00A759EA">
        <w:trPr>
          <w:trHeight w:val="284"/>
        </w:trPr>
        <w:tc>
          <w:tcPr>
            <w:tcW w:w="3297" w:type="dxa"/>
            <w:shd w:val="clear" w:color="auto" w:fill="auto"/>
            <w:noWrap/>
            <w:hideMark/>
          </w:tcPr>
          <w:p w:rsidR="00BB7EBF" w:rsidRPr="00BB7EBF" w:rsidRDefault="00BB7EBF" w:rsidP="00A759EA">
            <w:pPr>
              <w:pStyle w:val="Tabletext"/>
              <w:spacing w:before="3" w:after="3"/>
              <w:rPr>
                <w:rFonts w:cs="Arial"/>
                <w:sz w:val="18"/>
                <w:szCs w:val="18"/>
                <w:lang w:eastAsia="en-AU"/>
              </w:rPr>
            </w:pPr>
            <w:r w:rsidRPr="00BB7EBF">
              <w:rPr>
                <w:rFonts w:cs="Arial"/>
                <w:sz w:val="18"/>
                <w:szCs w:val="18"/>
                <w:lang w:eastAsia="en-AU"/>
              </w:rPr>
              <w:t>Slovenia</w:t>
            </w:r>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15.2</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6.8</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30" w:tooltip="Click once to display linked information. Click and hold to select this cell." w:history="1">
              <w:r w:rsidR="00BB7EBF" w:rsidRPr="00BB7EBF">
                <w:rPr>
                  <w:rFonts w:cs="Arial"/>
                  <w:sz w:val="18"/>
                  <w:lang w:eastAsia="en-AU"/>
                </w:rPr>
                <w:t>Chile</w:t>
              </w:r>
            </w:hyperlink>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16.6</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7.3</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31" w:tooltip="Click once to display linked information. Click and hold to select this cell." w:history="1">
              <w:r w:rsidR="00BB7EBF" w:rsidRPr="00BB7EBF">
                <w:rPr>
                  <w:rFonts w:cs="Arial"/>
                  <w:sz w:val="18"/>
                  <w:lang w:eastAsia="en-AU"/>
                </w:rPr>
                <w:t>Hungary</w:t>
              </w:r>
            </w:hyperlink>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27.9</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7.7</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32" w:tooltip="Click once to display linked information. Click and hold to select this cell." w:history="1">
              <w:r w:rsidR="00BB7EBF" w:rsidRPr="00BB7EBF">
                <w:rPr>
                  <w:rFonts w:cs="Arial"/>
                  <w:sz w:val="18"/>
                  <w:lang w:eastAsia="en-AU"/>
                </w:rPr>
                <w:t>Belgium</w:t>
              </w:r>
            </w:hyperlink>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22.4</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7.9</w:t>
            </w:r>
          </w:p>
        </w:tc>
      </w:tr>
      <w:tr w:rsidR="00BB7EBF" w:rsidRPr="00BB7EBF" w:rsidTr="00A759EA">
        <w:trPr>
          <w:trHeight w:val="284"/>
        </w:trPr>
        <w:tc>
          <w:tcPr>
            <w:tcW w:w="3297" w:type="dxa"/>
            <w:shd w:val="clear" w:color="auto" w:fill="auto"/>
            <w:noWrap/>
            <w:hideMark/>
          </w:tcPr>
          <w:p w:rsidR="00BB7EBF" w:rsidRPr="00BB7EBF" w:rsidRDefault="00BB7EBF" w:rsidP="00A759EA">
            <w:pPr>
              <w:pStyle w:val="Tabletext"/>
              <w:spacing w:before="3" w:after="3"/>
              <w:rPr>
                <w:rFonts w:cs="Arial"/>
                <w:sz w:val="18"/>
                <w:szCs w:val="18"/>
                <w:lang w:eastAsia="en-AU"/>
              </w:rPr>
            </w:pPr>
            <w:r w:rsidRPr="00BB7EBF">
              <w:rPr>
                <w:rFonts w:cs="Arial"/>
                <w:sz w:val="18"/>
                <w:szCs w:val="18"/>
                <w:lang w:eastAsia="en-AU"/>
              </w:rPr>
              <w:t>Russian Federation</w:t>
            </w:r>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16.9</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8.1</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33" w:tooltip="Click once to display linked information. Click and hold to select this cell." w:history="1">
              <w:r w:rsidR="00BB7EBF" w:rsidRPr="00BB7EBF">
                <w:rPr>
                  <w:rFonts w:cs="Arial"/>
                  <w:sz w:val="18"/>
                  <w:lang w:eastAsia="en-AU"/>
                </w:rPr>
                <w:t>Portugal</w:t>
              </w:r>
            </w:hyperlink>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21.1</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8.2</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34" w:tooltip="Click once to display linked information. Click and hold to select this cell." w:history="1">
              <w:r w:rsidR="00BB7EBF" w:rsidRPr="00BB7EBF">
                <w:rPr>
                  <w:rFonts w:cs="Arial"/>
                  <w:sz w:val="18"/>
                  <w:lang w:eastAsia="en-AU"/>
                </w:rPr>
                <w:t>Australia</w:t>
              </w:r>
            </w:hyperlink>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11.9</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8.3</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35" w:tooltip="Click once to display linked information. Click and hold to select this cell." w:history="1">
              <w:r w:rsidR="00BB7EBF" w:rsidRPr="00BB7EBF">
                <w:rPr>
                  <w:rFonts w:cs="Arial"/>
                  <w:sz w:val="18"/>
                  <w:lang w:eastAsia="en-AU"/>
                </w:rPr>
                <w:t>Poland</w:t>
              </w:r>
            </w:hyperlink>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22.4</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8.7</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36" w:tooltip="Click once to display linked information. Click and hold to select this cell." w:history="1">
              <w:r w:rsidR="00BB7EBF" w:rsidRPr="00BB7EBF">
                <w:rPr>
                  <w:rFonts w:cs="Arial"/>
                  <w:sz w:val="18"/>
                  <w:lang w:eastAsia="en-AU"/>
                </w:rPr>
                <w:t>Italy</w:t>
              </w:r>
            </w:hyperlink>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26.8</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8.9</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37" w:tooltip="Click once to display linked information. Click and hold to select this cell." w:history="1">
              <w:r w:rsidR="00BB7EBF" w:rsidRPr="00BB7EBF">
                <w:rPr>
                  <w:rFonts w:cs="Arial"/>
                  <w:sz w:val="18"/>
                  <w:lang w:eastAsia="en-AU"/>
                </w:rPr>
                <w:t>Greece</w:t>
              </w:r>
            </w:hyperlink>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26.7</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8.9</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38" w:tooltip="Click once to display linked information. Click and hold to select this cell." w:history="1">
              <w:r w:rsidR="00BB7EBF" w:rsidRPr="00BB7EBF">
                <w:rPr>
                  <w:rFonts w:cs="Arial"/>
                  <w:sz w:val="18"/>
                  <w:lang w:eastAsia="en-AU"/>
                </w:rPr>
                <w:t>France</w:t>
              </w:r>
            </w:hyperlink>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21.9</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9.5</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39" w:tooltip="Click once to display linked information. Click and hold to select this cell." w:history="1">
              <w:r w:rsidR="00BB7EBF" w:rsidRPr="00BB7EBF">
                <w:rPr>
                  <w:rFonts w:cs="Arial"/>
                  <w:sz w:val="18"/>
                  <w:lang w:eastAsia="en-AU"/>
                </w:rPr>
                <w:t>New Zealand</w:t>
              </w:r>
            </w:hyperlink>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16.8</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10.4</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40" w:tooltip="Click once to display linked information. Click and hold to select this cell." w:history="1">
              <w:r w:rsidR="00BB7EBF" w:rsidRPr="00BB7EBF">
                <w:rPr>
                  <w:rFonts w:cs="Arial"/>
                  <w:sz w:val="18"/>
                  <w:lang w:eastAsia="en-AU"/>
                </w:rPr>
                <w:t>Denmark</w:t>
              </w:r>
            </w:hyperlink>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15.8</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10.6</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41" w:tooltip="Click once to display linked information. Click and hold to select this cell." w:history="1">
              <w:r w:rsidR="00BB7EBF" w:rsidRPr="00BB7EBF">
                <w:rPr>
                  <w:rFonts w:cs="Arial"/>
                  <w:sz w:val="18"/>
                  <w:lang w:eastAsia="en-AU"/>
                </w:rPr>
                <w:t>Turkey</w:t>
              </w:r>
            </w:hyperlink>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21.0</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10.7</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42" w:tooltip="Click once to display linked information. Click and hold to select this cell." w:history="1">
              <w:r w:rsidR="00BB7EBF" w:rsidRPr="00BB7EBF">
                <w:rPr>
                  <w:rFonts w:cs="Arial"/>
                  <w:sz w:val="18"/>
                  <w:lang w:eastAsia="en-AU"/>
                </w:rPr>
                <w:t>Canada</w:t>
              </w:r>
            </w:hyperlink>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17.1</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11.0</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43" w:tooltip="Click once to display linked information. Click and hold to select this cell." w:history="1">
              <w:r w:rsidR="00BB7EBF" w:rsidRPr="00BB7EBF">
                <w:rPr>
                  <w:rFonts w:cs="Arial"/>
                  <w:sz w:val="18"/>
                  <w:lang w:eastAsia="en-AU"/>
                </w:rPr>
                <w:t>Finland</w:t>
              </w:r>
            </w:hyperlink>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21.6</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11.2</w:t>
            </w:r>
          </w:p>
        </w:tc>
      </w:tr>
      <w:tr w:rsidR="00BB7EBF" w:rsidRPr="00BB7EBF" w:rsidTr="00A759EA">
        <w:trPr>
          <w:trHeight w:val="284"/>
        </w:trPr>
        <w:tc>
          <w:tcPr>
            <w:tcW w:w="3297" w:type="dxa"/>
            <w:shd w:val="clear" w:color="auto" w:fill="auto"/>
            <w:noWrap/>
            <w:hideMark/>
          </w:tcPr>
          <w:p w:rsidR="00BB7EBF" w:rsidRPr="00BB7EBF" w:rsidRDefault="00BB7EBF" w:rsidP="00A759EA">
            <w:pPr>
              <w:pStyle w:val="Tabletext"/>
              <w:spacing w:before="3" w:after="3"/>
              <w:rPr>
                <w:rFonts w:cs="Arial"/>
                <w:sz w:val="18"/>
                <w:szCs w:val="18"/>
                <w:lang w:eastAsia="en-AU"/>
              </w:rPr>
            </w:pPr>
            <w:r w:rsidRPr="00BB7EBF">
              <w:rPr>
                <w:rFonts w:cs="Arial"/>
                <w:sz w:val="18"/>
                <w:szCs w:val="18"/>
                <w:lang w:eastAsia="en-AU"/>
              </w:rPr>
              <w:t>United States</w:t>
            </w:r>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20.8</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11.8</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44" w:tooltip="Click once to display linked information. Click and hold to select this cell." w:history="1">
              <w:r w:rsidR="00BB7EBF" w:rsidRPr="00BB7EBF">
                <w:rPr>
                  <w:rFonts w:cs="Arial"/>
                  <w:sz w:val="18"/>
                  <w:lang w:eastAsia="en-AU"/>
                </w:rPr>
                <w:t>Slovak Republic</w:t>
              </w:r>
            </w:hyperlink>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34.7</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12.6</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45" w:tooltip="Click once to display linked information. Click and hold to select this cell." w:history="1">
              <w:r w:rsidR="00BB7EBF" w:rsidRPr="00BB7EBF">
                <w:rPr>
                  <w:rFonts w:cs="Arial"/>
                  <w:sz w:val="18"/>
                  <w:lang w:eastAsia="en-AU"/>
                </w:rPr>
                <w:t>Iceland</w:t>
              </w:r>
            </w:hyperlink>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18.3</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13.1</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46" w:tooltip="Click once to display linked information. Click and hold to select this cell." w:history="1">
              <w:r w:rsidR="00BB7EBF" w:rsidRPr="00BB7EBF">
                <w:rPr>
                  <w:rFonts w:cs="Arial"/>
                  <w:sz w:val="18"/>
                  <w:lang w:eastAsia="en-AU"/>
                </w:rPr>
                <w:t>Sweden</w:t>
              </w:r>
            </w:hyperlink>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26.7</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13.8</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47" w:tooltip="Click once to display linked information. Click and hold to select this cell." w:history="1">
              <w:r w:rsidR="00BB7EBF" w:rsidRPr="00BB7EBF">
                <w:rPr>
                  <w:rFonts w:cs="Arial"/>
                  <w:sz w:val="18"/>
                  <w:lang w:eastAsia="en-AU"/>
                </w:rPr>
                <w:t>United Kingdom</w:t>
              </w:r>
            </w:hyperlink>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21.2</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13.9</w:t>
            </w:r>
          </w:p>
        </w:tc>
      </w:tr>
      <w:tr w:rsidR="00BB7EBF" w:rsidRPr="00BB7EBF" w:rsidTr="00A759EA">
        <w:trPr>
          <w:trHeight w:val="284"/>
        </w:trPr>
        <w:tc>
          <w:tcPr>
            <w:tcW w:w="3297" w:type="dxa"/>
            <w:shd w:val="clear" w:color="auto" w:fill="auto"/>
            <w:noWrap/>
            <w:hideMark/>
          </w:tcPr>
          <w:p w:rsidR="00BB7EBF" w:rsidRPr="00BB7EBF" w:rsidRDefault="00BB7EBF" w:rsidP="00A759EA">
            <w:pPr>
              <w:pStyle w:val="Tabletext"/>
              <w:spacing w:before="3" w:after="3"/>
              <w:rPr>
                <w:rFonts w:cs="Arial"/>
                <w:sz w:val="18"/>
                <w:szCs w:val="18"/>
                <w:lang w:eastAsia="en-AU"/>
              </w:rPr>
            </w:pPr>
            <w:r w:rsidRPr="00BB7EBF">
              <w:rPr>
                <w:rFonts w:cs="Arial"/>
                <w:sz w:val="18"/>
                <w:szCs w:val="18"/>
                <w:lang w:eastAsia="en-AU"/>
              </w:rPr>
              <w:t>Estonia</w:t>
            </w:r>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33.5</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14.5</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48" w:tooltip="Click once to display linked information. Click and hold to select this cell." w:history="1">
              <w:r w:rsidR="00BB7EBF" w:rsidRPr="00BB7EBF">
                <w:rPr>
                  <w:rFonts w:cs="Arial"/>
                  <w:sz w:val="18"/>
                  <w:lang w:eastAsia="en-AU"/>
                </w:rPr>
                <w:t>Ireland</w:t>
              </w:r>
            </w:hyperlink>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34.8</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15.4</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49" w:tooltip="Click once to display linked information. Click and hold to select this cell." w:history="1">
              <w:r w:rsidR="00BB7EBF" w:rsidRPr="00BB7EBF">
                <w:rPr>
                  <w:rFonts w:cs="Arial"/>
                  <w:sz w:val="18"/>
                  <w:lang w:eastAsia="en-AU"/>
                </w:rPr>
                <w:t>Spain</w:t>
              </w:r>
            </w:hyperlink>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43.2</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21.4</w:t>
            </w:r>
          </w:p>
        </w:tc>
      </w:tr>
      <w:tr w:rsidR="00BB7EBF" w:rsidRPr="00BB7EBF" w:rsidTr="00A759EA">
        <w:trPr>
          <w:trHeight w:val="284"/>
        </w:trPr>
        <w:tc>
          <w:tcPr>
            <w:tcW w:w="3297" w:type="dxa"/>
            <w:shd w:val="clear" w:color="auto" w:fill="auto"/>
            <w:noWrap/>
            <w:hideMark/>
          </w:tcPr>
          <w:p w:rsidR="00BB7EBF" w:rsidRPr="00BB7EBF" w:rsidRDefault="00BB7EBF" w:rsidP="00A759EA">
            <w:pPr>
              <w:pStyle w:val="Tabletext"/>
              <w:spacing w:before="3" w:after="3"/>
              <w:rPr>
                <w:rFonts w:cs="Arial"/>
                <w:sz w:val="18"/>
                <w:szCs w:val="18"/>
                <w:lang w:eastAsia="en-AU"/>
              </w:rPr>
            </w:pPr>
            <w:r w:rsidRPr="00BB7EBF">
              <w:rPr>
                <w:rFonts w:cs="Arial"/>
                <w:sz w:val="18"/>
                <w:szCs w:val="18"/>
                <w:lang w:eastAsia="en-AU"/>
              </w:rPr>
              <w:t>European Union 21</w:t>
            </w:r>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21.1</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10.1</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50" w:tooltip="Click once to display linked information. Click and hold to select this cell." w:history="1">
              <w:r w:rsidR="00BB7EBF" w:rsidRPr="00BB7EBF">
                <w:rPr>
                  <w:rFonts w:cs="Arial"/>
                  <w:sz w:val="18"/>
                  <w:lang w:eastAsia="en-AU"/>
                </w:rPr>
                <w:t>European Union 15</w:t>
              </w:r>
            </w:hyperlink>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20.7</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10.4</w:t>
            </w:r>
          </w:p>
        </w:tc>
      </w:tr>
      <w:tr w:rsidR="00BB7EBF" w:rsidRPr="00BB7EBF" w:rsidTr="00A759EA">
        <w:trPr>
          <w:trHeight w:val="284"/>
        </w:trPr>
        <w:tc>
          <w:tcPr>
            <w:tcW w:w="3297" w:type="dxa"/>
            <w:shd w:val="clear" w:color="auto" w:fill="auto"/>
            <w:noWrap/>
            <w:hideMark/>
          </w:tcPr>
          <w:p w:rsidR="00BB7EBF" w:rsidRPr="00BB7EBF" w:rsidRDefault="00BB7EBF" w:rsidP="00A759EA">
            <w:pPr>
              <w:pStyle w:val="Tabletext"/>
              <w:spacing w:before="3" w:after="3"/>
              <w:rPr>
                <w:rFonts w:cs="Arial"/>
                <w:sz w:val="18"/>
                <w:szCs w:val="18"/>
                <w:lang w:eastAsia="en-AU"/>
              </w:rPr>
            </w:pPr>
            <w:r w:rsidRPr="00BB7EBF">
              <w:rPr>
                <w:rFonts w:cs="Arial"/>
                <w:sz w:val="18"/>
                <w:szCs w:val="18"/>
                <w:lang w:eastAsia="en-AU"/>
              </w:rPr>
              <w:t>Europe</w:t>
            </w:r>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20.7</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10.1</w:t>
            </w:r>
          </w:p>
        </w:tc>
      </w:tr>
      <w:tr w:rsidR="00BB7EBF" w:rsidRPr="00BB7EBF" w:rsidTr="00A759EA">
        <w:trPr>
          <w:trHeight w:val="284"/>
        </w:trPr>
        <w:tc>
          <w:tcPr>
            <w:tcW w:w="3297" w:type="dxa"/>
            <w:shd w:val="clear" w:color="auto" w:fill="auto"/>
            <w:noWrap/>
            <w:hideMark/>
          </w:tcPr>
          <w:p w:rsidR="00BB7EBF" w:rsidRPr="00BB7EBF" w:rsidRDefault="00BB7EBF" w:rsidP="00A759EA">
            <w:pPr>
              <w:pStyle w:val="Tabletext"/>
              <w:spacing w:before="3" w:after="3"/>
              <w:rPr>
                <w:rFonts w:cs="Arial"/>
                <w:sz w:val="18"/>
                <w:szCs w:val="18"/>
                <w:lang w:eastAsia="en-AU"/>
              </w:rPr>
            </w:pPr>
            <w:r w:rsidRPr="00BB7EBF">
              <w:rPr>
                <w:rFonts w:cs="Arial"/>
                <w:sz w:val="18"/>
                <w:szCs w:val="18"/>
                <w:lang w:eastAsia="en-AU"/>
              </w:rPr>
              <w:t>G7 countries</w:t>
            </w:r>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18.5</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9.8</w:t>
            </w:r>
          </w:p>
        </w:tc>
      </w:tr>
      <w:tr w:rsidR="00BB7EBF" w:rsidRPr="00BB7EBF" w:rsidTr="00A759EA">
        <w:trPr>
          <w:trHeight w:val="284"/>
        </w:trPr>
        <w:tc>
          <w:tcPr>
            <w:tcW w:w="3297" w:type="dxa"/>
            <w:shd w:val="clear" w:color="auto" w:fill="auto"/>
            <w:noWrap/>
            <w:hideMark/>
          </w:tcPr>
          <w:p w:rsidR="00BB7EBF" w:rsidRPr="00BB7EBF" w:rsidRDefault="00BB7EBF" w:rsidP="00A759EA">
            <w:pPr>
              <w:pStyle w:val="Tabletext"/>
              <w:spacing w:before="3" w:after="3"/>
              <w:rPr>
                <w:rFonts w:cs="Arial"/>
                <w:sz w:val="18"/>
                <w:szCs w:val="18"/>
                <w:lang w:eastAsia="en-AU"/>
              </w:rPr>
            </w:pPr>
            <w:r w:rsidRPr="00BB7EBF">
              <w:rPr>
                <w:rFonts w:cs="Arial"/>
                <w:sz w:val="18"/>
                <w:szCs w:val="18"/>
                <w:lang w:eastAsia="en-AU"/>
              </w:rPr>
              <w:t>North America</w:t>
            </w:r>
          </w:p>
        </w:tc>
        <w:tc>
          <w:tcPr>
            <w:tcW w:w="168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16.6</w:t>
            </w:r>
          </w:p>
        </w:tc>
        <w:tc>
          <w:tcPr>
            <w:tcW w:w="2113" w:type="dxa"/>
            <w:tcBorders>
              <w:top w:val="nil"/>
              <w:left w:val="nil"/>
              <w:bottom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9.8</w:t>
            </w:r>
          </w:p>
        </w:tc>
      </w:tr>
      <w:tr w:rsidR="00BB7EBF" w:rsidRPr="00BB7EBF" w:rsidTr="00A759EA">
        <w:trPr>
          <w:trHeight w:val="284"/>
        </w:trPr>
        <w:tc>
          <w:tcPr>
            <w:tcW w:w="3297" w:type="dxa"/>
            <w:shd w:val="clear" w:color="auto" w:fill="auto"/>
            <w:noWrap/>
            <w:hideMark/>
          </w:tcPr>
          <w:p w:rsidR="00BB7EBF" w:rsidRPr="00BB7EBF" w:rsidRDefault="00C96DFB" w:rsidP="00A759EA">
            <w:pPr>
              <w:pStyle w:val="Tabletext"/>
              <w:spacing w:before="3" w:after="3"/>
              <w:rPr>
                <w:rFonts w:cs="Arial"/>
                <w:sz w:val="18"/>
                <w:szCs w:val="18"/>
                <w:lang w:eastAsia="en-AU"/>
              </w:rPr>
            </w:pPr>
            <w:hyperlink r:id="rId51" w:tooltip="Click once to display linked information. Click and hold to select this cell." w:history="1">
              <w:r w:rsidR="00BB7EBF" w:rsidRPr="00BB7EBF">
                <w:rPr>
                  <w:rFonts w:cs="Arial"/>
                  <w:sz w:val="18"/>
                  <w:lang w:eastAsia="en-AU"/>
                </w:rPr>
                <w:t>Oceania</w:t>
              </w:r>
            </w:hyperlink>
          </w:p>
        </w:tc>
        <w:tc>
          <w:tcPr>
            <w:tcW w:w="1683" w:type="dxa"/>
            <w:tcBorders>
              <w:top w:val="nil"/>
              <w:left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11.2</w:t>
            </w:r>
          </w:p>
        </w:tc>
        <w:tc>
          <w:tcPr>
            <w:tcW w:w="2113" w:type="dxa"/>
            <w:tcBorders>
              <w:top w:val="nil"/>
              <w:left w:val="nil"/>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4.6</w:t>
            </w:r>
          </w:p>
        </w:tc>
      </w:tr>
      <w:tr w:rsidR="00BB7EBF" w:rsidRPr="00BB7EBF" w:rsidTr="00A759EA">
        <w:trPr>
          <w:trHeight w:val="284"/>
        </w:trPr>
        <w:tc>
          <w:tcPr>
            <w:tcW w:w="3297" w:type="dxa"/>
            <w:tcBorders>
              <w:bottom w:val="single" w:sz="4" w:space="0" w:color="auto"/>
            </w:tcBorders>
            <w:shd w:val="clear" w:color="auto" w:fill="auto"/>
            <w:noWrap/>
            <w:vAlign w:val="bottom"/>
            <w:hideMark/>
          </w:tcPr>
          <w:p w:rsidR="00BB7EBF" w:rsidRPr="00BB7EBF" w:rsidRDefault="00BB7EBF" w:rsidP="00A759EA">
            <w:pPr>
              <w:pStyle w:val="Tabletext"/>
              <w:spacing w:before="3" w:after="3"/>
              <w:rPr>
                <w:rFonts w:cs="Arial"/>
                <w:color w:val="000000"/>
                <w:sz w:val="18"/>
                <w:szCs w:val="18"/>
                <w:lang w:eastAsia="en-AU"/>
              </w:rPr>
            </w:pPr>
            <w:r w:rsidRPr="00BB7EBF">
              <w:rPr>
                <w:rFonts w:cs="Arial"/>
                <w:color w:val="000000"/>
                <w:sz w:val="18"/>
                <w:szCs w:val="18"/>
                <w:lang w:eastAsia="en-AU"/>
              </w:rPr>
              <w:t>OECD countries</w:t>
            </w:r>
          </w:p>
        </w:tc>
        <w:tc>
          <w:tcPr>
            <w:tcW w:w="1683" w:type="dxa"/>
            <w:tcBorders>
              <w:top w:val="nil"/>
              <w:left w:val="nil"/>
              <w:bottom w:val="single" w:sz="4" w:space="0" w:color="auto"/>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17.6</w:t>
            </w:r>
          </w:p>
        </w:tc>
        <w:tc>
          <w:tcPr>
            <w:tcW w:w="2113" w:type="dxa"/>
            <w:tcBorders>
              <w:top w:val="nil"/>
              <w:left w:val="nil"/>
              <w:bottom w:val="single" w:sz="4" w:space="0" w:color="auto"/>
              <w:right w:val="nil"/>
            </w:tcBorders>
            <w:shd w:val="clear" w:color="auto" w:fill="auto"/>
            <w:noWrap/>
            <w:vAlign w:val="bottom"/>
            <w:hideMark/>
          </w:tcPr>
          <w:p w:rsidR="00BB7EBF" w:rsidRPr="00BB7EBF" w:rsidRDefault="00BB7EBF" w:rsidP="00A759EA">
            <w:pPr>
              <w:pStyle w:val="Tabletext"/>
              <w:spacing w:before="3" w:after="3"/>
              <w:ind w:right="170"/>
              <w:jc w:val="right"/>
              <w:rPr>
                <w:rFonts w:cs="Arial"/>
                <w:color w:val="000000"/>
                <w:sz w:val="18"/>
                <w:szCs w:val="18"/>
                <w:lang w:eastAsia="en-AU"/>
              </w:rPr>
            </w:pPr>
            <w:r w:rsidRPr="00BB7EBF">
              <w:rPr>
                <w:rFonts w:cs="Arial"/>
                <w:color w:val="000000"/>
                <w:sz w:val="18"/>
                <w:szCs w:val="18"/>
                <w:lang w:eastAsia="en-AU"/>
              </w:rPr>
              <w:t>9.1</w:t>
            </w:r>
          </w:p>
        </w:tc>
      </w:tr>
    </w:tbl>
    <w:p w:rsidR="0091203A" w:rsidRDefault="00EE1336" w:rsidP="00EE1336">
      <w:pPr>
        <w:pStyle w:val="Source"/>
      </w:pPr>
      <w:r w:rsidRPr="00BB7EBF">
        <w:rPr>
          <w:lang w:eastAsia="en-AU"/>
        </w:rPr>
        <w:t>Source:</w:t>
      </w:r>
      <w:r>
        <w:rPr>
          <w:lang w:eastAsia="en-AU"/>
        </w:rPr>
        <w:tab/>
        <w:t>&lt;</w:t>
      </w:r>
      <w:r w:rsidRPr="00BB7EBF">
        <w:rPr>
          <w:lang w:eastAsia="en-AU"/>
        </w:rPr>
        <w:t>http://stats.oecd.org</w:t>
      </w:r>
      <w:r>
        <w:rPr>
          <w:lang w:eastAsia="en-AU"/>
        </w:rPr>
        <w:t>&gt;</w:t>
      </w:r>
      <w:r w:rsidRPr="00BB7EBF">
        <w:rPr>
          <w:lang w:eastAsia="en-AU"/>
        </w:rPr>
        <w:t>, labour force statistics</w:t>
      </w:r>
      <w:r>
        <w:rPr>
          <w:lang w:eastAsia="en-AU"/>
        </w:rPr>
        <w:t>,</w:t>
      </w:r>
      <w:r w:rsidRPr="00BB7EBF">
        <w:rPr>
          <w:lang w:eastAsia="en-AU"/>
        </w:rPr>
        <w:t xml:space="preserve"> </w:t>
      </w:r>
      <w:r>
        <w:rPr>
          <w:lang w:eastAsia="en-AU"/>
        </w:rPr>
        <w:t>u</w:t>
      </w:r>
      <w:r w:rsidRPr="00BB7EBF">
        <w:rPr>
          <w:lang w:eastAsia="en-AU"/>
        </w:rPr>
        <w:t>nemployment rate, males</w:t>
      </w:r>
      <w:r>
        <w:rPr>
          <w:lang w:eastAsia="en-AU"/>
        </w:rPr>
        <w:t>, viewed 23 April 2012.</w:t>
      </w:r>
    </w:p>
    <w:sectPr w:rsidR="0091203A" w:rsidSect="00F60BA5">
      <w:pgSz w:w="11907" w:h="16840" w:code="9"/>
      <w:pgMar w:top="1276" w:right="1701" w:bottom="1276" w:left="1418" w:header="709" w:footer="5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FE0" w:rsidRDefault="00570FE0">
      <w:r>
        <w:separator/>
      </w:r>
    </w:p>
  </w:endnote>
  <w:endnote w:type="continuationSeparator" w:id="0">
    <w:p w:rsidR="00570FE0" w:rsidRDefault="00570F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vant Garde">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FE0" w:rsidRPr="00E03164" w:rsidRDefault="00C96DFB" w:rsidP="00FF5931">
    <w:pPr>
      <w:pStyle w:val="Footer"/>
      <w:tabs>
        <w:tab w:val="clear" w:pos="8505"/>
        <w:tab w:val="right" w:pos="8789"/>
      </w:tabs>
      <w:rPr>
        <w:b/>
      </w:rPr>
    </w:pPr>
    <w:r w:rsidRPr="00C96DFB">
      <w:rPr>
        <w:b/>
        <w:noProof/>
        <w:color w:val="FFFFFF" w:themeColor="background1"/>
        <w:lang w:eastAsia="en-AU"/>
      </w:rPr>
      <w:pict>
        <v:rect id="_x0000_s2051" style="position:absolute;margin-left:-85.05pt;margin-top:-2.45pt;width:99pt;height:18.75pt;z-index:-251655168" fillcolor="black [3213]" stroked="f" strokecolor="#bfbfbf [2412]"/>
      </w:pict>
    </w:r>
    <w:r w:rsidRPr="008C0A74">
      <w:rPr>
        <w:b/>
        <w:color w:val="FFFFFF" w:themeColor="background1"/>
      </w:rPr>
      <w:fldChar w:fldCharType="begin"/>
    </w:r>
    <w:r w:rsidR="00570FE0" w:rsidRPr="008C0A74">
      <w:rPr>
        <w:b/>
        <w:color w:val="FFFFFF" w:themeColor="background1"/>
      </w:rPr>
      <w:instrText xml:space="preserve"> PAGE </w:instrText>
    </w:r>
    <w:r w:rsidRPr="008C0A74">
      <w:rPr>
        <w:b/>
        <w:color w:val="FFFFFF" w:themeColor="background1"/>
      </w:rPr>
      <w:fldChar w:fldCharType="separate"/>
    </w:r>
    <w:r w:rsidR="006A135D">
      <w:rPr>
        <w:b/>
        <w:noProof/>
        <w:color w:val="FFFFFF" w:themeColor="background1"/>
      </w:rPr>
      <w:t>16</w:t>
    </w:r>
    <w:r w:rsidRPr="008C0A74">
      <w:rPr>
        <w:b/>
        <w:color w:val="FFFFFF" w:themeColor="background1"/>
      </w:rPr>
      <w:fldChar w:fldCharType="end"/>
    </w:r>
    <w:r w:rsidR="00570FE0" w:rsidRPr="008C0A74">
      <w:rPr>
        <w:b/>
        <w:color w:val="FFFFFF" w:themeColor="background1"/>
      </w:rPr>
      <w:tab/>
    </w:r>
    <w:r w:rsidR="00570FE0" w:rsidRPr="00E03164">
      <w:rPr>
        <w:b/>
      </w:rPr>
      <w:t>Youth transitions in Australia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FE0" w:rsidRPr="009775C7" w:rsidRDefault="00C96DFB" w:rsidP="008C0A74">
    <w:pPr>
      <w:pStyle w:val="Footer"/>
      <w:tabs>
        <w:tab w:val="clear" w:pos="8505"/>
        <w:tab w:val="right" w:pos="8789"/>
      </w:tabs>
      <w:rPr>
        <w:color w:val="FFFFFF" w:themeColor="background1"/>
      </w:rPr>
    </w:pPr>
    <w:r w:rsidRPr="00C96DFB">
      <w:rPr>
        <w:b/>
        <w:noProof/>
        <w:lang w:eastAsia="en-AU"/>
      </w:rPr>
      <w:pict>
        <v:rect id="_x0000_s2052" style="position:absolute;margin-left:425.6pt;margin-top:-2.45pt;width:99pt;height:18.75pt;z-index:-251653120" fillcolor="black [3213]" stroked="f" strokecolor="#bfbfbf [2412]"/>
      </w:pict>
    </w:r>
    <w:r w:rsidR="00570FE0" w:rsidRPr="009775C7">
      <w:rPr>
        <w:b/>
      </w:rPr>
      <w:t>NCVER</w:t>
    </w:r>
    <w:r w:rsidR="00570FE0" w:rsidRPr="009775C7">
      <w:tab/>
    </w:r>
    <w:r w:rsidRPr="009775C7">
      <w:rPr>
        <w:rStyle w:val="PageNumber"/>
        <w:rFonts w:cs="Tahoma"/>
        <w:b/>
        <w:color w:val="FFFFFF" w:themeColor="background1"/>
        <w:sz w:val="17"/>
      </w:rPr>
      <w:fldChar w:fldCharType="begin"/>
    </w:r>
    <w:r w:rsidR="00570FE0"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6A135D">
      <w:rPr>
        <w:rStyle w:val="PageNumber"/>
        <w:rFonts w:cs="Tahoma"/>
        <w:b/>
        <w:noProof/>
        <w:color w:val="FFFFFF" w:themeColor="background1"/>
        <w:sz w:val="17"/>
      </w:rPr>
      <w:t>15</w:t>
    </w:r>
    <w:r w:rsidRPr="009775C7">
      <w:rPr>
        <w:rStyle w:val="PageNumber"/>
        <w:rFonts w:cs="Tahoma"/>
        <w:b/>
        <w:color w:val="FFFFFF" w:themeColor="background1"/>
        <w:sz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FE0" w:rsidRDefault="00570FE0">
      <w:r>
        <w:separator/>
      </w:r>
    </w:p>
  </w:footnote>
  <w:footnote w:type="continuationSeparator" w:id="0">
    <w:p w:rsidR="00570FE0" w:rsidRDefault="00570FE0">
      <w:r>
        <w:continuationSeparator/>
      </w:r>
    </w:p>
  </w:footnote>
  <w:footnote w:id="1">
    <w:p w:rsidR="00570FE0" w:rsidRDefault="00570FE0">
      <w:pPr>
        <w:pStyle w:val="FootnoteText"/>
      </w:pPr>
      <w:r>
        <w:rPr>
          <w:rStyle w:val="FootnoteReference"/>
        </w:rPr>
        <w:footnoteRef/>
      </w:r>
      <w:r>
        <w:tab/>
        <w:t>The Council of Australian Governments agreed in April 2009 to implement a requirement which makes participation in education, training or employment compulsory for all young people until they turn 17 &lt;http://www.coag.gov.au/ coag_meeting_outcomes/2009-04-30/index.cfm&gt;.</w:t>
      </w:r>
    </w:p>
  </w:footnote>
  <w:footnote w:id="2">
    <w:p w:rsidR="00570FE0" w:rsidRDefault="00570FE0" w:rsidP="00356DDA">
      <w:pPr>
        <w:pStyle w:val="FootnoteText"/>
        <w:ind w:right="141"/>
      </w:pPr>
      <w:r>
        <w:rPr>
          <w:rStyle w:val="FootnoteReference"/>
        </w:rPr>
        <w:footnoteRef/>
      </w:r>
      <w:r>
        <w:tab/>
        <w:t>It is acknowledged that this is a very crude statistic and will over-estimate the rate of educational pariticpation among young people to the extent that older persons attend tertiary education. This caveat is important for Australia, particularly in vocational education and training where over 55% of VET students are aged of 25 years or over (NCVER 2011).</w:t>
      </w:r>
    </w:p>
  </w:footnote>
  <w:footnote w:id="3">
    <w:p w:rsidR="00570FE0" w:rsidRDefault="00570FE0">
      <w:pPr>
        <w:pStyle w:val="FootnoteText"/>
      </w:pPr>
      <w:r>
        <w:rPr>
          <w:rStyle w:val="FootnoteReference"/>
        </w:rPr>
        <w:footnoteRef/>
      </w:r>
      <w:r>
        <w:tab/>
        <w:t>The sample from the survey does suffer from attrition and most likely early school leavers are somewhat under-represented. Therefore the percentages against each path should be taken as indicative only.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3ACBF8"/>
    <w:lvl w:ilvl="0">
      <w:start w:val="1"/>
      <w:numFmt w:val="decimal"/>
      <w:lvlText w:val="%1."/>
      <w:lvlJc w:val="left"/>
      <w:pPr>
        <w:tabs>
          <w:tab w:val="num" w:pos="1492"/>
        </w:tabs>
        <w:ind w:left="1492" w:hanging="360"/>
      </w:pPr>
    </w:lvl>
  </w:abstractNum>
  <w:abstractNum w:abstractNumId="1">
    <w:nsid w:val="FFFFFF7D"/>
    <w:multiLevelType w:val="singleLevel"/>
    <w:tmpl w:val="0A5CEE0A"/>
    <w:lvl w:ilvl="0">
      <w:start w:val="1"/>
      <w:numFmt w:val="decimal"/>
      <w:lvlText w:val="%1."/>
      <w:lvlJc w:val="left"/>
      <w:pPr>
        <w:tabs>
          <w:tab w:val="num" w:pos="1209"/>
        </w:tabs>
        <w:ind w:left="1209" w:hanging="360"/>
      </w:pPr>
    </w:lvl>
  </w:abstractNum>
  <w:abstractNum w:abstractNumId="2">
    <w:nsid w:val="FFFFFF7E"/>
    <w:multiLevelType w:val="singleLevel"/>
    <w:tmpl w:val="6B122C5C"/>
    <w:lvl w:ilvl="0">
      <w:start w:val="1"/>
      <w:numFmt w:val="decimal"/>
      <w:lvlText w:val="%1."/>
      <w:lvlJc w:val="left"/>
      <w:pPr>
        <w:tabs>
          <w:tab w:val="num" w:pos="926"/>
        </w:tabs>
        <w:ind w:left="926" w:hanging="360"/>
      </w:pPr>
    </w:lvl>
  </w:abstractNum>
  <w:abstractNum w:abstractNumId="3">
    <w:nsid w:val="FFFFFF7F"/>
    <w:multiLevelType w:val="singleLevel"/>
    <w:tmpl w:val="CF569A70"/>
    <w:lvl w:ilvl="0">
      <w:start w:val="1"/>
      <w:numFmt w:val="decimal"/>
      <w:lvlText w:val="%1."/>
      <w:lvlJc w:val="left"/>
      <w:pPr>
        <w:tabs>
          <w:tab w:val="num" w:pos="643"/>
        </w:tabs>
        <w:ind w:left="643" w:hanging="360"/>
      </w:pPr>
    </w:lvl>
  </w:abstractNum>
  <w:abstractNum w:abstractNumId="4">
    <w:nsid w:val="FFFFFF80"/>
    <w:multiLevelType w:val="singleLevel"/>
    <w:tmpl w:val="35CAF2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5C40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8E39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9A2F3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BDAEC32"/>
    <w:lvl w:ilvl="0">
      <w:start w:val="1"/>
      <w:numFmt w:val="decimal"/>
      <w:lvlText w:val="%1."/>
      <w:lvlJc w:val="left"/>
      <w:pPr>
        <w:tabs>
          <w:tab w:val="num" w:pos="360"/>
        </w:tabs>
        <w:ind w:left="360" w:hanging="360"/>
      </w:pPr>
    </w:lvl>
  </w:abstractNum>
  <w:abstractNum w:abstractNumId="9">
    <w:nsid w:val="FFFFFF89"/>
    <w:multiLevelType w:val="singleLevel"/>
    <w:tmpl w:val="E354C31E"/>
    <w:lvl w:ilvl="0">
      <w:start w:val="1"/>
      <w:numFmt w:val="bullet"/>
      <w:lvlText w:val=""/>
      <w:lvlJc w:val="left"/>
      <w:pPr>
        <w:tabs>
          <w:tab w:val="num" w:pos="360"/>
        </w:tabs>
        <w:ind w:left="360" w:hanging="360"/>
      </w:pPr>
      <w:rPr>
        <w:rFonts w:ascii="Symbol" w:hAnsi="Symbol" w:hint="default"/>
      </w:rPr>
    </w:lvl>
  </w:abstractNum>
  <w:abstractNum w:abstractNumId="10">
    <w:nsid w:val="01F410EF"/>
    <w:multiLevelType w:val="hybridMultilevel"/>
    <w:tmpl w:val="04C080C2"/>
    <w:lvl w:ilvl="0" w:tplc="24BA3DD4">
      <w:start w:val="1"/>
      <w:numFmt w:val="decimal"/>
      <w:pStyle w:val="NumberedListContinuing"/>
      <w:lvlText w:val="%1"/>
      <w:lvlJc w:val="left"/>
      <w:pPr>
        <w:tabs>
          <w:tab w:val="num" w:pos="284"/>
        </w:tabs>
        <w:ind w:left="0" w:firstLine="0"/>
      </w:pPr>
      <w:rPr>
        <w:rFonts w:hint="default"/>
      </w:rPr>
    </w:lvl>
    <w:lvl w:ilvl="1" w:tplc="0994B9E0">
      <w:start w:val="1"/>
      <w:numFmt w:val="lowerLetter"/>
      <w:pStyle w:val="NumberedAlphaLevel2"/>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6FF05DF"/>
    <w:multiLevelType w:val="singleLevel"/>
    <w:tmpl w:val="00000000"/>
    <w:lvl w:ilvl="0">
      <w:numFmt w:val="bullet"/>
      <w:lvlText w:val=""/>
      <w:lvlJc w:val="left"/>
      <w:pPr>
        <w:tabs>
          <w:tab w:val="num" w:pos="360"/>
        </w:tabs>
        <w:ind w:left="360" w:hanging="360"/>
      </w:pPr>
      <w:rPr>
        <w:rFonts w:ascii="Wingdings" w:hAnsi="Wingdings" w:hint="default"/>
      </w:rPr>
    </w:lvl>
  </w:abstractNum>
  <w:abstractNum w:abstractNumId="12">
    <w:nsid w:val="074D4D76"/>
    <w:multiLevelType w:val="hybridMultilevel"/>
    <w:tmpl w:val="EB62C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74A2C71"/>
    <w:multiLevelType w:val="singleLevel"/>
    <w:tmpl w:val="00000000"/>
    <w:lvl w:ilvl="0">
      <w:start w:val="1"/>
      <w:numFmt w:val="bullet"/>
      <w:lvlText w:val=""/>
      <w:lvlJc w:val="left"/>
      <w:pPr>
        <w:tabs>
          <w:tab w:val="num" w:pos="0"/>
        </w:tabs>
        <w:ind w:left="360" w:hanging="360"/>
      </w:pPr>
      <w:rPr>
        <w:rFonts w:ascii="Wingdings" w:hAnsi="Wingdings" w:hint="default"/>
      </w:rPr>
    </w:lvl>
  </w:abstractNum>
  <w:abstractNum w:abstractNumId="14">
    <w:nsid w:val="274249A8"/>
    <w:multiLevelType w:val="hybridMultilevel"/>
    <w:tmpl w:val="01CA13C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5">
    <w:nsid w:val="2D595EBC"/>
    <w:multiLevelType w:val="hybridMultilevel"/>
    <w:tmpl w:val="5C325A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81650D4"/>
    <w:multiLevelType w:val="hybridMultilevel"/>
    <w:tmpl w:val="553EC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FA27D39"/>
    <w:multiLevelType w:val="hybridMultilevel"/>
    <w:tmpl w:val="D5A4838C"/>
    <w:lvl w:ilvl="0" w:tplc="B9FEC91C">
      <w:start w:val="1"/>
      <w:numFmt w:val="bullet"/>
      <w:lvlText w:val=""/>
      <w:lvlJc w:val="left"/>
      <w:pPr>
        <w:tabs>
          <w:tab w:val="num" w:pos="720"/>
        </w:tabs>
        <w:ind w:left="720" w:hanging="360"/>
      </w:pPr>
      <w:rPr>
        <w:rFonts w:ascii="Wingdings" w:hAnsi="Wingdings"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45D124CA"/>
    <w:multiLevelType w:val="hybridMultilevel"/>
    <w:tmpl w:val="22928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6C40325"/>
    <w:multiLevelType w:val="hybridMultilevel"/>
    <w:tmpl w:val="BB0A1B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A850269"/>
    <w:multiLevelType w:val="hybridMultilevel"/>
    <w:tmpl w:val="3B06D1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0BD2CE1"/>
    <w:multiLevelType w:val="hybridMultilevel"/>
    <w:tmpl w:val="D534D2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51A57208"/>
    <w:multiLevelType w:val="hybridMultilevel"/>
    <w:tmpl w:val="DB82AB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nsid w:val="5BEC3DBD"/>
    <w:multiLevelType w:val="hybridMultilevel"/>
    <w:tmpl w:val="85A46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E104700"/>
    <w:multiLevelType w:val="hybridMultilevel"/>
    <w:tmpl w:val="FBCE9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F8C3D05"/>
    <w:multiLevelType w:val="hybridMultilevel"/>
    <w:tmpl w:val="58C05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nsid w:val="6BBA0B85"/>
    <w:multiLevelType w:val="hybridMultilevel"/>
    <w:tmpl w:val="44608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0"/>
  </w:num>
  <w:num w:numId="4">
    <w:abstractNumId w:val="18"/>
  </w:num>
  <w:num w:numId="5">
    <w:abstractNumId w:val="12"/>
  </w:num>
  <w:num w:numId="6">
    <w:abstractNumId w:val="22"/>
  </w:num>
  <w:num w:numId="7">
    <w:abstractNumId w:val="24"/>
  </w:num>
  <w:num w:numId="8">
    <w:abstractNumId w:val="23"/>
  </w:num>
  <w:num w:numId="9">
    <w:abstractNumId w:val="27"/>
  </w:num>
  <w:num w:numId="10">
    <w:abstractNumId w:val="19"/>
  </w:num>
  <w:num w:numId="11">
    <w:abstractNumId w:val="16"/>
  </w:num>
  <w:num w:numId="12">
    <w:abstractNumId w:val="20"/>
  </w:num>
  <w:num w:numId="13">
    <w:abstractNumId w:val="21"/>
  </w:num>
  <w:num w:numId="14">
    <w:abstractNumId w:val="14"/>
  </w:num>
  <w:num w:numId="15">
    <w:abstractNumId w:val="17"/>
  </w:num>
  <w:num w:numId="16">
    <w:abstractNumId w:val="15"/>
  </w:num>
  <w:num w:numId="17">
    <w:abstractNumId w:val="9"/>
  </w:num>
  <w:num w:numId="18">
    <w:abstractNumId w:val="7"/>
  </w:num>
  <w:num w:numId="19">
    <w:abstractNumId w:val="6"/>
  </w:num>
  <w:num w:numId="20">
    <w:abstractNumId w:val="5"/>
  </w:num>
  <w:num w:numId="21">
    <w:abstractNumId w:val="4"/>
  </w:num>
  <w:num w:numId="22">
    <w:abstractNumId w:val="11"/>
  </w:num>
  <w:num w:numId="23">
    <w:abstractNumId w:val="13"/>
  </w:num>
  <w:num w:numId="24">
    <w:abstractNumId w:val="11"/>
  </w:num>
  <w:num w:numId="25">
    <w:abstractNumId w:val="13"/>
  </w:num>
  <w:num w:numId="26">
    <w:abstractNumId w:val="28"/>
  </w:num>
  <w:num w:numId="27">
    <w:abstractNumId w:val="26"/>
  </w:num>
  <w:num w:numId="28">
    <w:abstractNumId w:val="8"/>
  </w:num>
  <w:num w:numId="29">
    <w:abstractNumId w:val="3"/>
  </w:num>
  <w:num w:numId="30">
    <w:abstractNumId w:val="2"/>
  </w:num>
  <w:num w:numId="31">
    <w:abstractNumId w:val="1"/>
  </w:num>
  <w:num w:numId="32">
    <w:abstractNumId w:val="0"/>
  </w:num>
  <w:num w:numId="33">
    <w:abstractNumId w:val="10"/>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stylePaneFormatFilter w:val="9F08"/>
  <w:stylePaneSortMethod w:val="0000"/>
  <w:defaultTabStop w:val="720"/>
  <w:doNotHyphenateCaps/>
  <w:clickAndTypeStyle w:val="Text"/>
  <w:evenAndOddHeaders/>
  <w:drawingGridHorizontalSpacing w:val="95"/>
  <w:displayHorizontalDrawingGridEvery w:val="0"/>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3E0D32"/>
    <w:rsid w:val="000108B2"/>
    <w:rsid w:val="00012B64"/>
    <w:rsid w:val="00013265"/>
    <w:rsid w:val="00013AF5"/>
    <w:rsid w:val="00022290"/>
    <w:rsid w:val="000305E3"/>
    <w:rsid w:val="000315D7"/>
    <w:rsid w:val="00035E12"/>
    <w:rsid w:val="000526AC"/>
    <w:rsid w:val="0006125F"/>
    <w:rsid w:val="00074BD4"/>
    <w:rsid w:val="000A0745"/>
    <w:rsid w:val="000B2C37"/>
    <w:rsid w:val="000B501C"/>
    <w:rsid w:val="000C0E59"/>
    <w:rsid w:val="000F641C"/>
    <w:rsid w:val="0010761A"/>
    <w:rsid w:val="00123B5C"/>
    <w:rsid w:val="00135C75"/>
    <w:rsid w:val="001464C5"/>
    <w:rsid w:val="00150874"/>
    <w:rsid w:val="001509F3"/>
    <w:rsid w:val="00155839"/>
    <w:rsid w:val="0016133C"/>
    <w:rsid w:val="00166EF6"/>
    <w:rsid w:val="00170452"/>
    <w:rsid w:val="00177827"/>
    <w:rsid w:val="00184504"/>
    <w:rsid w:val="001B43CF"/>
    <w:rsid w:val="001D6539"/>
    <w:rsid w:val="001F7D84"/>
    <w:rsid w:val="002277A9"/>
    <w:rsid w:val="00233BFA"/>
    <w:rsid w:val="002353CA"/>
    <w:rsid w:val="00253C4F"/>
    <w:rsid w:val="002765F4"/>
    <w:rsid w:val="00284FCB"/>
    <w:rsid w:val="002A1AB1"/>
    <w:rsid w:val="002B1EEB"/>
    <w:rsid w:val="002B3F73"/>
    <w:rsid w:val="002E196B"/>
    <w:rsid w:val="003030ED"/>
    <w:rsid w:val="003073C6"/>
    <w:rsid w:val="0031344B"/>
    <w:rsid w:val="00334CE3"/>
    <w:rsid w:val="00340B4D"/>
    <w:rsid w:val="00342A9F"/>
    <w:rsid w:val="00356DDA"/>
    <w:rsid w:val="00367050"/>
    <w:rsid w:val="00394A6E"/>
    <w:rsid w:val="00397C94"/>
    <w:rsid w:val="003B16DA"/>
    <w:rsid w:val="003B280D"/>
    <w:rsid w:val="003B483E"/>
    <w:rsid w:val="003B59A9"/>
    <w:rsid w:val="003D1BC0"/>
    <w:rsid w:val="003D5EB0"/>
    <w:rsid w:val="003D6251"/>
    <w:rsid w:val="003E0D32"/>
    <w:rsid w:val="003E2EC5"/>
    <w:rsid w:val="003E67CB"/>
    <w:rsid w:val="00410046"/>
    <w:rsid w:val="00430FD7"/>
    <w:rsid w:val="00434E56"/>
    <w:rsid w:val="0044674F"/>
    <w:rsid w:val="00453DDD"/>
    <w:rsid w:val="00467E47"/>
    <w:rsid w:val="00483BEE"/>
    <w:rsid w:val="0048643A"/>
    <w:rsid w:val="0048663C"/>
    <w:rsid w:val="0049453B"/>
    <w:rsid w:val="00494E7C"/>
    <w:rsid w:val="004B58EB"/>
    <w:rsid w:val="004B5FF9"/>
    <w:rsid w:val="004C4063"/>
    <w:rsid w:val="004D4802"/>
    <w:rsid w:val="004E7227"/>
    <w:rsid w:val="005002C3"/>
    <w:rsid w:val="00504A10"/>
    <w:rsid w:val="00520315"/>
    <w:rsid w:val="0052276C"/>
    <w:rsid w:val="00534EF8"/>
    <w:rsid w:val="00541B94"/>
    <w:rsid w:val="005440B4"/>
    <w:rsid w:val="00570758"/>
    <w:rsid w:val="00570FE0"/>
    <w:rsid w:val="0058276B"/>
    <w:rsid w:val="005C277E"/>
    <w:rsid w:val="005C61F8"/>
    <w:rsid w:val="005E4764"/>
    <w:rsid w:val="005F16CF"/>
    <w:rsid w:val="006026DE"/>
    <w:rsid w:val="00606445"/>
    <w:rsid w:val="006247CE"/>
    <w:rsid w:val="00652973"/>
    <w:rsid w:val="00656679"/>
    <w:rsid w:val="0067712D"/>
    <w:rsid w:val="00682A97"/>
    <w:rsid w:val="00687856"/>
    <w:rsid w:val="00696A48"/>
    <w:rsid w:val="006A135D"/>
    <w:rsid w:val="006A1CE4"/>
    <w:rsid w:val="006A5457"/>
    <w:rsid w:val="006A6FE3"/>
    <w:rsid w:val="006C5DA9"/>
    <w:rsid w:val="006D5402"/>
    <w:rsid w:val="006D7CE2"/>
    <w:rsid w:val="007037A4"/>
    <w:rsid w:val="00710327"/>
    <w:rsid w:val="00710A03"/>
    <w:rsid w:val="00721D4A"/>
    <w:rsid w:val="0072360E"/>
    <w:rsid w:val="00731EC8"/>
    <w:rsid w:val="00736E67"/>
    <w:rsid w:val="007377D5"/>
    <w:rsid w:val="00750EE4"/>
    <w:rsid w:val="00754DAE"/>
    <w:rsid w:val="00783F44"/>
    <w:rsid w:val="00784F4E"/>
    <w:rsid w:val="00787494"/>
    <w:rsid w:val="007A2079"/>
    <w:rsid w:val="007B40A5"/>
    <w:rsid w:val="007B6C4A"/>
    <w:rsid w:val="007C3281"/>
    <w:rsid w:val="007C50A7"/>
    <w:rsid w:val="007C75D3"/>
    <w:rsid w:val="007E244A"/>
    <w:rsid w:val="007E2D8C"/>
    <w:rsid w:val="00800A2B"/>
    <w:rsid w:val="008056ED"/>
    <w:rsid w:val="00806C1C"/>
    <w:rsid w:val="0082093F"/>
    <w:rsid w:val="00826353"/>
    <w:rsid w:val="00826757"/>
    <w:rsid w:val="00842044"/>
    <w:rsid w:val="008441ED"/>
    <w:rsid w:val="00844B9B"/>
    <w:rsid w:val="00846AF2"/>
    <w:rsid w:val="00851338"/>
    <w:rsid w:val="00852661"/>
    <w:rsid w:val="00861CE5"/>
    <w:rsid w:val="00874DA5"/>
    <w:rsid w:val="008923B6"/>
    <w:rsid w:val="00894271"/>
    <w:rsid w:val="008B22E2"/>
    <w:rsid w:val="008B4B8A"/>
    <w:rsid w:val="008B6361"/>
    <w:rsid w:val="008C0A74"/>
    <w:rsid w:val="008C2283"/>
    <w:rsid w:val="008E38FC"/>
    <w:rsid w:val="008E3C42"/>
    <w:rsid w:val="008E7B53"/>
    <w:rsid w:val="008F20BA"/>
    <w:rsid w:val="008F20F1"/>
    <w:rsid w:val="009058B5"/>
    <w:rsid w:val="0091203A"/>
    <w:rsid w:val="00933317"/>
    <w:rsid w:val="00940248"/>
    <w:rsid w:val="009423AF"/>
    <w:rsid w:val="009461ED"/>
    <w:rsid w:val="009538E6"/>
    <w:rsid w:val="009704E4"/>
    <w:rsid w:val="009775C7"/>
    <w:rsid w:val="009C22BE"/>
    <w:rsid w:val="009E231A"/>
    <w:rsid w:val="009E2417"/>
    <w:rsid w:val="009E2F64"/>
    <w:rsid w:val="00A10A6B"/>
    <w:rsid w:val="00A10E2B"/>
    <w:rsid w:val="00A12F1A"/>
    <w:rsid w:val="00A30084"/>
    <w:rsid w:val="00A50895"/>
    <w:rsid w:val="00A567A3"/>
    <w:rsid w:val="00A56A4A"/>
    <w:rsid w:val="00A73318"/>
    <w:rsid w:val="00A759EA"/>
    <w:rsid w:val="00A85495"/>
    <w:rsid w:val="00A93867"/>
    <w:rsid w:val="00AA44D4"/>
    <w:rsid w:val="00AB7C9D"/>
    <w:rsid w:val="00AC688A"/>
    <w:rsid w:val="00AE0B81"/>
    <w:rsid w:val="00AF1005"/>
    <w:rsid w:val="00AF6A7B"/>
    <w:rsid w:val="00B05F5C"/>
    <w:rsid w:val="00B169E3"/>
    <w:rsid w:val="00B41272"/>
    <w:rsid w:val="00B426FE"/>
    <w:rsid w:val="00B63283"/>
    <w:rsid w:val="00B7021A"/>
    <w:rsid w:val="00B77043"/>
    <w:rsid w:val="00B80690"/>
    <w:rsid w:val="00B80997"/>
    <w:rsid w:val="00B85C06"/>
    <w:rsid w:val="00B86D06"/>
    <w:rsid w:val="00BB113D"/>
    <w:rsid w:val="00BB7EBF"/>
    <w:rsid w:val="00BC5228"/>
    <w:rsid w:val="00BC770A"/>
    <w:rsid w:val="00BC7C47"/>
    <w:rsid w:val="00BF690E"/>
    <w:rsid w:val="00C053D5"/>
    <w:rsid w:val="00C37003"/>
    <w:rsid w:val="00C37C33"/>
    <w:rsid w:val="00C4255D"/>
    <w:rsid w:val="00C54125"/>
    <w:rsid w:val="00C63294"/>
    <w:rsid w:val="00C77DC6"/>
    <w:rsid w:val="00C801DA"/>
    <w:rsid w:val="00C926F0"/>
    <w:rsid w:val="00C9656D"/>
    <w:rsid w:val="00C96DFB"/>
    <w:rsid w:val="00CA27DA"/>
    <w:rsid w:val="00CA4AFC"/>
    <w:rsid w:val="00CD5F32"/>
    <w:rsid w:val="00CD74B6"/>
    <w:rsid w:val="00CF0E17"/>
    <w:rsid w:val="00CF3CED"/>
    <w:rsid w:val="00D128B0"/>
    <w:rsid w:val="00D354D6"/>
    <w:rsid w:val="00D357B3"/>
    <w:rsid w:val="00D43B5F"/>
    <w:rsid w:val="00D806B0"/>
    <w:rsid w:val="00DB599C"/>
    <w:rsid w:val="00DB6502"/>
    <w:rsid w:val="00DC490C"/>
    <w:rsid w:val="00DC5F5C"/>
    <w:rsid w:val="00DE2C71"/>
    <w:rsid w:val="00E03164"/>
    <w:rsid w:val="00E06B95"/>
    <w:rsid w:val="00E123CB"/>
    <w:rsid w:val="00E14FA9"/>
    <w:rsid w:val="00E236D0"/>
    <w:rsid w:val="00E31DAE"/>
    <w:rsid w:val="00E365F8"/>
    <w:rsid w:val="00E45A10"/>
    <w:rsid w:val="00E45F9C"/>
    <w:rsid w:val="00E52313"/>
    <w:rsid w:val="00E56EC1"/>
    <w:rsid w:val="00E57478"/>
    <w:rsid w:val="00E66432"/>
    <w:rsid w:val="00E81A91"/>
    <w:rsid w:val="00E87AA1"/>
    <w:rsid w:val="00E95812"/>
    <w:rsid w:val="00E95948"/>
    <w:rsid w:val="00EA070F"/>
    <w:rsid w:val="00EC0CAE"/>
    <w:rsid w:val="00EC29E3"/>
    <w:rsid w:val="00EC3B91"/>
    <w:rsid w:val="00ED24F6"/>
    <w:rsid w:val="00ED4D6D"/>
    <w:rsid w:val="00ED5DD0"/>
    <w:rsid w:val="00EE1336"/>
    <w:rsid w:val="00EE42D9"/>
    <w:rsid w:val="00EE509B"/>
    <w:rsid w:val="00EE67B3"/>
    <w:rsid w:val="00EF1F19"/>
    <w:rsid w:val="00F21FD6"/>
    <w:rsid w:val="00F60BA5"/>
    <w:rsid w:val="00F67C3E"/>
    <w:rsid w:val="00F85882"/>
    <w:rsid w:val="00F8762F"/>
    <w:rsid w:val="00F93048"/>
    <w:rsid w:val="00F9625F"/>
    <w:rsid w:val="00FA2FD5"/>
    <w:rsid w:val="00FA79F7"/>
    <w:rsid w:val="00FC2F0C"/>
    <w:rsid w:val="00FD06A8"/>
    <w:rsid w:val="00FD0767"/>
    <w:rsid w:val="00FE3F74"/>
    <w:rsid w:val="00FE4A2D"/>
    <w:rsid w:val="00FF41C9"/>
    <w:rsid w:val="00FF5931"/>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uiPriority="9"/>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iPriority="0" w:unhideWhenUsed="1"/>
    <w:lsdException w:name="header" w:unhideWhenUsed="1"/>
    <w:lsdException w:name="footer" w:unhideWhenUsed="1"/>
    <w:lsdException w:name="caption" w:uiPriority="35" w:qFormat="1"/>
    <w:lsdException w:name="table of figures" w:unhideWhenUsed="1"/>
    <w:lsdException w:name="page number" w:unhideWhenUsed="1"/>
    <w:lsdException w:name="Title" w:uiPriority="1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Hyperlink" w:uiPriority="0"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semiHidden/>
    <w:qFormat/>
    <w:rsid w:val="008923B6"/>
    <w:pPr>
      <w:spacing w:before="160" w:line="260" w:lineRule="exact"/>
    </w:pPr>
    <w:rPr>
      <w:rFonts w:ascii="Trebuchet MS" w:hAnsi="Trebuchet MS"/>
      <w:sz w:val="19"/>
      <w:lang w:val="en-AU"/>
    </w:rPr>
  </w:style>
  <w:style w:type="paragraph" w:styleId="Heading1">
    <w:name w:val="heading 1"/>
    <w:next w:val="Text"/>
    <w:qFormat/>
    <w:rsid w:val="009775C7"/>
    <w:pPr>
      <w:keepNext/>
      <w:spacing w:after="360"/>
      <w:outlineLvl w:val="0"/>
    </w:pPr>
    <w:rPr>
      <w:rFonts w:ascii="Tahoma" w:hAnsi="Tahoma" w:cs="Tahoma"/>
      <w:color w:val="000000"/>
      <w:kern w:val="28"/>
      <w:sz w:val="56"/>
      <w:szCs w:val="56"/>
      <w:lang w:val="en-AU"/>
    </w:rPr>
  </w:style>
  <w:style w:type="paragraph" w:styleId="Heading2">
    <w:name w:val="heading 2"/>
    <w:next w:val="Text"/>
    <w:qFormat/>
    <w:rsid w:val="009775C7"/>
    <w:pPr>
      <w:keepNext/>
      <w:spacing w:before="360"/>
      <w:ind w:right="-369"/>
      <w:outlineLvl w:val="1"/>
    </w:pPr>
    <w:rPr>
      <w:rFonts w:ascii="Tahoma" w:hAnsi="Tahoma" w:cs="Tahoma"/>
      <w:sz w:val="28"/>
      <w:lang w:val="en-AU"/>
    </w:rPr>
  </w:style>
  <w:style w:type="paragraph" w:styleId="Heading3">
    <w:name w:val="heading 3"/>
    <w:next w:val="Text"/>
    <w:link w:val="Heading3Char"/>
    <w:uiPriority w:val="99"/>
    <w:qFormat/>
    <w:rsid w:val="00800A2B"/>
    <w:pPr>
      <w:spacing w:before="280" w:line="320" w:lineRule="exact"/>
      <w:outlineLvl w:val="2"/>
    </w:pPr>
    <w:rPr>
      <w:rFonts w:ascii="Tahoma" w:hAnsi="Tahoma" w:cs="Tahoma"/>
      <w:color w:val="000000"/>
      <w:sz w:val="24"/>
      <w:lang w:val="en-AU"/>
    </w:rPr>
  </w:style>
  <w:style w:type="paragraph" w:styleId="Heading4">
    <w:name w:val="heading 4"/>
    <w:next w:val="Text"/>
    <w:qFormat/>
    <w:rsid w:val="007037A4"/>
    <w:pPr>
      <w:spacing w:before="240"/>
      <w:outlineLvl w:val="3"/>
    </w:pPr>
    <w:rPr>
      <w:rFonts w:ascii="Tahoma" w:hAnsi="Tahoma"/>
      <w:i/>
      <w:sz w:val="24"/>
      <w:lang w:val="en-AU"/>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48643A"/>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styleId="PageNumber">
    <w:name w:val="page number"/>
    <w:basedOn w:val="DefaultParagraphFont"/>
    <w:rsid w:val="007037A4"/>
    <w:rPr>
      <w:rFonts w:ascii="Tahoma" w:hAnsi="Tahoma"/>
      <w:sz w:val="18"/>
    </w:rPr>
  </w:style>
  <w:style w:type="paragraph" w:styleId="Footer">
    <w:name w:val="footer"/>
    <w:basedOn w:val="Normal"/>
    <w:rsid w:val="00AA44D4"/>
    <w:pPr>
      <w:tabs>
        <w:tab w:val="right" w:pos="8505"/>
      </w:tabs>
      <w:spacing w:before="0"/>
    </w:pPr>
    <w:rPr>
      <w:rFonts w:ascii="Tahoma" w:hAnsi="Tahoma"/>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uiPriority w:val="99"/>
    <w:rsid w:val="00150874"/>
    <w:pPr>
      <w:spacing w:before="360" w:after="80"/>
      <w:ind w:left="851" w:hanging="851"/>
    </w:pPr>
    <w:rPr>
      <w:rFonts w:ascii="Tahoma" w:hAnsi="Tahoma"/>
      <w:b/>
      <w:sz w:val="17"/>
      <w:lang w:val="en-AU"/>
    </w:rPr>
  </w:style>
  <w:style w:type="paragraph" w:customStyle="1" w:styleId="Tabletext">
    <w:name w:val="Table text"/>
    <w:next w:val="Text"/>
    <w:uiPriority w:val="99"/>
    <w:rsid w:val="00A10A6B"/>
    <w:pPr>
      <w:spacing w:before="40" w:after="40"/>
    </w:pPr>
    <w:rPr>
      <w:rFonts w:ascii="Arial" w:hAnsi="Arial"/>
      <w:sz w:val="16"/>
      <w:lang w:val="en-AU"/>
    </w:rPr>
  </w:style>
  <w:style w:type="paragraph" w:customStyle="1" w:styleId="Tablehead1">
    <w:name w:val="Tablehead1"/>
    <w:uiPriority w:val="99"/>
    <w:rsid w:val="005C2FCF"/>
    <w:pPr>
      <w:spacing w:before="80" w:after="80"/>
    </w:pPr>
    <w:rPr>
      <w:rFonts w:ascii="Arial" w:hAnsi="Arial"/>
      <w:b/>
      <w:sz w:val="17"/>
      <w:lang w:val="en-AU"/>
    </w:rPr>
  </w:style>
  <w:style w:type="paragraph" w:styleId="Quote">
    <w:name w:val="Quote"/>
    <w:basedOn w:val="Text"/>
    <w:qFormat/>
    <w:rsid w:val="009C22BE"/>
    <w:pPr>
      <w:tabs>
        <w:tab w:val="right" w:pos="7853"/>
      </w:tabs>
      <w:spacing w:before="80"/>
      <w:ind w:left="567" w:right="652"/>
    </w:pPr>
    <w:rPr>
      <w:sz w:val="17"/>
    </w:rPr>
  </w:style>
  <w:style w:type="paragraph" w:customStyle="1" w:styleId="References">
    <w:name w:val="References"/>
    <w:rsid w:val="00123B5C"/>
    <w:pPr>
      <w:spacing w:before="80"/>
      <w:ind w:left="284" w:right="-369" w:hanging="284"/>
    </w:pPr>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rsid w:val="00467E47"/>
    <w:pPr>
      <w:spacing w:before="80"/>
      <w:ind w:left="425" w:right="1985" w:hanging="425"/>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rsid w:val="0048643A"/>
    <w:pPr>
      <w:numPr>
        <w:numId w:val="26"/>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
    <w:rsid w:val="005C277E"/>
    <w:pPr>
      <w:numPr>
        <w:numId w:val="27"/>
      </w:numPr>
      <w:tabs>
        <w:tab w:val="clear" w:pos="284"/>
        <w:tab w:val="left" w:pos="567"/>
      </w:tabs>
      <w:ind w:left="568" w:hanging="284"/>
    </w:pPr>
  </w:style>
  <w:style w:type="paragraph" w:customStyle="1" w:styleId="NumberedListContinuing">
    <w:name w:val="NumberedListContinuing"/>
    <w:rsid w:val="00520315"/>
    <w:pPr>
      <w:numPr>
        <w:numId w:val="33"/>
      </w:numPr>
      <w:spacing w:before="120" w:line="300" w:lineRule="exact"/>
    </w:pPr>
    <w:rPr>
      <w:rFonts w:ascii="Trebuchet MS" w:hAnsi="Trebuchet MS"/>
      <w:sz w:val="19"/>
      <w:lang w:val="en-AU" w:eastAsia="en-AU"/>
    </w:rPr>
  </w:style>
  <w:style w:type="paragraph" w:customStyle="1" w:styleId="Source">
    <w:name w:val="Source"/>
    <w:rsid w:val="00AC688A"/>
    <w:pPr>
      <w:spacing w:before="40"/>
      <w:ind w:left="567" w:hanging="567"/>
    </w:pPr>
    <w:rPr>
      <w:rFonts w:ascii="Arial" w:hAnsi="Arial"/>
      <w:sz w:val="15"/>
      <w:lang w:val="en-AU"/>
    </w:rPr>
  </w:style>
  <w:style w:type="paragraph" w:styleId="FootnoteText">
    <w:name w:val="footnote text"/>
    <w:basedOn w:val="Text"/>
    <w:rsid w:val="00A50895"/>
    <w:pPr>
      <w:tabs>
        <w:tab w:val="left" w:pos="1418"/>
      </w:tabs>
      <w:spacing w:before="0" w:line="220" w:lineRule="exact"/>
      <w:ind w:left="170" w:hanging="170"/>
    </w:pPr>
    <w:rPr>
      <w:sz w:val="16"/>
    </w:rPr>
  </w:style>
  <w:style w:type="paragraph" w:styleId="NormalWeb">
    <w:name w:val="Normal (Web)"/>
    <w:basedOn w:val="Normal"/>
    <w:uiPriority w:val="1"/>
    <w:semiHidden/>
    <w:rsid w:val="009058B5"/>
    <w:pPr>
      <w:spacing w:before="100" w:beforeAutospacing="1" w:after="240"/>
    </w:pPr>
    <w:rPr>
      <w:sz w:val="18"/>
      <w:szCs w:val="18"/>
    </w:rPr>
  </w:style>
  <w:style w:type="paragraph" w:customStyle="1" w:styleId="PublicationTitle">
    <w:name w:val="Publication Title"/>
    <w:qFormat/>
    <w:rsid w:val="0049453B"/>
    <w:pPr>
      <w:spacing w:before="3200" w:after="840"/>
      <w:ind w:left="1701"/>
    </w:pPr>
    <w:rPr>
      <w:rFonts w:ascii="Tahoma" w:hAnsi="Tahoma"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1508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uiPriority w:val="99"/>
    <w:rsid w:val="00800A2B"/>
    <w:rPr>
      <w:rFonts w:ascii="Tahoma" w:hAnsi="Tahoma" w:cs="Tahoma"/>
      <w:color w:val="000000"/>
      <w:sz w:val="24"/>
      <w:lang w:val="en-AU"/>
    </w:rPr>
  </w:style>
  <w:style w:type="character" w:styleId="Hyperlink">
    <w:name w:val="Hyperlink"/>
    <w:basedOn w:val="DefaultParagraphFont"/>
    <w:unhideWhenUsed/>
    <w:rsid w:val="007037A4"/>
    <w:rPr>
      <w:rFonts w:ascii="Trebuchet MS" w:hAnsi="Trebuchet MS"/>
      <w:color w:val="auto"/>
      <w:sz w:val="19"/>
      <w:u w:val="none"/>
    </w:rPr>
  </w:style>
  <w:style w:type="paragraph" w:styleId="ListParagraph">
    <w:name w:val="List Paragraph"/>
    <w:basedOn w:val="Normal"/>
    <w:uiPriority w:val="34"/>
    <w:semiHidden/>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49453B"/>
    <w:pPr>
      <w:ind w:left="1701" w:right="-1"/>
    </w:pPr>
    <w:rPr>
      <w:rFonts w:ascii="Tahoma" w:hAnsi="Tahoma" w:cs="Tahoma"/>
      <w:sz w:val="28"/>
      <w:lang w:val="en-AU"/>
    </w:rPr>
  </w:style>
  <w:style w:type="paragraph" w:customStyle="1" w:styleId="Contents">
    <w:name w:val="Contents"/>
    <w:qFormat/>
    <w:rsid w:val="00F93048"/>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177827"/>
    <w:pPr>
      <w:spacing w:before="120"/>
      <w:ind w:right="0"/>
    </w:pPr>
    <w:rPr>
      <w:sz w:val="24"/>
    </w:rPr>
  </w:style>
  <w:style w:type="character" w:styleId="FollowedHyperlink">
    <w:name w:val="FollowedHyperlink"/>
    <w:basedOn w:val="DefaultParagraphFont"/>
    <w:uiPriority w:val="99"/>
    <w:semiHidden/>
    <w:rsid w:val="00E95812"/>
    <w:rPr>
      <w:color w:val="800080" w:themeColor="followedHyperlink"/>
      <w:u w:val="single"/>
    </w:rPr>
  </w:style>
  <w:style w:type="paragraph" w:customStyle="1" w:styleId="NumberedAlphaLevel2">
    <w:name w:val="NumberedAlphaLevel2"/>
    <w:basedOn w:val="NumberedListContinuing"/>
    <w:uiPriority w:val="1"/>
    <w:qFormat/>
    <w:rsid w:val="00ED24F6"/>
    <w:pPr>
      <w:numPr>
        <w:ilvl w:val="1"/>
      </w:numPr>
      <w:tabs>
        <w:tab w:val="clear" w:pos="1440"/>
        <w:tab w:val="num" w:pos="567"/>
      </w:tabs>
      <w:ind w:left="567" w:hanging="283"/>
    </w:pPr>
  </w:style>
  <w:style w:type="character" w:styleId="FootnoteReference">
    <w:name w:val="footnote reference"/>
    <w:basedOn w:val="DefaultParagraphFont"/>
    <w:uiPriority w:val="99"/>
    <w:semiHidden/>
    <w:rsid w:val="00846AF2"/>
    <w:rPr>
      <w:vertAlign w:val="superscript"/>
    </w:rPr>
  </w:style>
  <w:style w:type="character" w:styleId="CommentReference">
    <w:name w:val="annotation reference"/>
    <w:basedOn w:val="DefaultParagraphFont"/>
    <w:uiPriority w:val="99"/>
    <w:semiHidden/>
    <w:rsid w:val="002765F4"/>
    <w:rPr>
      <w:sz w:val="16"/>
      <w:szCs w:val="16"/>
    </w:rPr>
  </w:style>
  <w:style w:type="paragraph" w:styleId="CommentText">
    <w:name w:val="annotation text"/>
    <w:basedOn w:val="Normal"/>
    <w:link w:val="CommentTextChar"/>
    <w:uiPriority w:val="99"/>
    <w:semiHidden/>
    <w:rsid w:val="002765F4"/>
    <w:pPr>
      <w:spacing w:line="240" w:lineRule="auto"/>
    </w:pPr>
    <w:rPr>
      <w:sz w:val="20"/>
    </w:rPr>
  </w:style>
  <w:style w:type="character" w:customStyle="1" w:styleId="CommentTextChar">
    <w:name w:val="Comment Text Char"/>
    <w:basedOn w:val="DefaultParagraphFont"/>
    <w:link w:val="CommentText"/>
    <w:uiPriority w:val="99"/>
    <w:semiHidden/>
    <w:rsid w:val="002765F4"/>
    <w:rPr>
      <w:rFonts w:ascii="Trebuchet MS" w:hAnsi="Trebuchet MS"/>
      <w:lang w:val="en-AU"/>
    </w:rPr>
  </w:style>
  <w:style w:type="paragraph" w:styleId="CommentSubject">
    <w:name w:val="annotation subject"/>
    <w:basedOn w:val="CommentText"/>
    <w:next w:val="CommentText"/>
    <w:link w:val="CommentSubjectChar"/>
    <w:uiPriority w:val="99"/>
    <w:semiHidden/>
    <w:rsid w:val="002765F4"/>
    <w:rPr>
      <w:b/>
      <w:bCs/>
    </w:rPr>
  </w:style>
  <w:style w:type="character" w:customStyle="1" w:styleId="CommentSubjectChar">
    <w:name w:val="Comment Subject Char"/>
    <w:basedOn w:val="CommentTextChar"/>
    <w:link w:val="CommentSubject"/>
    <w:uiPriority w:val="99"/>
    <w:semiHidden/>
    <w:rsid w:val="002765F4"/>
    <w:rPr>
      <w:b/>
      <w:bCs/>
    </w:rPr>
  </w:style>
  <w:style w:type="paragraph" w:customStyle="1" w:styleId="StyleTableofFiguresLeft0cmHanging05cm">
    <w:name w:val="Style Table of Figures + Left:  0 cm Hanging:  0.5 cm"/>
    <w:basedOn w:val="TableofFigures"/>
    <w:rsid w:val="00F9625F"/>
    <w:rPr>
      <w:szCs w:val="20"/>
    </w:rPr>
  </w:style>
  <w:style w:type="paragraph" w:customStyle="1" w:styleId="StyleTextRight0cmBefore15pt">
    <w:name w:val="Style Text + Right:  0 cm Before:  15 pt"/>
    <w:basedOn w:val="Text"/>
    <w:rsid w:val="00E66432"/>
    <w:pPr>
      <w:spacing w:before="360"/>
      <w:ind w:right="0"/>
    </w:pPr>
  </w:style>
</w:styles>
</file>

<file path=word/webSettings.xml><?xml version="1.0" encoding="utf-8"?>
<w:webSettings xmlns:r="http://schemas.openxmlformats.org/officeDocument/2006/relationships" xmlns:w="http://schemas.openxmlformats.org/wordprocessingml/2006/main">
  <w:divs>
    <w:div w:id="28999027">
      <w:bodyDiv w:val="1"/>
      <w:marLeft w:val="0"/>
      <w:marRight w:val="0"/>
      <w:marTop w:val="0"/>
      <w:marBottom w:val="0"/>
      <w:divBdr>
        <w:top w:val="none" w:sz="0" w:space="0" w:color="auto"/>
        <w:left w:val="none" w:sz="0" w:space="0" w:color="auto"/>
        <w:bottom w:val="none" w:sz="0" w:space="0" w:color="auto"/>
        <w:right w:val="none" w:sz="0" w:space="0" w:color="auto"/>
      </w:divBdr>
    </w:div>
    <w:div w:id="537402573">
      <w:bodyDiv w:val="1"/>
      <w:marLeft w:val="0"/>
      <w:marRight w:val="0"/>
      <w:marTop w:val="0"/>
      <w:marBottom w:val="0"/>
      <w:divBdr>
        <w:top w:val="none" w:sz="0" w:space="0" w:color="auto"/>
        <w:left w:val="none" w:sz="0" w:space="0" w:color="auto"/>
        <w:bottom w:val="none" w:sz="0" w:space="0" w:color="auto"/>
        <w:right w:val="none" w:sz="0" w:space="0" w:color="auto"/>
      </w:divBdr>
    </w:div>
    <w:div w:id="1151675868">
      <w:bodyDiv w:val="1"/>
      <w:marLeft w:val="0"/>
      <w:marRight w:val="0"/>
      <w:marTop w:val="0"/>
      <w:marBottom w:val="0"/>
      <w:divBdr>
        <w:top w:val="none" w:sz="0" w:space="0" w:color="auto"/>
        <w:left w:val="none" w:sz="0" w:space="0" w:color="auto"/>
        <w:bottom w:val="none" w:sz="0" w:space="0" w:color="auto"/>
        <w:right w:val="none" w:sz="0" w:space="0" w:color="auto"/>
      </w:divBdr>
    </w:div>
    <w:div w:id="1366522444">
      <w:bodyDiv w:val="1"/>
      <w:marLeft w:val="0"/>
      <w:marRight w:val="0"/>
      <w:marTop w:val="0"/>
      <w:marBottom w:val="0"/>
      <w:divBdr>
        <w:top w:val="none" w:sz="0" w:space="0" w:color="auto"/>
        <w:left w:val="none" w:sz="0" w:space="0" w:color="auto"/>
        <w:bottom w:val="none" w:sz="0" w:space="0" w:color="auto"/>
        <w:right w:val="none" w:sz="0" w:space="0" w:color="auto"/>
      </w:divBdr>
    </w:div>
    <w:div w:id="1673993144">
      <w:bodyDiv w:val="1"/>
      <w:marLeft w:val="0"/>
      <w:marRight w:val="0"/>
      <w:marTop w:val="0"/>
      <w:marBottom w:val="0"/>
      <w:divBdr>
        <w:top w:val="none" w:sz="0" w:space="0" w:color="auto"/>
        <w:left w:val="none" w:sz="0" w:space="0" w:color="auto"/>
        <w:bottom w:val="none" w:sz="0" w:space="0" w:color="auto"/>
        <w:right w:val="none" w:sz="0" w:space="0" w:color="auto"/>
      </w:divBdr>
    </w:div>
    <w:div w:id="1692105447">
      <w:bodyDiv w:val="1"/>
      <w:marLeft w:val="0"/>
      <w:marRight w:val="0"/>
      <w:marTop w:val="0"/>
      <w:marBottom w:val="0"/>
      <w:divBdr>
        <w:top w:val="none" w:sz="0" w:space="0" w:color="auto"/>
        <w:left w:val="none" w:sz="0" w:space="0" w:color="auto"/>
        <w:bottom w:val="none" w:sz="0" w:space="0" w:color="auto"/>
        <w:right w:val="none" w:sz="0" w:space="0" w:color="auto"/>
      </w:divBdr>
    </w:div>
    <w:div w:id="1778523049">
      <w:bodyDiv w:val="1"/>
      <w:marLeft w:val="0"/>
      <w:marRight w:val="0"/>
      <w:marTop w:val="0"/>
      <w:marBottom w:val="0"/>
      <w:divBdr>
        <w:top w:val="none" w:sz="0" w:space="0" w:color="auto"/>
        <w:left w:val="none" w:sz="0" w:space="0" w:color="auto"/>
        <w:bottom w:val="none" w:sz="0" w:space="0" w:color="auto"/>
        <w:right w:val="none" w:sz="0" w:space="0" w:color="auto"/>
      </w:divBdr>
    </w:div>
    <w:div w:id="2058970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hyperlink" Target="http://stats.oecd.org/OECDStat_Metadata/ShowMetadata.ashx?Dataset=FTPTC_I&amp;Coords=%5bCOUNTRY%5d.%5bDEU%5d&amp;ShowOnWeb=true&amp;Lang=en" TargetMode="External"/><Relationship Id="rId39" Type="http://schemas.openxmlformats.org/officeDocument/2006/relationships/hyperlink" Target="http://stats.oecd.org/OECDStat_Metadata/ShowMetadata.ashx?Dataset=FTPTC_I&amp;Coords=%5bCOUNTRY%5d.%5bNZL%5d&amp;ShowOnWeb=true&amp;Lang=en" TargetMode="External"/><Relationship Id="rId3" Type="http://schemas.openxmlformats.org/officeDocument/2006/relationships/styles" Target="styles.xml"/><Relationship Id="rId21" Type="http://schemas.openxmlformats.org/officeDocument/2006/relationships/hyperlink" Target="http://stats.oecd.org/OECDStat_Metadata/ShowMetadata.ashx?Dataset=FTPTC_I&amp;Coords=%5bCOUNTRY%5d.%5bJPN%5d&amp;ShowOnWeb=true&amp;Lang=en" TargetMode="External"/><Relationship Id="rId34" Type="http://schemas.openxmlformats.org/officeDocument/2006/relationships/hyperlink" Target="http://stats.oecd.org/OECDStat_Metadata/ShowMetadata.ashx?Dataset=FTPTC_I&amp;Coords=%5bCOUNTRY%5d.%5bAUS%5d&amp;ShowOnWeb=true&amp;Lang=en" TargetMode="External"/><Relationship Id="rId42" Type="http://schemas.openxmlformats.org/officeDocument/2006/relationships/hyperlink" Target="http://stats.oecd.org/OECDStat_Metadata/ShowMetadata.ashx?Dataset=FTPTC_I&amp;Coords=%5bCOUNTRY%5d.%5bCAN%5d&amp;ShowOnWeb=true&amp;Lang=en" TargetMode="External"/><Relationship Id="rId47" Type="http://schemas.openxmlformats.org/officeDocument/2006/relationships/hyperlink" Target="http://stats.oecd.org/OECDStat_Metadata/ShowMetadata.ashx?Dataset=FTPTC_I&amp;Coords=%5bCOUNTRY%5d.%5bGBR%5d&amp;ShowOnWeb=true&amp;Lang=en" TargetMode="External"/><Relationship Id="rId50" Type="http://schemas.openxmlformats.org/officeDocument/2006/relationships/hyperlink" Target="http://stats.oecd.org/OECDStat_Metadata/ShowMetadata.ashx?Dataset=FTPTC_I&amp;Coords=%5bCOUNTRY%5d.%5bEUR%5d&amp;ShowOnWeb=true&amp;Lang=en"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hyperlink" Target="http://stats.oecd.org/OECDStat_Metadata/ShowMetadata.ashx?Dataset=FTPTC_I&amp;Coords=%5bCOUNTRY%5d.%5bAUT%5d&amp;ShowOnWeb=true&amp;Lang=en" TargetMode="External"/><Relationship Id="rId33" Type="http://schemas.openxmlformats.org/officeDocument/2006/relationships/hyperlink" Target="http://stats.oecd.org/OECDStat_Metadata/ShowMetadata.ashx?Dataset=FTPTC_I&amp;Coords=%5bCOUNTRY%5d.%5bPRT%5d&amp;ShowOnWeb=true&amp;Lang=en" TargetMode="External"/><Relationship Id="rId38" Type="http://schemas.openxmlformats.org/officeDocument/2006/relationships/hyperlink" Target="http://stats.oecd.org/OECDStat_Metadata/ShowMetadata.ashx?Dataset=FTPTC_I&amp;Coords=%5bCOUNTRY%5d.%5bFRA%5d&amp;ShowOnWeb=true&amp;Lang=en" TargetMode="External"/><Relationship Id="rId46" Type="http://schemas.openxmlformats.org/officeDocument/2006/relationships/hyperlink" Target="http://stats.oecd.org/OECDStat_Metadata/ShowMetadata.ashx?Dataset=FTPTC_I&amp;Coords=%5bCOUNTRY%5d.%5bSWE%5d&amp;ShowOnWeb=true&amp;Lang=en"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tats.oecd.org/OECDStat_Metadata/ShowMetadata.ashx?Dataset=FTPTC_I&amp;Coords=%5bCOUNTRY%5d.%5bKOR%5d&amp;ShowOnWeb=true&amp;Lang=en" TargetMode="External"/><Relationship Id="rId29" Type="http://schemas.openxmlformats.org/officeDocument/2006/relationships/hyperlink" Target="http://stats.oecd.org/OECDStat_Metadata/ShowMetadata.ashx?Dataset=FTPTC_I&amp;Coords=%5bCOUNTRY%5d.%5bCZE%5d&amp;ShowOnWeb=true&amp;Lang=en" TargetMode="External"/><Relationship Id="rId41" Type="http://schemas.openxmlformats.org/officeDocument/2006/relationships/hyperlink" Target="http://stats.oecd.org/OECDStat_Metadata/ShowMetadata.ashx?Dataset=FTPTC_I&amp;Coords=%5bCOUNTRY%5d.%5bTUR%5d&amp;ShowOnWeb=true&amp;Lan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cver@ncver.edu.au" TargetMode="External"/><Relationship Id="rId24" Type="http://schemas.openxmlformats.org/officeDocument/2006/relationships/hyperlink" Target="http://stats.oecd.org/OECDStat_Metadata/ShowMetadata.ashx?Dataset=FTPTC_I&amp;Coords=%5bCOUNTRY%5d.%5bMEX%5d&amp;ShowOnWeb=true&amp;Lang=en" TargetMode="External"/><Relationship Id="rId32" Type="http://schemas.openxmlformats.org/officeDocument/2006/relationships/hyperlink" Target="http://stats.oecd.org/OECDStat_Metadata/ShowMetadata.ashx?Dataset=FTPTC_I&amp;Coords=%5bCOUNTRY%5d.%5bBEL%5d&amp;ShowOnWeb=true&amp;Lang=en" TargetMode="External"/><Relationship Id="rId37" Type="http://schemas.openxmlformats.org/officeDocument/2006/relationships/hyperlink" Target="http://stats.oecd.org/OECDStat_Metadata/ShowMetadata.ashx?Dataset=FTPTC_I&amp;Coords=%5bCOUNTRY%5d.%5bGRC%5d&amp;ShowOnWeb=true&amp;Lang=en" TargetMode="External"/><Relationship Id="rId40" Type="http://schemas.openxmlformats.org/officeDocument/2006/relationships/hyperlink" Target="http://stats.oecd.org/OECDStat_Metadata/ShowMetadata.ashx?Dataset=FTPTC_I&amp;Coords=%5bCOUNTRY%5d.%5bDNK%5d&amp;ShowOnWeb=true&amp;Lang=en" TargetMode="External"/><Relationship Id="rId45" Type="http://schemas.openxmlformats.org/officeDocument/2006/relationships/hyperlink" Target="http://stats.oecd.org/OECDStat_Metadata/ShowMetadata.ashx?Dataset=FTPTC_I&amp;Coords=%5bCOUNTRY%5d.%5bISL%5d&amp;ShowOnWeb=true&amp;Lang=en"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tats.oecd.org/OECDStat_Metadata/ShowMetadata.ashx?Dataset=FTPTC_I&amp;Coords=%5bCOUNTRY%5d.%5bLUX%5d&amp;ShowOnWeb=true&amp;Lang=en" TargetMode="External"/><Relationship Id="rId28" Type="http://schemas.openxmlformats.org/officeDocument/2006/relationships/hyperlink" Target="http://stats.oecd.org/OECDStat_Metadata/ShowMetadata.ashx?Dataset=FTPTC_I&amp;Coords=%5bCOUNTRY%5d.%5bNOR%5d&amp;ShowOnWeb=true&amp;Lang=en" TargetMode="External"/><Relationship Id="rId36" Type="http://schemas.openxmlformats.org/officeDocument/2006/relationships/hyperlink" Target="http://stats.oecd.org/OECDStat_Metadata/ShowMetadata.ashx?Dataset=FTPTC_I&amp;Coords=%5bCOUNTRY%5d.%5bITA%5d&amp;ShowOnWeb=true&amp;Lang=en" TargetMode="External"/><Relationship Id="rId49" Type="http://schemas.openxmlformats.org/officeDocument/2006/relationships/hyperlink" Target="http://stats.oecd.org/OECDStat_Metadata/ShowMetadata.ashx?Dataset=FTPTC_I&amp;Coords=%5bCOUNTRY%5d.%5bESP%5d&amp;ShowOnWeb=true&amp;Lang=en" TargetMode="External"/><Relationship Id="rId10" Type="http://schemas.openxmlformats.org/officeDocument/2006/relationships/image" Target="media/image2.png"/><Relationship Id="rId19" Type="http://schemas.openxmlformats.org/officeDocument/2006/relationships/image" Target="media/image8.png"/><Relationship Id="rId31" Type="http://schemas.openxmlformats.org/officeDocument/2006/relationships/hyperlink" Target="http://stats.oecd.org/OECDStat_Metadata/ShowMetadata.ashx?Dataset=FTPTC_I&amp;Coords=%5bCOUNTRY%5d.%5bHUN%5d&amp;ShowOnWeb=true&amp;Lang=en" TargetMode="External"/><Relationship Id="rId44" Type="http://schemas.openxmlformats.org/officeDocument/2006/relationships/hyperlink" Target="http://stats.oecd.org/OECDStat_Metadata/ShowMetadata.ashx?Dataset=FTPTC_I&amp;Coords=%5bCOUNTRY%5d.%5bSVK%5d&amp;ShowOnWeb=true&amp;Lang=en"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reativecommons.org/licenses/by/3.0/au/" TargetMode="External"/><Relationship Id="rId14" Type="http://schemas.openxmlformats.org/officeDocument/2006/relationships/image" Target="media/image3.png"/><Relationship Id="rId22" Type="http://schemas.openxmlformats.org/officeDocument/2006/relationships/hyperlink" Target="http://stats.oecd.org/OECDStat_Metadata/ShowMetadata.ashx?Dataset=FTPTC_I&amp;Coords=%5bCOUNTRY%5d.%5bCHE%5d&amp;ShowOnWeb=true&amp;Lang=en" TargetMode="External"/><Relationship Id="rId27" Type="http://schemas.openxmlformats.org/officeDocument/2006/relationships/hyperlink" Target="http://stats.oecd.org/OECDStat_Metadata/ShowMetadata.ashx?Dataset=FTPTC_I&amp;Coords=%5bCOUNTRY%5d.%5bNLD%5d&amp;ShowOnWeb=true&amp;Lang=en" TargetMode="External"/><Relationship Id="rId30" Type="http://schemas.openxmlformats.org/officeDocument/2006/relationships/hyperlink" Target="http://stats.oecd.org/OECDStat_Metadata/ShowMetadata.ashx?Dataset=FTPTC_I&amp;Coords=%5bCOUNTRY%5d.%5bCHL%5d&amp;ShowOnWeb=true&amp;Lang=en" TargetMode="External"/><Relationship Id="rId35" Type="http://schemas.openxmlformats.org/officeDocument/2006/relationships/hyperlink" Target="http://stats.oecd.org/OECDStat_Metadata/ShowMetadata.ashx?Dataset=FTPTC_I&amp;Coords=%5bCOUNTRY%5d.%5bPOL%5d&amp;ShowOnWeb=true&amp;Lang=en" TargetMode="External"/><Relationship Id="rId43" Type="http://schemas.openxmlformats.org/officeDocument/2006/relationships/hyperlink" Target="http://stats.oecd.org/OECDStat_Metadata/ShowMetadata.ashx?Dataset=FTPTC_I&amp;Coords=%5bCOUNTRY%5d.%5bFIN%5d&amp;ShowOnWeb=true&amp;Lang=en" TargetMode="External"/><Relationship Id="rId48" Type="http://schemas.openxmlformats.org/officeDocument/2006/relationships/hyperlink" Target="http://stats.oecd.org/OECDStat_Metadata/ShowMetadata.ashx?Dataset=FTPTC_I&amp;Coords=%5bCOUNTRY%5d.%5bIRL%5d&amp;ShowOnWeb=true&amp;Lang=en" TargetMode="External"/><Relationship Id="rId8" Type="http://schemas.openxmlformats.org/officeDocument/2006/relationships/image" Target="media/image1.wmf"/><Relationship Id="rId51" Type="http://schemas.openxmlformats.org/officeDocument/2006/relationships/hyperlink" Target="http://stats.oecd.org/OECDStat_Metadata/ShowMetadata.ashx?Dataset=FTPTC_I&amp;Coords=%5bCOUNTRY%5d.%5bOECD%5d&amp;ShowOnWeb=true&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9B646-8108-4AE7-B153-7B6AD9AD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16</Pages>
  <Words>4588</Words>
  <Characters>26153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lpstr>
    </vt:vector>
  </TitlesOfParts>
  <Company>UQ</Company>
  <LinksUpToDate>false</LinksUpToDate>
  <CharactersWithSpaces>30680</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tomkarmel</dc:creator>
  <cp:keywords/>
  <dc:description/>
  <cp:lastModifiedBy>sarawilson</cp:lastModifiedBy>
  <cp:revision>24</cp:revision>
  <cp:lastPrinted>2012-08-13T01:55:00Z</cp:lastPrinted>
  <dcterms:created xsi:type="dcterms:W3CDTF">2012-07-20T03:08:00Z</dcterms:created>
  <dcterms:modified xsi:type="dcterms:W3CDTF">2012-08-13T04:01:00Z</dcterms:modified>
</cp:coreProperties>
</file>