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27" w:rsidRDefault="00177827" w:rsidP="00177827">
      <w:pPr>
        <w:pStyle w:val="PublicationTitle"/>
        <w:spacing w:before="0"/>
      </w:pPr>
      <w:bookmarkStart w:id="0" w:name="_Toc296423677"/>
      <w:bookmarkStart w:id="1" w:name="_Toc296497508"/>
    </w:p>
    <w:p w:rsidR="00177827" w:rsidRDefault="00177827" w:rsidP="00177827">
      <w:pPr>
        <w:pStyle w:val="PublicationTitle"/>
        <w:spacing w:before="0"/>
      </w:pPr>
    </w:p>
    <w:p w:rsidR="009E231A" w:rsidRPr="005C2FCF" w:rsidRDefault="00177827" w:rsidP="00AD27EE">
      <w:pPr>
        <w:pStyle w:val="PublicationTitle"/>
        <w:spacing w:before="0"/>
        <w:ind w:right="-143"/>
      </w:pPr>
      <w:bookmarkStart w:id="2" w:name="_Toc98394872"/>
      <w:r w:rsidRPr="00177827">
        <w:rPr>
          <w:noProof/>
          <w:lang w:eastAsia="en-AU"/>
        </w:rPr>
        <w:drawing>
          <wp:anchor distT="0" distB="0" distL="114300" distR="114300" simplePos="0" relativeHeight="251663360" behindDoc="0" locked="0" layoutInCell="1" allowOverlap="1">
            <wp:simplePos x="0" y="0"/>
            <wp:positionH relativeFrom="page">
              <wp:align>left</wp:align>
            </wp:positionH>
            <wp:positionV relativeFrom="paragraph">
              <wp:posOffset>-1835150</wp:posOffset>
            </wp:positionV>
            <wp:extent cx="2395220" cy="561975"/>
            <wp:effectExtent l="19050" t="0" r="5080" b="0"/>
            <wp:wrapSquare wrapText="bothSides"/>
            <wp:docPr id="2" name="Picture 3" descr="P:\PublicationComponents\logos\NCVER LOGOS\WMF - word\ncver left tab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WMF - word\ncver left tab_mono.wmf"/>
                    <pic:cNvPicPr>
                      <a:picLocks noChangeAspect="1" noChangeArrowheads="1"/>
                    </pic:cNvPicPr>
                  </pic:nvPicPr>
                  <pic:blipFill>
                    <a:blip r:embed="rId8" cstate="print"/>
                    <a:srcRect/>
                    <a:stretch>
                      <a:fillRect/>
                    </a:stretch>
                  </pic:blipFill>
                  <pic:spPr bwMode="auto">
                    <a:xfrm>
                      <a:off x="0" y="0"/>
                      <a:ext cx="2395220" cy="561975"/>
                    </a:xfrm>
                    <a:prstGeom prst="rect">
                      <a:avLst/>
                    </a:prstGeom>
                    <a:noFill/>
                    <a:ln w="9525">
                      <a:noFill/>
                      <a:miter lim="800000"/>
                      <a:headEnd/>
                      <a:tailEnd/>
                    </a:ln>
                  </pic:spPr>
                </pic:pic>
              </a:graphicData>
            </a:graphic>
          </wp:anchor>
        </w:drawing>
      </w:r>
      <w:bookmarkEnd w:id="0"/>
      <w:bookmarkEnd w:id="1"/>
      <w:bookmarkEnd w:id="2"/>
      <w:r w:rsidR="00C20494">
        <w:rPr>
          <w:noProof/>
          <w:lang w:eastAsia="en-AU"/>
        </w:rPr>
        <w:t>Lifting the lid on completion</w:t>
      </w:r>
      <w:r w:rsidR="00AD27EE">
        <w:rPr>
          <w:noProof/>
          <w:lang w:eastAsia="en-AU"/>
        </w:rPr>
        <w:t xml:space="preserve"> </w:t>
      </w:r>
      <w:r w:rsidR="00C20494">
        <w:rPr>
          <w:noProof/>
          <w:lang w:eastAsia="en-AU"/>
        </w:rPr>
        <w:t>rates</w:t>
      </w:r>
      <w:r w:rsidR="00F013F4">
        <w:rPr>
          <w:noProof/>
          <w:lang w:eastAsia="en-AU"/>
        </w:rPr>
        <w:t xml:space="preserve"> in the VET sector: how they are defined and derived</w:t>
      </w:r>
    </w:p>
    <w:p w:rsidR="00177827" w:rsidRDefault="00C20494" w:rsidP="00177827">
      <w:pPr>
        <w:pStyle w:val="Authors"/>
      </w:pPr>
      <w:bookmarkStart w:id="3" w:name="_Toc296423678"/>
      <w:bookmarkStart w:id="4" w:name="_Toc296497509"/>
      <w:r>
        <w:t>Alice Bednarz</w:t>
      </w:r>
    </w:p>
    <w:bookmarkEnd w:id="3"/>
    <w:bookmarkEnd w:id="4"/>
    <w:p w:rsidR="009E231A" w:rsidRDefault="00C20494" w:rsidP="00177827">
      <w:pPr>
        <w:pStyle w:val="Organisation"/>
      </w:pPr>
      <w:r>
        <w:t>N</w:t>
      </w:r>
      <w:r w:rsidR="0091757B">
        <w:t>ational Centre for Vocational Education Research</w:t>
      </w:r>
    </w:p>
    <w:p w:rsidR="00DB599C" w:rsidRDefault="00FA3B3F" w:rsidP="0006125F">
      <w:pPr>
        <w:pStyle w:val="Heading3"/>
        <w:ind w:right="-1"/>
      </w:pPr>
      <w:r>
        <w:rPr>
          <w:noProof/>
          <w:lang w:eastAsia="en-AU"/>
        </w:rPr>
        <w:pict>
          <v:shapetype id="_x0000_t202" coordsize="21600,21600" o:spt="202" path="m,l,21600r21600,l21600,xe">
            <v:stroke joinstyle="miter"/>
            <v:path gradientshapeok="t" o:connecttype="rect"/>
          </v:shapetype>
          <v:shape id="_x0000_s1036" type="#_x0000_t202" style="position:absolute;margin-left:79.95pt;margin-top:555.35pt;width:264.8pt;height:83pt;z-index:251660288;mso-position-vertical-relative:margin" filled="f" stroked="f">
            <v:textbox style="mso-next-textbox:#_x0000_s1036">
              <w:txbxContent>
                <w:p w:rsidR="00096614" w:rsidRPr="00AD27EE" w:rsidRDefault="00096614" w:rsidP="00AD27EE">
                  <w:pPr>
                    <w:pStyle w:val="Heading3"/>
                    <w:rPr>
                      <w:rFonts w:ascii="Trebuchet MS" w:hAnsi="Trebuchet MS"/>
                      <w:szCs w:val="24"/>
                    </w:rPr>
                  </w:pPr>
                  <w:r w:rsidRPr="00AD27EE">
                    <w:rPr>
                      <w:rFonts w:ascii="Trebuchet MS" w:hAnsi="Trebuchet MS"/>
                      <w:szCs w:val="24"/>
                    </w:rPr>
                    <w:t xml:space="preserve">NATIONAL CENTRE FOR VOCATIONAL EDUCATION RESEARCH </w:t>
                  </w:r>
                </w:p>
                <w:p w:rsidR="00096614" w:rsidRPr="00AD27EE" w:rsidRDefault="004C661F" w:rsidP="00AD27EE">
                  <w:pPr>
                    <w:pStyle w:val="Heading3"/>
                    <w:spacing w:before="80"/>
                    <w:rPr>
                      <w:rFonts w:ascii="Trebuchet MS" w:hAnsi="Trebuchet MS"/>
                      <w:b/>
                      <w:szCs w:val="24"/>
                    </w:rPr>
                  </w:pPr>
                  <w:r>
                    <w:rPr>
                      <w:rFonts w:ascii="Trebuchet MS" w:hAnsi="Trebuchet MS"/>
                      <w:b/>
                      <w:szCs w:val="24"/>
                    </w:rPr>
                    <w:t>OCCASIONAL</w:t>
                  </w:r>
                  <w:r w:rsidR="00096614" w:rsidRPr="00AD27EE">
                    <w:rPr>
                      <w:rFonts w:ascii="Trebuchet MS" w:hAnsi="Trebuchet MS"/>
                      <w:b/>
                      <w:szCs w:val="24"/>
                    </w:rPr>
                    <w:t xml:space="preserve"> PAPER</w:t>
                  </w:r>
                </w:p>
                <w:p w:rsidR="00096614" w:rsidRPr="00AD27EE" w:rsidRDefault="00096614" w:rsidP="00AD27EE"/>
              </w:txbxContent>
            </v:textbox>
            <w10:wrap anchory="margin"/>
          </v:shape>
        </w:pict>
      </w:r>
      <w:r>
        <w:rPr>
          <w:noProof/>
          <w:lang w:eastAsia="en-AU"/>
        </w:rPr>
        <w:pict>
          <v:shape id="_x0000_s1034" type="#_x0000_t202" style="position:absolute;margin-left:73.1pt;margin-top:659.7pt;width:357pt;height:83pt;z-index:251658240;mso-position-vertical-relative:margin" filled="f" stroked="f">
            <v:textbox style="mso-next-textbox:#_x0000_s1034">
              <w:txbxContent>
                <w:p w:rsidR="00096614" w:rsidRDefault="00096614" w:rsidP="006C5DA9">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team and do not necessarily reflect the views of the Australian Government</w:t>
                  </w:r>
                  <w:r>
                    <w:rPr>
                      <w:color w:val="000000"/>
                    </w:rPr>
                    <w:t xml:space="preserve"> </w:t>
                  </w:r>
                  <w:r>
                    <w:rPr>
                      <w:color w:val="000000"/>
                    </w:rPr>
                    <w:br/>
                    <w:t>or</w:t>
                  </w:r>
                  <w:r w:rsidRPr="005C2FCF">
                    <w:rPr>
                      <w:color w:val="000000"/>
                    </w:rPr>
                    <w:t xml:space="preserve"> state and territory governments.</w:t>
                  </w:r>
                </w:p>
              </w:txbxContent>
            </v:textbox>
            <w10:wrap anchory="margin"/>
          </v:shape>
        </w:pict>
      </w:r>
    </w:p>
    <w:p w:rsidR="00233BFA" w:rsidRPr="00E236D0" w:rsidRDefault="00FE4A2D" w:rsidP="00F013F4">
      <w:pPr>
        <w:pStyle w:val="Heading3"/>
        <w:ind w:right="-1"/>
        <w:rPr>
          <w:b/>
          <w:sz w:val="19"/>
          <w:szCs w:val="19"/>
        </w:rPr>
      </w:pPr>
      <w:r w:rsidRPr="005C2FCF">
        <w:br w:type="page"/>
      </w:r>
    </w:p>
    <w:p w:rsidR="009E231A" w:rsidRPr="00C77DC6" w:rsidRDefault="00FA3B3F" w:rsidP="0049453B">
      <w:pPr>
        <w:pStyle w:val="Abouttheresearch"/>
      </w:pPr>
      <w:r>
        <w:lastRenderedPageBreak/>
        <w:pict>
          <v:shape id="_x0000_s1038" type="#_x0000_t202" style="position:absolute;margin-left:0;margin-top:217.55pt;width:404.2pt;height:456pt;z-index:251661312;v-text-anchor:bottom" filled="f" stroked="f">
            <v:textbox style="mso-next-textbox:#_x0000_s1038" inset="0,,0">
              <w:txbxContent>
                <w:p w:rsidR="00096614" w:rsidRPr="00903C56" w:rsidRDefault="00096614" w:rsidP="00903C56">
                  <w:pPr>
                    <w:pStyle w:val="Imprint"/>
                    <w:rPr>
                      <w:b/>
                    </w:rPr>
                  </w:pPr>
                  <w:r w:rsidRPr="00903C56">
                    <w:rPr>
                      <w:b/>
                    </w:rPr>
                    <w:t xml:space="preserve">© </w:t>
                  </w:r>
                  <w:r w:rsidR="00CB16C3">
                    <w:rPr>
                      <w:b/>
                    </w:rPr>
                    <w:t>Commonwealth of Australia</w:t>
                  </w:r>
                  <w:r w:rsidRPr="00903C56">
                    <w:rPr>
                      <w:b/>
                    </w:rPr>
                    <w:t>, 2012</w:t>
                  </w:r>
                </w:p>
                <w:p w:rsidR="00096614" w:rsidRDefault="00096614" w:rsidP="00903C56">
                  <w:pPr>
                    <w:widowControl w:val="0"/>
                    <w:tabs>
                      <w:tab w:val="left" w:pos="1417"/>
                    </w:tabs>
                    <w:suppressAutoHyphens/>
                    <w:autoSpaceDE w:val="0"/>
                    <w:autoSpaceDN w:val="0"/>
                    <w:adjustRightInd w:val="0"/>
                    <w:spacing w:before="170" w:line="260" w:lineRule="atLeast"/>
                    <w:textAlignment w:val="center"/>
                    <w:rPr>
                      <w:rFonts w:ascii="TrebuchetMS" w:hAnsi="TrebuchetMS" w:cs="TrebuchetMS"/>
                      <w:color w:val="000000"/>
                      <w:sz w:val="16"/>
                      <w:szCs w:val="16"/>
                      <w:lang w:val="en-GB"/>
                    </w:rPr>
                  </w:pPr>
                  <w:r>
                    <w:rPr>
                      <w:rFonts w:ascii="TrebuchetMS-Bold" w:hAnsi="TrebuchetMS-Bold" w:cs="TrebuchetMS-Bold"/>
                      <w:b/>
                      <w:bCs/>
                      <w:noProof/>
                      <w:color w:val="000000"/>
                      <w:sz w:val="16"/>
                      <w:szCs w:val="16"/>
                      <w:lang w:eastAsia="en-AU"/>
                    </w:rPr>
                    <w:drawing>
                      <wp:inline distT="0" distB="0" distL="0" distR="0">
                        <wp:extent cx="850265" cy="302895"/>
                        <wp:effectExtent l="19050" t="0" r="6985" b="0"/>
                        <wp:docPr id="8"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9"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096614" w:rsidRDefault="00096614" w:rsidP="00903C56">
                  <w:pPr>
                    <w:pStyle w:val="Imprint"/>
                    <w:spacing w:before="120"/>
                  </w:pPr>
                  <w:r w:rsidRPr="00903C56">
                    <w:t xml:space="preserve">With the exception of cover design, artwork, photographs, all logos, and any other material where copyright is owned by a third party, all material presented in this document </w:t>
                  </w:r>
                  <w:proofErr w:type="gramStart"/>
                  <w:r w:rsidRPr="00903C56">
                    <w:t>is</w:t>
                  </w:r>
                  <w:proofErr w:type="gramEnd"/>
                  <w:r w:rsidRPr="00903C56">
                    <w:t xml:space="preserve"> provided under a Creative Commons Attribution 3.0 Australia &lt;http://creativecommons.org/licenses/by/3.0/au&gt;. </w:t>
                  </w:r>
                </w:p>
                <w:p w:rsidR="00B77AF8" w:rsidRPr="00903C56" w:rsidRDefault="00B77AF8" w:rsidP="00903C56">
                  <w:pPr>
                    <w:pStyle w:val="Imprint"/>
                    <w:spacing w:before="120"/>
                  </w:pPr>
                  <w:r w:rsidRPr="00B77AF8">
                    <w:t>The details of the relevant licence conditions are available on the Creative Commons website (accessible using the links provided) as is the full legal code for the CC BY 3.0 AU licence &lt;http://creativecommons.org/licenses/by/3.0/legalcode&gt;.</w:t>
                  </w:r>
                </w:p>
                <w:p w:rsidR="00B77AF8" w:rsidRDefault="00B77AF8" w:rsidP="00B77AF8">
                  <w:pPr>
                    <w:pStyle w:val="Imprint"/>
                  </w:pPr>
                  <w:r>
                    <w:t>The Creative Commons licence conditions do not apply to all logos, graphic design, artwork and photographs. Requests and enquiries concerning other reproduction and rights should be directed to the National Centre for Vocational Education Research (NCVER).</w:t>
                  </w:r>
                </w:p>
                <w:p w:rsidR="00096614" w:rsidRPr="00903C56" w:rsidRDefault="00096614" w:rsidP="00903C56">
                  <w:pPr>
                    <w:pStyle w:val="Imprint"/>
                    <w:spacing w:before="120"/>
                  </w:pPr>
                  <w:r w:rsidRPr="00903C56">
                    <w:t xml:space="preserve">This document should be attributed as </w:t>
                  </w:r>
                  <w:r>
                    <w:t xml:space="preserve">Bednarz, A 2012, </w:t>
                  </w:r>
                  <w:proofErr w:type="gramStart"/>
                  <w:r>
                    <w:rPr>
                      <w:i/>
                    </w:rPr>
                    <w:t>Lifting</w:t>
                  </w:r>
                  <w:proofErr w:type="gramEnd"/>
                  <w:r>
                    <w:rPr>
                      <w:i/>
                    </w:rPr>
                    <w:t xml:space="preserve"> the lid on completion rates in the VET sector: how they are defined and derived</w:t>
                  </w:r>
                  <w:r>
                    <w:t>,</w:t>
                  </w:r>
                  <w:r w:rsidRPr="00903C56">
                    <w:t xml:space="preserve"> NCVER, Adelaide.</w:t>
                  </w:r>
                </w:p>
                <w:p w:rsidR="00CB16C3" w:rsidRPr="00CB16C3" w:rsidRDefault="00CB16C3" w:rsidP="00CB16C3">
                  <w:pPr>
                    <w:pStyle w:val="Imprint"/>
                    <w:spacing w:before="120"/>
                    <w:rPr>
                      <w:color w:val="000000"/>
                    </w:rPr>
                  </w:pPr>
                  <w:r w:rsidRPr="00CB16C3">
                    <w:rPr>
                      <w:color w:val="000000"/>
                    </w:rPr>
                    <w:t>This work has been produced by NCVER on beha</w:t>
                  </w:r>
                  <w:r w:rsidR="00B77AF8">
                    <w:rPr>
                      <w:color w:val="000000"/>
                    </w:rPr>
                    <w:t>lf of the Australian Government</w:t>
                  </w:r>
                  <w:r w:rsidRPr="00CB16C3">
                    <w:rPr>
                      <w:color w:val="000000"/>
                    </w:rPr>
                    <w:t xml:space="preserve"> and state and territory governments, with funding provided through the Australian Department of Education, Employment and Workplace Relations. </w:t>
                  </w:r>
                </w:p>
                <w:p w:rsidR="00CB16C3" w:rsidRDefault="00CB16C3" w:rsidP="00CB16C3">
                  <w:pPr>
                    <w:pStyle w:val="Imprint"/>
                    <w:spacing w:before="120"/>
                    <w:rPr>
                      <w:color w:val="000000"/>
                    </w:rPr>
                  </w:pPr>
                  <w:r w:rsidRPr="00CB16C3">
                    <w:rPr>
                      <w:color w:val="000000"/>
                    </w:rPr>
                    <w:t>The views and opinions expressed in this document are those of NCVER and do not necessarily reflect the views of the Australian Government or state and territory governments.</w:t>
                  </w:r>
                </w:p>
                <w:p w:rsidR="00096614" w:rsidRPr="00DC2E9F" w:rsidRDefault="00096614" w:rsidP="00903C56">
                  <w:pPr>
                    <w:pStyle w:val="Imprint"/>
                    <w:spacing w:before="120"/>
                    <w:rPr>
                      <w:color w:val="000000"/>
                      <w:vertAlign w:val="subscript"/>
                    </w:rPr>
                  </w:pPr>
                  <w:r w:rsidRPr="005C2FCF">
                    <w:rPr>
                      <w:color w:val="000000"/>
                    </w:rPr>
                    <w:t>ISBN</w:t>
                  </w:r>
                  <w:r w:rsidRPr="005C2FCF">
                    <w:rPr>
                      <w:color w:val="000000"/>
                    </w:rPr>
                    <w:tab/>
                  </w:r>
                  <w:r w:rsidR="0091757B" w:rsidRPr="0091757B">
                    <w:rPr>
                      <w:color w:val="000000"/>
                    </w:rPr>
                    <w:t>978 1 921955 94 5</w:t>
                  </w:r>
                  <w:r>
                    <w:rPr>
                      <w:color w:val="000000"/>
                    </w:rPr>
                    <w:br/>
                  </w:r>
                  <w:r w:rsidRPr="005C2FCF">
                    <w:rPr>
                      <w:color w:val="000000"/>
                    </w:rPr>
                    <w:t>TD/TNC</w:t>
                  </w:r>
                  <w:r w:rsidRPr="005C2FCF">
                    <w:rPr>
                      <w:color w:val="000000"/>
                    </w:rPr>
                    <w:tab/>
                  </w:r>
                  <w:r>
                    <w:rPr>
                      <w:color w:val="000000"/>
                    </w:rPr>
                    <w:t>106.</w:t>
                  </w:r>
                  <w:r w:rsidR="00DC2E9F">
                    <w:rPr>
                      <w:color w:val="000000"/>
                    </w:rPr>
                    <w:t>09</w:t>
                  </w:r>
                </w:p>
                <w:p w:rsidR="00096614" w:rsidRPr="005C2FCF" w:rsidRDefault="00096614" w:rsidP="00903C56">
                  <w:pPr>
                    <w:pStyle w:val="Imprint"/>
                    <w:spacing w:before="120"/>
                    <w:rPr>
                      <w:color w:val="000000"/>
                    </w:rPr>
                  </w:pPr>
                  <w:r w:rsidRPr="005C2FCF">
                    <w:rPr>
                      <w:color w:val="000000"/>
                    </w:rPr>
                    <w:t>Published by NCVER</w:t>
                  </w:r>
                  <w:r>
                    <w:rPr>
                      <w:color w:val="000000"/>
                    </w:rPr>
                    <w:t xml:space="preserve">, </w:t>
                  </w:r>
                  <w:r w:rsidRPr="005C2FCF">
                    <w:rPr>
                      <w:color w:val="000000"/>
                    </w:rPr>
                    <w:t>ABN 87 007 967 311</w:t>
                  </w:r>
                </w:p>
                <w:p w:rsidR="00096614" w:rsidRPr="005C2FCF" w:rsidRDefault="00096614" w:rsidP="00903C56">
                  <w:pPr>
                    <w:pStyle w:val="Imprint"/>
                    <w:spacing w:before="120"/>
                    <w:rPr>
                      <w:color w:val="000000"/>
                    </w:rPr>
                  </w:pPr>
                  <w:r w:rsidRPr="005C2FCF">
                    <w:rPr>
                      <w:color w:val="000000"/>
                    </w:rPr>
                    <w:t>Level 11, 33 King William Street, Adelaide, SA 5000</w:t>
                  </w:r>
                  <w:r w:rsidRPr="005C2FCF">
                    <w:rPr>
                      <w:color w:val="000000"/>
                    </w:rPr>
                    <w:br/>
                    <w:t>PO Box 8288 Station Arcade, Adelaide SA 5000, Australia</w:t>
                  </w:r>
                </w:p>
                <w:p w:rsidR="00096614" w:rsidRDefault="00096614" w:rsidP="00903C56">
                  <w:pPr>
                    <w:pStyle w:val="Imprint"/>
                    <w:spacing w:before="120"/>
                    <w:rPr>
                      <w:color w:val="000000"/>
                    </w:rPr>
                  </w:pPr>
                  <w:r w:rsidRPr="00903C56">
                    <w:rPr>
                      <w:b/>
                      <w:color w:val="000000"/>
                    </w:rPr>
                    <w:t>P</w:t>
                  </w:r>
                  <w:r w:rsidRPr="005C2FCF">
                    <w:rPr>
                      <w:color w:val="000000"/>
                    </w:rPr>
                    <w:t xml:space="preserve"> +61 8 8230 8400 </w:t>
                  </w:r>
                  <w:r>
                    <w:rPr>
                      <w:color w:val="000000"/>
                    </w:rPr>
                    <w:t xml:space="preserve">  </w:t>
                  </w:r>
                  <w:r w:rsidRPr="00903C56">
                    <w:rPr>
                      <w:b/>
                      <w:color w:val="000000"/>
                    </w:rPr>
                    <w:t>F</w:t>
                  </w:r>
                  <w:r w:rsidRPr="005C2FCF">
                    <w:rPr>
                      <w:color w:val="000000"/>
                    </w:rPr>
                    <w:t xml:space="preserve"> +61 8 8212 3436</w:t>
                  </w:r>
                  <w:r>
                    <w:rPr>
                      <w:color w:val="000000"/>
                    </w:rPr>
                    <w:t xml:space="preserve">   </w:t>
                  </w:r>
                  <w:r w:rsidRPr="00903C56">
                    <w:rPr>
                      <w:b/>
                      <w:color w:val="000000"/>
                    </w:rPr>
                    <w:t>E</w:t>
                  </w:r>
                  <w:r w:rsidRPr="005C2FCF">
                    <w:rPr>
                      <w:color w:val="000000"/>
                    </w:rPr>
                    <w:t xml:space="preserve"> </w:t>
                  </w:r>
                  <w:hyperlink r:id="rId10" w:history="1">
                    <w:r w:rsidRPr="00441898">
                      <w:rPr>
                        <w:rStyle w:val="Hyperlink"/>
                        <w:sz w:val="16"/>
                      </w:rPr>
                      <w:t>ncver@ncver.edu.au</w:t>
                    </w:r>
                  </w:hyperlink>
                  <w:r>
                    <w:rPr>
                      <w:color w:val="000000"/>
                    </w:rPr>
                    <w:t xml:space="preserve">   </w:t>
                  </w:r>
                  <w:r w:rsidRPr="00903C56">
                    <w:rPr>
                      <w:b/>
                      <w:color w:val="000000"/>
                    </w:rPr>
                    <w:t>W</w:t>
                  </w:r>
                  <w:r>
                    <w:rPr>
                      <w:color w:val="000000"/>
                    </w:rPr>
                    <w:t xml:space="preserve"> </w:t>
                  </w:r>
                  <w:r w:rsidRPr="005C2FCF">
                    <w:rPr>
                      <w:color w:val="000000"/>
                    </w:rPr>
                    <w:t>&lt;http://www.ncver.edu.au&gt;</w:t>
                  </w:r>
                  <w:r>
                    <w:rPr>
                      <w:color w:val="000000"/>
                    </w:rPr>
                    <w:t xml:space="preserve"> </w:t>
                  </w:r>
                </w:p>
              </w:txbxContent>
            </v:textbox>
          </v:shape>
        </w:pict>
      </w:r>
      <w:r w:rsidR="00FE4A2D" w:rsidRPr="005C2FCF">
        <w:br w:type="page"/>
      </w:r>
      <w:bookmarkStart w:id="5" w:name="_Toc73766312"/>
      <w:bookmarkStart w:id="6" w:name="_Toc77937774"/>
      <w:bookmarkStart w:id="7" w:name="_Toc80174750"/>
      <w:bookmarkStart w:id="8" w:name="_Toc81560506"/>
      <w:bookmarkStart w:id="9" w:name="_Toc82071799"/>
      <w:bookmarkStart w:id="10" w:name="_Toc82151754"/>
      <w:bookmarkStart w:id="11" w:name="_Toc82498260"/>
      <w:bookmarkStart w:id="12" w:name="_Toc86829097"/>
      <w:bookmarkStart w:id="13" w:name="_Toc89226248"/>
      <w:bookmarkStart w:id="14" w:name="_Toc89240893"/>
      <w:bookmarkStart w:id="15" w:name="_Toc98394875"/>
      <w:bookmarkStart w:id="16" w:name="_Toc296423679"/>
      <w:bookmarkStart w:id="17" w:name="_Toc296497510"/>
      <w:bookmarkStart w:id="18" w:name="_Toc495748330"/>
      <w:bookmarkStart w:id="19" w:name="_Toc495810630"/>
      <w:bookmarkStart w:id="20" w:name="_Toc6031787"/>
      <w:bookmarkStart w:id="21" w:name="_Toc6031844"/>
      <w:r w:rsidR="00FE4A2D" w:rsidRPr="005C2FCF">
        <w:lastRenderedPageBreak/>
        <w:t>About the research</w:t>
      </w:r>
      <w:bookmarkEnd w:id="5"/>
      <w:bookmarkEnd w:id="6"/>
      <w:bookmarkEnd w:id="7"/>
      <w:bookmarkEnd w:id="8"/>
      <w:bookmarkEnd w:id="9"/>
      <w:bookmarkEnd w:id="10"/>
      <w:bookmarkEnd w:id="11"/>
      <w:bookmarkEnd w:id="12"/>
      <w:bookmarkEnd w:id="13"/>
      <w:bookmarkEnd w:id="14"/>
      <w:bookmarkEnd w:id="15"/>
      <w:bookmarkEnd w:id="16"/>
      <w:bookmarkEnd w:id="17"/>
    </w:p>
    <w:p w:rsidR="001B43CF" w:rsidRDefault="00C20494" w:rsidP="00F93048">
      <w:pPr>
        <w:pStyle w:val="Abouttheresearchpubtitle"/>
      </w:pPr>
      <w:bookmarkStart w:id="22" w:name="_Toc98394877"/>
      <w:r>
        <w:t>Lifting the lid on completion rates</w:t>
      </w:r>
      <w:r w:rsidR="00903C56">
        <w:t xml:space="preserve"> in the VET sector: how they are defined and derived</w:t>
      </w:r>
    </w:p>
    <w:bookmarkEnd w:id="22"/>
    <w:p w:rsidR="009E231A" w:rsidRPr="001B43CF" w:rsidRDefault="00C20494" w:rsidP="00874DA5">
      <w:pPr>
        <w:pStyle w:val="Heading3"/>
      </w:pPr>
      <w:r>
        <w:t>Alice Bednarz, N</w:t>
      </w:r>
      <w:r w:rsidR="00DC2E9F">
        <w:t xml:space="preserve">ational </w:t>
      </w:r>
      <w:r>
        <w:t>C</w:t>
      </w:r>
      <w:r w:rsidR="00DC2E9F">
        <w:t xml:space="preserve">entre for </w:t>
      </w:r>
      <w:r>
        <w:t>V</w:t>
      </w:r>
      <w:r w:rsidR="00DC2E9F">
        <w:t xml:space="preserve">ocational </w:t>
      </w:r>
      <w:r>
        <w:t>E</w:t>
      </w:r>
      <w:r w:rsidR="00DC2E9F">
        <w:t xml:space="preserve">ducation </w:t>
      </w:r>
      <w:r>
        <w:t>R</w:t>
      </w:r>
      <w:r w:rsidR="00DC2E9F">
        <w:t>esearch</w:t>
      </w:r>
    </w:p>
    <w:p w:rsidR="009E0791" w:rsidRDefault="009E0791" w:rsidP="009E0791">
      <w:pPr>
        <w:pStyle w:val="Text"/>
      </w:pPr>
      <w:r>
        <w:t xml:space="preserve">With the recent policy focus on completions in the </w:t>
      </w:r>
      <w:r w:rsidR="00415A34">
        <w:t>vocational educational and training (</w:t>
      </w:r>
      <w:r>
        <w:t>VET</w:t>
      </w:r>
      <w:r w:rsidR="00415A34">
        <w:t>)</w:t>
      </w:r>
      <w:r>
        <w:t xml:space="preserve"> sector, completion rates are under the spotlight. Demand for completion rates data has grown over recent years, and to this end </w:t>
      </w:r>
      <w:r w:rsidR="00415A34">
        <w:t>the National Centre for Vocational Education Research (</w:t>
      </w:r>
      <w:r>
        <w:t>NCVER</w:t>
      </w:r>
      <w:r w:rsidR="00415A34">
        <w:t>)</w:t>
      </w:r>
      <w:r>
        <w:t xml:space="preserve"> has released several publications about completion rates, both for VET students and for apprentices and trainees. This paper draws these earlier publications together.</w:t>
      </w:r>
    </w:p>
    <w:p w:rsidR="009E0791" w:rsidRPr="005C2FCF" w:rsidRDefault="009E0791" w:rsidP="009E0791">
      <w:pPr>
        <w:pStyle w:val="Text"/>
        <w:rPr>
          <w:color w:val="000000"/>
        </w:rPr>
      </w:pPr>
      <w:r>
        <w:t xml:space="preserve">This </w:t>
      </w:r>
      <w:r w:rsidR="00FE03E2">
        <w:t xml:space="preserve">occasional </w:t>
      </w:r>
      <w:r>
        <w:t>paper aims to ‘lift the lid’ on completion rates, explaining how they are defined and how they are calculated. Beyond this, the paper considers the value of completing a VET qualif</w:t>
      </w:r>
      <w:r w:rsidR="00415A34">
        <w:t>ication, revealing that the pay</w:t>
      </w:r>
      <w:r w:rsidR="005B4580">
        <w:t>-</w:t>
      </w:r>
      <w:r>
        <w:t>off varies for different groups of learners.</w:t>
      </w:r>
    </w:p>
    <w:p w:rsidR="009E231A" w:rsidRPr="005C2FCF" w:rsidRDefault="009E231A" w:rsidP="0048643A">
      <w:pPr>
        <w:pStyle w:val="Text"/>
      </w:pPr>
    </w:p>
    <w:p w:rsidR="009E231A" w:rsidRPr="005C2FCF" w:rsidRDefault="00FE4A2D" w:rsidP="0048643A">
      <w:pPr>
        <w:pStyle w:val="Text"/>
      </w:pPr>
      <w:r w:rsidRPr="005C2FCF">
        <w:t xml:space="preserve">Tom </w:t>
      </w:r>
      <w:proofErr w:type="spellStart"/>
      <w:r w:rsidRPr="005C2FCF">
        <w:t>Karmel</w:t>
      </w:r>
      <w:proofErr w:type="spellEnd"/>
      <w:r w:rsidRPr="005C2FCF">
        <w:br/>
        <w:t>Managing Director, NCVER</w:t>
      </w:r>
    </w:p>
    <w:p w:rsidR="00177827" w:rsidRDefault="00177827">
      <w:pPr>
        <w:spacing w:before="0" w:line="240" w:lineRule="auto"/>
      </w:pPr>
      <w:r>
        <w:br w:type="page"/>
      </w:r>
    </w:p>
    <w:p w:rsidR="00177827" w:rsidRDefault="00177827" w:rsidP="00874DA5">
      <w:pPr>
        <w:pStyle w:val="Contents"/>
      </w:pPr>
    </w:p>
    <w:p w:rsidR="00177827" w:rsidRDefault="00177827" w:rsidP="00874DA5">
      <w:pPr>
        <w:pStyle w:val="Contents"/>
        <w:sectPr w:rsidR="00177827" w:rsidSect="00F60BA5">
          <w:pgSz w:w="11907" w:h="16840" w:code="9"/>
          <w:pgMar w:top="1276" w:right="1701" w:bottom="1276" w:left="1418" w:header="709" w:footer="556" w:gutter="0"/>
          <w:cols w:space="708"/>
          <w:docGrid w:linePitch="360"/>
        </w:sectPr>
      </w:pPr>
    </w:p>
    <w:p w:rsidR="009E231A" w:rsidRPr="00DC5F5C" w:rsidRDefault="00FE4A2D" w:rsidP="00226E0D">
      <w:pPr>
        <w:pStyle w:val="Heading1"/>
      </w:pPr>
      <w:bookmarkStart w:id="23" w:name="_Toc98394880"/>
      <w:bookmarkStart w:id="24" w:name="_Toc296423683"/>
      <w:bookmarkStart w:id="25" w:name="_Toc296497514"/>
      <w:bookmarkStart w:id="26" w:name="_Toc309043639"/>
      <w:bookmarkStart w:id="27" w:name="_Toc309043793"/>
      <w:r w:rsidRPr="00DC5F5C">
        <w:lastRenderedPageBreak/>
        <w:t>Contents</w:t>
      </w:r>
      <w:bookmarkEnd w:id="23"/>
      <w:bookmarkEnd w:id="24"/>
      <w:bookmarkEnd w:id="25"/>
      <w:bookmarkEnd w:id="26"/>
      <w:bookmarkEnd w:id="27"/>
    </w:p>
    <w:p w:rsidR="00226E0D" w:rsidRDefault="00FA3B3F">
      <w:pPr>
        <w:pStyle w:val="TOC1"/>
        <w:rPr>
          <w:rFonts w:asciiTheme="minorHAnsi" w:eastAsiaTheme="minorEastAsia" w:hAnsiTheme="minorHAnsi" w:cstheme="minorBidi"/>
          <w:color w:val="auto"/>
          <w:sz w:val="22"/>
          <w:szCs w:val="22"/>
          <w:lang w:eastAsia="en-AU"/>
        </w:rPr>
      </w:pPr>
      <w:r w:rsidRPr="00FA3B3F">
        <w:rPr>
          <w:rFonts w:ascii="Avant Garde" w:hAnsi="Avant Garde"/>
        </w:rPr>
        <w:fldChar w:fldCharType="begin"/>
      </w:r>
      <w:r w:rsidR="00FE4A2D" w:rsidRPr="009775C7">
        <w:rPr>
          <w:rFonts w:ascii="Avant Garde" w:hAnsi="Avant Garde"/>
        </w:rPr>
        <w:instrText xml:space="preserve"> TOC \o "1-2" </w:instrText>
      </w:r>
      <w:r w:rsidRPr="00FA3B3F">
        <w:rPr>
          <w:rFonts w:ascii="Avant Garde" w:hAnsi="Avant Garde"/>
        </w:rPr>
        <w:fldChar w:fldCharType="separate"/>
      </w:r>
      <w:r w:rsidR="00226E0D">
        <w:t>Contents</w:t>
      </w:r>
      <w:r w:rsidR="00226E0D">
        <w:tab/>
      </w:r>
      <w:r>
        <w:fldChar w:fldCharType="begin"/>
      </w:r>
      <w:r w:rsidR="00226E0D">
        <w:instrText xml:space="preserve"> PAGEREF _Toc309043793 \h </w:instrText>
      </w:r>
      <w:r>
        <w:fldChar w:fldCharType="separate"/>
      </w:r>
      <w:r w:rsidR="00F11718">
        <w:t>3</w:t>
      </w:r>
      <w:r>
        <w:fldChar w:fldCharType="end"/>
      </w:r>
    </w:p>
    <w:p w:rsidR="00226E0D" w:rsidRDefault="00226E0D">
      <w:pPr>
        <w:pStyle w:val="TOC1"/>
        <w:rPr>
          <w:rFonts w:asciiTheme="minorHAnsi" w:eastAsiaTheme="minorEastAsia" w:hAnsiTheme="minorHAnsi" w:cstheme="minorBidi"/>
          <w:color w:val="auto"/>
          <w:sz w:val="22"/>
          <w:szCs w:val="22"/>
          <w:lang w:eastAsia="en-AU"/>
        </w:rPr>
      </w:pPr>
      <w:r>
        <w:t>Tables and figures</w:t>
      </w:r>
      <w:r>
        <w:tab/>
      </w:r>
      <w:r w:rsidR="00FA3B3F">
        <w:fldChar w:fldCharType="begin"/>
      </w:r>
      <w:r>
        <w:instrText xml:space="preserve"> PAGEREF _Toc309043794 \h </w:instrText>
      </w:r>
      <w:r w:rsidR="00FA3B3F">
        <w:fldChar w:fldCharType="separate"/>
      </w:r>
      <w:r w:rsidR="00F11718">
        <w:t>3</w:t>
      </w:r>
      <w:r w:rsidR="00FA3B3F">
        <w:fldChar w:fldCharType="end"/>
      </w:r>
    </w:p>
    <w:p w:rsidR="00226E0D" w:rsidRDefault="00226E0D">
      <w:pPr>
        <w:pStyle w:val="TOC1"/>
        <w:rPr>
          <w:rFonts w:asciiTheme="minorHAnsi" w:eastAsiaTheme="minorEastAsia" w:hAnsiTheme="minorHAnsi" w:cstheme="minorBidi"/>
          <w:color w:val="auto"/>
          <w:sz w:val="22"/>
          <w:szCs w:val="22"/>
          <w:lang w:eastAsia="en-AU"/>
        </w:rPr>
      </w:pPr>
      <w:r>
        <w:t>How we define completion rates</w:t>
      </w:r>
      <w:r>
        <w:tab/>
      </w:r>
      <w:r w:rsidR="00FA3B3F">
        <w:fldChar w:fldCharType="begin"/>
      </w:r>
      <w:r>
        <w:instrText xml:space="preserve"> PAGEREF _Toc309043797 \h </w:instrText>
      </w:r>
      <w:r w:rsidR="00FA3B3F">
        <w:fldChar w:fldCharType="separate"/>
      </w:r>
      <w:r w:rsidR="00F11718">
        <w:t>3</w:t>
      </w:r>
      <w:r w:rsidR="00FA3B3F">
        <w:fldChar w:fldCharType="end"/>
      </w:r>
    </w:p>
    <w:p w:rsidR="00226E0D" w:rsidRDefault="00226E0D">
      <w:pPr>
        <w:pStyle w:val="TOC2"/>
        <w:rPr>
          <w:rFonts w:asciiTheme="minorHAnsi" w:eastAsiaTheme="minorEastAsia" w:hAnsiTheme="minorHAnsi" w:cstheme="minorBidi"/>
          <w:color w:val="auto"/>
          <w:sz w:val="22"/>
          <w:szCs w:val="22"/>
          <w:lang w:eastAsia="en-AU"/>
        </w:rPr>
      </w:pPr>
      <w:r>
        <w:t>Who or what are we tracking?</w:t>
      </w:r>
      <w:r>
        <w:tab/>
      </w:r>
      <w:r w:rsidR="00FA3B3F">
        <w:fldChar w:fldCharType="begin"/>
      </w:r>
      <w:r>
        <w:instrText xml:space="preserve"> PAGEREF _Toc309043798 \h </w:instrText>
      </w:r>
      <w:r w:rsidR="00FA3B3F">
        <w:fldChar w:fldCharType="separate"/>
      </w:r>
      <w:r w:rsidR="00F11718">
        <w:t>3</w:t>
      </w:r>
      <w:r w:rsidR="00FA3B3F">
        <w:fldChar w:fldCharType="end"/>
      </w:r>
    </w:p>
    <w:p w:rsidR="00226E0D" w:rsidRDefault="00226E0D">
      <w:pPr>
        <w:pStyle w:val="TOC2"/>
        <w:rPr>
          <w:rFonts w:asciiTheme="minorHAnsi" w:eastAsiaTheme="minorEastAsia" w:hAnsiTheme="minorHAnsi" w:cstheme="minorBidi"/>
          <w:color w:val="auto"/>
          <w:sz w:val="22"/>
          <w:szCs w:val="22"/>
          <w:lang w:eastAsia="en-AU"/>
        </w:rPr>
      </w:pPr>
      <w:r>
        <w:t>What is the period of time we are tracking over?</w:t>
      </w:r>
      <w:r>
        <w:tab/>
      </w:r>
      <w:r w:rsidR="00FA3B3F">
        <w:fldChar w:fldCharType="begin"/>
      </w:r>
      <w:r>
        <w:instrText xml:space="preserve"> PAGEREF _Toc309043799 \h </w:instrText>
      </w:r>
      <w:r w:rsidR="00FA3B3F">
        <w:fldChar w:fldCharType="separate"/>
      </w:r>
      <w:r w:rsidR="00F11718">
        <w:t>3</w:t>
      </w:r>
      <w:r w:rsidR="00FA3B3F">
        <w:fldChar w:fldCharType="end"/>
      </w:r>
    </w:p>
    <w:p w:rsidR="00226E0D" w:rsidRDefault="00226E0D">
      <w:pPr>
        <w:pStyle w:val="TOC2"/>
        <w:rPr>
          <w:rFonts w:asciiTheme="minorHAnsi" w:eastAsiaTheme="minorEastAsia" w:hAnsiTheme="minorHAnsi" w:cstheme="minorBidi"/>
          <w:color w:val="auto"/>
          <w:sz w:val="22"/>
          <w:szCs w:val="22"/>
          <w:lang w:eastAsia="en-AU"/>
        </w:rPr>
      </w:pPr>
      <w:r>
        <w:t>How is the rate calculated?</w:t>
      </w:r>
      <w:r>
        <w:tab/>
      </w:r>
      <w:r w:rsidR="00FA3B3F">
        <w:fldChar w:fldCharType="begin"/>
      </w:r>
      <w:r>
        <w:instrText xml:space="preserve"> PAGEREF _Toc309043800 \h </w:instrText>
      </w:r>
      <w:r w:rsidR="00FA3B3F">
        <w:fldChar w:fldCharType="separate"/>
      </w:r>
      <w:r w:rsidR="00F11718">
        <w:t>3</w:t>
      </w:r>
      <w:r w:rsidR="00FA3B3F">
        <w:fldChar w:fldCharType="end"/>
      </w:r>
    </w:p>
    <w:p w:rsidR="00226E0D" w:rsidRDefault="00226E0D">
      <w:pPr>
        <w:pStyle w:val="TOC1"/>
        <w:rPr>
          <w:rFonts w:asciiTheme="minorHAnsi" w:eastAsiaTheme="minorEastAsia" w:hAnsiTheme="minorHAnsi" w:cstheme="minorBidi"/>
          <w:color w:val="auto"/>
          <w:sz w:val="22"/>
          <w:szCs w:val="22"/>
          <w:lang w:eastAsia="en-AU"/>
        </w:rPr>
      </w:pPr>
      <w:r>
        <w:t>Latest completion rate estimates</w:t>
      </w:r>
      <w:r>
        <w:tab/>
      </w:r>
      <w:r w:rsidR="00FA3B3F">
        <w:fldChar w:fldCharType="begin"/>
      </w:r>
      <w:r>
        <w:instrText xml:space="preserve"> PAGEREF _Toc309043801 \h </w:instrText>
      </w:r>
      <w:r w:rsidR="00FA3B3F">
        <w:fldChar w:fldCharType="separate"/>
      </w:r>
      <w:r w:rsidR="00F11718">
        <w:t>3</w:t>
      </w:r>
      <w:r w:rsidR="00FA3B3F">
        <w:fldChar w:fldCharType="end"/>
      </w:r>
    </w:p>
    <w:p w:rsidR="00226E0D" w:rsidRDefault="00226E0D">
      <w:pPr>
        <w:pStyle w:val="TOC2"/>
        <w:rPr>
          <w:rFonts w:asciiTheme="minorHAnsi" w:eastAsiaTheme="minorEastAsia" w:hAnsiTheme="minorHAnsi" w:cstheme="minorBidi"/>
          <w:color w:val="auto"/>
          <w:sz w:val="22"/>
          <w:szCs w:val="22"/>
          <w:lang w:eastAsia="en-AU"/>
        </w:rPr>
      </w:pPr>
      <w:r>
        <w:t>Latest completion rates for VET students</w:t>
      </w:r>
      <w:r>
        <w:tab/>
      </w:r>
      <w:r w:rsidR="00FA3B3F">
        <w:fldChar w:fldCharType="begin"/>
      </w:r>
      <w:r>
        <w:instrText xml:space="preserve"> PAGEREF _Toc309043802 \h </w:instrText>
      </w:r>
      <w:r w:rsidR="00FA3B3F">
        <w:fldChar w:fldCharType="separate"/>
      </w:r>
      <w:r w:rsidR="00F11718">
        <w:t>3</w:t>
      </w:r>
      <w:r w:rsidR="00FA3B3F">
        <w:fldChar w:fldCharType="end"/>
      </w:r>
    </w:p>
    <w:p w:rsidR="00226E0D" w:rsidRDefault="00226E0D">
      <w:pPr>
        <w:pStyle w:val="TOC2"/>
        <w:rPr>
          <w:rFonts w:asciiTheme="minorHAnsi" w:eastAsiaTheme="minorEastAsia" w:hAnsiTheme="minorHAnsi" w:cstheme="minorBidi"/>
          <w:color w:val="auto"/>
          <w:sz w:val="22"/>
          <w:szCs w:val="22"/>
          <w:lang w:eastAsia="en-AU"/>
        </w:rPr>
      </w:pPr>
      <w:r>
        <w:t>Latest completion rates for apprentices and trainees</w:t>
      </w:r>
      <w:r>
        <w:tab/>
      </w:r>
      <w:r w:rsidR="00FA3B3F">
        <w:fldChar w:fldCharType="begin"/>
      </w:r>
      <w:r>
        <w:instrText xml:space="preserve"> PAGEREF _Toc309043803 \h </w:instrText>
      </w:r>
      <w:r w:rsidR="00FA3B3F">
        <w:fldChar w:fldCharType="separate"/>
      </w:r>
      <w:r w:rsidR="00F11718">
        <w:t>3</w:t>
      </w:r>
      <w:r w:rsidR="00FA3B3F">
        <w:fldChar w:fldCharType="end"/>
      </w:r>
    </w:p>
    <w:p w:rsidR="00226E0D" w:rsidRDefault="00226E0D">
      <w:pPr>
        <w:pStyle w:val="TOC1"/>
        <w:rPr>
          <w:rFonts w:asciiTheme="minorHAnsi" w:eastAsiaTheme="minorEastAsia" w:hAnsiTheme="minorHAnsi" w:cstheme="minorBidi"/>
          <w:color w:val="auto"/>
          <w:sz w:val="22"/>
          <w:szCs w:val="22"/>
          <w:lang w:eastAsia="en-AU"/>
        </w:rPr>
      </w:pPr>
      <w:r>
        <w:t>The value of completing a VET qualification</w:t>
      </w:r>
      <w:r>
        <w:tab/>
      </w:r>
      <w:r w:rsidR="00FA3B3F">
        <w:fldChar w:fldCharType="begin"/>
      </w:r>
      <w:r>
        <w:instrText xml:space="preserve"> PAGEREF _Toc309043804 \h </w:instrText>
      </w:r>
      <w:r w:rsidR="00FA3B3F">
        <w:fldChar w:fldCharType="separate"/>
      </w:r>
      <w:r w:rsidR="00F11718">
        <w:t>3</w:t>
      </w:r>
      <w:r w:rsidR="00FA3B3F">
        <w:fldChar w:fldCharType="end"/>
      </w:r>
    </w:p>
    <w:p w:rsidR="00226E0D" w:rsidRDefault="00226E0D">
      <w:pPr>
        <w:pStyle w:val="TOC2"/>
        <w:rPr>
          <w:rFonts w:asciiTheme="minorHAnsi" w:eastAsiaTheme="minorEastAsia" w:hAnsiTheme="minorHAnsi" w:cstheme="minorBidi"/>
          <w:color w:val="auto"/>
          <w:sz w:val="22"/>
          <w:szCs w:val="22"/>
          <w:lang w:eastAsia="en-AU"/>
        </w:rPr>
      </w:pPr>
      <w:r>
        <w:t>Value of completing an apprenticeship or traineeship</w:t>
      </w:r>
      <w:r>
        <w:tab/>
      </w:r>
      <w:r w:rsidR="00FA3B3F">
        <w:fldChar w:fldCharType="begin"/>
      </w:r>
      <w:r>
        <w:instrText xml:space="preserve"> PAGEREF _Toc309043805 \h </w:instrText>
      </w:r>
      <w:r w:rsidR="00FA3B3F">
        <w:fldChar w:fldCharType="separate"/>
      </w:r>
      <w:r w:rsidR="00F11718">
        <w:t>3</w:t>
      </w:r>
      <w:r w:rsidR="00FA3B3F">
        <w:fldChar w:fldCharType="end"/>
      </w:r>
    </w:p>
    <w:p w:rsidR="00226E0D" w:rsidRDefault="00226E0D" w:rsidP="003A71E8">
      <w:pPr>
        <w:pStyle w:val="TOC1"/>
        <w:rPr>
          <w:rFonts w:asciiTheme="minorHAnsi" w:eastAsiaTheme="minorEastAsia" w:hAnsiTheme="minorHAnsi" w:cstheme="minorBidi"/>
          <w:color w:val="auto"/>
          <w:sz w:val="22"/>
          <w:szCs w:val="22"/>
          <w:lang w:eastAsia="en-AU"/>
        </w:rPr>
      </w:pPr>
      <w:r>
        <w:t>References</w:t>
      </w:r>
      <w:r>
        <w:tab/>
      </w:r>
      <w:r w:rsidR="00FA3B3F">
        <w:fldChar w:fldCharType="begin"/>
      </w:r>
      <w:r>
        <w:instrText xml:space="preserve"> PAGEREF _Toc309043806 \h </w:instrText>
      </w:r>
      <w:r w:rsidR="00FA3B3F">
        <w:fldChar w:fldCharType="separate"/>
      </w:r>
      <w:r w:rsidR="00F11718">
        <w:t>3</w:t>
      </w:r>
      <w:r w:rsidR="00FA3B3F">
        <w:fldChar w:fldCharType="end"/>
      </w:r>
    </w:p>
    <w:p w:rsidR="004E7227" w:rsidRDefault="00FA3B3F"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4E7227" w:rsidRDefault="004E7227" w:rsidP="00226E0D">
      <w:pPr>
        <w:pStyle w:val="Heading1"/>
      </w:pPr>
      <w:bookmarkStart w:id="28" w:name="_Toc309043794"/>
      <w:r>
        <w:lastRenderedPageBreak/>
        <w:t>Tables and figures</w:t>
      </w:r>
      <w:bookmarkEnd w:id="28"/>
    </w:p>
    <w:p w:rsidR="004E7227" w:rsidRDefault="004E7227" w:rsidP="00226E0D">
      <w:pPr>
        <w:pStyle w:val="Heading2"/>
      </w:pPr>
      <w:bookmarkStart w:id="29" w:name="_Toc296497516"/>
      <w:bookmarkStart w:id="30" w:name="_Toc298162801"/>
      <w:bookmarkStart w:id="31" w:name="_Toc309043795"/>
      <w:r>
        <w:t>Tables</w:t>
      </w:r>
      <w:bookmarkEnd w:id="29"/>
      <w:bookmarkEnd w:id="30"/>
      <w:bookmarkEnd w:id="31"/>
    </w:p>
    <w:p w:rsidR="003A71E8" w:rsidRDefault="00FA3B3F">
      <w:pPr>
        <w:pStyle w:val="TableofFigures"/>
        <w:tabs>
          <w:tab w:val="left" w:pos="880"/>
        </w:tabs>
        <w:rPr>
          <w:rFonts w:asciiTheme="minorHAnsi" w:eastAsiaTheme="minorEastAsia" w:hAnsiTheme="minorHAnsi" w:cstheme="minorBidi"/>
          <w:color w:val="auto"/>
          <w:sz w:val="22"/>
          <w:szCs w:val="22"/>
          <w:lang w:eastAsia="en-AU"/>
        </w:rPr>
      </w:pPr>
      <w:r w:rsidRPr="00FA3B3F">
        <w:fldChar w:fldCharType="begin"/>
      </w:r>
      <w:r w:rsidR="004E7227">
        <w:instrText xml:space="preserve"> TOC \f F \t "tabletitle" \c </w:instrText>
      </w:r>
      <w:r w:rsidRPr="00FA3B3F">
        <w:fldChar w:fldCharType="separate"/>
      </w:r>
      <w:r w:rsidR="003A71E8">
        <w:t>1</w:t>
      </w:r>
      <w:r w:rsidR="003A71E8">
        <w:rPr>
          <w:rFonts w:asciiTheme="minorHAnsi" w:eastAsiaTheme="minorEastAsia" w:hAnsiTheme="minorHAnsi" w:cstheme="minorBidi"/>
          <w:color w:val="auto"/>
          <w:sz w:val="22"/>
          <w:szCs w:val="22"/>
          <w:lang w:eastAsia="en-AU"/>
        </w:rPr>
        <w:tab/>
      </w:r>
      <w:r w:rsidR="003A71E8">
        <w:t>Length of the time windows for various completion rates</w:t>
      </w:r>
      <w:r w:rsidR="003A71E8">
        <w:tab/>
      </w:r>
      <w:r>
        <w:fldChar w:fldCharType="begin"/>
      </w:r>
      <w:r w:rsidR="003A71E8">
        <w:instrText xml:space="preserve"> PAGEREF _Toc311991630 \h </w:instrText>
      </w:r>
      <w:r>
        <w:fldChar w:fldCharType="separate"/>
      </w:r>
      <w:r w:rsidR="00F11718">
        <w:t>3</w:t>
      </w:r>
      <w:r>
        <w:fldChar w:fldCharType="end"/>
      </w:r>
    </w:p>
    <w:p w:rsidR="003A71E8" w:rsidRDefault="003A71E8">
      <w:pPr>
        <w:pStyle w:val="TableofFigures"/>
        <w:tabs>
          <w:tab w:val="left" w:pos="88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Methodologies used by NCVER to calculate completion rates</w:t>
      </w:r>
      <w:r>
        <w:tab/>
      </w:r>
      <w:r w:rsidR="00FA3B3F">
        <w:fldChar w:fldCharType="begin"/>
      </w:r>
      <w:r>
        <w:instrText xml:space="preserve"> PAGEREF _Toc311991631 \h </w:instrText>
      </w:r>
      <w:r w:rsidR="00FA3B3F">
        <w:fldChar w:fldCharType="separate"/>
      </w:r>
      <w:r w:rsidR="00F11718">
        <w:t>3</w:t>
      </w:r>
      <w:r w:rsidR="00FA3B3F">
        <w:fldChar w:fldCharType="end"/>
      </w:r>
    </w:p>
    <w:p w:rsidR="003A71E8" w:rsidRDefault="003A71E8">
      <w:pPr>
        <w:pStyle w:val="TableofFigures"/>
        <w:tabs>
          <w:tab w:val="left" w:pos="88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Latest completion rate estimates for VET qualifications</w:t>
      </w:r>
      <w:r>
        <w:tab/>
      </w:r>
      <w:r w:rsidR="00FA3B3F">
        <w:fldChar w:fldCharType="begin"/>
      </w:r>
      <w:r>
        <w:instrText xml:space="preserve"> PAGEREF _Toc311991632 \h </w:instrText>
      </w:r>
      <w:r w:rsidR="00FA3B3F">
        <w:fldChar w:fldCharType="separate"/>
      </w:r>
      <w:r w:rsidR="00F11718">
        <w:t>3</w:t>
      </w:r>
      <w:r w:rsidR="00FA3B3F">
        <w:fldChar w:fldCharType="end"/>
      </w:r>
    </w:p>
    <w:p w:rsidR="003A71E8" w:rsidRDefault="003A71E8">
      <w:pPr>
        <w:pStyle w:val="TableofFigures"/>
        <w:tabs>
          <w:tab w:val="left" w:pos="880"/>
        </w:tabs>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 xml:space="preserve">Projected qualification completion rates and load pass rates for qualifications commencing 2008, full-time, aged 25 years and under, </w:t>
      </w:r>
      <w:r>
        <w:br/>
        <w:t>with no prior VET qualification, by level</w:t>
      </w:r>
      <w:r>
        <w:tab/>
      </w:r>
      <w:r w:rsidR="00FA3B3F">
        <w:fldChar w:fldCharType="begin"/>
      </w:r>
      <w:r>
        <w:instrText xml:space="preserve"> PAGEREF _Toc311991633 \h </w:instrText>
      </w:r>
      <w:r w:rsidR="00FA3B3F">
        <w:fldChar w:fldCharType="separate"/>
      </w:r>
      <w:r w:rsidR="00F11718">
        <w:t>3</w:t>
      </w:r>
      <w:r w:rsidR="00FA3B3F">
        <w:fldChar w:fldCharType="end"/>
      </w:r>
    </w:p>
    <w:p w:rsidR="003A71E8" w:rsidRDefault="003A71E8">
      <w:pPr>
        <w:pStyle w:val="TableofFigures"/>
        <w:tabs>
          <w:tab w:val="left" w:pos="880"/>
        </w:tabs>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Latest completion rates for apprentices and trainees</w:t>
      </w:r>
      <w:r>
        <w:tab/>
      </w:r>
      <w:r w:rsidR="00FA3B3F">
        <w:fldChar w:fldCharType="begin"/>
      </w:r>
      <w:r>
        <w:instrText xml:space="preserve"> PAGEREF _Toc311991634 \h </w:instrText>
      </w:r>
      <w:r w:rsidR="00FA3B3F">
        <w:fldChar w:fldCharType="separate"/>
      </w:r>
      <w:r w:rsidR="00F11718">
        <w:t>3</w:t>
      </w:r>
      <w:r w:rsidR="00FA3B3F">
        <w:fldChar w:fldCharType="end"/>
      </w:r>
    </w:p>
    <w:p w:rsidR="0091757B" w:rsidRDefault="00FA3B3F" w:rsidP="00226E0D">
      <w:pPr>
        <w:pStyle w:val="Heading2"/>
        <w:rPr>
          <w:noProof/>
        </w:rPr>
      </w:pPr>
      <w:r>
        <w:fldChar w:fldCharType="end"/>
      </w:r>
      <w:bookmarkStart w:id="32" w:name="_Toc296497517"/>
      <w:bookmarkStart w:id="33" w:name="_Toc298162802"/>
      <w:bookmarkStart w:id="34" w:name="_Toc309043796"/>
      <w:r w:rsidR="004E7227">
        <w:t>Figures</w:t>
      </w:r>
      <w:bookmarkEnd w:id="32"/>
      <w:bookmarkEnd w:id="33"/>
      <w:bookmarkEnd w:id="34"/>
      <w:r w:rsidRPr="00FA3B3F">
        <w:rPr>
          <w:rFonts w:ascii="Garamond" w:hAnsi="Garamond"/>
          <w:sz w:val="22"/>
        </w:rPr>
        <w:fldChar w:fldCharType="begin"/>
      </w:r>
      <w:r w:rsidR="004E7227">
        <w:instrText xml:space="preserve"> TOC \t "Figuretitle" \c </w:instrText>
      </w:r>
      <w:r w:rsidRPr="00FA3B3F">
        <w:rPr>
          <w:rFonts w:ascii="Garamond" w:hAnsi="Garamond"/>
          <w:sz w:val="22"/>
        </w:rPr>
        <w:fldChar w:fldCharType="separate"/>
      </w:r>
    </w:p>
    <w:p w:rsidR="0091757B" w:rsidRDefault="0091757B">
      <w:pPr>
        <w:pStyle w:val="TableofFigures"/>
        <w:tabs>
          <w:tab w:val="left" w:pos="1100"/>
        </w:tabs>
        <w:rPr>
          <w:rFonts w:asciiTheme="minorHAnsi" w:eastAsiaTheme="minorEastAsia" w:hAnsiTheme="minorHAnsi" w:cstheme="minorBidi"/>
          <w:color w:val="auto"/>
          <w:sz w:val="22"/>
          <w:szCs w:val="22"/>
          <w:lang w:eastAsia="en-AU"/>
        </w:rPr>
      </w:pPr>
      <w:r>
        <w:rPr>
          <w:lang w:eastAsia="en-AU"/>
        </w:rPr>
        <w:t xml:space="preserve">1 </w:t>
      </w:r>
      <w:r>
        <w:rPr>
          <w:rFonts w:asciiTheme="minorHAnsi" w:eastAsiaTheme="minorEastAsia" w:hAnsiTheme="minorHAnsi" w:cstheme="minorBidi"/>
          <w:color w:val="auto"/>
          <w:sz w:val="22"/>
          <w:szCs w:val="22"/>
          <w:lang w:eastAsia="en-AU"/>
        </w:rPr>
        <w:tab/>
      </w:r>
      <w:r>
        <w:rPr>
          <w:lang w:eastAsia="en-AU"/>
        </w:rPr>
        <w:t>Visual summary of completion rates for VET qualifications</w:t>
      </w:r>
      <w:r>
        <w:tab/>
      </w:r>
      <w:r w:rsidR="00FA3B3F">
        <w:fldChar w:fldCharType="begin"/>
      </w:r>
      <w:r>
        <w:instrText xml:space="preserve"> PAGEREF _Toc312160077 \h </w:instrText>
      </w:r>
      <w:r w:rsidR="00FA3B3F">
        <w:fldChar w:fldCharType="separate"/>
      </w:r>
      <w:r w:rsidR="00F11718">
        <w:t>3</w:t>
      </w:r>
      <w:r w:rsidR="00FA3B3F">
        <w:fldChar w:fldCharType="end"/>
      </w:r>
    </w:p>
    <w:p w:rsidR="0091757B" w:rsidRDefault="0091757B">
      <w:pPr>
        <w:pStyle w:val="TableofFigures"/>
        <w:tabs>
          <w:tab w:val="left" w:pos="110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Visual summary of completion rates for apprentices and trainees</w:t>
      </w:r>
      <w:r>
        <w:tab/>
      </w:r>
      <w:r w:rsidR="00FA3B3F">
        <w:fldChar w:fldCharType="begin"/>
      </w:r>
      <w:r>
        <w:instrText xml:space="preserve"> PAGEREF _Toc312160078 \h </w:instrText>
      </w:r>
      <w:r w:rsidR="00FA3B3F">
        <w:fldChar w:fldCharType="separate"/>
      </w:r>
      <w:r w:rsidR="00F11718">
        <w:t>3</w:t>
      </w:r>
      <w:r w:rsidR="00FA3B3F">
        <w:fldChar w:fldCharType="end"/>
      </w:r>
    </w:p>
    <w:p w:rsidR="004E7227" w:rsidRDefault="00FA3B3F" w:rsidP="004E7227">
      <w:pPr>
        <w:pStyle w:val="TableofFigures"/>
      </w:pPr>
      <w:r>
        <w:fldChar w:fldCharType="end"/>
      </w:r>
    </w:p>
    <w:p w:rsidR="00A93867" w:rsidRPr="00A93867" w:rsidRDefault="00A93867">
      <w:pPr>
        <w:spacing w:before="0" w:line="240" w:lineRule="auto"/>
        <w:rPr>
          <w:rFonts w:ascii="Tahoma" w:hAnsi="Tahoma" w:cs="Tahoma"/>
          <w:b/>
          <w:color w:val="000000"/>
          <w:kern w:val="28"/>
          <w:sz w:val="56"/>
          <w:szCs w:val="56"/>
        </w:rPr>
      </w:pPr>
      <w:r w:rsidRPr="00A93867">
        <w:rPr>
          <w:b/>
        </w:rPr>
        <w:br w:type="page"/>
      </w:r>
    </w:p>
    <w:p w:rsidR="00A50895" w:rsidRDefault="00C20494" w:rsidP="00226E0D">
      <w:pPr>
        <w:pStyle w:val="Heading1"/>
      </w:pPr>
      <w:bookmarkStart w:id="35" w:name="_Toc309043797"/>
      <w:r>
        <w:lastRenderedPageBreak/>
        <w:t>How we define completion rates</w:t>
      </w:r>
      <w:bookmarkEnd w:id="35"/>
    </w:p>
    <w:p w:rsidR="00C20494" w:rsidRDefault="00C20494" w:rsidP="00C20494">
      <w:pPr>
        <w:pStyle w:val="Text"/>
      </w:pPr>
      <w:r w:rsidRPr="00761E50">
        <w:t xml:space="preserve">The most intuitive definition of a completion rate is </w:t>
      </w:r>
      <w:r w:rsidR="008942A0">
        <w:t xml:space="preserve">that it is </w:t>
      </w:r>
      <w:r w:rsidRPr="00761E50">
        <w:t>simply the proportion of students who finish the course they started. For example, if 100 students started a course in 2005, and 27 of those students went on to complete the</w:t>
      </w:r>
      <w:r>
        <w:t>ir</w:t>
      </w:r>
      <w:r w:rsidRPr="00761E50">
        <w:t xml:space="preserve"> course, we’d say that the completion rate for 2005 is 27%. </w:t>
      </w:r>
    </w:p>
    <w:p w:rsidR="00C20494" w:rsidRDefault="00C20494" w:rsidP="00C20494">
      <w:pPr>
        <w:pStyle w:val="Text"/>
      </w:pPr>
      <w:r>
        <w:t xml:space="preserve">Ideally, we need to wait for the course to </w:t>
      </w:r>
      <w:r w:rsidR="008942A0">
        <w:t>finish</w:t>
      </w:r>
      <w:r>
        <w:t xml:space="preserve"> before we can calculate the completion rate. However, this reduces the usefulness of the data, because we potentially have to wait many years to ensure all students have had the opportunity to complete. Instead, we consider a particular ‘tracking window’, and then estimate the true completion rate using various methods. In general, a completion rate can be defined in terms of three components, which are the answers to the following questions:</w:t>
      </w:r>
    </w:p>
    <w:p w:rsidR="00C20494" w:rsidRDefault="00C20494" w:rsidP="00903C56">
      <w:pPr>
        <w:pStyle w:val="Dotpoint1"/>
      </w:pPr>
      <w:r>
        <w:t>Who or what are we tracking?</w:t>
      </w:r>
    </w:p>
    <w:p w:rsidR="00C20494" w:rsidRDefault="00C20494" w:rsidP="00903C56">
      <w:pPr>
        <w:pStyle w:val="Dotpoint1"/>
      </w:pPr>
      <w:r>
        <w:t>What is the period of time we are tracking over?</w:t>
      </w:r>
    </w:p>
    <w:p w:rsidR="00C20494" w:rsidRDefault="00C20494" w:rsidP="00903C56">
      <w:pPr>
        <w:pStyle w:val="Dotpoint1"/>
      </w:pPr>
      <w:r>
        <w:t>How is the rate calculated?</w:t>
      </w:r>
    </w:p>
    <w:p w:rsidR="00C20494" w:rsidRDefault="00C20494" w:rsidP="00C20494">
      <w:pPr>
        <w:pStyle w:val="Text"/>
      </w:pPr>
      <w:r>
        <w:t>We consider each question in turn. We then present the latest completion rate figures, before looking more broadly at the value of completing a vocatio</w:t>
      </w:r>
      <w:r w:rsidR="008942A0">
        <w:t>nal education and training</w:t>
      </w:r>
      <w:r>
        <w:t xml:space="preserve"> </w:t>
      </w:r>
      <w:r w:rsidR="00DC2E9F">
        <w:t xml:space="preserve">(VET) </w:t>
      </w:r>
      <w:r>
        <w:t xml:space="preserve">qualification. It must be emphasised that the </w:t>
      </w:r>
      <w:r w:rsidRPr="00230819">
        <w:rPr>
          <w:i/>
        </w:rPr>
        <w:t>concept</w:t>
      </w:r>
      <w:r>
        <w:t xml:space="preserve"> of a completion rate remains unchanged</w:t>
      </w:r>
      <w:r w:rsidR="00BA634F">
        <w:t>,</w:t>
      </w:r>
      <w:r>
        <w:t xml:space="preserve"> regardless of the answers to these questions. All that changes is the group of units we are monitoring, how long we are observing them for, and what method is used to estimate the rate.</w:t>
      </w:r>
    </w:p>
    <w:p w:rsidR="00C20494" w:rsidRPr="00F03140" w:rsidRDefault="00C20494" w:rsidP="00C20494">
      <w:pPr>
        <w:pStyle w:val="Heading2"/>
      </w:pPr>
      <w:bookmarkStart w:id="36" w:name="_Toc309043798"/>
      <w:r w:rsidRPr="00F03140">
        <w:t>Who or what are we tracking?</w:t>
      </w:r>
      <w:bookmarkEnd w:id="36"/>
    </w:p>
    <w:p w:rsidR="00C20494" w:rsidRDefault="00C20494" w:rsidP="00C20494">
      <w:pPr>
        <w:pStyle w:val="Text"/>
      </w:pPr>
      <w:r>
        <w:t>NCVER reports completion rates at several different levels</w:t>
      </w:r>
      <w:r w:rsidRPr="00811463">
        <w:t xml:space="preserve"> </w:t>
      </w:r>
      <w:r>
        <w:t xml:space="preserve">— for courses, for subjects, for apprentices and trainees, and for specific sub-groups of students. For each of these, we need to track a certain group of entities, be they courses, subjects, contracts of training, or individual students. A group of entities that started at the same time is called a ‘cohort’. </w:t>
      </w:r>
    </w:p>
    <w:p w:rsidR="00C20494" w:rsidRDefault="00C20494" w:rsidP="00C20494">
      <w:pPr>
        <w:pStyle w:val="Text"/>
      </w:pPr>
      <w:r>
        <w:t xml:space="preserve">The particular cohort we are tracking is reflected in the name of the completion rate. For example, a ‘contract completion rate’ means we are tracking a cohort of contracts; a ‘qualification completion rate’ means we are tracking a cohort of students undertaking a qualification. </w:t>
      </w:r>
    </w:p>
    <w:p w:rsidR="00C20494" w:rsidRPr="00D85591" w:rsidRDefault="00C20494" w:rsidP="00C20494">
      <w:pPr>
        <w:pStyle w:val="Heading3"/>
      </w:pPr>
      <w:r w:rsidRPr="00D85591">
        <w:t>Completion rates for VET qualifications</w:t>
      </w:r>
    </w:p>
    <w:p w:rsidR="00C20494" w:rsidRDefault="00C20494" w:rsidP="00356412">
      <w:pPr>
        <w:pStyle w:val="Textlessbefore"/>
      </w:pPr>
      <w:r>
        <w:t xml:space="preserve">Let’s consider tracking </w:t>
      </w:r>
      <w:r>
        <w:rPr>
          <w:i/>
        </w:rPr>
        <w:t xml:space="preserve">qualifications. </w:t>
      </w:r>
      <w:r>
        <w:t>This gives us a qualification, or course, completion rate. It is defined as follows:</w:t>
      </w:r>
    </w:p>
    <w:p w:rsidR="00C853BF" w:rsidRDefault="00C853BF" w:rsidP="00C853BF">
      <w:pPr>
        <w:pStyle w:val="Textbeforebox"/>
      </w:pPr>
    </w:p>
    <w:tbl>
      <w:tblPr>
        <w:tblStyle w:val="TableGrid"/>
        <w:tblW w:w="8789" w:type="dxa"/>
        <w:tblInd w:w="142" w:type="dxa"/>
        <w:tblLayout w:type="fixed"/>
        <w:tblCellMar>
          <w:top w:w="198" w:type="dxa"/>
          <w:left w:w="142" w:type="dxa"/>
          <w:bottom w:w="198" w:type="dxa"/>
          <w:right w:w="142" w:type="dxa"/>
        </w:tblCellMar>
        <w:tblLook w:val="04A0"/>
      </w:tblPr>
      <w:tblGrid>
        <w:gridCol w:w="8789"/>
      </w:tblGrid>
      <w:tr w:rsidR="00356412" w:rsidTr="00356412">
        <w:tc>
          <w:tcPr>
            <w:tcW w:w="9004" w:type="dxa"/>
          </w:tcPr>
          <w:p w:rsidR="00356412" w:rsidRDefault="00356412" w:rsidP="00356412">
            <w:pPr>
              <w:pStyle w:val="Text"/>
              <w:spacing w:before="0"/>
            </w:pPr>
            <w:r>
              <w:t xml:space="preserve">A </w:t>
            </w:r>
            <w:r>
              <w:rPr>
                <w:b/>
              </w:rPr>
              <w:t>q</w:t>
            </w:r>
            <w:r w:rsidRPr="0010163B">
              <w:rPr>
                <w:b/>
              </w:rPr>
              <w:t>ualification completion rate</w:t>
            </w:r>
            <w:r>
              <w:t xml:space="preserve"> is the proportion of VET </w:t>
            </w:r>
            <w:r w:rsidRPr="0010163B">
              <w:rPr>
                <w:i/>
              </w:rPr>
              <w:t>qualifications</w:t>
            </w:r>
            <w:r>
              <w:t xml:space="preserve"> started in a given year that will eventually be completed. It is also referred to as a course completion rate.</w:t>
            </w:r>
          </w:p>
        </w:tc>
      </w:tr>
    </w:tbl>
    <w:p w:rsidR="00C20494" w:rsidRDefault="00C20494" w:rsidP="00356412">
      <w:pPr>
        <w:pStyle w:val="Textmorebefore"/>
      </w:pPr>
      <w:r>
        <w:t xml:space="preserve">Throughout this paper, the terms </w:t>
      </w:r>
      <w:r w:rsidR="008942A0">
        <w:t>‘</w:t>
      </w:r>
      <w:r>
        <w:t>qualification</w:t>
      </w:r>
      <w:r w:rsidR="008942A0">
        <w:t>’</w:t>
      </w:r>
      <w:r>
        <w:t xml:space="preserve"> and </w:t>
      </w:r>
      <w:r w:rsidR="008942A0">
        <w:t>‘</w:t>
      </w:r>
      <w:r>
        <w:t>course</w:t>
      </w:r>
      <w:r w:rsidR="008942A0">
        <w:t>’</w:t>
      </w:r>
      <w:r>
        <w:t xml:space="preserve"> are used interchangeably.</w:t>
      </w:r>
    </w:p>
    <w:p w:rsidR="00A53B3F" w:rsidRDefault="00A53B3F" w:rsidP="00A53B3F">
      <w:pPr>
        <w:pStyle w:val="Heading3"/>
      </w:pPr>
      <w:r w:rsidRPr="00E8677A">
        <w:t>Subject completion rates</w:t>
      </w:r>
    </w:p>
    <w:p w:rsidR="00A53B3F" w:rsidRDefault="00A53B3F" w:rsidP="00356412">
      <w:pPr>
        <w:pStyle w:val="Textlessbefore"/>
      </w:pPr>
      <w:r>
        <w:t xml:space="preserve">A VET qualification is made up of a number of </w:t>
      </w:r>
      <w:proofErr w:type="gramStart"/>
      <w:r>
        <w:t>subjects,</w:t>
      </w:r>
      <w:proofErr w:type="gramEnd"/>
      <w:r>
        <w:t xml:space="preserve"> also referred to as ‘modules’ or ‘units of competency’. Alongside the completion rates for VET qualifications, NCVER reports subject </w:t>
      </w:r>
      <w:r>
        <w:lastRenderedPageBreak/>
        <w:t>completion rates.</w:t>
      </w:r>
      <w:r w:rsidR="008D3DBC">
        <w:t xml:space="preserve"> </w:t>
      </w:r>
      <w:r>
        <w:t xml:space="preserve">These are called ‘load pass rates’. Unlike the course completion rate, the subject load pass rate needs to be weighted to account for the fact that subjects are </w:t>
      </w:r>
      <w:r w:rsidR="008942A0">
        <w:t xml:space="preserve">of </w:t>
      </w:r>
      <w:r>
        <w:t xml:space="preserve">different lengths. </w:t>
      </w:r>
      <w:r w:rsidRPr="008406BD">
        <w:t xml:space="preserve">The calculation is based on the annual hours (or </w:t>
      </w:r>
      <w:r w:rsidR="00BA634F" w:rsidRPr="008406BD">
        <w:t>f</w:t>
      </w:r>
      <w:r w:rsidR="00BA634F">
        <w:t>ull year training equivalent — FYTE</w:t>
      </w:r>
      <w:r w:rsidRPr="008406BD">
        <w:t>) for each assessable module or unit of competency</w:t>
      </w:r>
      <w:r>
        <w:t>.</w:t>
      </w:r>
      <w:r w:rsidRPr="00B7013E">
        <w:t xml:space="preserve"> </w:t>
      </w:r>
      <w:r>
        <w:t>A subject load pass rate is defined as follows:</w:t>
      </w:r>
    </w:p>
    <w:p w:rsidR="00C853BF" w:rsidRDefault="00C853BF" w:rsidP="00C853BF">
      <w:pPr>
        <w:pStyle w:val="Textbeforebox"/>
      </w:pPr>
    </w:p>
    <w:tbl>
      <w:tblPr>
        <w:tblStyle w:val="TableGrid"/>
        <w:tblW w:w="8789" w:type="dxa"/>
        <w:tblInd w:w="142" w:type="dxa"/>
        <w:tblLayout w:type="fixed"/>
        <w:tblCellMar>
          <w:top w:w="198" w:type="dxa"/>
          <w:left w:w="142" w:type="dxa"/>
          <w:bottom w:w="198" w:type="dxa"/>
          <w:right w:w="142" w:type="dxa"/>
        </w:tblCellMar>
        <w:tblLook w:val="04A0"/>
      </w:tblPr>
      <w:tblGrid>
        <w:gridCol w:w="8789"/>
      </w:tblGrid>
      <w:tr w:rsidR="00C853BF" w:rsidTr="00C853BF">
        <w:tc>
          <w:tcPr>
            <w:tcW w:w="9004" w:type="dxa"/>
          </w:tcPr>
          <w:p w:rsidR="00C853BF" w:rsidRDefault="00C853BF" w:rsidP="00C853BF">
            <w:pPr>
              <w:pStyle w:val="Text"/>
              <w:spacing w:before="0"/>
            </w:pPr>
            <w:r>
              <w:t xml:space="preserve">A </w:t>
            </w:r>
            <w:r>
              <w:rPr>
                <w:b/>
              </w:rPr>
              <w:t>subject load pass rate</w:t>
            </w:r>
            <w:r>
              <w:t xml:space="preserve"> is the ratio of hours studied by students who passed their subject(s) to the total hours committed to by all students who passed, failed or withdrew from the corresponding subject(s).</w:t>
            </w:r>
          </w:p>
        </w:tc>
      </w:tr>
    </w:tbl>
    <w:p w:rsidR="00A53B3F" w:rsidRDefault="00A53B3F" w:rsidP="00356412">
      <w:pPr>
        <w:pStyle w:val="Textmorebefore"/>
        <w:rPr>
          <w:b/>
        </w:rPr>
      </w:pPr>
      <w:r>
        <w:t xml:space="preserve">We can think of a subject load pass rate as the ratio of ‘profitable hours’ </w:t>
      </w:r>
      <w:r w:rsidR="008942A0">
        <w:t>to</w:t>
      </w:r>
      <w:r>
        <w:t xml:space="preserve"> the total hours undertaken by all students in the same year.</w:t>
      </w:r>
    </w:p>
    <w:p w:rsidR="00A53B3F" w:rsidRPr="00DC2431" w:rsidRDefault="00A53B3F" w:rsidP="00356412">
      <w:pPr>
        <w:pStyle w:val="Text"/>
        <w:ind w:right="141"/>
      </w:pPr>
      <w:r>
        <w:t>Let’s consider a simple example. Suppose two</w:t>
      </w:r>
      <w:r w:rsidR="00BA634F">
        <w:t xml:space="preserve"> students start and complete a two</w:t>
      </w:r>
      <w:r>
        <w:t>-hour subject, and another student starts but fails to complete a 100-hour subject</w:t>
      </w:r>
      <w:r w:rsidR="00BA634F">
        <w:t>. Saying that the pass rate is two out of three</w:t>
      </w:r>
      <w:r>
        <w:t xml:space="preserve">, or 67%, is not representative of the fact that the two completed subjects were very short, while the incomplete subject was much longer. To fix this, we weight the pass rates according to the subject hours. That is, we multiply the two completions by </w:t>
      </w:r>
      <w:r w:rsidR="00BA634F">
        <w:t>two</w:t>
      </w:r>
      <w:r>
        <w:t xml:space="preserve"> </w:t>
      </w:r>
      <w:r w:rsidR="008F1C4C">
        <w:t>hours</w:t>
      </w:r>
      <w:r>
        <w:t xml:space="preserve"> and the one non-completion by 100 hours. This is equivalent to looking at the total hours studied by those who completed their subjects, over the total hours studied by all students. </w:t>
      </w:r>
      <w:r w:rsidR="00F013F4">
        <w:t xml:space="preserve">So we’d say the pass rate is </w:t>
      </w:r>
      <w:r w:rsidR="00356412">
        <w:br/>
      </w:r>
      <w:r w:rsidR="00F013F4">
        <w:t>(2x2 hrs)</w:t>
      </w:r>
      <w:proofErr w:type="gramStart"/>
      <w:r w:rsidR="00F013F4">
        <w:t>/(</w:t>
      </w:r>
      <w:proofErr w:type="gramEnd"/>
      <w:r w:rsidR="00F013F4">
        <w:t>2x2 hours + 1x</w:t>
      </w:r>
      <w:r>
        <w:t>100 hrs) = 4/(104) = 4% — a very different figure from 67%!</w:t>
      </w:r>
      <w:r w:rsidR="00BA634F">
        <w:t xml:space="preserve"> </w:t>
      </w:r>
    </w:p>
    <w:p w:rsidR="00A53B3F" w:rsidRPr="00D85591" w:rsidRDefault="00A53B3F" w:rsidP="00A53B3F">
      <w:pPr>
        <w:pStyle w:val="Heading3"/>
      </w:pPr>
      <w:r w:rsidRPr="00D85591">
        <w:t>Completion rates for apprentices and trainees</w:t>
      </w:r>
    </w:p>
    <w:p w:rsidR="00A53B3F" w:rsidRDefault="00A53B3F" w:rsidP="00356412">
      <w:pPr>
        <w:pStyle w:val="Textlessbefore"/>
      </w:pPr>
      <w:r>
        <w:t>NCVER also estimates completion rates for apprentices and trainees. Each apprentice or trainee has a contract of training with their employer. To determine completion rates, we can moni</w:t>
      </w:r>
      <w:r w:rsidR="00484203">
        <w:t>tor these contracts of training</w:t>
      </w:r>
      <w:r>
        <w:t xml:space="preserve"> and look at how many contracts </w:t>
      </w:r>
      <w:r w:rsidR="00484203">
        <w:t xml:space="preserve">are </w:t>
      </w:r>
      <w:r>
        <w:t>eventually completed. This gives us a ‘contract completion rate’, defined as follows:</w:t>
      </w:r>
    </w:p>
    <w:p w:rsidR="00C853BF" w:rsidRDefault="00C853BF" w:rsidP="00C853BF">
      <w:pPr>
        <w:pStyle w:val="Textbeforebox"/>
      </w:pPr>
    </w:p>
    <w:tbl>
      <w:tblPr>
        <w:tblStyle w:val="TableGrid"/>
        <w:tblW w:w="8789" w:type="dxa"/>
        <w:tblInd w:w="142" w:type="dxa"/>
        <w:tblLayout w:type="fixed"/>
        <w:tblCellMar>
          <w:top w:w="198" w:type="dxa"/>
          <w:left w:w="142" w:type="dxa"/>
          <w:bottom w:w="198" w:type="dxa"/>
          <w:right w:w="142" w:type="dxa"/>
        </w:tblCellMar>
        <w:tblLook w:val="04A0"/>
      </w:tblPr>
      <w:tblGrid>
        <w:gridCol w:w="8789"/>
      </w:tblGrid>
      <w:tr w:rsidR="00C853BF" w:rsidTr="00C853BF">
        <w:tc>
          <w:tcPr>
            <w:tcW w:w="9004" w:type="dxa"/>
          </w:tcPr>
          <w:p w:rsidR="00C853BF" w:rsidRDefault="00C853BF" w:rsidP="00C853BF">
            <w:pPr>
              <w:pStyle w:val="Text"/>
              <w:spacing w:before="0"/>
            </w:pPr>
            <w:r>
              <w:t xml:space="preserve">A </w:t>
            </w:r>
            <w:r w:rsidRPr="004176D6">
              <w:rPr>
                <w:b/>
              </w:rPr>
              <w:t>contract completion rate</w:t>
            </w:r>
            <w:r>
              <w:t xml:space="preserve"> refers to the proportion of </w:t>
            </w:r>
            <w:r w:rsidRPr="004176D6">
              <w:rPr>
                <w:i/>
              </w:rPr>
              <w:t>contracts</w:t>
            </w:r>
            <w:r>
              <w:t xml:space="preserve"> </w:t>
            </w:r>
            <w:r w:rsidRPr="004176D6">
              <w:rPr>
                <w:i/>
              </w:rPr>
              <w:t>of training</w:t>
            </w:r>
            <w:r>
              <w:t xml:space="preserve"> started in a given time period that have since been completed.</w:t>
            </w:r>
          </w:p>
        </w:tc>
      </w:tr>
    </w:tbl>
    <w:p w:rsidR="00A42275" w:rsidRPr="00A42275" w:rsidRDefault="00A53B3F" w:rsidP="00C853BF">
      <w:pPr>
        <w:pStyle w:val="Textmorebefore"/>
      </w:pPr>
      <w:r w:rsidRPr="00A42275">
        <w:t>There is an issue associated with tracking contracts of training: an apprentice might start a contract of training with one employer, but then later switch employers and have to begin a new contract of training. If we only monitor contracts of training, the original contract may be recorded as incomplete, even if the student goes on to finish their apprenticeship with the new employer. Approximately one-quarter of trade apprentices swap employers during their apprenticeship in this fashion (</w:t>
      </w:r>
      <w:proofErr w:type="spellStart"/>
      <w:r w:rsidRPr="00A42275">
        <w:t>Karmel</w:t>
      </w:r>
      <w:proofErr w:type="spellEnd"/>
      <w:r w:rsidRPr="00A42275">
        <w:t xml:space="preserve"> 2011). This leads us to consider individual completion rates, defined as follows:</w:t>
      </w:r>
    </w:p>
    <w:p w:rsidR="00A42275" w:rsidRPr="004176D6" w:rsidRDefault="00A42275" w:rsidP="00C853BF">
      <w:pPr>
        <w:pStyle w:val="Textbeforebox"/>
      </w:pPr>
    </w:p>
    <w:tbl>
      <w:tblPr>
        <w:tblStyle w:val="TableGrid"/>
        <w:tblW w:w="8789" w:type="dxa"/>
        <w:tblInd w:w="142" w:type="dxa"/>
        <w:tblLayout w:type="fixed"/>
        <w:tblCellMar>
          <w:top w:w="198" w:type="dxa"/>
          <w:left w:w="142" w:type="dxa"/>
          <w:bottom w:w="198" w:type="dxa"/>
          <w:right w:w="142" w:type="dxa"/>
        </w:tblCellMar>
        <w:tblLook w:val="04A0"/>
      </w:tblPr>
      <w:tblGrid>
        <w:gridCol w:w="8789"/>
      </w:tblGrid>
      <w:tr w:rsidR="00C853BF" w:rsidTr="00C853BF">
        <w:tc>
          <w:tcPr>
            <w:tcW w:w="9004" w:type="dxa"/>
          </w:tcPr>
          <w:p w:rsidR="00C853BF" w:rsidRDefault="00C853BF" w:rsidP="00C853BF">
            <w:pPr>
              <w:pStyle w:val="Text"/>
              <w:spacing w:before="0"/>
            </w:pPr>
            <w:r w:rsidRPr="00B508DD">
              <w:t xml:space="preserve">An </w:t>
            </w:r>
            <w:r w:rsidRPr="00B508DD">
              <w:rPr>
                <w:b/>
              </w:rPr>
              <w:t>individual completion rate</w:t>
            </w:r>
            <w:r w:rsidRPr="00B508DD">
              <w:t xml:space="preserve"> is an estimate of the proportion of </w:t>
            </w:r>
            <w:r w:rsidRPr="00B508DD">
              <w:rPr>
                <w:i/>
              </w:rPr>
              <w:t>apprentices and trainees</w:t>
            </w:r>
            <w:r w:rsidRPr="00B508DD">
              <w:t xml:space="preserve"> who started in a given year </w:t>
            </w:r>
            <w:r>
              <w:t xml:space="preserve">and </w:t>
            </w:r>
            <w:r w:rsidRPr="00B508DD">
              <w:t xml:space="preserve">who eventually completed their training in the same occupation </w:t>
            </w:r>
            <w:r>
              <w:t>in which</w:t>
            </w:r>
            <w:r w:rsidRPr="00B508DD">
              <w:t xml:space="preserve"> they </w:t>
            </w:r>
            <w:r>
              <w:t>began</w:t>
            </w:r>
            <w:r w:rsidRPr="00B508DD">
              <w:t>, but not necessarily with the same employer.</w:t>
            </w:r>
          </w:p>
        </w:tc>
      </w:tr>
    </w:tbl>
    <w:p w:rsidR="006E2042" w:rsidRDefault="006E2042">
      <w:pPr>
        <w:spacing w:before="0" w:line="240" w:lineRule="auto"/>
        <w:rPr>
          <w:rFonts w:ascii="Tahoma" w:hAnsi="Tahoma" w:cs="Tahoma"/>
          <w:color w:val="000000"/>
          <w:sz w:val="24"/>
        </w:rPr>
      </w:pPr>
      <w:r>
        <w:br w:type="page"/>
      </w:r>
    </w:p>
    <w:p w:rsidR="00A53B3F" w:rsidRPr="00D85591" w:rsidRDefault="00A53B3F" w:rsidP="00A53B3F">
      <w:pPr>
        <w:pStyle w:val="Heading3"/>
      </w:pPr>
      <w:r w:rsidRPr="00D85591">
        <w:lastRenderedPageBreak/>
        <w:t xml:space="preserve">Summary of the different </w:t>
      </w:r>
      <w:r>
        <w:t>levels</w:t>
      </w:r>
      <w:r w:rsidRPr="00D85591">
        <w:t xml:space="preserve"> of completion rates</w:t>
      </w:r>
    </w:p>
    <w:p w:rsidR="004E34EC" w:rsidRDefault="00A53B3F" w:rsidP="00C853BF">
      <w:pPr>
        <w:pStyle w:val="Textlessbefore"/>
        <w:rPr>
          <w:noProof/>
          <w:lang w:eastAsia="en-AU"/>
        </w:rPr>
      </w:pPr>
      <w:r>
        <w:rPr>
          <w:noProof/>
          <w:lang w:eastAsia="en-AU"/>
        </w:rPr>
        <w:t xml:space="preserve">A visual summary of completion rates for </w:t>
      </w:r>
      <w:r w:rsidR="004E34EC">
        <w:rPr>
          <w:noProof/>
          <w:lang w:eastAsia="en-AU"/>
        </w:rPr>
        <w:t>VET qualifications is given in f</w:t>
      </w:r>
      <w:r>
        <w:rPr>
          <w:noProof/>
          <w:lang w:eastAsia="en-AU"/>
        </w:rPr>
        <w:t>igure 1, and for apprent</w:t>
      </w:r>
      <w:r w:rsidR="004E34EC">
        <w:rPr>
          <w:noProof/>
          <w:lang w:eastAsia="en-AU"/>
        </w:rPr>
        <w:t>ices and trainees in f</w:t>
      </w:r>
      <w:r w:rsidR="00F53FFE">
        <w:rPr>
          <w:noProof/>
          <w:lang w:eastAsia="en-AU"/>
        </w:rPr>
        <w:t xml:space="preserve">igure 2. </w:t>
      </w:r>
    </w:p>
    <w:p w:rsidR="00F013F4" w:rsidRDefault="00FA3B3F" w:rsidP="007A3B16">
      <w:pPr>
        <w:pStyle w:val="Figuretitle"/>
        <w:rPr>
          <w:noProof/>
          <w:lang w:eastAsia="en-AU"/>
        </w:rPr>
      </w:pPr>
      <w:r>
        <w:rPr>
          <w:noProof/>
          <w:lang w:eastAsia="en-AU"/>
        </w:rPr>
        <w:pict>
          <v:group id="_x0000_s1219" style="position:absolute;left:0;text-align:left;margin-left:-.05pt;margin-top:35.9pt;width:392.9pt;height:233.15pt;z-index:252178432" coordorigin="2032,2724" coordsize="7858,4663">
            <v:group id="_x0000_s1218" style="position:absolute;left:2032;top:2724;width:7858;height:4663" coordorigin="2032,2724" coordsize="7858,4663">
              <v:rect id="_x0000_s1121" style="position:absolute;left:2032;top:2724;width:7858;height:4663" o:regroupid="4"/>
              <v:shape id="_x0000_s1122" type="#_x0000_t202" style="position:absolute;left:2133;top:2816;width:7629;height:483;mso-width-relative:margin;mso-height-relative:margin" o:regroupid="4" stroked="f">
                <v:textbox style="mso-next-textbox:#_x0000_s1122">
                  <w:txbxContent>
                    <w:p w:rsidR="00096614" w:rsidRPr="004337C1" w:rsidRDefault="00096614" w:rsidP="00745279">
                      <w:pPr>
                        <w:spacing w:before="0"/>
                        <w:jc w:val="center"/>
                        <w:rPr>
                          <w:b/>
                          <w:sz w:val="24"/>
                          <w:szCs w:val="24"/>
                        </w:rPr>
                      </w:pPr>
                      <w:r w:rsidRPr="004337C1">
                        <w:rPr>
                          <w:b/>
                          <w:sz w:val="24"/>
                          <w:szCs w:val="24"/>
                        </w:rPr>
                        <w:t>VET qualifications</w:t>
                      </w:r>
                    </w:p>
                  </w:txbxContent>
                </v:textbox>
              </v:shape>
              <v:group id="_x0000_s1212" style="position:absolute;left:2200;top:5352;width:4682;height:1689" coordorigin="2200,5352" coordsize="4682,1689" o:regroupid="5">
                <v:shape id="_x0000_s1134" type="#_x0000_t202" style="position:absolute;left:2200;top:5352;width:4149;height:425;mso-width-relative:margin;mso-height-relative:margin" o:regroupid="4" stroked="f">
                  <v:textbox style="mso-next-textbox:#_x0000_s1134">
                    <w:txbxContent>
                      <w:p w:rsidR="00096614" w:rsidRPr="00745279" w:rsidRDefault="00096614" w:rsidP="00222F72">
                        <w:pPr>
                          <w:spacing w:before="0"/>
                          <w:rPr>
                            <w:b/>
                            <w:sz w:val="20"/>
                          </w:rPr>
                        </w:pPr>
                        <w:r w:rsidRPr="00745279">
                          <w:rPr>
                            <w:b/>
                            <w:sz w:val="20"/>
                          </w:rPr>
                          <w:t>Subject completion rate (load pass rate)</w:t>
                        </w:r>
                      </w:p>
                    </w:txbxContent>
                  </v:textbox>
                </v:shape>
                <v:group id="_x0000_s1211" style="position:absolute;left:2974;top:5848;width:3908;height:1193" coordorigin="2974,5848" coordsize="3908,1193" o:regroupid="4">
                  <v:shape id="_x0000_s1136" type="#_x0000_t202" style="position:absolute;left:3067;top:5967;width:1253;height:440;mso-width-relative:margin;mso-height-relative:margin" o:regroupid="5">
                    <v:textbox style="mso-next-textbox:#_x0000_s1136">
                      <w:txbxContent>
                        <w:p w:rsidR="00096614" w:rsidRDefault="00096614" w:rsidP="00222F72">
                          <w:pPr>
                            <w:spacing w:before="0"/>
                            <w:jc w:val="center"/>
                          </w:pPr>
                          <w:r w:rsidRPr="00D61E94">
                            <w:rPr>
                              <w:sz w:val="20"/>
                            </w:rPr>
                            <w:t>Subject</w:t>
                          </w:r>
                          <w:r w:rsidRPr="006E2042">
                            <w:rPr>
                              <w:sz w:val="20"/>
                            </w:rPr>
                            <w:t xml:space="preserve"> 1</w:t>
                          </w:r>
                        </w:p>
                      </w:txbxContent>
                    </v:textbox>
                  </v:shape>
                  <v:shape id="_x0000_s1137" type="#_x0000_t202" style="position:absolute;left:3067;top:6515;width:1253;height:406;mso-width-relative:margin;mso-height-relative:margin" o:regroupid="5">
                    <v:textbox style="mso-next-textbox:#_x0000_s1137">
                      <w:txbxContent>
                        <w:p w:rsidR="00096614" w:rsidRDefault="00096614" w:rsidP="00222F72">
                          <w:pPr>
                            <w:spacing w:before="0"/>
                            <w:jc w:val="center"/>
                          </w:pPr>
                          <w:r w:rsidRPr="00D61E94">
                            <w:rPr>
                              <w:sz w:val="20"/>
                            </w:rPr>
                            <w:t>Subject</w:t>
                          </w:r>
                          <w:r w:rsidRPr="006E2042">
                            <w:rPr>
                              <w:sz w:val="20"/>
                            </w:rPr>
                            <w:t xml:space="preserve"> 2</w:t>
                          </w:r>
                        </w:p>
                      </w:txbxContent>
                    </v:textbox>
                  </v:shape>
                  <v:shapetype id="_x0000_t32" coordsize="21600,21600" o:spt="32" o:oned="t" path="m,l21600,21600e" filled="f">
                    <v:path arrowok="t" fillok="f" o:connecttype="none"/>
                    <o:lock v:ext="edit" shapetype="t"/>
                  </v:shapetype>
                  <v:shape id="_x0000_s1138" type="#_x0000_t32" style="position:absolute;left:4321;top:6720;width:589;height:0" o:connectortype="straight" o:regroupid="5">
                    <v:stroke endarrow="oval"/>
                  </v:shape>
                  <v:shape id="_x0000_s1140" type="#_x0000_t32" style="position:absolute;left:4321;top:6179;width:1051;height:0" o:connectortype="straight" o:regroupid="5">
                    <v:stroke endarrow="block"/>
                  </v:shape>
                  <v:rect id="_x0000_s1141" style="position:absolute;left:2974;top:5848;width:1439;height:1193" o:regroupid="5" filled="f">
                    <v:stroke dashstyle="dash"/>
                  </v:rect>
                  <v:shape id="_x0000_s1142" type="#_x0000_t202" style="position:absolute;left:5508;top:5970;width:1374;height:418;mso-width-relative:margin;mso-height-relative:margin" o:regroupid="5">
                    <v:textbox style="mso-next-textbox:#_x0000_s1142">
                      <w:txbxContent>
                        <w:p w:rsidR="00096614" w:rsidRDefault="00096614" w:rsidP="00222F72">
                          <w:pPr>
                            <w:spacing w:before="0"/>
                            <w:jc w:val="center"/>
                          </w:pPr>
                          <w:r w:rsidRPr="00D61E94">
                            <w:rPr>
                              <w:sz w:val="20"/>
                            </w:rPr>
                            <w:t>Completed</w:t>
                          </w:r>
                        </w:p>
                      </w:txbxContent>
                    </v:textbox>
                  </v:shape>
                </v:group>
              </v:group>
              <v:shape id="_x0000_s1215" type="#_x0000_t202" style="position:absolute;left:5071;top:6511;width:1374;height:421;mso-width-relative:margin;mso-height-relative:margin">
                <v:textbox style="mso-next-textbox:#_x0000_s1215">
                  <w:txbxContent>
                    <w:p w:rsidR="00096614" w:rsidRDefault="00096614" w:rsidP="007B0886">
                      <w:pPr>
                        <w:spacing w:before="0"/>
                        <w:jc w:val="center"/>
                      </w:pPr>
                      <w:r w:rsidRPr="00D61E94">
                        <w:rPr>
                          <w:sz w:val="20"/>
                        </w:rPr>
                        <w:t>Cancelled</w:t>
                      </w:r>
                    </w:p>
                  </w:txbxContent>
                </v:textbox>
              </v:shape>
            </v:group>
            <v:group id="_x0000_s1217" style="position:absolute;left:2172;top:3401;width:7515;height:1671" coordorigin="2172,3401" coordsize="7515,1671">
              <v:group id="_x0000_s1210" style="position:absolute;left:2172;top:3401;width:7515;height:1671" coordorigin="2172,3401" coordsize="7515,1671" o:regroupid="4">
                <v:group id="_x0000_s1209" style="position:absolute;left:2172;top:3401;width:5986;height:1671" coordorigin="2172,3401" coordsize="5986,1671" o:regroupid="3">
                  <v:shape id="_x0000_s1124" type="#_x0000_t202" style="position:absolute;left:2172;top:3401;width:3515;height:406;mso-width-percent:400;mso-width-percent:400;mso-width-relative:margin;mso-height-relative:margin" o:regroupid="6" stroked="f">
                    <v:textbox style="mso-next-textbox:#_x0000_s1124">
                      <w:txbxContent>
                        <w:p w:rsidR="00096614" w:rsidRPr="00745279" w:rsidRDefault="00096614" w:rsidP="00222F72">
                          <w:pPr>
                            <w:spacing w:before="0"/>
                            <w:rPr>
                              <w:b/>
                              <w:sz w:val="20"/>
                            </w:rPr>
                          </w:pPr>
                          <w:r w:rsidRPr="00745279">
                            <w:rPr>
                              <w:b/>
                              <w:sz w:val="20"/>
                            </w:rPr>
                            <w:t>Qualification completion rate</w:t>
                          </w:r>
                        </w:p>
                      </w:txbxContent>
                    </v:textbox>
                  </v:shape>
                  <v:group id="_x0000_s1208" style="position:absolute;left:2458;top:3895;width:5700;height:1177" coordorigin="2458,3895" coordsize="5700,1177" o:regroupid="6">
                    <v:shape id="_x0000_s1126" type="#_x0000_t202" style="position:absolute;left:2567;top:4530;width:1724;height:420;mso-width-relative:margin;mso-height-relative:margin" o:regroupid="7">
                      <v:textbox style="mso-next-textbox:#_x0000_s1126">
                        <w:txbxContent>
                          <w:p w:rsidR="00096614" w:rsidRDefault="00096614" w:rsidP="006E2042">
                            <w:pPr>
                              <w:spacing w:before="0"/>
                              <w:jc w:val="center"/>
                            </w:pPr>
                            <w:r>
                              <w:rPr>
                                <w:sz w:val="20"/>
                              </w:rPr>
                              <w:t>Qualification</w:t>
                            </w:r>
                            <w:r w:rsidRPr="00D61E94">
                              <w:rPr>
                                <w:sz w:val="20"/>
                              </w:rPr>
                              <w:t xml:space="preserve"> </w:t>
                            </w:r>
                            <w:r w:rsidRPr="006E2042">
                              <w:rPr>
                                <w:sz w:val="20"/>
                              </w:rPr>
                              <w:t>2</w:t>
                            </w:r>
                          </w:p>
                        </w:txbxContent>
                      </v:textbox>
                    </v:shape>
                    <v:shape id="_x0000_s1127" type="#_x0000_t202" style="position:absolute;left:2566;top:3986;width:1724;height:420;mso-width-relative:margin;mso-height-relative:margin" o:regroupid="7">
                      <v:textbox style="mso-next-textbox:#_x0000_s1127">
                        <w:txbxContent>
                          <w:p w:rsidR="00096614" w:rsidRDefault="00096614" w:rsidP="006E2042">
                            <w:pPr>
                              <w:spacing w:before="0"/>
                              <w:jc w:val="center"/>
                            </w:pPr>
                            <w:r>
                              <w:rPr>
                                <w:sz w:val="20"/>
                              </w:rPr>
                              <w:t>Qualification</w:t>
                            </w:r>
                            <w:r w:rsidRPr="00D61E94">
                              <w:rPr>
                                <w:sz w:val="20"/>
                              </w:rPr>
                              <w:t xml:space="preserve"> </w:t>
                            </w:r>
                            <w:r w:rsidRPr="006E2042">
                              <w:rPr>
                                <w:sz w:val="20"/>
                              </w:rPr>
                              <w:t>1</w:t>
                            </w:r>
                          </w:p>
                        </w:txbxContent>
                      </v:textbox>
                    </v:shape>
                    <v:shape id="_x0000_s1128" type="#_x0000_t32" style="position:absolute;left:4291;top:4197;width:2261;height:0" o:connectortype="straight" o:regroupid="7">
                      <v:stroke endarrow="oval"/>
                    </v:shape>
                    <v:shape id="_x0000_s1130" type="#_x0000_t32" style="position:absolute;left:4291;top:4699;width:3867;height:0" o:connectortype="straight" o:regroupid="7">
                      <v:stroke endarrow="block"/>
                    </v:shape>
                    <v:rect id="_x0000_s1131" style="position:absolute;left:2458;top:3895;width:1936;height:1177" o:regroupid="7" filled="f">
                      <v:stroke dashstyle="dash"/>
                    </v:rect>
                  </v:group>
                </v:group>
                <v:shape id="_x0000_s1204" type="#_x0000_t202" style="position:absolute;left:8313;top:4488;width:1374;height:418;mso-width-relative:margin;mso-height-relative:margin">
                  <v:textbox style="mso-next-textbox:#_x0000_s1204">
                    <w:txbxContent>
                      <w:p w:rsidR="00096614" w:rsidRDefault="00096614" w:rsidP="007B0886">
                        <w:pPr>
                          <w:spacing w:before="0"/>
                          <w:jc w:val="center"/>
                        </w:pPr>
                        <w:r w:rsidRPr="00D61E94">
                          <w:rPr>
                            <w:sz w:val="20"/>
                          </w:rPr>
                          <w:t>Completed</w:t>
                        </w:r>
                      </w:p>
                    </w:txbxContent>
                  </v:textbox>
                </v:shape>
              </v:group>
              <v:shape id="_x0000_s1216" type="#_x0000_t202" style="position:absolute;left:6707;top:3976;width:1374;height:421;mso-width-relative:margin;mso-height-relative:margin">
                <v:textbox style="mso-next-textbox:#_x0000_s1216">
                  <w:txbxContent>
                    <w:p w:rsidR="00096614" w:rsidRDefault="00096614" w:rsidP="007B0886">
                      <w:pPr>
                        <w:spacing w:before="0"/>
                        <w:jc w:val="center"/>
                      </w:pPr>
                      <w:r w:rsidRPr="00D61E94">
                        <w:rPr>
                          <w:sz w:val="20"/>
                        </w:rPr>
                        <w:t>Cancelled</w:t>
                      </w:r>
                    </w:p>
                  </w:txbxContent>
                </v:textbox>
              </v:shape>
            </v:group>
            <w10:wrap type="topAndBottom"/>
          </v:group>
        </w:pict>
      </w:r>
      <w:bookmarkStart w:id="37" w:name="_Toc312160077"/>
      <w:r w:rsidR="00F013F4">
        <w:rPr>
          <w:noProof/>
          <w:lang w:eastAsia="en-AU"/>
        </w:rPr>
        <w:t xml:space="preserve">Figure 1 </w:t>
      </w:r>
      <w:r w:rsidR="0091757B">
        <w:rPr>
          <w:noProof/>
          <w:lang w:eastAsia="en-AU"/>
        </w:rPr>
        <w:tab/>
      </w:r>
      <w:r w:rsidR="0091757B" w:rsidRPr="0091757B">
        <w:rPr>
          <w:noProof/>
          <w:lang w:eastAsia="en-AU"/>
        </w:rPr>
        <w:t>Visual summary of completi</w:t>
      </w:r>
      <w:r w:rsidR="0091757B">
        <w:rPr>
          <w:noProof/>
          <w:lang w:eastAsia="en-AU"/>
        </w:rPr>
        <w:t>on rates for VET qualifications</w:t>
      </w:r>
      <w:bookmarkEnd w:id="37"/>
    </w:p>
    <w:p w:rsidR="00222F72" w:rsidRDefault="00CB68A9" w:rsidP="007A3B16">
      <w:pPr>
        <w:pStyle w:val="Source"/>
        <w:spacing w:before="160"/>
      </w:pPr>
      <w:r w:rsidRPr="00CB68A9">
        <w:t>Note:</w:t>
      </w:r>
      <w:r w:rsidRPr="00CB68A9">
        <w:tab/>
      </w:r>
      <w:r w:rsidR="00222F72" w:rsidRPr="00CB68A9">
        <w:t xml:space="preserve">For VET students, we consider completion rates </w:t>
      </w:r>
      <w:r w:rsidR="004E34EC" w:rsidRPr="00CB68A9">
        <w:t xml:space="preserve">at either the qualification </w:t>
      </w:r>
      <w:r w:rsidR="00484203">
        <w:t xml:space="preserve">level or the subject </w:t>
      </w:r>
      <w:r w:rsidR="00222F72" w:rsidRPr="00CB68A9">
        <w:t>level. The particular level selected determines what we need to track.</w:t>
      </w:r>
    </w:p>
    <w:p w:rsidR="00F013F4" w:rsidRPr="00CB68A9" w:rsidRDefault="00FA3B3F" w:rsidP="007A3B16">
      <w:pPr>
        <w:pStyle w:val="Figuretitle"/>
      </w:pPr>
      <w:r>
        <w:rPr>
          <w:noProof/>
          <w:lang w:eastAsia="en-AU"/>
        </w:rPr>
        <w:pict>
          <v:group id="_x0000_s1229" style="position:absolute;left:0;text-align:left;margin-left:.2pt;margin-top:36.05pt;width:392.9pt;height:239.15pt;z-index:251657215" coordorigin="2031,9016" coordsize="7858,4783">
            <v:rect id="_x0000_s1166" style="position:absolute;left:2031;top:9016;width:7858;height:4783" o:regroupid="7"/>
            <v:shape id="_x0000_s1167" type="#_x0000_t202" style="position:absolute;left:2158;top:9120;width:7562;height:483;mso-width-relative:margin;mso-height-relative:margin" o:regroupid="7" stroked="f">
              <v:textbox style="mso-next-textbox:#_x0000_s1167">
                <w:txbxContent>
                  <w:p w:rsidR="00096614" w:rsidRPr="004337C1" w:rsidRDefault="00096614" w:rsidP="001C0D48">
                    <w:pPr>
                      <w:spacing w:before="0"/>
                      <w:jc w:val="center"/>
                      <w:rPr>
                        <w:b/>
                        <w:sz w:val="24"/>
                        <w:szCs w:val="24"/>
                      </w:rPr>
                    </w:pPr>
                    <w:r>
                      <w:rPr>
                        <w:b/>
                        <w:sz w:val="24"/>
                        <w:szCs w:val="24"/>
                      </w:rPr>
                      <w:t>Apprentices and t</w:t>
                    </w:r>
                    <w:r w:rsidRPr="004337C1">
                      <w:rPr>
                        <w:b/>
                        <w:sz w:val="24"/>
                        <w:szCs w:val="24"/>
                      </w:rPr>
                      <w:t>rainees</w:t>
                    </w:r>
                  </w:p>
                </w:txbxContent>
              </v:textbox>
            </v:shape>
            <v:group id="_x0000_s1226" style="position:absolute;left:2159;top:9686;width:7486;height:1596" coordorigin="2159,9686" coordsize="7486,1596">
              <v:shape id="_x0000_s1207" type="#_x0000_t202" style="position:absolute;left:6783;top:10255;width:1374;height:421;mso-width-relative:margin;mso-height-relative:margin">
                <v:textbox style="mso-next-textbox:#_x0000_s1207">
                  <w:txbxContent>
                    <w:p w:rsidR="00096614" w:rsidRDefault="00096614" w:rsidP="007B0886">
                      <w:pPr>
                        <w:spacing w:before="0"/>
                        <w:jc w:val="center"/>
                      </w:pPr>
                      <w:r w:rsidRPr="00D61E94">
                        <w:rPr>
                          <w:sz w:val="20"/>
                        </w:rPr>
                        <w:t>Cancelled</w:t>
                      </w:r>
                    </w:p>
                  </w:txbxContent>
                </v:textbox>
              </v:shape>
              <v:group id="_x0000_s1223" style="position:absolute;left:2159;top:9686;width:7486;height:1596" coordorigin="2159,9686" coordsize="7486,1596" o:regroupid="7">
                <v:shape id="_x0000_s1169" type="#_x0000_t202" style="position:absolute;left:2159;top:9686;width:3515;height:431;mso-width-percent:400;mso-width-percent:400;mso-width-relative:margin;mso-height-relative:margin" o:regroupid="8" stroked="f">
                  <v:textbox style="mso-next-textbox:#_x0000_s1169">
                    <w:txbxContent>
                      <w:p w:rsidR="00096614" w:rsidRPr="00745279" w:rsidRDefault="00096614" w:rsidP="001C0D48">
                        <w:pPr>
                          <w:spacing w:before="0"/>
                          <w:rPr>
                            <w:b/>
                            <w:sz w:val="20"/>
                          </w:rPr>
                        </w:pPr>
                        <w:r w:rsidRPr="00745279">
                          <w:rPr>
                            <w:b/>
                            <w:sz w:val="20"/>
                          </w:rPr>
                          <w:t>Contract completion rate</w:t>
                        </w:r>
                      </w:p>
                    </w:txbxContent>
                  </v:textbox>
                </v:shape>
                <v:group id="_x0000_s1222" style="position:absolute;left:2906;top:10161;width:6739;height:1121" coordorigin="2906,10161" coordsize="6739,1121" o:regroupid="8">
                  <v:shape id="_x0000_s1171" type="#_x0000_t202" style="position:absolute;left:3027;top:10255;width:1345;height:391;mso-width-relative:margin;mso-height-relative:margin" o:regroupid="9">
                    <v:textbox style="mso-next-textbox:#_x0000_s1171">
                      <w:txbxContent>
                        <w:p w:rsidR="00096614" w:rsidRDefault="00096614" w:rsidP="001C0D48">
                          <w:pPr>
                            <w:spacing w:before="0"/>
                            <w:jc w:val="center"/>
                          </w:pPr>
                          <w:r w:rsidRPr="00D61E94">
                            <w:rPr>
                              <w:sz w:val="20"/>
                            </w:rPr>
                            <w:t>Contract</w:t>
                          </w:r>
                          <w:r>
                            <w:t xml:space="preserve"> </w:t>
                          </w:r>
                          <w:r w:rsidRPr="005C24E5">
                            <w:rPr>
                              <w:sz w:val="20"/>
                            </w:rPr>
                            <w:t>1</w:t>
                          </w:r>
                        </w:p>
                      </w:txbxContent>
                    </v:textbox>
                  </v:shape>
                  <v:shape id="_x0000_s1172" type="#_x0000_t202" style="position:absolute;left:3027;top:10795;width:1345;height:392;mso-width-relative:margin;mso-height-relative:margin" o:regroupid="9">
                    <v:textbox style="mso-next-textbox:#_x0000_s1172">
                      <w:txbxContent>
                        <w:p w:rsidR="00096614" w:rsidRDefault="00096614" w:rsidP="001C0D48">
                          <w:pPr>
                            <w:spacing w:before="0"/>
                            <w:jc w:val="center"/>
                          </w:pPr>
                          <w:r w:rsidRPr="00D61E94">
                            <w:rPr>
                              <w:sz w:val="20"/>
                            </w:rPr>
                            <w:t>Contract</w:t>
                          </w:r>
                          <w:r>
                            <w:t xml:space="preserve"> </w:t>
                          </w:r>
                          <w:r w:rsidRPr="005C24E5">
                            <w:rPr>
                              <w:sz w:val="20"/>
                            </w:rPr>
                            <w:t>2</w:t>
                          </w:r>
                        </w:p>
                      </w:txbxContent>
                    </v:textbox>
                  </v:shape>
                  <v:shape id="_x0000_s1173" type="#_x0000_t32" style="position:absolute;left:4372;top:10480;width:2260;height:0" o:connectortype="straight" o:regroupid="9">
                    <v:stroke endarrow="oval"/>
                  </v:shape>
                  <v:shape id="_x0000_s1175" type="#_x0000_t32" style="position:absolute;left:4372;top:11010;width:3774;height:0" o:connectortype="straight" o:regroupid="9">
                    <v:stroke endarrow="block"/>
                  </v:shape>
                  <v:shape id="_x0000_s1176" type="#_x0000_t202" style="position:absolute;left:8271;top:10811;width:1374;height:407;mso-width-relative:margin;mso-height-relative:margin" o:regroupid="9">
                    <v:textbox style="mso-next-textbox:#_x0000_s1176">
                      <w:txbxContent>
                        <w:p w:rsidR="00096614" w:rsidRPr="005C24E5" w:rsidRDefault="00096614" w:rsidP="007B0886">
                          <w:pPr>
                            <w:spacing w:before="0"/>
                            <w:jc w:val="center"/>
                            <w:rPr>
                              <w:sz w:val="20"/>
                            </w:rPr>
                          </w:pPr>
                          <w:r w:rsidRPr="00D61E94">
                            <w:rPr>
                              <w:sz w:val="20"/>
                            </w:rPr>
                            <w:t>Completed</w:t>
                          </w:r>
                        </w:p>
                      </w:txbxContent>
                    </v:textbox>
                  </v:shape>
                  <v:rect id="_x0000_s1177" style="position:absolute;left:2906;top:10161;width:1577;height:1121" o:regroupid="9" filled="f">
                    <v:stroke dashstyle="dash"/>
                  </v:rect>
                </v:group>
              </v:group>
            </v:group>
            <v:group id="_x0000_s1221" style="position:absolute;left:2161;top:11586;width:7484;height:1864" coordorigin="2161,11586" coordsize="7484,1864" o:regroupid="6">
              <v:group id="_x0000_s1200" style="position:absolute;left:2161;top:11586;width:5985;height:1864" coordorigin="2161,11586" coordsize="5985,1864" o:regroupid="10">
                <v:shape id="_x0000_s1179" type="#_x0000_t202" style="position:absolute;left:2161;top:11586;width:3514;height:406;mso-width-percent:400;mso-width-percent:400;mso-width-relative:margin;mso-height-relative:margin" o:regroupid="4" stroked="f">
                  <v:textbox style="mso-next-textbox:#_x0000_s1179">
                    <w:txbxContent>
                      <w:p w:rsidR="00096614" w:rsidRPr="00745279" w:rsidRDefault="00096614" w:rsidP="001C0D48">
                        <w:pPr>
                          <w:spacing w:before="0"/>
                          <w:rPr>
                            <w:b/>
                            <w:sz w:val="20"/>
                          </w:rPr>
                        </w:pPr>
                        <w:r w:rsidRPr="00745279">
                          <w:rPr>
                            <w:b/>
                            <w:sz w:val="20"/>
                          </w:rPr>
                          <w:t>Individual completion rate</w:t>
                        </w:r>
                      </w:p>
                    </w:txbxContent>
                  </v:textbox>
                </v:shape>
                <v:shape id="_x0000_s1180" type="#_x0000_t32" style="position:absolute;left:4027;top:13042;width:2605;height:1" o:connectortype="straight" o:regroupid="4">
                  <v:stroke endarrow="oval"/>
                </v:shape>
                <v:shape id="_x0000_s1182" type="#_x0000_t32" style="position:absolute;left:4027;top:12406;width:4119;height:1" o:connectortype="straight" o:regroupid="4">
                  <v:stroke endarrow="block"/>
                </v:shape>
                <v:rect id="_x0000_s1184" style="position:absolute;left:2902;top:12062;width:1581;height:1388" o:regroupid="4" filled="f">
                  <v:stroke dashstyle="dash"/>
                </v:rect>
              </v:group>
              <v:shape id="_x0000_s1195" type="#_x0000_t202" style="position:absolute;left:8271;top:12199;width:1374;height:407;mso-width-relative:margin;mso-height-relative:margin" o:regroupid="10">
                <v:textbox style="mso-next-textbox:#_x0000_s1195">
                  <w:txbxContent>
                    <w:p w:rsidR="00096614" w:rsidRPr="005C24E5" w:rsidRDefault="00096614" w:rsidP="007B0886">
                      <w:pPr>
                        <w:spacing w:before="0"/>
                        <w:jc w:val="center"/>
                        <w:rPr>
                          <w:sz w:val="20"/>
                        </w:rPr>
                      </w:pPr>
                      <w:r w:rsidRPr="00D61E94">
                        <w:rPr>
                          <w:sz w:val="20"/>
                        </w:rPr>
                        <w:t>Completed</w:t>
                      </w:r>
                    </w:p>
                  </w:txbxContent>
                </v:textbox>
              </v:shape>
              <v:shape id="_x0000_s1197" type="#_x0000_t202" style="position:absolute;left:6783;top:12842;width:1429;height:411;mso-width-relative:margin;mso-height-relative:margin" o:regroupid="10">
                <v:textbox style="mso-next-textbox:#_x0000_s1197">
                  <w:txbxContent>
                    <w:p w:rsidR="00096614" w:rsidRPr="005C24E5" w:rsidRDefault="00096614" w:rsidP="007B0886">
                      <w:pPr>
                        <w:spacing w:before="0"/>
                        <w:jc w:val="center"/>
                        <w:rPr>
                          <w:sz w:val="20"/>
                        </w:rPr>
                      </w:pPr>
                      <w:r w:rsidRPr="00D61E94">
                        <w:rPr>
                          <w:sz w:val="20"/>
                        </w:rPr>
                        <w:t>Cancelled</w:t>
                      </w:r>
                    </w:p>
                  </w:txbxContent>
                </v:textbox>
              </v:shape>
            </v:group>
            <w10:wrap type="topAndBottom"/>
          </v:group>
        </w:pict>
      </w:r>
      <w:bookmarkStart w:id="38" w:name="_Toc312160078"/>
      <w:r w:rsidR="00F013F4">
        <w:t>Figure 2</w:t>
      </w:r>
      <w:r w:rsidR="007A3B16">
        <w:tab/>
      </w:r>
      <w:r w:rsidR="0091757B" w:rsidRPr="0091757B">
        <w:t>Visual summary of completion rates for apprentices and trainees</w:t>
      </w:r>
      <w:bookmarkEnd w:id="38"/>
    </w:p>
    <w:p w:rsidR="00745279" w:rsidRPr="00CB68A9" w:rsidRDefault="007A3B16" w:rsidP="007A3B16">
      <w:pPr>
        <w:pStyle w:val="Source"/>
        <w:spacing w:before="160"/>
      </w:pPr>
      <w:r>
        <w:rPr>
          <w:noProof/>
          <w:lang w:eastAsia="en-AU"/>
        </w:rPr>
        <w:drawing>
          <wp:anchor distT="0" distB="0" distL="114300" distR="114300" simplePos="0" relativeHeight="252143616" behindDoc="0" locked="0" layoutInCell="1" allowOverlap="1">
            <wp:simplePos x="0" y="0"/>
            <wp:positionH relativeFrom="column">
              <wp:posOffset>1028700</wp:posOffset>
            </wp:positionH>
            <wp:positionV relativeFrom="paragraph">
              <wp:posOffset>2437130</wp:posOffset>
            </wp:positionV>
            <wp:extent cx="176530" cy="375285"/>
            <wp:effectExtent l="19050" t="0" r="0" b="0"/>
            <wp:wrapNone/>
            <wp:docPr id="6" name="Picture 1" descr="\\ncver.edu.au\data\users\alicebednarz\My Pictures\stick fig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ver.edu.au\data\users\alicebednarz\My Pictures\stick figure.png"/>
                    <pic:cNvPicPr>
                      <a:picLocks noChangeAspect="1" noChangeArrowheads="1"/>
                    </pic:cNvPicPr>
                  </pic:nvPicPr>
                  <pic:blipFill>
                    <a:blip r:embed="rId11" cstate="print">
                      <a:duotone>
                        <a:schemeClr val="accent2">
                          <a:shade val="45000"/>
                          <a:satMod val="135000"/>
                        </a:schemeClr>
                        <a:prstClr val="white"/>
                      </a:duotone>
                    </a:blip>
                    <a:srcRect/>
                    <a:stretch>
                      <a:fillRect/>
                    </a:stretch>
                  </pic:blipFill>
                  <pic:spPr bwMode="auto">
                    <a:xfrm>
                      <a:off x="0" y="0"/>
                      <a:ext cx="176530" cy="375285"/>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2142592" behindDoc="0" locked="0" layoutInCell="1" allowOverlap="1">
            <wp:simplePos x="0" y="0"/>
            <wp:positionH relativeFrom="column">
              <wp:posOffset>1029063</wp:posOffset>
            </wp:positionH>
            <wp:positionV relativeFrom="paragraph">
              <wp:posOffset>2037262</wp:posOffset>
            </wp:positionV>
            <wp:extent cx="176893" cy="367393"/>
            <wp:effectExtent l="19050" t="0" r="0" b="0"/>
            <wp:wrapNone/>
            <wp:docPr id="5" name="Picture 1" descr="\\ncver.edu.au\data\users\alicebednarz\My Pictures\stick fig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ver.edu.au\data\users\alicebednarz\My Pictures\stick figure.png"/>
                    <pic:cNvPicPr>
                      <a:picLocks noChangeAspect="1" noChangeArrowheads="1"/>
                    </pic:cNvPicPr>
                  </pic:nvPicPr>
                  <pic:blipFill>
                    <a:blip r:embed="rId11" cstate="print">
                      <a:clrChange>
                        <a:clrFrom>
                          <a:srgbClr val="000000">
                            <a:alpha val="0"/>
                          </a:srgbClr>
                        </a:clrFrom>
                        <a:clrTo>
                          <a:srgbClr val="000000">
                            <a:alpha val="0"/>
                          </a:srgbClr>
                        </a:clrTo>
                      </a:clrChange>
                      <a:duotone>
                        <a:prstClr val="black"/>
                        <a:schemeClr val="accent2">
                          <a:tint val="45000"/>
                          <a:satMod val="400000"/>
                        </a:schemeClr>
                      </a:duotone>
                    </a:blip>
                    <a:srcRect/>
                    <a:stretch>
                      <a:fillRect/>
                    </a:stretch>
                  </pic:blipFill>
                  <pic:spPr bwMode="auto">
                    <a:xfrm flipH="1">
                      <a:off x="0" y="0"/>
                      <a:ext cx="176893" cy="367393"/>
                    </a:xfrm>
                    <a:prstGeom prst="rect">
                      <a:avLst/>
                    </a:prstGeom>
                    <a:noFill/>
                    <a:ln w="9525">
                      <a:noFill/>
                      <a:miter lim="800000"/>
                      <a:headEnd/>
                      <a:tailEnd/>
                    </a:ln>
                  </pic:spPr>
                </pic:pic>
              </a:graphicData>
            </a:graphic>
          </wp:anchor>
        </w:drawing>
      </w:r>
      <w:r w:rsidR="00CB68A9" w:rsidRPr="00CB68A9">
        <w:t>Note:</w:t>
      </w:r>
      <w:r w:rsidR="004E34EC" w:rsidRPr="00CB68A9">
        <w:tab/>
      </w:r>
      <w:r w:rsidR="001C0D48" w:rsidRPr="00CB68A9">
        <w:t>For apprentices and trainees, we consider completi</w:t>
      </w:r>
      <w:r w:rsidR="00CB68A9" w:rsidRPr="00CB68A9">
        <w:t>on rates at either the contract level, or at</w:t>
      </w:r>
      <w:r w:rsidR="00CB68A9">
        <w:t xml:space="preserve"> </w:t>
      </w:r>
      <w:r w:rsidR="00CB68A9" w:rsidRPr="00CB68A9">
        <w:t xml:space="preserve">the individual </w:t>
      </w:r>
      <w:r w:rsidR="001C0D48" w:rsidRPr="00CB68A9">
        <w:t>level. The particular level selected determines what or who we need to track.</w:t>
      </w:r>
    </w:p>
    <w:p w:rsidR="00745279" w:rsidRDefault="00745279">
      <w:pPr>
        <w:spacing w:before="0" w:line="240" w:lineRule="auto"/>
        <w:rPr>
          <w:rFonts w:ascii="Tahoma" w:hAnsi="Tahoma" w:cs="Tahoma"/>
          <w:sz w:val="28"/>
        </w:rPr>
      </w:pPr>
      <w:r>
        <w:br w:type="page"/>
      </w:r>
    </w:p>
    <w:p w:rsidR="00A53B3F" w:rsidRPr="00E57C45" w:rsidRDefault="00A53B3F" w:rsidP="00A53B3F">
      <w:pPr>
        <w:pStyle w:val="Heading2"/>
      </w:pPr>
      <w:bookmarkStart w:id="39" w:name="_Toc309043799"/>
      <w:r w:rsidRPr="00F03140">
        <w:lastRenderedPageBreak/>
        <w:t>What is the period of time we are tracking over?</w:t>
      </w:r>
      <w:bookmarkEnd w:id="39"/>
    </w:p>
    <w:p w:rsidR="00A53B3F" w:rsidRDefault="00A53B3F" w:rsidP="00A53B3F">
      <w:pPr>
        <w:pStyle w:val="Text"/>
      </w:pPr>
      <w:r>
        <w:t>Ideally, to calculate the course completion rate, we need to wait for all students who started at a given time to either complete or drop out of their course. That is, we need to track each course from start to finish. Only when all courses are accounted for will we know the true course completion rate. However</w:t>
      </w:r>
      <w:r w:rsidR="00484203">
        <w:t>, this could take years</w:t>
      </w:r>
      <w:r>
        <w:t xml:space="preserve">. For example, an advanced diploma is generally </w:t>
      </w:r>
      <w:r w:rsidR="00CB68A9">
        <w:t>two years of full-</w:t>
      </w:r>
      <w:r>
        <w:t xml:space="preserve">time study, but could take many years if </w:t>
      </w:r>
      <w:r w:rsidR="00484203">
        <w:t>undertaken</w:t>
      </w:r>
      <w:r>
        <w:t xml:space="preserve"> on a part-time basis. </w:t>
      </w:r>
    </w:p>
    <w:p w:rsidR="00A53B3F" w:rsidRPr="008B2529" w:rsidRDefault="00A53B3F" w:rsidP="00A53B3F">
      <w:pPr>
        <w:pStyle w:val="Text"/>
      </w:pPr>
      <w:r>
        <w:t>Hence the longer we wait, the higher the completion rate wi</w:t>
      </w:r>
      <w:r w:rsidR="00CB68A9">
        <w:t>ll be. However, the data become</w:t>
      </w:r>
      <w:r>
        <w:t xml:space="preserve"> more and more out of date the longer we wait. T</w:t>
      </w:r>
      <w:r w:rsidR="00CB68A9">
        <w:t>herefore, we need to compromise</w:t>
      </w:r>
      <w:r>
        <w:t xml:space="preserve"> and choose an appropriate ‘time window’ over which to track a cohort. We track a cohort for a particular window only, and then apply an appropriate technique to </w:t>
      </w:r>
      <w:r w:rsidRPr="002C0706">
        <w:rPr>
          <w:i/>
        </w:rPr>
        <w:t>estimate</w:t>
      </w:r>
      <w:r>
        <w:t xml:space="preserve"> the overall completion rate. The techniques used to estimate the rates </w:t>
      </w:r>
      <w:r w:rsidR="00DC2E9F">
        <w:t>are</w:t>
      </w:r>
      <w:r>
        <w:t xml:space="preserve"> described in the next section. </w:t>
      </w:r>
      <w:r w:rsidRPr="008B2529">
        <w:t xml:space="preserve">For now, we </w:t>
      </w:r>
      <w:r w:rsidR="00484203">
        <w:t>look at</w:t>
      </w:r>
      <w:r w:rsidRPr="008B2529">
        <w:t xml:space="preserve"> the time windows. </w:t>
      </w:r>
    </w:p>
    <w:p w:rsidR="00A53B3F" w:rsidRDefault="00A53B3F" w:rsidP="00A53B3F">
      <w:pPr>
        <w:pStyle w:val="Text"/>
      </w:pPr>
      <w:r w:rsidRPr="008B2529">
        <w:t xml:space="preserve">A time window is the length of time </w:t>
      </w:r>
      <w:r w:rsidRPr="008B2529">
        <w:rPr>
          <w:i/>
        </w:rPr>
        <w:t>from the cohort’s starting time</w:t>
      </w:r>
      <w:r w:rsidRPr="008B2529">
        <w:t xml:space="preserve"> until we </w:t>
      </w:r>
      <w:r w:rsidR="00FB217F">
        <w:t>cease</w:t>
      </w:r>
      <w:r w:rsidRPr="008B2529">
        <w:t xml:space="preserve"> monitoring the cohort.</w:t>
      </w:r>
      <w:r>
        <w:t xml:space="preserve"> The time windows for various</w:t>
      </w:r>
      <w:r w:rsidR="00FB217F">
        <w:t xml:space="preserve"> completion rates are shown in t</w:t>
      </w:r>
      <w:r>
        <w:t xml:space="preserve">able 1. Note that the term ‘projected </w:t>
      </w:r>
      <w:r w:rsidRPr="00607C57">
        <w:t>contract completion rate</w:t>
      </w:r>
      <w:r>
        <w:t>’</w:t>
      </w:r>
      <w:r w:rsidRPr="00607C57">
        <w:t xml:space="preserve"> is used to refer to </w:t>
      </w:r>
      <w:r>
        <w:t xml:space="preserve">a </w:t>
      </w:r>
      <w:r w:rsidRPr="00607C57">
        <w:t xml:space="preserve">more up-to-date estimate of the contract completion rate. The projected contract completion rate </w:t>
      </w:r>
      <w:r w:rsidR="00836132">
        <w:t>is based on a much</w:t>
      </w:r>
      <w:r w:rsidRPr="00607C57">
        <w:t xml:space="preserve"> shorter </w:t>
      </w:r>
      <w:r w:rsidR="00836132">
        <w:t>time</w:t>
      </w:r>
      <w:r w:rsidR="00FB217F">
        <w:t xml:space="preserve"> window (one</w:t>
      </w:r>
      <w:r w:rsidRPr="00607C57">
        <w:t xml:space="preserve"> quarter) than </w:t>
      </w:r>
      <w:r w:rsidR="00484203">
        <w:t xml:space="preserve">is </w:t>
      </w:r>
      <w:r w:rsidRPr="00607C57">
        <w:t>the regular contract completion rate (</w:t>
      </w:r>
      <w:r w:rsidR="00FB217F">
        <w:t>four</w:t>
      </w:r>
      <w:r w:rsidRPr="00607C57">
        <w:t xml:space="preserve"> years).</w:t>
      </w:r>
      <w:r>
        <w:t xml:space="preserve"> Similarly, the term </w:t>
      </w:r>
      <w:r w:rsidR="00030057">
        <w:t>‘</w:t>
      </w:r>
      <w:r>
        <w:t xml:space="preserve">projected qualification completion rate’ indicates that the rate is an </w:t>
      </w:r>
      <w:r w:rsidRPr="0000380F">
        <w:rPr>
          <w:i/>
        </w:rPr>
        <w:t>estimate</w:t>
      </w:r>
      <w:r>
        <w:t xml:space="preserve"> of the true qualification completion rate. </w:t>
      </w:r>
    </w:p>
    <w:p w:rsidR="00F53FFE" w:rsidRDefault="00F53FFE" w:rsidP="00F53FFE">
      <w:pPr>
        <w:pStyle w:val="tabletitle"/>
      </w:pPr>
      <w:bookmarkStart w:id="40" w:name="_Toc311991630"/>
      <w:r>
        <w:t>Table 1</w:t>
      </w:r>
      <w:r>
        <w:tab/>
      </w:r>
      <w:r w:rsidR="00F71685">
        <w:t>Length of the time windows for various completion rates</w:t>
      </w:r>
      <w:bookmarkEnd w:id="40"/>
      <w:r>
        <w:t xml:space="preserve"> </w:t>
      </w:r>
    </w:p>
    <w:tbl>
      <w:tblPr>
        <w:tblW w:w="8789" w:type="dxa"/>
        <w:tblInd w:w="108" w:type="dxa"/>
        <w:tblBorders>
          <w:top w:val="single" w:sz="4" w:space="0" w:color="auto"/>
          <w:bottom w:val="single" w:sz="4" w:space="0" w:color="auto"/>
        </w:tblBorders>
        <w:tblLayout w:type="fixed"/>
        <w:tblLook w:val="0000"/>
      </w:tblPr>
      <w:tblGrid>
        <w:gridCol w:w="3402"/>
        <w:gridCol w:w="2693"/>
        <w:gridCol w:w="2694"/>
      </w:tblGrid>
      <w:tr w:rsidR="00F71685" w:rsidTr="00FF0952">
        <w:trPr>
          <w:cantSplit/>
        </w:trPr>
        <w:tc>
          <w:tcPr>
            <w:tcW w:w="3402" w:type="dxa"/>
            <w:tcBorders>
              <w:top w:val="single" w:sz="4" w:space="0" w:color="auto"/>
              <w:bottom w:val="single" w:sz="4" w:space="0" w:color="auto"/>
              <w:right w:val="nil"/>
            </w:tcBorders>
          </w:tcPr>
          <w:p w:rsidR="00F71685" w:rsidRDefault="00F71685" w:rsidP="006930A0">
            <w:pPr>
              <w:pStyle w:val="Tablehead1"/>
            </w:pPr>
            <w:r>
              <w:t>Completion rate</w:t>
            </w:r>
          </w:p>
        </w:tc>
        <w:tc>
          <w:tcPr>
            <w:tcW w:w="2693" w:type="dxa"/>
            <w:tcBorders>
              <w:top w:val="single" w:sz="4" w:space="0" w:color="auto"/>
              <w:left w:val="nil"/>
              <w:bottom w:val="single" w:sz="4" w:space="0" w:color="auto"/>
            </w:tcBorders>
          </w:tcPr>
          <w:p w:rsidR="00F71685" w:rsidRDefault="00F71685" w:rsidP="00F71685">
            <w:pPr>
              <w:pStyle w:val="Tablehead1"/>
            </w:pPr>
            <w:r>
              <w:t>Who for</w:t>
            </w:r>
          </w:p>
        </w:tc>
        <w:tc>
          <w:tcPr>
            <w:tcW w:w="2694" w:type="dxa"/>
            <w:tcBorders>
              <w:top w:val="single" w:sz="4" w:space="0" w:color="auto"/>
              <w:left w:val="nil"/>
              <w:bottom w:val="single" w:sz="4" w:space="0" w:color="auto"/>
            </w:tcBorders>
          </w:tcPr>
          <w:p w:rsidR="00F71685" w:rsidRDefault="00F71685" w:rsidP="00F71685">
            <w:pPr>
              <w:pStyle w:val="Tablehead1"/>
            </w:pPr>
            <w:r>
              <w:t>Time window</w:t>
            </w:r>
          </w:p>
        </w:tc>
      </w:tr>
      <w:tr w:rsidR="00F71685" w:rsidTr="00FF0952">
        <w:trPr>
          <w:cantSplit/>
        </w:trPr>
        <w:tc>
          <w:tcPr>
            <w:tcW w:w="3402" w:type="dxa"/>
            <w:tcBorders>
              <w:top w:val="single" w:sz="4" w:space="0" w:color="auto"/>
              <w:bottom w:val="nil"/>
              <w:right w:val="nil"/>
            </w:tcBorders>
          </w:tcPr>
          <w:p w:rsidR="00F71685" w:rsidRDefault="00F71685" w:rsidP="006930A0">
            <w:pPr>
              <w:pStyle w:val="Tabletext"/>
            </w:pPr>
            <w:r>
              <w:t>Projected qualification completion rate</w:t>
            </w:r>
          </w:p>
        </w:tc>
        <w:tc>
          <w:tcPr>
            <w:tcW w:w="2693" w:type="dxa"/>
            <w:tcBorders>
              <w:top w:val="single" w:sz="4" w:space="0" w:color="auto"/>
              <w:left w:val="nil"/>
            </w:tcBorders>
          </w:tcPr>
          <w:p w:rsidR="00F71685" w:rsidRDefault="00F71685" w:rsidP="00F71685">
            <w:pPr>
              <w:pStyle w:val="Tabletext"/>
              <w:ind w:left="176" w:hanging="176"/>
            </w:pPr>
            <w:r>
              <w:t>VET students</w:t>
            </w:r>
          </w:p>
        </w:tc>
        <w:tc>
          <w:tcPr>
            <w:tcW w:w="2694" w:type="dxa"/>
            <w:tcBorders>
              <w:top w:val="single" w:sz="4" w:space="0" w:color="auto"/>
              <w:left w:val="nil"/>
            </w:tcBorders>
          </w:tcPr>
          <w:p w:rsidR="00F71685" w:rsidRDefault="00F71685" w:rsidP="00F71685">
            <w:pPr>
              <w:pStyle w:val="Tabletext"/>
            </w:pPr>
            <w:r>
              <w:t>1 year</w:t>
            </w:r>
          </w:p>
        </w:tc>
      </w:tr>
      <w:tr w:rsidR="00F71685" w:rsidTr="00FF0952">
        <w:trPr>
          <w:cantSplit/>
        </w:trPr>
        <w:tc>
          <w:tcPr>
            <w:tcW w:w="3402" w:type="dxa"/>
            <w:tcBorders>
              <w:top w:val="nil"/>
              <w:bottom w:val="nil"/>
              <w:right w:val="nil"/>
            </w:tcBorders>
          </w:tcPr>
          <w:p w:rsidR="00F71685" w:rsidRDefault="00F71685" w:rsidP="006930A0">
            <w:pPr>
              <w:pStyle w:val="Tabletext"/>
            </w:pPr>
            <w:r>
              <w:t>Contract completion rate</w:t>
            </w:r>
          </w:p>
        </w:tc>
        <w:tc>
          <w:tcPr>
            <w:tcW w:w="2693" w:type="dxa"/>
            <w:tcBorders>
              <w:left w:val="nil"/>
            </w:tcBorders>
          </w:tcPr>
          <w:p w:rsidR="00F71685" w:rsidRDefault="00F71685" w:rsidP="00FB217F">
            <w:pPr>
              <w:pStyle w:val="Tabletext"/>
            </w:pPr>
            <w:r>
              <w:t xml:space="preserve">Apprentices </w:t>
            </w:r>
            <w:r w:rsidR="00FB217F">
              <w:t>and</w:t>
            </w:r>
            <w:r>
              <w:t xml:space="preserve"> trainees</w:t>
            </w:r>
          </w:p>
        </w:tc>
        <w:tc>
          <w:tcPr>
            <w:tcW w:w="2694" w:type="dxa"/>
            <w:tcBorders>
              <w:left w:val="nil"/>
            </w:tcBorders>
          </w:tcPr>
          <w:p w:rsidR="00F71685" w:rsidRDefault="00F71685" w:rsidP="00F71685">
            <w:pPr>
              <w:pStyle w:val="Tabletext"/>
            </w:pPr>
            <w:r>
              <w:t>4 years</w:t>
            </w:r>
          </w:p>
        </w:tc>
      </w:tr>
      <w:tr w:rsidR="00F71685" w:rsidTr="00FF0952">
        <w:trPr>
          <w:cantSplit/>
        </w:trPr>
        <w:tc>
          <w:tcPr>
            <w:tcW w:w="3402" w:type="dxa"/>
            <w:tcBorders>
              <w:top w:val="nil"/>
              <w:bottom w:val="nil"/>
              <w:right w:val="nil"/>
            </w:tcBorders>
          </w:tcPr>
          <w:p w:rsidR="00F71685" w:rsidRDefault="00F71685" w:rsidP="006930A0">
            <w:pPr>
              <w:pStyle w:val="Tabletext"/>
            </w:pPr>
            <w:r>
              <w:t>Individual completion rate</w:t>
            </w:r>
          </w:p>
        </w:tc>
        <w:tc>
          <w:tcPr>
            <w:tcW w:w="2693" w:type="dxa"/>
            <w:tcBorders>
              <w:left w:val="nil"/>
            </w:tcBorders>
          </w:tcPr>
          <w:p w:rsidR="00F71685" w:rsidRDefault="00FB217F" w:rsidP="00F71685">
            <w:pPr>
              <w:pStyle w:val="Tabletext"/>
            </w:pPr>
            <w:r>
              <w:t>Apprentices and</w:t>
            </w:r>
            <w:r w:rsidR="00F71685">
              <w:t xml:space="preserve"> trainees</w:t>
            </w:r>
          </w:p>
        </w:tc>
        <w:tc>
          <w:tcPr>
            <w:tcW w:w="2694" w:type="dxa"/>
            <w:tcBorders>
              <w:left w:val="nil"/>
            </w:tcBorders>
          </w:tcPr>
          <w:p w:rsidR="00F71685" w:rsidRDefault="00F71685" w:rsidP="00F71685">
            <w:pPr>
              <w:pStyle w:val="Tabletext"/>
            </w:pPr>
            <w:r>
              <w:t>4 years</w:t>
            </w:r>
          </w:p>
        </w:tc>
      </w:tr>
      <w:tr w:rsidR="00F71685" w:rsidTr="00FF0952">
        <w:trPr>
          <w:cantSplit/>
        </w:trPr>
        <w:tc>
          <w:tcPr>
            <w:tcW w:w="3402" w:type="dxa"/>
            <w:tcBorders>
              <w:top w:val="nil"/>
              <w:bottom w:val="single" w:sz="4" w:space="0" w:color="auto"/>
              <w:right w:val="nil"/>
            </w:tcBorders>
          </w:tcPr>
          <w:p w:rsidR="00F71685" w:rsidRDefault="00F71685" w:rsidP="006930A0">
            <w:pPr>
              <w:pStyle w:val="Tabletext"/>
            </w:pPr>
            <w:r>
              <w:t>Projected contract completion rate</w:t>
            </w:r>
          </w:p>
        </w:tc>
        <w:tc>
          <w:tcPr>
            <w:tcW w:w="2693" w:type="dxa"/>
            <w:tcBorders>
              <w:left w:val="nil"/>
              <w:bottom w:val="single" w:sz="4" w:space="0" w:color="auto"/>
            </w:tcBorders>
          </w:tcPr>
          <w:p w:rsidR="00F71685" w:rsidRDefault="00FB217F" w:rsidP="00F71685">
            <w:pPr>
              <w:pStyle w:val="Tabletext"/>
            </w:pPr>
            <w:r>
              <w:t>Apprentices and</w:t>
            </w:r>
            <w:r w:rsidR="00F71685">
              <w:t xml:space="preserve"> trainees</w:t>
            </w:r>
          </w:p>
        </w:tc>
        <w:tc>
          <w:tcPr>
            <w:tcW w:w="2694" w:type="dxa"/>
            <w:tcBorders>
              <w:left w:val="nil"/>
              <w:bottom w:val="single" w:sz="4" w:space="0" w:color="auto"/>
            </w:tcBorders>
          </w:tcPr>
          <w:p w:rsidR="00F71685" w:rsidRDefault="00F71685" w:rsidP="00F71685">
            <w:pPr>
              <w:pStyle w:val="Tabletext"/>
            </w:pPr>
            <w:r>
              <w:t>1 quarter</w:t>
            </w:r>
          </w:p>
        </w:tc>
      </w:tr>
    </w:tbl>
    <w:p w:rsidR="00A53B3F" w:rsidRDefault="00A53B3F" w:rsidP="00FF0952">
      <w:pPr>
        <w:pStyle w:val="Textmorebefore"/>
      </w:pPr>
      <w:r>
        <w:t xml:space="preserve">Even if we wait long enough for all courses to either be completed or withdrawn from, there is a further problem, because completions are not always reported immediately in the national data collections. There is a delay in reporting completions, meaning that completions occurring in a given year or quarter might take a year or more to be reported (Harvey 2010a). Thus, even for the </w:t>
      </w:r>
      <w:r w:rsidR="00836132">
        <w:t xml:space="preserve">apprentice and trainee </w:t>
      </w:r>
      <w:r>
        <w:t xml:space="preserve">rates which we track for </w:t>
      </w:r>
      <w:r w:rsidR="00FB217F">
        <w:t>four</w:t>
      </w:r>
      <w:r>
        <w:t xml:space="preserve"> years, some degree of estimation is still required to account for reporting lags.</w:t>
      </w:r>
    </w:p>
    <w:p w:rsidR="00A53B3F" w:rsidRPr="00F03140" w:rsidRDefault="00A53B3F" w:rsidP="00A53B3F">
      <w:pPr>
        <w:pStyle w:val="Heading2"/>
      </w:pPr>
      <w:bookmarkStart w:id="41" w:name="_Toc309043800"/>
      <w:r w:rsidRPr="00F03140">
        <w:t>How is the rate calculated?</w:t>
      </w:r>
      <w:bookmarkEnd w:id="41"/>
    </w:p>
    <w:p w:rsidR="00A53B3F" w:rsidRDefault="00A53B3F" w:rsidP="00A53B3F">
      <w:pPr>
        <w:pStyle w:val="Text"/>
      </w:pPr>
      <w:r>
        <w:t xml:space="preserve">NCVER uses a range of techniques to calculate completion rates. All completion rates, except for subject completion rates, involve some degree of estimation. </w:t>
      </w:r>
      <w:r w:rsidR="00484203">
        <w:t>For those wanting a high-level picture</w:t>
      </w:r>
      <w:r w:rsidR="00DC2E9F">
        <w:t>,</w:t>
      </w:r>
      <w:r w:rsidR="00484203">
        <w:t xml:space="preserve"> w</w:t>
      </w:r>
      <w:r>
        <w:t>e briefly outline the techniques below</w:t>
      </w:r>
      <w:r w:rsidR="00484203">
        <w:t>, providing</w:t>
      </w:r>
      <w:r>
        <w:t xml:space="preserve"> more detaile</w:t>
      </w:r>
      <w:r w:rsidR="00FB217F">
        <w:t>d step-by-step instructions in t</w:t>
      </w:r>
      <w:r>
        <w:t>able 2.</w:t>
      </w:r>
    </w:p>
    <w:p w:rsidR="00A53B3F" w:rsidRDefault="00A53B3F" w:rsidP="00A53B3F">
      <w:pPr>
        <w:pStyle w:val="Text"/>
      </w:pPr>
      <w:r>
        <w:t>For qualification completion rates, we track q</w:t>
      </w:r>
      <w:r w:rsidR="00FB217F">
        <w:t>ualifications for one year only</w:t>
      </w:r>
      <w:r>
        <w:t xml:space="preserve"> and extrapolate the behaviour observed during this time window to predict the long-term completion rate. That is, we monitor how many qualifications are completed or withdr</w:t>
      </w:r>
      <w:r w:rsidR="00FB217F">
        <w:t>awn from during the time window</w:t>
      </w:r>
      <w:r>
        <w:t xml:space="preserve"> and assume that this behaviour pattern will continue in later years. A ‘Markov chain’ methodology is used.</w:t>
      </w:r>
    </w:p>
    <w:p w:rsidR="00A53B3F" w:rsidRPr="007C252A" w:rsidRDefault="00484203" w:rsidP="00A53B3F">
      <w:pPr>
        <w:pStyle w:val="Text"/>
      </w:pPr>
      <w:r>
        <w:lastRenderedPageBreak/>
        <w:t>For subject completion rates — or load pass rates —</w:t>
      </w:r>
      <w:r w:rsidR="00A53B3F">
        <w:t xml:space="preserve"> no estimation is required; they are calculated from actual data of subject enrolments for a given year.</w:t>
      </w:r>
      <w:r w:rsidR="00A53B3F" w:rsidRPr="00B7013E">
        <w:t xml:space="preserve"> </w:t>
      </w:r>
    </w:p>
    <w:p w:rsidR="00A53B3F" w:rsidRDefault="00A53B3F" w:rsidP="00F53FFE">
      <w:pPr>
        <w:pStyle w:val="Text"/>
      </w:pPr>
      <w:r>
        <w:t xml:space="preserve">For contract completion rates, NCVER uses two different methods. One method involves tracking a cohort of contracts for </w:t>
      </w:r>
      <w:r w:rsidR="00FB217F">
        <w:t xml:space="preserve">four </w:t>
      </w:r>
      <w:r>
        <w:t xml:space="preserve">years. Some adjustments are made to account for reporting lags. The other method, used to find the </w:t>
      </w:r>
      <w:r w:rsidRPr="00DB66B1">
        <w:rPr>
          <w:i/>
        </w:rPr>
        <w:t>projected</w:t>
      </w:r>
      <w:r w:rsidR="00030057">
        <w:t xml:space="preserve"> contract completion rates</w:t>
      </w:r>
      <w:r>
        <w:t xml:space="preserve">, involves tracking a cohort of contracts for </w:t>
      </w:r>
      <w:r w:rsidR="00FB217F">
        <w:t>one quarter</w:t>
      </w:r>
      <w:r>
        <w:t xml:space="preserve"> and extrapolating the behaviour to predict the long-term trend. </w:t>
      </w:r>
      <w:proofErr w:type="gramStart"/>
      <w:r>
        <w:t>A ‘life tables’ methodology is used.</w:t>
      </w:r>
      <w:proofErr w:type="gramEnd"/>
    </w:p>
    <w:p w:rsidR="00A53B3F" w:rsidRDefault="00A53B3F" w:rsidP="00F53FFE">
      <w:pPr>
        <w:pStyle w:val="Text"/>
      </w:pPr>
      <w:r>
        <w:t xml:space="preserve">For individual completion rates, we take the contract completion rates and adjust them </w:t>
      </w:r>
      <w:r w:rsidR="00484203">
        <w:t>according to</w:t>
      </w:r>
      <w:r>
        <w:t xml:space="preserve"> data about how many apprentices and trainees switch employers during their apprenticeship.</w:t>
      </w:r>
    </w:p>
    <w:p w:rsidR="00A53B3F" w:rsidRDefault="00A53B3F" w:rsidP="00F53FFE">
      <w:pPr>
        <w:pStyle w:val="Text"/>
      </w:pPr>
      <w:r>
        <w:t>All of the above techniques are explained more fully</w:t>
      </w:r>
      <w:r w:rsidR="00FB217F">
        <w:t xml:space="preserve"> in t</w:t>
      </w:r>
      <w:r>
        <w:t>able 2.</w:t>
      </w:r>
    </w:p>
    <w:p w:rsidR="00F53FFE" w:rsidRDefault="00F53FFE" w:rsidP="00F53FFE">
      <w:pPr>
        <w:pStyle w:val="tabletitle"/>
      </w:pPr>
      <w:bookmarkStart w:id="42" w:name="_Toc311991631"/>
      <w:r>
        <w:t xml:space="preserve">Table </w:t>
      </w:r>
      <w:r w:rsidR="00545349">
        <w:t>2</w:t>
      </w:r>
      <w:r>
        <w:tab/>
      </w:r>
      <w:r w:rsidR="00F71685">
        <w:t>Methodologies used by NCVER to calculate completion rates</w:t>
      </w:r>
      <w:bookmarkEnd w:id="42"/>
    </w:p>
    <w:tbl>
      <w:tblPr>
        <w:tblW w:w="8789" w:type="dxa"/>
        <w:tblInd w:w="108" w:type="dxa"/>
        <w:tblBorders>
          <w:top w:val="single" w:sz="4" w:space="0" w:color="auto"/>
          <w:bottom w:val="single" w:sz="4" w:space="0" w:color="auto"/>
        </w:tblBorders>
        <w:tblLayout w:type="fixed"/>
        <w:tblLook w:val="0000"/>
      </w:tblPr>
      <w:tblGrid>
        <w:gridCol w:w="2552"/>
        <w:gridCol w:w="6237"/>
      </w:tblGrid>
      <w:tr w:rsidR="00F53FFE" w:rsidTr="00A523B8">
        <w:trPr>
          <w:cantSplit/>
        </w:trPr>
        <w:tc>
          <w:tcPr>
            <w:tcW w:w="2552" w:type="dxa"/>
            <w:tcBorders>
              <w:top w:val="single" w:sz="4" w:space="0" w:color="auto"/>
              <w:bottom w:val="single" w:sz="4" w:space="0" w:color="auto"/>
              <w:right w:val="nil"/>
            </w:tcBorders>
          </w:tcPr>
          <w:p w:rsidR="00F53FFE" w:rsidRDefault="00F71685" w:rsidP="000E6170">
            <w:pPr>
              <w:pStyle w:val="Tablehead1"/>
            </w:pPr>
            <w:r>
              <w:t>Completion rate</w:t>
            </w:r>
          </w:p>
        </w:tc>
        <w:tc>
          <w:tcPr>
            <w:tcW w:w="6237" w:type="dxa"/>
            <w:tcBorders>
              <w:top w:val="single" w:sz="4" w:space="0" w:color="auto"/>
              <w:left w:val="nil"/>
              <w:bottom w:val="single" w:sz="4" w:space="0" w:color="auto"/>
            </w:tcBorders>
          </w:tcPr>
          <w:p w:rsidR="00F53FFE" w:rsidRDefault="00F71685" w:rsidP="000E6170">
            <w:pPr>
              <w:pStyle w:val="Tablehead1"/>
              <w:jc w:val="center"/>
            </w:pPr>
            <w:r>
              <w:t>Methodology used by NCVER</w:t>
            </w:r>
          </w:p>
        </w:tc>
      </w:tr>
      <w:tr w:rsidR="00FF0952" w:rsidTr="00A523B8">
        <w:trPr>
          <w:cantSplit/>
        </w:trPr>
        <w:tc>
          <w:tcPr>
            <w:tcW w:w="2552" w:type="dxa"/>
            <w:tcBorders>
              <w:top w:val="single" w:sz="4" w:space="0" w:color="auto"/>
              <w:bottom w:val="nil"/>
              <w:right w:val="nil"/>
            </w:tcBorders>
          </w:tcPr>
          <w:p w:rsidR="00FF0952" w:rsidRPr="00FF0952" w:rsidRDefault="00FF0952" w:rsidP="000E6170">
            <w:pPr>
              <w:pStyle w:val="Tabletext"/>
              <w:spacing w:before="80"/>
              <w:rPr>
                <w:szCs w:val="16"/>
              </w:rPr>
            </w:pPr>
            <w:r w:rsidRPr="00FF0952">
              <w:rPr>
                <w:b/>
                <w:szCs w:val="16"/>
              </w:rPr>
              <w:t>VET qualifications</w:t>
            </w:r>
          </w:p>
        </w:tc>
        <w:tc>
          <w:tcPr>
            <w:tcW w:w="6237" w:type="dxa"/>
            <w:tcBorders>
              <w:top w:val="single" w:sz="4" w:space="0" w:color="auto"/>
              <w:left w:val="nil"/>
              <w:bottom w:val="nil"/>
            </w:tcBorders>
          </w:tcPr>
          <w:p w:rsidR="00FF0952" w:rsidRDefault="00FF0952" w:rsidP="006930A0">
            <w:pPr>
              <w:pStyle w:val="Tabletext"/>
              <w:tabs>
                <w:tab w:val="decimal" w:pos="553"/>
              </w:tabs>
            </w:pPr>
          </w:p>
        </w:tc>
      </w:tr>
      <w:tr w:rsidR="00F71685" w:rsidTr="00A523B8">
        <w:trPr>
          <w:cantSplit/>
        </w:trPr>
        <w:tc>
          <w:tcPr>
            <w:tcW w:w="2552" w:type="dxa"/>
            <w:tcBorders>
              <w:top w:val="nil"/>
              <w:bottom w:val="nil"/>
              <w:right w:val="nil"/>
            </w:tcBorders>
          </w:tcPr>
          <w:p w:rsidR="00F71685" w:rsidRPr="00030057" w:rsidRDefault="00F71685" w:rsidP="00FF0952">
            <w:pPr>
              <w:pStyle w:val="Tabletext"/>
            </w:pPr>
            <w:r w:rsidRPr="00030057">
              <w:t xml:space="preserve">Projected </w:t>
            </w:r>
            <w:r w:rsidRPr="00FF0952">
              <w:t>qualification</w:t>
            </w:r>
            <w:r w:rsidRPr="00030057">
              <w:t xml:space="preserve"> completion rate (estimated)</w:t>
            </w:r>
          </w:p>
        </w:tc>
        <w:tc>
          <w:tcPr>
            <w:tcW w:w="6237" w:type="dxa"/>
            <w:tcBorders>
              <w:top w:val="nil"/>
              <w:left w:val="nil"/>
              <w:bottom w:val="nil"/>
            </w:tcBorders>
          </w:tcPr>
          <w:p w:rsidR="00F71685" w:rsidRPr="00030057" w:rsidRDefault="00F71685" w:rsidP="00A62018">
            <w:pPr>
              <w:pStyle w:val="Tabletext"/>
              <w:rPr>
                <w:rFonts w:cs="Arial"/>
                <w:szCs w:val="16"/>
              </w:rPr>
            </w:pPr>
            <w:r w:rsidRPr="00030057">
              <w:rPr>
                <w:rFonts w:cs="Arial"/>
                <w:szCs w:val="16"/>
              </w:rPr>
              <w:t>Uses a mathematical model called a ‘Markov chain’. The basic steps are:</w:t>
            </w:r>
          </w:p>
          <w:p w:rsidR="00F71685" w:rsidRPr="00030057" w:rsidRDefault="00F71685" w:rsidP="00A523B8">
            <w:pPr>
              <w:pStyle w:val="Tabletext"/>
              <w:numPr>
                <w:ilvl w:val="0"/>
                <w:numId w:val="42"/>
              </w:numPr>
              <w:spacing w:after="80"/>
              <w:ind w:left="227" w:hanging="227"/>
              <w:rPr>
                <w:rFonts w:cs="Arial"/>
                <w:szCs w:val="16"/>
              </w:rPr>
            </w:pPr>
            <w:r w:rsidRPr="00030057">
              <w:rPr>
                <w:rFonts w:cs="Arial"/>
                <w:szCs w:val="16"/>
              </w:rPr>
              <w:t xml:space="preserve">Track students who are starting courses in a given year (Group A) along with all existing students (Group B) </w:t>
            </w:r>
            <w:r w:rsidR="00F360D2" w:rsidRPr="00030057">
              <w:rPr>
                <w:rFonts w:cs="Arial"/>
                <w:szCs w:val="16"/>
              </w:rPr>
              <w:t>for one year (</w:t>
            </w:r>
            <w:r w:rsidRPr="00030057">
              <w:rPr>
                <w:rFonts w:cs="Arial"/>
                <w:szCs w:val="16"/>
              </w:rPr>
              <w:t>from the starting year to the next year</w:t>
            </w:r>
            <w:r w:rsidR="00F360D2" w:rsidRPr="00030057">
              <w:rPr>
                <w:rFonts w:cs="Arial"/>
                <w:szCs w:val="16"/>
              </w:rPr>
              <w:t>)</w:t>
            </w:r>
            <w:r w:rsidRPr="00030057">
              <w:rPr>
                <w:rFonts w:cs="Arial"/>
                <w:szCs w:val="16"/>
              </w:rPr>
              <w:t>.</w:t>
            </w:r>
          </w:p>
          <w:p w:rsidR="00A62018" w:rsidRPr="00030057" w:rsidRDefault="00A62018" w:rsidP="00A523B8">
            <w:pPr>
              <w:pStyle w:val="Tabletext"/>
              <w:numPr>
                <w:ilvl w:val="0"/>
                <w:numId w:val="42"/>
              </w:numPr>
              <w:spacing w:after="80"/>
              <w:ind w:left="227" w:hanging="227"/>
              <w:rPr>
                <w:rFonts w:cs="Arial"/>
                <w:szCs w:val="16"/>
              </w:rPr>
            </w:pPr>
            <w:r w:rsidRPr="00030057">
              <w:rPr>
                <w:rFonts w:cs="Arial"/>
                <w:szCs w:val="16"/>
              </w:rPr>
              <w:t>Calculate</w:t>
            </w:r>
            <w:r w:rsidR="00F71685" w:rsidRPr="00030057">
              <w:rPr>
                <w:rFonts w:cs="Arial"/>
                <w:szCs w:val="16"/>
              </w:rPr>
              <w:t xml:space="preserve"> the probabilities of completing, dropping </w:t>
            </w:r>
            <w:r w:rsidR="00484203">
              <w:rPr>
                <w:rFonts w:cs="Arial"/>
                <w:szCs w:val="16"/>
              </w:rPr>
              <w:t>out of, and continuing a course</w:t>
            </w:r>
            <w:r w:rsidR="00F71685" w:rsidRPr="00030057">
              <w:rPr>
                <w:rFonts w:cs="Arial"/>
                <w:szCs w:val="16"/>
              </w:rPr>
              <w:t xml:space="preserve"> over this </w:t>
            </w:r>
            <w:r w:rsidR="00F360D2" w:rsidRPr="00030057">
              <w:rPr>
                <w:rFonts w:cs="Arial"/>
                <w:szCs w:val="16"/>
              </w:rPr>
              <w:t xml:space="preserve">one-year </w:t>
            </w:r>
            <w:r w:rsidR="00484203">
              <w:rPr>
                <w:rFonts w:cs="Arial"/>
                <w:szCs w:val="16"/>
              </w:rPr>
              <w:t>period</w:t>
            </w:r>
            <w:r w:rsidR="00F71685" w:rsidRPr="00030057">
              <w:rPr>
                <w:rFonts w:cs="Arial"/>
                <w:szCs w:val="16"/>
              </w:rPr>
              <w:t xml:space="preserve"> for </w:t>
            </w:r>
            <w:r w:rsidRPr="00030057">
              <w:rPr>
                <w:rFonts w:cs="Arial"/>
                <w:szCs w:val="16"/>
              </w:rPr>
              <w:t>(</w:t>
            </w:r>
            <w:proofErr w:type="spellStart"/>
            <w:r w:rsidRPr="00030057">
              <w:rPr>
                <w:rFonts w:cs="Arial"/>
                <w:szCs w:val="16"/>
              </w:rPr>
              <w:t>i</w:t>
            </w:r>
            <w:proofErr w:type="spellEnd"/>
            <w:r w:rsidRPr="00030057">
              <w:rPr>
                <w:rFonts w:cs="Arial"/>
                <w:szCs w:val="16"/>
              </w:rPr>
              <w:t xml:space="preserve">) </w:t>
            </w:r>
            <w:r w:rsidR="000E6170" w:rsidRPr="00030057">
              <w:rPr>
                <w:rFonts w:cs="Arial"/>
                <w:szCs w:val="16"/>
              </w:rPr>
              <w:t>Group A and</w:t>
            </w:r>
            <w:r w:rsidR="00F71685" w:rsidRPr="00030057">
              <w:rPr>
                <w:rFonts w:cs="Arial"/>
                <w:szCs w:val="16"/>
              </w:rPr>
              <w:t xml:space="preserve"> </w:t>
            </w:r>
            <w:r w:rsidRPr="00030057">
              <w:rPr>
                <w:rFonts w:cs="Arial"/>
                <w:szCs w:val="16"/>
              </w:rPr>
              <w:t>(ii) Group B.</w:t>
            </w:r>
          </w:p>
          <w:p w:rsidR="00F71685" w:rsidRPr="00030057" w:rsidRDefault="00F71685" w:rsidP="00A523B8">
            <w:pPr>
              <w:pStyle w:val="Tabletext"/>
              <w:numPr>
                <w:ilvl w:val="0"/>
                <w:numId w:val="42"/>
              </w:numPr>
              <w:spacing w:after="80"/>
              <w:ind w:left="227" w:hanging="227"/>
              <w:rPr>
                <w:rFonts w:cs="Arial"/>
                <w:szCs w:val="16"/>
              </w:rPr>
            </w:pPr>
            <w:r w:rsidRPr="00030057">
              <w:rPr>
                <w:rFonts w:cs="Arial"/>
                <w:szCs w:val="16"/>
              </w:rPr>
              <w:t xml:space="preserve">Extrapolate the probabilities in step 2 to find the long-term behaviour of the commencing courses (Group A). This is done using Markov chain theory. We assume that, from their second year of study onwards, Group A will behave like the continuing courses in Group B. See Mark and </w:t>
            </w:r>
            <w:proofErr w:type="spellStart"/>
            <w:r w:rsidRPr="00030057">
              <w:rPr>
                <w:rFonts w:cs="Arial"/>
                <w:szCs w:val="16"/>
              </w:rPr>
              <w:t>Karmel</w:t>
            </w:r>
            <w:proofErr w:type="spellEnd"/>
            <w:r w:rsidRPr="00030057">
              <w:rPr>
                <w:rFonts w:cs="Arial"/>
                <w:szCs w:val="16"/>
              </w:rPr>
              <w:t xml:space="preserve"> (2010)</w:t>
            </w:r>
            <w:r w:rsidR="00A62018" w:rsidRPr="00030057">
              <w:rPr>
                <w:rFonts w:cs="Arial"/>
                <w:szCs w:val="16"/>
              </w:rPr>
              <w:t xml:space="preserve"> for more details.</w:t>
            </w:r>
          </w:p>
        </w:tc>
      </w:tr>
      <w:tr w:rsidR="00F71685" w:rsidTr="00A523B8">
        <w:trPr>
          <w:cantSplit/>
        </w:trPr>
        <w:tc>
          <w:tcPr>
            <w:tcW w:w="2552" w:type="dxa"/>
            <w:tcBorders>
              <w:top w:val="nil"/>
              <w:bottom w:val="nil"/>
              <w:right w:val="nil"/>
            </w:tcBorders>
          </w:tcPr>
          <w:p w:rsidR="00F71685" w:rsidRPr="00545349" w:rsidRDefault="00F71685" w:rsidP="00FF0952">
            <w:pPr>
              <w:pStyle w:val="Tabletext"/>
            </w:pPr>
            <w:r w:rsidRPr="00545349">
              <w:t>Load pass rate</w:t>
            </w:r>
            <w:r w:rsidRPr="00545349">
              <w:br/>
              <w:t>(subject completion rate)</w:t>
            </w:r>
          </w:p>
        </w:tc>
        <w:tc>
          <w:tcPr>
            <w:tcW w:w="6237" w:type="dxa"/>
            <w:tcBorders>
              <w:top w:val="nil"/>
              <w:left w:val="nil"/>
              <w:bottom w:val="nil"/>
            </w:tcBorders>
          </w:tcPr>
          <w:p w:rsidR="00F71685" w:rsidRPr="00545349" w:rsidRDefault="00F71685" w:rsidP="00FF0952">
            <w:pPr>
              <w:pStyle w:val="Tabletext"/>
            </w:pPr>
            <w:r w:rsidRPr="00545349">
              <w:t xml:space="preserve">Load pass rates use </w:t>
            </w:r>
            <w:r w:rsidRPr="00FF0952">
              <w:t>actual</w:t>
            </w:r>
            <w:r w:rsidRPr="00545349">
              <w:t xml:space="preserve"> data (no estimation required), since subjects are all completed within a year. The steps are:</w:t>
            </w:r>
          </w:p>
          <w:p w:rsidR="00F71685" w:rsidRPr="00545349" w:rsidRDefault="00F71685" w:rsidP="00A523B8">
            <w:pPr>
              <w:pStyle w:val="Tabletext"/>
              <w:numPr>
                <w:ilvl w:val="0"/>
                <w:numId w:val="43"/>
              </w:numPr>
              <w:spacing w:after="80"/>
              <w:ind w:left="227" w:hanging="227"/>
              <w:rPr>
                <w:rFonts w:cs="Arial"/>
                <w:szCs w:val="16"/>
              </w:rPr>
            </w:pPr>
            <w:r w:rsidRPr="00545349">
              <w:rPr>
                <w:rFonts w:cs="Arial"/>
                <w:szCs w:val="16"/>
              </w:rPr>
              <w:t>Calculate the hours studied by those students who passed their subjects. Call this X.</w:t>
            </w:r>
          </w:p>
          <w:p w:rsidR="00F71685" w:rsidRPr="00545349" w:rsidRDefault="00F71685" w:rsidP="00A523B8">
            <w:pPr>
              <w:pStyle w:val="Tabletext"/>
              <w:numPr>
                <w:ilvl w:val="0"/>
                <w:numId w:val="43"/>
              </w:numPr>
              <w:spacing w:after="80"/>
              <w:ind w:left="227" w:hanging="227"/>
              <w:rPr>
                <w:rFonts w:cs="Arial"/>
                <w:szCs w:val="16"/>
              </w:rPr>
            </w:pPr>
            <w:r w:rsidRPr="00545349">
              <w:rPr>
                <w:rFonts w:cs="Arial"/>
                <w:szCs w:val="16"/>
              </w:rPr>
              <w:t>Calculate total subject hours committed to by all students who either passed, failed or withdrew. Call this Y.</w:t>
            </w:r>
          </w:p>
          <w:p w:rsidR="00F71685" w:rsidRPr="00545349" w:rsidRDefault="00F71685" w:rsidP="00A523B8">
            <w:pPr>
              <w:pStyle w:val="Tabletext"/>
              <w:numPr>
                <w:ilvl w:val="0"/>
                <w:numId w:val="43"/>
              </w:numPr>
              <w:spacing w:after="80"/>
              <w:ind w:left="227" w:hanging="227"/>
              <w:rPr>
                <w:rFonts w:cs="Arial"/>
                <w:szCs w:val="16"/>
              </w:rPr>
            </w:pPr>
            <w:r w:rsidRPr="00545349">
              <w:rPr>
                <w:rFonts w:cs="Arial"/>
                <w:szCs w:val="16"/>
              </w:rPr>
              <w:t>Divide X by Y to obtain the load pass rate.</w:t>
            </w:r>
          </w:p>
        </w:tc>
      </w:tr>
      <w:tr w:rsidR="00F71685" w:rsidTr="00A523B8">
        <w:trPr>
          <w:cantSplit/>
        </w:trPr>
        <w:tc>
          <w:tcPr>
            <w:tcW w:w="2552" w:type="dxa"/>
            <w:tcBorders>
              <w:top w:val="nil"/>
              <w:bottom w:val="nil"/>
              <w:right w:val="nil"/>
            </w:tcBorders>
          </w:tcPr>
          <w:p w:rsidR="00F71685" w:rsidRPr="00FF0952" w:rsidRDefault="00E5412C" w:rsidP="000E6170">
            <w:pPr>
              <w:pStyle w:val="Tabletext"/>
              <w:spacing w:before="80"/>
              <w:rPr>
                <w:rFonts w:cs="Arial"/>
                <w:szCs w:val="16"/>
              </w:rPr>
            </w:pPr>
            <w:r w:rsidRPr="00FF0952">
              <w:rPr>
                <w:rFonts w:cs="Arial"/>
                <w:b/>
                <w:szCs w:val="16"/>
                <w:lang w:val="en-GB"/>
              </w:rPr>
              <w:t>Apprentices and t</w:t>
            </w:r>
            <w:r w:rsidR="00F71685" w:rsidRPr="00FF0952">
              <w:rPr>
                <w:rFonts w:cs="Arial"/>
                <w:b/>
                <w:szCs w:val="16"/>
                <w:lang w:val="en-GB"/>
              </w:rPr>
              <w:t>rainees</w:t>
            </w:r>
          </w:p>
        </w:tc>
        <w:tc>
          <w:tcPr>
            <w:tcW w:w="6237" w:type="dxa"/>
            <w:tcBorders>
              <w:top w:val="nil"/>
              <w:left w:val="nil"/>
              <w:bottom w:val="nil"/>
            </w:tcBorders>
          </w:tcPr>
          <w:p w:rsidR="00F71685" w:rsidRPr="00545349" w:rsidRDefault="00F71685" w:rsidP="006930A0">
            <w:pPr>
              <w:pStyle w:val="Tabletext"/>
              <w:tabs>
                <w:tab w:val="decimal" w:pos="553"/>
              </w:tabs>
              <w:rPr>
                <w:rFonts w:cs="Arial"/>
                <w:szCs w:val="16"/>
              </w:rPr>
            </w:pPr>
          </w:p>
        </w:tc>
      </w:tr>
      <w:tr w:rsidR="00F71685" w:rsidTr="00A523B8">
        <w:trPr>
          <w:cantSplit/>
        </w:trPr>
        <w:tc>
          <w:tcPr>
            <w:tcW w:w="2552" w:type="dxa"/>
            <w:tcBorders>
              <w:top w:val="nil"/>
              <w:bottom w:val="nil"/>
              <w:right w:val="nil"/>
            </w:tcBorders>
          </w:tcPr>
          <w:p w:rsidR="00F71685" w:rsidRPr="00FF0952" w:rsidRDefault="00F71685" w:rsidP="00FF0952">
            <w:pPr>
              <w:pStyle w:val="Tabletext"/>
            </w:pPr>
            <w:r w:rsidRPr="00FF0952">
              <w:t>Contract completion rate</w:t>
            </w:r>
          </w:p>
        </w:tc>
        <w:tc>
          <w:tcPr>
            <w:tcW w:w="6237" w:type="dxa"/>
            <w:tcBorders>
              <w:top w:val="nil"/>
              <w:left w:val="nil"/>
              <w:bottom w:val="nil"/>
            </w:tcBorders>
          </w:tcPr>
          <w:p w:rsidR="00F71685" w:rsidRPr="00545349" w:rsidRDefault="00F71685" w:rsidP="00A62018">
            <w:pPr>
              <w:pStyle w:val="Tabletext"/>
              <w:rPr>
                <w:rFonts w:cs="Arial"/>
                <w:szCs w:val="16"/>
              </w:rPr>
            </w:pPr>
            <w:r w:rsidRPr="00545349">
              <w:rPr>
                <w:rFonts w:cs="Arial"/>
                <w:szCs w:val="16"/>
              </w:rPr>
              <w:t>The steps to calculate the contract completion rate are:</w:t>
            </w:r>
          </w:p>
          <w:p w:rsidR="00A62018" w:rsidRDefault="00F71685" w:rsidP="00A523B8">
            <w:pPr>
              <w:pStyle w:val="Tabletext"/>
              <w:numPr>
                <w:ilvl w:val="0"/>
                <w:numId w:val="44"/>
              </w:numPr>
              <w:spacing w:after="80"/>
              <w:ind w:left="227" w:hanging="227"/>
              <w:rPr>
                <w:rFonts w:cs="Arial"/>
                <w:szCs w:val="16"/>
              </w:rPr>
            </w:pPr>
            <w:r w:rsidRPr="00545349">
              <w:rPr>
                <w:rFonts w:cs="Arial"/>
                <w:szCs w:val="16"/>
              </w:rPr>
              <w:t xml:space="preserve">Track the apprentices and trainees commencing contracts </w:t>
            </w:r>
            <w:r w:rsidR="00A62018">
              <w:rPr>
                <w:rFonts w:cs="Arial"/>
                <w:szCs w:val="16"/>
              </w:rPr>
              <w:t>in a given year for four years.</w:t>
            </w:r>
          </w:p>
          <w:p w:rsidR="00F71685" w:rsidRPr="00A62018" w:rsidRDefault="00F71685" w:rsidP="00A523B8">
            <w:pPr>
              <w:pStyle w:val="Tabletext"/>
              <w:numPr>
                <w:ilvl w:val="0"/>
                <w:numId w:val="44"/>
              </w:numPr>
              <w:spacing w:after="80"/>
              <w:ind w:left="227" w:hanging="227"/>
              <w:rPr>
                <w:rFonts w:cs="Arial"/>
                <w:szCs w:val="16"/>
              </w:rPr>
            </w:pPr>
            <w:r w:rsidRPr="00A62018">
              <w:rPr>
                <w:rFonts w:cs="Arial"/>
                <w:szCs w:val="16"/>
              </w:rPr>
              <w:t>T</w:t>
            </w:r>
            <w:r w:rsidR="00E5412C">
              <w:rPr>
                <w:rFonts w:cs="Arial"/>
                <w:szCs w:val="16"/>
              </w:rPr>
              <w:t xml:space="preserve">he completions data received to </w:t>
            </w:r>
            <w:r w:rsidRPr="00A62018">
              <w:rPr>
                <w:rFonts w:cs="Arial"/>
                <w:szCs w:val="16"/>
              </w:rPr>
              <w:t xml:space="preserve">date </w:t>
            </w:r>
            <w:r w:rsidR="008F1C4C" w:rsidRPr="00A62018">
              <w:rPr>
                <w:rFonts w:cs="Arial"/>
                <w:szCs w:val="16"/>
              </w:rPr>
              <w:t>are</w:t>
            </w:r>
            <w:r w:rsidRPr="00A62018">
              <w:rPr>
                <w:rFonts w:cs="Arial"/>
                <w:szCs w:val="16"/>
              </w:rPr>
              <w:t xml:space="preserve"> then ‘weighted up’ to account for reporting lags. We use previous quarters to estimate how much the reported number of completions to date will grow by once the full set of data is received. See Harvey (2010b) for </w:t>
            </w:r>
            <w:r w:rsidR="000012A8">
              <w:rPr>
                <w:rFonts w:cs="Arial"/>
                <w:szCs w:val="16"/>
              </w:rPr>
              <w:t>further</w:t>
            </w:r>
            <w:r w:rsidRPr="00A62018">
              <w:rPr>
                <w:rFonts w:cs="Arial"/>
                <w:szCs w:val="16"/>
              </w:rPr>
              <w:t xml:space="preserve"> details.</w:t>
            </w:r>
          </w:p>
        </w:tc>
      </w:tr>
      <w:tr w:rsidR="00F71685" w:rsidTr="00A523B8">
        <w:trPr>
          <w:cantSplit/>
        </w:trPr>
        <w:tc>
          <w:tcPr>
            <w:tcW w:w="2552" w:type="dxa"/>
            <w:tcBorders>
              <w:top w:val="nil"/>
              <w:bottom w:val="nil"/>
              <w:right w:val="nil"/>
            </w:tcBorders>
          </w:tcPr>
          <w:p w:rsidR="00F71685" w:rsidRPr="00FF0952" w:rsidRDefault="00F71685" w:rsidP="00FF0952">
            <w:pPr>
              <w:pStyle w:val="Tabletext"/>
            </w:pPr>
            <w:r w:rsidRPr="00FF0952">
              <w:t>Individual completion rate (estimated)</w:t>
            </w:r>
          </w:p>
        </w:tc>
        <w:tc>
          <w:tcPr>
            <w:tcW w:w="6237" w:type="dxa"/>
            <w:tcBorders>
              <w:top w:val="nil"/>
              <w:left w:val="nil"/>
              <w:bottom w:val="nil"/>
            </w:tcBorders>
          </w:tcPr>
          <w:p w:rsidR="00F71685" w:rsidRPr="00545349" w:rsidRDefault="00F71685" w:rsidP="00DC2E9F">
            <w:pPr>
              <w:pStyle w:val="Tabletext"/>
              <w:tabs>
                <w:tab w:val="decimal" w:pos="553"/>
              </w:tabs>
              <w:spacing w:after="80"/>
              <w:rPr>
                <w:rFonts w:cs="Arial"/>
                <w:szCs w:val="16"/>
              </w:rPr>
            </w:pPr>
            <w:r w:rsidRPr="00545349">
              <w:rPr>
                <w:rFonts w:cs="Arial"/>
                <w:szCs w:val="16"/>
              </w:rPr>
              <w:t xml:space="preserve">The contract completion rates are </w:t>
            </w:r>
            <w:proofErr w:type="gramStart"/>
            <w:r w:rsidRPr="00545349">
              <w:rPr>
                <w:rFonts w:cs="Arial"/>
                <w:szCs w:val="16"/>
              </w:rPr>
              <w:t>adjusted</w:t>
            </w:r>
            <w:r w:rsidR="00E5412C">
              <w:rPr>
                <w:rFonts w:cs="Arial"/>
                <w:szCs w:val="16"/>
              </w:rPr>
              <w:t>,</w:t>
            </w:r>
            <w:proofErr w:type="gramEnd"/>
            <w:r w:rsidRPr="00545349">
              <w:rPr>
                <w:rFonts w:cs="Arial"/>
                <w:szCs w:val="16"/>
              </w:rPr>
              <w:t xml:space="preserve"> based on average recommencement data, to give</w:t>
            </w:r>
            <w:r w:rsidR="00DC2E9F">
              <w:rPr>
                <w:rFonts w:cs="Arial"/>
                <w:szCs w:val="16"/>
              </w:rPr>
              <w:t xml:space="preserve"> an individual completion rate. </w:t>
            </w:r>
            <w:r w:rsidR="000012A8">
              <w:rPr>
                <w:rFonts w:cs="Arial"/>
                <w:szCs w:val="16"/>
              </w:rPr>
              <w:t xml:space="preserve">See </w:t>
            </w:r>
            <w:proofErr w:type="spellStart"/>
            <w:r w:rsidR="000012A8">
              <w:rPr>
                <w:rFonts w:cs="Arial"/>
                <w:szCs w:val="16"/>
              </w:rPr>
              <w:t>Karmel</w:t>
            </w:r>
            <w:proofErr w:type="spellEnd"/>
            <w:r w:rsidR="000012A8">
              <w:rPr>
                <w:rFonts w:cs="Arial"/>
                <w:szCs w:val="16"/>
              </w:rPr>
              <w:t xml:space="preserve"> (2011) for details. </w:t>
            </w:r>
          </w:p>
        </w:tc>
      </w:tr>
      <w:tr w:rsidR="00F71685" w:rsidTr="00A523B8">
        <w:trPr>
          <w:cantSplit/>
        </w:trPr>
        <w:tc>
          <w:tcPr>
            <w:tcW w:w="2552" w:type="dxa"/>
            <w:tcBorders>
              <w:top w:val="nil"/>
              <w:bottom w:val="single" w:sz="4" w:space="0" w:color="auto"/>
              <w:right w:val="nil"/>
            </w:tcBorders>
          </w:tcPr>
          <w:p w:rsidR="00F71685" w:rsidRPr="00FF0952" w:rsidRDefault="00F71685" w:rsidP="00FF0952">
            <w:pPr>
              <w:pStyle w:val="Tabletext"/>
            </w:pPr>
            <w:r w:rsidRPr="00FF0952">
              <w:t>Projected contract completion rate (estimated)</w:t>
            </w:r>
          </w:p>
        </w:tc>
        <w:tc>
          <w:tcPr>
            <w:tcW w:w="6237" w:type="dxa"/>
            <w:tcBorders>
              <w:top w:val="nil"/>
              <w:left w:val="nil"/>
              <w:bottom w:val="single" w:sz="4" w:space="0" w:color="auto"/>
            </w:tcBorders>
          </w:tcPr>
          <w:p w:rsidR="00F71685" w:rsidRPr="00030057" w:rsidRDefault="00F71685" w:rsidP="00F71685">
            <w:pPr>
              <w:pStyle w:val="Tabletext"/>
              <w:spacing w:before="80" w:after="80"/>
              <w:rPr>
                <w:rFonts w:cs="Arial"/>
                <w:szCs w:val="16"/>
              </w:rPr>
            </w:pPr>
            <w:r w:rsidRPr="00030057">
              <w:rPr>
                <w:rFonts w:cs="Arial"/>
                <w:szCs w:val="16"/>
              </w:rPr>
              <w:t>A ‘life tables’ methodology is used. The basic steps are:</w:t>
            </w:r>
          </w:p>
          <w:p w:rsidR="00F71685" w:rsidRPr="00030057" w:rsidRDefault="00F71685" w:rsidP="00A523B8">
            <w:pPr>
              <w:pStyle w:val="Tabletext"/>
              <w:numPr>
                <w:ilvl w:val="0"/>
                <w:numId w:val="45"/>
              </w:numPr>
              <w:spacing w:after="80"/>
              <w:ind w:left="227" w:hanging="227"/>
              <w:rPr>
                <w:rFonts w:cs="Arial"/>
                <w:szCs w:val="16"/>
              </w:rPr>
            </w:pPr>
            <w:r w:rsidRPr="00030057">
              <w:rPr>
                <w:rFonts w:cs="Arial"/>
                <w:szCs w:val="16"/>
              </w:rPr>
              <w:t>Label the contract</w:t>
            </w:r>
            <w:r w:rsidR="000E6170" w:rsidRPr="00030057">
              <w:rPr>
                <w:rFonts w:cs="Arial"/>
                <w:szCs w:val="16"/>
              </w:rPr>
              <w:t>s held by apprentices and trainees</w:t>
            </w:r>
            <w:r w:rsidRPr="00030057">
              <w:rPr>
                <w:rFonts w:cs="Arial"/>
                <w:szCs w:val="16"/>
              </w:rPr>
              <w:t xml:space="preserve"> commencing in a given </w:t>
            </w:r>
            <w:r w:rsidR="000012A8" w:rsidRPr="00030057">
              <w:rPr>
                <w:rFonts w:cs="Arial"/>
                <w:szCs w:val="16"/>
              </w:rPr>
              <w:t>quarter</w:t>
            </w:r>
            <w:r w:rsidRPr="00030057">
              <w:rPr>
                <w:rFonts w:cs="Arial"/>
                <w:szCs w:val="16"/>
              </w:rPr>
              <w:t xml:space="preserve"> as Group A. </w:t>
            </w:r>
            <w:r w:rsidR="000E6170" w:rsidRPr="00030057">
              <w:rPr>
                <w:rFonts w:cs="Arial"/>
                <w:szCs w:val="16"/>
              </w:rPr>
              <w:t>Label</w:t>
            </w:r>
            <w:r w:rsidRPr="00030057">
              <w:rPr>
                <w:rFonts w:cs="Arial"/>
                <w:szCs w:val="16"/>
              </w:rPr>
              <w:t xml:space="preserve"> the existing contracts according to how </w:t>
            </w:r>
            <w:r w:rsidR="00030057">
              <w:rPr>
                <w:rFonts w:cs="Arial"/>
                <w:szCs w:val="16"/>
              </w:rPr>
              <w:t>old</w:t>
            </w:r>
            <w:r w:rsidRPr="00030057">
              <w:rPr>
                <w:rFonts w:cs="Arial"/>
                <w:szCs w:val="16"/>
              </w:rPr>
              <w:t xml:space="preserve"> they are</w:t>
            </w:r>
            <w:r w:rsidR="000E6170" w:rsidRPr="00030057">
              <w:rPr>
                <w:rFonts w:cs="Arial"/>
                <w:szCs w:val="16"/>
              </w:rPr>
              <w:t xml:space="preserve">, calling them </w:t>
            </w:r>
            <w:r w:rsidRPr="00030057">
              <w:rPr>
                <w:rFonts w:cs="Arial"/>
                <w:szCs w:val="16"/>
              </w:rPr>
              <w:t>G</w:t>
            </w:r>
            <w:r w:rsidR="00E5412C">
              <w:rPr>
                <w:rFonts w:cs="Arial"/>
                <w:szCs w:val="16"/>
              </w:rPr>
              <w:t>roup B, Group C</w:t>
            </w:r>
            <w:r w:rsidRPr="00030057">
              <w:rPr>
                <w:rFonts w:cs="Arial"/>
                <w:szCs w:val="16"/>
              </w:rPr>
              <w:t xml:space="preserve"> etc.</w:t>
            </w:r>
          </w:p>
          <w:p w:rsidR="00C83C52" w:rsidRPr="00030057" w:rsidRDefault="00F71685" w:rsidP="00A523B8">
            <w:pPr>
              <w:pStyle w:val="Tabletext"/>
              <w:numPr>
                <w:ilvl w:val="0"/>
                <w:numId w:val="45"/>
              </w:numPr>
              <w:spacing w:after="80"/>
              <w:ind w:left="227" w:hanging="227"/>
              <w:rPr>
                <w:rFonts w:cs="Arial"/>
                <w:szCs w:val="16"/>
              </w:rPr>
            </w:pPr>
            <w:r w:rsidRPr="00030057">
              <w:rPr>
                <w:rFonts w:cs="Arial"/>
                <w:szCs w:val="16"/>
              </w:rPr>
              <w:t>Determine the probabilities of completing, dr</w:t>
            </w:r>
            <w:r w:rsidR="00E5412C">
              <w:rPr>
                <w:rFonts w:cs="Arial"/>
                <w:szCs w:val="16"/>
              </w:rPr>
              <w:t>opping out</w:t>
            </w:r>
            <w:r w:rsidR="000E6170" w:rsidRPr="00030057">
              <w:rPr>
                <w:rFonts w:cs="Arial"/>
                <w:szCs w:val="16"/>
              </w:rPr>
              <w:t xml:space="preserve"> and continuing</w:t>
            </w:r>
            <w:r w:rsidR="00E5412C">
              <w:rPr>
                <w:rFonts w:cs="Arial"/>
                <w:szCs w:val="16"/>
              </w:rPr>
              <w:t xml:space="preserve"> </w:t>
            </w:r>
            <w:r w:rsidR="00B625C7">
              <w:rPr>
                <w:rFonts w:cs="Arial"/>
                <w:szCs w:val="16"/>
              </w:rPr>
              <w:t>over this one-quarter period</w:t>
            </w:r>
            <w:r w:rsidRPr="00030057">
              <w:rPr>
                <w:rFonts w:cs="Arial"/>
                <w:szCs w:val="16"/>
              </w:rPr>
              <w:t xml:space="preserve"> for </w:t>
            </w:r>
            <w:r w:rsidR="00640C48">
              <w:rPr>
                <w:rFonts w:cs="Arial"/>
                <w:szCs w:val="16"/>
              </w:rPr>
              <w:t xml:space="preserve">contracts in </w:t>
            </w:r>
            <w:r w:rsidRPr="00030057">
              <w:rPr>
                <w:rFonts w:cs="Arial"/>
                <w:szCs w:val="16"/>
              </w:rPr>
              <w:t>Group A</w:t>
            </w:r>
            <w:r w:rsidR="00B625C7">
              <w:rPr>
                <w:rFonts w:cs="Arial"/>
                <w:szCs w:val="16"/>
              </w:rPr>
              <w:t>, as well as for all other groups</w:t>
            </w:r>
            <w:r w:rsidR="00030057">
              <w:rPr>
                <w:rFonts w:cs="Arial"/>
                <w:szCs w:val="16"/>
              </w:rPr>
              <w:t>.</w:t>
            </w:r>
            <w:r w:rsidRPr="00030057">
              <w:rPr>
                <w:rFonts w:cs="Arial"/>
                <w:szCs w:val="16"/>
              </w:rPr>
              <w:t xml:space="preserve"> </w:t>
            </w:r>
          </w:p>
          <w:p w:rsidR="00F71685" w:rsidRPr="00545349" w:rsidRDefault="00F71685" w:rsidP="00A523B8">
            <w:pPr>
              <w:pStyle w:val="ListParagraph"/>
              <w:numPr>
                <w:ilvl w:val="0"/>
                <w:numId w:val="45"/>
              </w:numPr>
              <w:spacing w:before="40" w:after="80" w:line="240" w:lineRule="auto"/>
              <w:ind w:left="227" w:hanging="227"/>
              <w:contextualSpacing w:val="0"/>
              <w:rPr>
                <w:rFonts w:ascii="Arial" w:hAnsi="Arial" w:cs="Arial"/>
                <w:sz w:val="16"/>
                <w:szCs w:val="16"/>
              </w:rPr>
            </w:pPr>
            <w:r w:rsidRPr="00030057">
              <w:rPr>
                <w:rFonts w:ascii="Arial" w:hAnsi="Arial" w:cs="Arial"/>
                <w:sz w:val="16"/>
                <w:szCs w:val="16"/>
              </w:rPr>
              <w:t>‘</w:t>
            </w:r>
            <w:r w:rsidRPr="00030057">
              <w:rPr>
                <w:rFonts w:ascii="Arial" w:hAnsi="Arial" w:cs="Arial"/>
                <w:color w:val="000000"/>
                <w:sz w:val="16"/>
                <w:szCs w:val="16"/>
              </w:rPr>
              <w:t xml:space="preserve">Stretch out’ the </w:t>
            </w:r>
            <w:r w:rsidR="00C83C52" w:rsidRPr="00030057">
              <w:rPr>
                <w:rFonts w:ascii="Arial" w:hAnsi="Arial" w:cs="Arial"/>
                <w:color w:val="000000"/>
                <w:sz w:val="16"/>
                <w:szCs w:val="16"/>
              </w:rPr>
              <w:t xml:space="preserve">cross-sectional </w:t>
            </w:r>
            <w:r w:rsidRPr="00030057">
              <w:rPr>
                <w:rFonts w:ascii="Arial" w:hAnsi="Arial" w:cs="Arial"/>
                <w:color w:val="000000"/>
                <w:sz w:val="16"/>
                <w:szCs w:val="16"/>
              </w:rPr>
              <w:t xml:space="preserve">probabilities from step </w:t>
            </w:r>
            <w:r w:rsidR="00030057">
              <w:rPr>
                <w:rFonts w:ascii="Arial" w:hAnsi="Arial" w:cs="Arial"/>
                <w:color w:val="000000"/>
                <w:sz w:val="16"/>
                <w:szCs w:val="16"/>
              </w:rPr>
              <w:t>3</w:t>
            </w:r>
            <w:r w:rsidRPr="00030057">
              <w:rPr>
                <w:rFonts w:ascii="Arial" w:hAnsi="Arial" w:cs="Arial"/>
                <w:color w:val="000000"/>
                <w:sz w:val="16"/>
                <w:szCs w:val="16"/>
              </w:rPr>
              <w:t xml:space="preserve"> to mimic data with a time dimension. That is, we assume that, in one quarter’s time, Group A will behave like Group B, and in </w:t>
            </w:r>
            <w:r w:rsidR="00E5412C">
              <w:rPr>
                <w:rFonts w:ascii="Arial" w:hAnsi="Arial" w:cs="Arial"/>
                <w:color w:val="000000"/>
                <w:sz w:val="16"/>
                <w:szCs w:val="16"/>
              </w:rPr>
              <w:t>two</w:t>
            </w:r>
            <w:r w:rsidRPr="00030057">
              <w:rPr>
                <w:rFonts w:ascii="Arial" w:hAnsi="Arial" w:cs="Arial"/>
                <w:color w:val="000000"/>
                <w:sz w:val="16"/>
                <w:szCs w:val="16"/>
              </w:rPr>
              <w:t xml:space="preserve"> quarters’ time, G</w:t>
            </w:r>
            <w:r w:rsidR="00E5412C">
              <w:rPr>
                <w:rFonts w:ascii="Arial" w:hAnsi="Arial" w:cs="Arial"/>
                <w:color w:val="000000"/>
                <w:sz w:val="16"/>
                <w:szCs w:val="16"/>
              </w:rPr>
              <w:t>roup A will behave like Group C</w:t>
            </w:r>
            <w:r w:rsidRPr="00030057">
              <w:rPr>
                <w:rFonts w:ascii="Arial" w:hAnsi="Arial" w:cs="Arial"/>
                <w:color w:val="000000"/>
                <w:sz w:val="16"/>
                <w:szCs w:val="16"/>
              </w:rPr>
              <w:t xml:space="preserve"> etc. See </w:t>
            </w:r>
            <w:proofErr w:type="spellStart"/>
            <w:r w:rsidRPr="00030057">
              <w:rPr>
                <w:rFonts w:ascii="Arial" w:hAnsi="Arial" w:cs="Arial"/>
                <w:color w:val="000000"/>
                <w:sz w:val="16"/>
                <w:szCs w:val="16"/>
              </w:rPr>
              <w:t>Karmel</w:t>
            </w:r>
            <w:proofErr w:type="spellEnd"/>
            <w:r w:rsidRPr="00030057">
              <w:rPr>
                <w:rFonts w:ascii="Arial" w:hAnsi="Arial" w:cs="Arial"/>
                <w:color w:val="000000"/>
                <w:sz w:val="16"/>
                <w:szCs w:val="16"/>
              </w:rPr>
              <w:t xml:space="preserve"> and Mlotkowski (2010</w:t>
            </w:r>
            <w:r w:rsidR="00DC5733">
              <w:rPr>
                <w:rFonts w:ascii="Arial" w:hAnsi="Arial" w:cs="Arial"/>
                <w:color w:val="000000"/>
                <w:sz w:val="16"/>
                <w:szCs w:val="16"/>
              </w:rPr>
              <w:t>a</w:t>
            </w:r>
            <w:r w:rsidRPr="00030057">
              <w:rPr>
                <w:rFonts w:ascii="Arial" w:hAnsi="Arial" w:cs="Arial"/>
                <w:color w:val="000000"/>
                <w:sz w:val="16"/>
                <w:szCs w:val="16"/>
              </w:rPr>
              <w:t>) for further details.</w:t>
            </w:r>
            <w:r w:rsidR="00E5412C">
              <w:rPr>
                <w:rFonts w:ascii="Arial" w:hAnsi="Arial" w:cs="Arial"/>
                <w:color w:val="000000"/>
                <w:sz w:val="16"/>
                <w:szCs w:val="16"/>
              </w:rPr>
              <w:t xml:space="preserve"> </w:t>
            </w:r>
          </w:p>
        </w:tc>
      </w:tr>
    </w:tbl>
    <w:p w:rsidR="00A53B3F" w:rsidRPr="00F03140" w:rsidRDefault="00A53B3F" w:rsidP="00226E0D">
      <w:pPr>
        <w:pStyle w:val="Heading1"/>
      </w:pPr>
      <w:bookmarkStart w:id="43" w:name="_Toc309043801"/>
      <w:r w:rsidRPr="00F03140">
        <w:lastRenderedPageBreak/>
        <w:t xml:space="preserve">Latest </w:t>
      </w:r>
      <w:r>
        <w:t xml:space="preserve">completion rate </w:t>
      </w:r>
      <w:r w:rsidRPr="00F03140">
        <w:t>estimates</w:t>
      </w:r>
      <w:bookmarkEnd w:id="43"/>
    </w:p>
    <w:p w:rsidR="00A53B3F" w:rsidRDefault="00A53B3F" w:rsidP="00A53B3F">
      <w:pPr>
        <w:pStyle w:val="Text"/>
      </w:pPr>
      <w:r>
        <w:t>Here we present the latest completion rate estimates. Note that the commencing time period is different for each rate; this is a direct result of the method used to calculate it. Some methods can provide rates for more recent cohorts than others, due to the lengths of the tracking windows discussed earlier.</w:t>
      </w:r>
    </w:p>
    <w:p w:rsidR="00A53B3F" w:rsidRPr="00F64297" w:rsidRDefault="00A53B3F" w:rsidP="00226E0D">
      <w:pPr>
        <w:pStyle w:val="Heading2"/>
      </w:pPr>
      <w:bookmarkStart w:id="44" w:name="_Toc309043802"/>
      <w:r w:rsidRPr="00F64297">
        <w:t>Latest completion rates for VET students</w:t>
      </w:r>
      <w:bookmarkEnd w:id="44"/>
    </w:p>
    <w:p w:rsidR="00A53B3F" w:rsidRDefault="00A53B3F" w:rsidP="00A53B3F">
      <w:pPr>
        <w:pStyle w:val="Text"/>
      </w:pPr>
      <w:r>
        <w:t>The most recent estimates for VET q</w:t>
      </w:r>
      <w:r w:rsidR="00E5412C">
        <w:t>ualifications are presented in t</w:t>
      </w:r>
      <w:r>
        <w:t>able 3. It must be stressed that the national data upon which these rates</w:t>
      </w:r>
      <w:r w:rsidR="00E5412C">
        <w:t xml:space="preserve"> are based only covers publicly </w:t>
      </w:r>
      <w:r>
        <w:t>funded enrolments.</w:t>
      </w:r>
    </w:p>
    <w:p w:rsidR="00F53FFE" w:rsidRDefault="00F53FFE" w:rsidP="00F53FFE">
      <w:pPr>
        <w:pStyle w:val="tabletitle"/>
      </w:pPr>
      <w:bookmarkStart w:id="45" w:name="_Toc311991632"/>
      <w:r>
        <w:t xml:space="preserve">Table </w:t>
      </w:r>
      <w:r w:rsidR="00545349">
        <w:t>3</w:t>
      </w:r>
      <w:r>
        <w:tab/>
      </w:r>
      <w:r w:rsidRPr="00F53FFE">
        <w:t>Latest completion rate estimates for VET qualifications</w:t>
      </w:r>
      <w:bookmarkEnd w:id="45"/>
    </w:p>
    <w:tbl>
      <w:tblPr>
        <w:tblW w:w="8789" w:type="dxa"/>
        <w:tblInd w:w="108" w:type="dxa"/>
        <w:tblBorders>
          <w:top w:val="single" w:sz="4" w:space="0" w:color="auto"/>
          <w:bottom w:val="single" w:sz="4" w:space="0" w:color="auto"/>
        </w:tblBorders>
        <w:tblLayout w:type="fixed"/>
        <w:tblLook w:val="0000"/>
      </w:tblPr>
      <w:tblGrid>
        <w:gridCol w:w="2855"/>
        <w:gridCol w:w="1978"/>
        <w:gridCol w:w="1978"/>
        <w:gridCol w:w="1978"/>
      </w:tblGrid>
      <w:tr w:rsidR="00F53FFE" w:rsidTr="00504C9F">
        <w:trPr>
          <w:cantSplit/>
        </w:trPr>
        <w:tc>
          <w:tcPr>
            <w:tcW w:w="2855" w:type="dxa"/>
            <w:tcBorders>
              <w:top w:val="single" w:sz="4" w:space="0" w:color="auto"/>
              <w:bottom w:val="single" w:sz="4" w:space="0" w:color="auto"/>
              <w:right w:val="nil"/>
            </w:tcBorders>
          </w:tcPr>
          <w:p w:rsidR="00F53FFE" w:rsidRPr="00F53FFE" w:rsidRDefault="00F53FFE" w:rsidP="00F53FFE">
            <w:pPr>
              <w:pStyle w:val="Tablehead1"/>
            </w:pPr>
            <w:r w:rsidRPr="00F53FFE">
              <w:t>Cohort</w:t>
            </w:r>
          </w:p>
        </w:tc>
        <w:tc>
          <w:tcPr>
            <w:tcW w:w="1978" w:type="dxa"/>
            <w:tcBorders>
              <w:top w:val="single" w:sz="4" w:space="0" w:color="auto"/>
              <w:left w:val="nil"/>
              <w:bottom w:val="single" w:sz="4" w:space="0" w:color="auto"/>
            </w:tcBorders>
          </w:tcPr>
          <w:p w:rsidR="00F53FFE" w:rsidRDefault="00F53FFE" w:rsidP="00DC2E9F">
            <w:pPr>
              <w:pStyle w:val="Tablehead1"/>
              <w:jc w:val="center"/>
            </w:pPr>
            <w:r>
              <w:t>Commencing in</w:t>
            </w:r>
          </w:p>
        </w:tc>
        <w:tc>
          <w:tcPr>
            <w:tcW w:w="1978" w:type="dxa"/>
            <w:tcBorders>
              <w:top w:val="single" w:sz="4" w:space="0" w:color="auto"/>
              <w:left w:val="nil"/>
              <w:bottom w:val="single" w:sz="4" w:space="0" w:color="auto"/>
            </w:tcBorders>
            <w:tcMar>
              <w:left w:w="0" w:type="dxa"/>
              <w:right w:w="0" w:type="dxa"/>
            </w:tcMar>
          </w:tcPr>
          <w:p w:rsidR="00F53FFE" w:rsidRDefault="00F53FFE" w:rsidP="001D5110">
            <w:pPr>
              <w:pStyle w:val="Tablehead1"/>
              <w:jc w:val="center"/>
            </w:pPr>
            <w:r>
              <w:t>Projected qualification completion rate</w:t>
            </w:r>
            <w:r w:rsidR="001D5110">
              <w:t xml:space="preserve"> </w:t>
            </w:r>
            <w:r>
              <w:t>(%)</w:t>
            </w:r>
          </w:p>
        </w:tc>
        <w:tc>
          <w:tcPr>
            <w:tcW w:w="1978" w:type="dxa"/>
            <w:tcBorders>
              <w:top w:val="single" w:sz="4" w:space="0" w:color="auto"/>
              <w:left w:val="nil"/>
              <w:bottom w:val="single" w:sz="4" w:space="0" w:color="auto"/>
            </w:tcBorders>
            <w:tcMar>
              <w:left w:w="0" w:type="dxa"/>
              <w:right w:w="0" w:type="dxa"/>
            </w:tcMar>
          </w:tcPr>
          <w:p w:rsidR="00F53FFE" w:rsidRDefault="00F53FFE" w:rsidP="001D5110">
            <w:pPr>
              <w:pStyle w:val="Tablehead1"/>
              <w:jc w:val="center"/>
            </w:pPr>
            <w:r>
              <w:t xml:space="preserve">Subject load </w:t>
            </w:r>
            <w:r w:rsidR="00504C9F">
              <w:br/>
            </w:r>
            <w:r>
              <w:t>pass rate</w:t>
            </w:r>
            <w:r w:rsidR="001D5110">
              <w:t xml:space="preserve"> </w:t>
            </w:r>
            <w:r>
              <w:t>(%)</w:t>
            </w:r>
          </w:p>
        </w:tc>
      </w:tr>
      <w:tr w:rsidR="00F53FFE" w:rsidTr="00504C9F">
        <w:trPr>
          <w:cantSplit/>
        </w:trPr>
        <w:tc>
          <w:tcPr>
            <w:tcW w:w="2855" w:type="dxa"/>
            <w:tcBorders>
              <w:top w:val="single" w:sz="4" w:space="0" w:color="auto"/>
              <w:bottom w:val="nil"/>
              <w:right w:val="nil"/>
            </w:tcBorders>
          </w:tcPr>
          <w:p w:rsidR="00F53FFE" w:rsidRDefault="00F53FFE" w:rsidP="006930A0">
            <w:pPr>
              <w:pStyle w:val="Tabletext"/>
            </w:pPr>
            <w:r>
              <w:t>Students enrolled in AQF qualifications</w:t>
            </w:r>
          </w:p>
        </w:tc>
        <w:tc>
          <w:tcPr>
            <w:tcW w:w="1978" w:type="dxa"/>
            <w:tcBorders>
              <w:top w:val="single" w:sz="4" w:space="0" w:color="auto"/>
              <w:left w:val="nil"/>
              <w:bottom w:val="nil"/>
            </w:tcBorders>
          </w:tcPr>
          <w:p w:rsidR="00F53FFE" w:rsidRDefault="00F53FFE" w:rsidP="00DC2E9F">
            <w:pPr>
              <w:pStyle w:val="Tabletext"/>
              <w:jc w:val="center"/>
            </w:pPr>
            <w:r>
              <w:t>2008</w:t>
            </w:r>
          </w:p>
        </w:tc>
        <w:tc>
          <w:tcPr>
            <w:tcW w:w="1978" w:type="dxa"/>
            <w:tcBorders>
              <w:top w:val="single" w:sz="4" w:space="0" w:color="auto"/>
              <w:left w:val="nil"/>
            </w:tcBorders>
          </w:tcPr>
          <w:p w:rsidR="00F53FFE" w:rsidRDefault="00F53FFE" w:rsidP="00F53FFE">
            <w:pPr>
              <w:pStyle w:val="Tabletext"/>
              <w:jc w:val="center"/>
            </w:pPr>
            <w:r>
              <w:t>28</w:t>
            </w:r>
          </w:p>
        </w:tc>
        <w:tc>
          <w:tcPr>
            <w:tcW w:w="1978" w:type="dxa"/>
            <w:tcBorders>
              <w:top w:val="single" w:sz="4" w:space="0" w:color="auto"/>
              <w:left w:val="nil"/>
            </w:tcBorders>
          </w:tcPr>
          <w:p w:rsidR="00F53FFE" w:rsidRDefault="00F53FFE" w:rsidP="00F53FFE">
            <w:pPr>
              <w:pStyle w:val="Tabletext"/>
              <w:jc w:val="center"/>
            </w:pPr>
            <w:r>
              <w:t>80</w:t>
            </w:r>
          </w:p>
        </w:tc>
      </w:tr>
      <w:tr w:rsidR="00F53FFE" w:rsidTr="00504C9F">
        <w:trPr>
          <w:cantSplit/>
        </w:trPr>
        <w:tc>
          <w:tcPr>
            <w:tcW w:w="2855" w:type="dxa"/>
            <w:tcBorders>
              <w:top w:val="nil"/>
              <w:bottom w:val="single" w:sz="4" w:space="0" w:color="auto"/>
              <w:right w:val="nil"/>
            </w:tcBorders>
          </w:tcPr>
          <w:p w:rsidR="00F53FFE" w:rsidRDefault="00F53FFE" w:rsidP="006930A0">
            <w:pPr>
              <w:pStyle w:val="Tabletext"/>
            </w:pPr>
            <w:r>
              <w:t>Full-time students aged 25 year</w:t>
            </w:r>
            <w:r w:rsidR="00484203">
              <w:t>s</w:t>
            </w:r>
            <w:r>
              <w:t xml:space="preserve"> and under enrolled in AQF qualifications</w:t>
            </w:r>
          </w:p>
        </w:tc>
        <w:tc>
          <w:tcPr>
            <w:tcW w:w="1978" w:type="dxa"/>
            <w:tcBorders>
              <w:top w:val="nil"/>
              <w:left w:val="nil"/>
              <w:bottom w:val="single" w:sz="4" w:space="0" w:color="auto"/>
            </w:tcBorders>
          </w:tcPr>
          <w:p w:rsidR="00F53FFE" w:rsidRDefault="00F53FFE" w:rsidP="00DC2E9F">
            <w:pPr>
              <w:pStyle w:val="Tabletext"/>
              <w:jc w:val="center"/>
            </w:pPr>
            <w:r>
              <w:t>2008</w:t>
            </w:r>
          </w:p>
        </w:tc>
        <w:tc>
          <w:tcPr>
            <w:tcW w:w="1978" w:type="dxa"/>
            <w:tcBorders>
              <w:left w:val="nil"/>
            </w:tcBorders>
          </w:tcPr>
          <w:p w:rsidR="00F53FFE" w:rsidRDefault="00F53FFE" w:rsidP="00F53FFE">
            <w:pPr>
              <w:pStyle w:val="Tabletext"/>
              <w:jc w:val="center"/>
            </w:pPr>
            <w:r>
              <w:t>37</w:t>
            </w:r>
          </w:p>
        </w:tc>
        <w:tc>
          <w:tcPr>
            <w:tcW w:w="1978" w:type="dxa"/>
            <w:tcBorders>
              <w:left w:val="nil"/>
            </w:tcBorders>
          </w:tcPr>
          <w:p w:rsidR="00F53FFE" w:rsidRDefault="00F53FFE" w:rsidP="00F53FFE">
            <w:pPr>
              <w:pStyle w:val="Tabletext"/>
              <w:jc w:val="center"/>
            </w:pPr>
            <w:r>
              <w:t>78</w:t>
            </w:r>
          </w:p>
        </w:tc>
      </w:tr>
    </w:tbl>
    <w:p w:rsidR="00DC2E9F" w:rsidRDefault="00DC2E9F" w:rsidP="00504C9F">
      <w:pPr>
        <w:pStyle w:val="Source"/>
      </w:pPr>
      <w:r>
        <w:t>Note: AQF = Australian Qualifications Framework</w:t>
      </w:r>
    </w:p>
    <w:p w:rsidR="00F53FFE" w:rsidRDefault="00226E0D" w:rsidP="00504C9F">
      <w:pPr>
        <w:pStyle w:val="Source"/>
      </w:pPr>
      <w:r>
        <w:t>Source:</w:t>
      </w:r>
      <w:r w:rsidR="00504C9F">
        <w:tab/>
      </w:r>
      <w:r>
        <w:t xml:space="preserve">NCVER </w:t>
      </w:r>
      <w:r w:rsidR="00E5412C">
        <w:t>(</w:t>
      </w:r>
      <w:r>
        <w:t>2011b</w:t>
      </w:r>
      <w:r w:rsidR="00E5412C">
        <w:t>).</w:t>
      </w:r>
    </w:p>
    <w:p w:rsidR="00A53B3F" w:rsidRDefault="00E5412C" w:rsidP="00504C9F">
      <w:pPr>
        <w:pStyle w:val="Textmorebefore"/>
      </w:pPr>
      <w:r>
        <w:t>As can be seen in t</w:t>
      </w:r>
      <w:r w:rsidR="00A53B3F">
        <w:t>able 3, the projecte</w:t>
      </w:r>
      <w:r w:rsidR="00484203">
        <w:t>d qualification completion rate</w:t>
      </w:r>
      <w:r w:rsidR="00A53B3F">
        <w:t xml:space="preserve"> for all students starting </w:t>
      </w:r>
      <w:r>
        <w:t>Australian Qualifications Framework (</w:t>
      </w:r>
      <w:r w:rsidR="00A53B3F">
        <w:t>AQF</w:t>
      </w:r>
      <w:r>
        <w:t>)</w:t>
      </w:r>
      <w:r w:rsidR="00484203">
        <w:t xml:space="preserve"> qualifications in 2008 over the whole of Australia</w:t>
      </w:r>
      <w:r w:rsidR="00A53B3F">
        <w:t xml:space="preserve"> is 28%. If we only consider full-time VET students aged 25 years and under, the figure rises to 37%.</w:t>
      </w:r>
    </w:p>
    <w:p w:rsidR="00A53B3F" w:rsidRDefault="00A53B3F" w:rsidP="00A53B3F">
      <w:pPr>
        <w:pStyle w:val="Text"/>
      </w:pPr>
      <w:r>
        <w:t>It must be remembered that these are ‘average’ qualificati</w:t>
      </w:r>
      <w:r w:rsidR="00484203">
        <w:t>on completion rates</w:t>
      </w:r>
      <w:r>
        <w:t xml:space="preserve"> across all different fields of education and qualification levels. There is considerable variation in completion rates once we break them down by field of education and qualification level. For example, consider looking at the rate for qualifications for full-time VET students, aged 25 and under, broken down by qualifi</w:t>
      </w:r>
      <w:r w:rsidR="008D3DBC">
        <w:t>cation level. This is shown in table 4. We can see that c</w:t>
      </w:r>
      <w:r>
        <w:t xml:space="preserve">ertificate III qualifications have a considerably higher completion rate (46%) than the other levels. Further breakdowns by state and by field of education can be found in </w:t>
      </w:r>
      <w:proofErr w:type="gramStart"/>
      <w:r w:rsidRPr="002C44F2">
        <w:rPr>
          <w:i/>
        </w:rPr>
        <w:t>The</w:t>
      </w:r>
      <w:proofErr w:type="gramEnd"/>
      <w:r w:rsidRPr="002C44F2">
        <w:rPr>
          <w:i/>
        </w:rPr>
        <w:t xml:space="preserve"> </w:t>
      </w:r>
      <w:r>
        <w:rPr>
          <w:i/>
        </w:rPr>
        <w:t>l</w:t>
      </w:r>
      <w:r w:rsidRPr="002C44F2">
        <w:rPr>
          <w:i/>
        </w:rPr>
        <w:t xml:space="preserve">ikelihood of </w:t>
      </w:r>
      <w:r>
        <w:rPr>
          <w:i/>
        </w:rPr>
        <w:t>c</w:t>
      </w:r>
      <w:r w:rsidRPr="002C44F2">
        <w:rPr>
          <w:i/>
        </w:rPr>
        <w:t xml:space="preserve">ompleting a VET </w:t>
      </w:r>
      <w:r>
        <w:rPr>
          <w:i/>
        </w:rPr>
        <w:t>q</w:t>
      </w:r>
      <w:r w:rsidR="008D3DBC">
        <w:rPr>
          <w:i/>
        </w:rPr>
        <w:t>ualification 2005—</w:t>
      </w:r>
      <w:r w:rsidRPr="002C44F2">
        <w:rPr>
          <w:i/>
        </w:rPr>
        <w:t>08</w:t>
      </w:r>
      <w:r>
        <w:t xml:space="preserve"> (NCVER 2011b).</w:t>
      </w:r>
    </w:p>
    <w:p w:rsidR="00F53FFE" w:rsidRDefault="00F53FFE" w:rsidP="00F53FFE">
      <w:pPr>
        <w:pStyle w:val="tabletitle"/>
      </w:pPr>
      <w:bookmarkStart w:id="46" w:name="_Toc311991633"/>
      <w:r>
        <w:t xml:space="preserve">Table </w:t>
      </w:r>
      <w:r w:rsidR="00545349">
        <w:t>4</w:t>
      </w:r>
      <w:r>
        <w:tab/>
      </w:r>
      <w:r w:rsidR="00545349" w:rsidRPr="00545349">
        <w:t>Projected qualification completion rates and load pass rates for qualifications commencing 2008, full-time, aged 25 years and under, with no prior VET qualification, by level</w:t>
      </w:r>
      <w:bookmarkEnd w:id="46"/>
    </w:p>
    <w:tbl>
      <w:tblPr>
        <w:tblW w:w="8789" w:type="dxa"/>
        <w:tblInd w:w="108" w:type="dxa"/>
        <w:tblBorders>
          <w:top w:val="single" w:sz="4" w:space="0" w:color="auto"/>
          <w:bottom w:val="single" w:sz="4" w:space="0" w:color="auto"/>
        </w:tblBorders>
        <w:tblLayout w:type="fixed"/>
        <w:tblLook w:val="0000"/>
      </w:tblPr>
      <w:tblGrid>
        <w:gridCol w:w="2929"/>
        <w:gridCol w:w="2930"/>
        <w:gridCol w:w="2930"/>
      </w:tblGrid>
      <w:tr w:rsidR="00545349" w:rsidRPr="00545349" w:rsidTr="001D5110">
        <w:trPr>
          <w:cantSplit/>
        </w:trPr>
        <w:tc>
          <w:tcPr>
            <w:tcW w:w="2929" w:type="dxa"/>
            <w:tcBorders>
              <w:top w:val="single" w:sz="4" w:space="0" w:color="auto"/>
              <w:bottom w:val="nil"/>
              <w:right w:val="nil"/>
            </w:tcBorders>
          </w:tcPr>
          <w:p w:rsidR="00545349" w:rsidRPr="00545349" w:rsidRDefault="00545349" w:rsidP="00545349">
            <w:pPr>
              <w:pStyle w:val="Tablehead1"/>
            </w:pPr>
            <w:r w:rsidRPr="00545349">
              <w:t>AQF qualifications</w:t>
            </w:r>
          </w:p>
        </w:tc>
        <w:tc>
          <w:tcPr>
            <w:tcW w:w="2930" w:type="dxa"/>
            <w:tcBorders>
              <w:top w:val="single" w:sz="4" w:space="0" w:color="auto"/>
              <w:left w:val="nil"/>
              <w:bottom w:val="nil"/>
            </w:tcBorders>
          </w:tcPr>
          <w:p w:rsidR="00545349" w:rsidRPr="00545349" w:rsidRDefault="00545349" w:rsidP="00545349">
            <w:pPr>
              <w:pStyle w:val="Tablehead1"/>
              <w:tabs>
                <w:tab w:val="center" w:pos="561"/>
              </w:tabs>
              <w:jc w:val="center"/>
            </w:pPr>
            <w:r w:rsidRPr="00545349">
              <w:t xml:space="preserve">Projected qualification </w:t>
            </w:r>
            <w:r w:rsidRPr="00545349">
              <w:br/>
              <w:t>completion rate (%)</w:t>
            </w:r>
          </w:p>
        </w:tc>
        <w:tc>
          <w:tcPr>
            <w:tcW w:w="2930" w:type="dxa"/>
            <w:tcBorders>
              <w:top w:val="single" w:sz="4" w:space="0" w:color="auto"/>
              <w:left w:val="nil"/>
              <w:bottom w:val="nil"/>
            </w:tcBorders>
          </w:tcPr>
          <w:p w:rsidR="00545349" w:rsidRPr="00545349" w:rsidRDefault="00545349" w:rsidP="00CE69A5">
            <w:pPr>
              <w:pStyle w:val="Tablehead1"/>
              <w:jc w:val="center"/>
            </w:pPr>
            <w:r w:rsidRPr="00545349">
              <w:t xml:space="preserve">Subject load </w:t>
            </w:r>
            <w:r w:rsidR="001D5110">
              <w:br/>
            </w:r>
            <w:r w:rsidRPr="00545349">
              <w:t>pass rate (%)</w:t>
            </w:r>
          </w:p>
        </w:tc>
      </w:tr>
      <w:tr w:rsidR="00545349" w:rsidRPr="00545349" w:rsidTr="001D5110">
        <w:trPr>
          <w:cantSplit/>
        </w:trPr>
        <w:tc>
          <w:tcPr>
            <w:tcW w:w="2929" w:type="dxa"/>
            <w:tcBorders>
              <w:top w:val="nil"/>
              <w:bottom w:val="single" w:sz="4" w:space="0" w:color="auto"/>
              <w:right w:val="nil"/>
            </w:tcBorders>
          </w:tcPr>
          <w:p w:rsidR="00545349" w:rsidRPr="00545349" w:rsidRDefault="00545349" w:rsidP="00504C9F">
            <w:pPr>
              <w:pStyle w:val="Tablehead2"/>
              <w:jc w:val="center"/>
            </w:pPr>
          </w:p>
        </w:tc>
        <w:tc>
          <w:tcPr>
            <w:tcW w:w="2930" w:type="dxa"/>
            <w:tcBorders>
              <w:top w:val="nil"/>
              <w:left w:val="nil"/>
              <w:bottom w:val="single" w:sz="4" w:space="0" w:color="auto"/>
            </w:tcBorders>
          </w:tcPr>
          <w:p w:rsidR="00545349" w:rsidRPr="00545349" w:rsidRDefault="00545349" w:rsidP="00504C9F">
            <w:pPr>
              <w:pStyle w:val="Tablehead2"/>
              <w:jc w:val="center"/>
            </w:pPr>
            <w:r>
              <w:t>2008</w:t>
            </w:r>
          </w:p>
        </w:tc>
        <w:tc>
          <w:tcPr>
            <w:tcW w:w="2930" w:type="dxa"/>
            <w:tcBorders>
              <w:top w:val="nil"/>
              <w:left w:val="nil"/>
              <w:bottom w:val="single" w:sz="4" w:space="0" w:color="auto"/>
            </w:tcBorders>
          </w:tcPr>
          <w:p w:rsidR="00545349" w:rsidRPr="00545349" w:rsidRDefault="00545349" w:rsidP="00504C9F">
            <w:pPr>
              <w:pStyle w:val="Tablehead2"/>
              <w:jc w:val="center"/>
            </w:pPr>
            <w:r>
              <w:t>2008</w:t>
            </w:r>
          </w:p>
        </w:tc>
      </w:tr>
      <w:tr w:rsidR="00545349" w:rsidTr="001D5110">
        <w:trPr>
          <w:cantSplit/>
        </w:trPr>
        <w:tc>
          <w:tcPr>
            <w:tcW w:w="2929" w:type="dxa"/>
            <w:tcBorders>
              <w:top w:val="single" w:sz="4" w:space="0" w:color="auto"/>
              <w:bottom w:val="nil"/>
              <w:right w:val="nil"/>
            </w:tcBorders>
          </w:tcPr>
          <w:p w:rsidR="00545349" w:rsidRDefault="00545349" w:rsidP="006930A0">
            <w:pPr>
              <w:pStyle w:val="Tabletext"/>
            </w:pPr>
            <w:r>
              <w:t>Diploma and above</w:t>
            </w:r>
          </w:p>
        </w:tc>
        <w:tc>
          <w:tcPr>
            <w:tcW w:w="2930" w:type="dxa"/>
            <w:tcBorders>
              <w:top w:val="single" w:sz="4" w:space="0" w:color="auto"/>
              <w:left w:val="nil"/>
            </w:tcBorders>
          </w:tcPr>
          <w:p w:rsidR="00545349" w:rsidRDefault="00545349" w:rsidP="00545349">
            <w:pPr>
              <w:pStyle w:val="Tabletext"/>
              <w:jc w:val="center"/>
            </w:pPr>
            <w:r>
              <w:t>35</w:t>
            </w:r>
          </w:p>
        </w:tc>
        <w:tc>
          <w:tcPr>
            <w:tcW w:w="2930" w:type="dxa"/>
            <w:tcBorders>
              <w:top w:val="single" w:sz="4" w:space="0" w:color="auto"/>
              <w:left w:val="nil"/>
            </w:tcBorders>
          </w:tcPr>
          <w:p w:rsidR="00545349" w:rsidRDefault="00013967" w:rsidP="00545349">
            <w:pPr>
              <w:pStyle w:val="Tabletext"/>
              <w:jc w:val="center"/>
            </w:pPr>
            <w:r>
              <w:t>79</w:t>
            </w:r>
          </w:p>
        </w:tc>
      </w:tr>
      <w:tr w:rsidR="00545349" w:rsidTr="001D5110">
        <w:trPr>
          <w:cantSplit/>
        </w:trPr>
        <w:tc>
          <w:tcPr>
            <w:tcW w:w="2929" w:type="dxa"/>
            <w:tcBorders>
              <w:top w:val="nil"/>
              <w:bottom w:val="nil"/>
              <w:right w:val="nil"/>
            </w:tcBorders>
          </w:tcPr>
          <w:p w:rsidR="00545349" w:rsidRDefault="00545349" w:rsidP="006930A0">
            <w:pPr>
              <w:pStyle w:val="Tabletext"/>
            </w:pPr>
            <w:r>
              <w:t>Certificate IV</w:t>
            </w:r>
          </w:p>
        </w:tc>
        <w:tc>
          <w:tcPr>
            <w:tcW w:w="2930" w:type="dxa"/>
            <w:tcBorders>
              <w:left w:val="nil"/>
            </w:tcBorders>
          </w:tcPr>
          <w:p w:rsidR="00545349" w:rsidRDefault="00545349" w:rsidP="00545349">
            <w:pPr>
              <w:pStyle w:val="Tabletext"/>
              <w:jc w:val="center"/>
            </w:pPr>
            <w:r>
              <w:t>34</w:t>
            </w:r>
          </w:p>
        </w:tc>
        <w:tc>
          <w:tcPr>
            <w:tcW w:w="2930" w:type="dxa"/>
            <w:tcBorders>
              <w:left w:val="nil"/>
            </w:tcBorders>
          </w:tcPr>
          <w:p w:rsidR="00545349" w:rsidRDefault="00545349" w:rsidP="00545349">
            <w:pPr>
              <w:pStyle w:val="Tabletext"/>
              <w:jc w:val="center"/>
            </w:pPr>
            <w:r>
              <w:t>75</w:t>
            </w:r>
          </w:p>
        </w:tc>
      </w:tr>
      <w:tr w:rsidR="00545349" w:rsidTr="001D5110">
        <w:trPr>
          <w:cantSplit/>
        </w:trPr>
        <w:tc>
          <w:tcPr>
            <w:tcW w:w="2929" w:type="dxa"/>
            <w:tcBorders>
              <w:top w:val="nil"/>
              <w:bottom w:val="nil"/>
              <w:right w:val="nil"/>
            </w:tcBorders>
          </w:tcPr>
          <w:p w:rsidR="00545349" w:rsidRDefault="00545349" w:rsidP="006930A0">
            <w:pPr>
              <w:pStyle w:val="Tabletext"/>
            </w:pPr>
            <w:r>
              <w:t>Certificate III</w:t>
            </w:r>
          </w:p>
        </w:tc>
        <w:tc>
          <w:tcPr>
            <w:tcW w:w="2930" w:type="dxa"/>
            <w:tcBorders>
              <w:left w:val="nil"/>
            </w:tcBorders>
          </w:tcPr>
          <w:p w:rsidR="00545349" w:rsidRDefault="00545349" w:rsidP="00545349">
            <w:pPr>
              <w:pStyle w:val="Tabletext"/>
              <w:jc w:val="center"/>
            </w:pPr>
            <w:r>
              <w:t>46</w:t>
            </w:r>
          </w:p>
        </w:tc>
        <w:tc>
          <w:tcPr>
            <w:tcW w:w="2930" w:type="dxa"/>
            <w:tcBorders>
              <w:left w:val="nil"/>
            </w:tcBorders>
          </w:tcPr>
          <w:p w:rsidR="00545349" w:rsidRDefault="00545349" w:rsidP="00545349">
            <w:pPr>
              <w:pStyle w:val="Tabletext"/>
              <w:jc w:val="center"/>
            </w:pPr>
            <w:r>
              <w:t>80</w:t>
            </w:r>
          </w:p>
        </w:tc>
      </w:tr>
      <w:tr w:rsidR="00545349" w:rsidTr="001D5110">
        <w:trPr>
          <w:cantSplit/>
        </w:trPr>
        <w:tc>
          <w:tcPr>
            <w:tcW w:w="2929" w:type="dxa"/>
            <w:tcBorders>
              <w:top w:val="nil"/>
              <w:bottom w:val="nil"/>
              <w:right w:val="nil"/>
            </w:tcBorders>
          </w:tcPr>
          <w:p w:rsidR="00545349" w:rsidRDefault="00545349" w:rsidP="006930A0">
            <w:pPr>
              <w:pStyle w:val="Tabletext"/>
            </w:pPr>
            <w:r>
              <w:t>Certificate II</w:t>
            </w:r>
          </w:p>
        </w:tc>
        <w:tc>
          <w:tcPr>
            <w:tcW w:w="2930" w:type="dxa"/>
            <w:tcBorders>
              <w:left w:val="nil"/>
              <w:bottom w:val="nil"/>
            </w:tcBorders>
          </w:tcPr>
          <w:p w:rsidR="00545349" w:rsidRDefault="00545349" w:rsidP="00545349">
            <w:pPr>
              <w:pStyle w:val="Tabletext"/>
              <w:jc w:val="center"/>
            </w:pPr>
            <w:r>
              <w:t>32</w:t>
            </w:r>
          </w:p>
        </w:tc>
        <w:tc>
          <w:tcPr>
            <w:tcW w:w="2930" w:type="dxa"/>
            <w:tcBorders>
              <w:left w:val="nil"/>
              <w:bottom w:val="nil"/>
            </w:tcBorders>
          </w:tcPr>
          <w:p w:rsidR="00545349" w:rsidRDefault="00545349" w:rsidP="00545349">
            <w:pPr>
              <w:pStyle w:val="Tabletext"/>
              <w:jc w:val="center"/>
            </w:pPr>
            <w:r>
              <w:t>71</w:t>
            </w:r>
          </w:p>
        </w:tc>
      </w:tr>
      <w:tr w:rsidR="00545349" w:rsidTr="001D5110">
        <w:trPr>
          <w:cantSplit/>
        </w:trPr>
        <w:tc>
          <w:tcPr>
            <w:tcW w:w="2929" w:type="dxa"/>
            <w:tcBorders>
              <w:top w:val="nil"/>
              <w:bottom w:val="nil"/>
              <w:right w:val="nil"/>
            </w:tcBorders>
          </w:tcPr>
          <w:p w:rsidR="00545349" w:rsidRDefault="00545349" w:rsidP="006930A0">
            <w:pPr>
              <w:pStyle w:val="Tabletext"/>
            </w:pPr>
            <w:r>
              <w:t>Certificate I</w:t>
            </w:r>
          </w:p>
        </w:tc>
        <w:tc>
          <w:tcPr>
            <w:tcW w:w="2930" w:type="dxa"/>
            <w:tcBorders>
              <w:top w:val="nil"/>
              <w:left w:val="nil"/>
              <w:bottom w:val="nil"/>
            </w:tcBorders>
          </w:tcPr>
          <w:p w:rsidR="00545349" w:rsidRDefault="00545349" w:rsidP="00545349">
            <w:pPr>
              <w:pStyle w:val="Tabletext"/>
              <w:jc w:val="center"/>
            </w:pPr>
            <w:r>
              <w:t>31</w:t>
            </w:r>
          </w:p>
        </w:tc>
        <w:tc>
          <w:tcPr>
            <w:tcW w:w="2930" w:type="dxa"/>
            <w:tcBorders>
              <w:top w:val="nil"/>
              <w:left w:val="nil"/>
              <w:bottom w:val="nil"/>
            </w:tcBorders>
          </w:tcPr>
          <w:p w:rsidR="00545349" w:rsidRDefault="00545349" w:rsidP="00545349">
            <w:pPr>
              <w:pStyle w:val="Tabletext"/>
              <w:jc w:val="center"/>
            </w:pPr>
            <w:r>
              <w:t>69</w:t>
            </w:r>
          </w:p>
        </w:tc>
      </w:tr>
      <w:tr w:rsidR="00545349" w:rsidRPr="001D5110" w:rsidTr="001D5110">
        <w:trPr>
          <w:cantSplit/>
        </w:trPr>
        <w:tc>
          <w:tcPr>
            <w:tcW w:w="2929" w:type="dxa"/>
            <w:tcBorders>
              <w:top w:val="nil"/>
              <w:bottom w:val="single" w:sz="4" w:space="0" w:color="auto"/>
              <w:right w:val="nil"/>
            </w:tcBorders>
          </w:tcPr>
          <w:p w:rsidR="00545349" w:rsidRPr="001D5110" w:rsidRDefault="00545349" w:rsidP="006930A0">
            <w:pPr>
              <w:pStyle w:val="Tabletext"/>
              <w:rPr>
                <w:b/>
              </w:rPr>
            </w:pPr>
            <w:r w:rsidRPr="001D5110">
              <w:rPr>
                <w:b/>
              </w:rPr>
              <w:t>Total</w:t>
            </w:r>
          </w:p>
        </w:tc>
        <w:tc>
          <w:tcPr>
            <w:tcW w:w="2930" w:type="dxa"/>
            <w:tcBorders>
              <w:top w:val="nil"/>
              <w:left w:val="nil"/>
              <w:bottom w:val="single" w:sz="4" w:space="0" w:color="auto"/>
            </w:tcBorders>
          </w:tcPr>
          <w:p w:rsidR="00545349" w:rsidRPr="001D5110" w:rsidRDefault="00545349" w:rsidP="00545349">
            <w:pPr>
              <w:pStyle w:val="Tabletext"/>
              <w:jc w:val="center"/>
              <w:rPr>
                <w:b/>
              </w:rPr>
            </w:pPr>
            <w:r w:rsidRPr="001D5110">
              <w:rPr>
                <w:b/>
              </w:rPr>
              <w:t>37</w:t>
            </w:r>
          </w:p>
        </w:tc>
        <w:tc>
          <w:tcPr>
            <w:tcW w:w="2930" w:type="dxa"/>
            <w:tcBorders>
              <w:top w:val="nil"/>
              <w:left w:val="nil"/>
              <w:bottom w:val="single" w:sz="4" w:space="0" w:color="auto"/>
            </w:tcBorders>
          </w:tcPr>
          <w:p w:rsidR="00545349" w:rsidRPr="001D5110" w:rsidRDefault="00545349" w:rsidP="00545349">
            <w:pPr>
              <w:pStyle w:val="Tabletext"/>
              <w:jc w:val="center"/>
              <w:rPr>
                <w:b/>
              </w:rPr>
            </w:pPr>
            <w:r w:rsidRPr="001D5110">
              <w:rPr>
                <w:b/>
              </w:rPr>
              <w:t>78</w:t>
            </w:r>
          </w:p>
        </w:tc>
      </w:tr>
    </w:tbl>
    <w:p w:rsidR="00DC2E9F" w:rsidRPr="00DC2E9F" w:rsidRDefault="00DC2E9F" w:rsidP="00DC2E9F">
      <w:pPr>
        <w:pStyle w:val="Source"/>
      </w:pPr>
      <w:r w:rsidRPr="00DC2E9F">
        <w:t>Note: AQF = Australian Qualifications Framework</w:t>
      </w:r>
    </w:p>
    <w:p w:rsidR="00F53FFE" w:rsidRDefault="00F53FFE" w:rsidP="00504C9F">
      <w:pPr>
        <w:pStyle w:val="Source"/>
      </w:pPr>
      <w:r>
        <w:t>Source:</w:t>
      </w:r>
      <w:r>
        <w:tab/>
      </w:r>
      <w:r w:rsidR="00226E0D">
        <w:t xml:space="preserve">NCVER </w:t>
      </w:r>
      <w:r w:rsidR="008D3DBC">
        <w:t>(</w:t>
      </w:r>
      <w:r w:rsidR="00226E0D" w:rsidRPr="00504C9F">
        <w:t>2011b</w:t>
      </w:r>
      <w:r w:rsidR="008D3DBC">
        <w:t>).</w:t>
      </w:r>
    </w:p>
    <w:p w:rsidR="00A53B3F" w:rsidRDefault="00DC2E9F" w:rsidP="001D5110">
      <w:pPr>
        <w:pStyle w:val="Textmorebefore"/>
        <w:ind w:right="141"/>
      </w:pPr>
      <w:r>
        <w:lastRenderedPageBreak/>
        <w:t>Looking back at table 3, t</w:t>
      </w:r>
      <w:r w:rsidR="008D3DBC">
        <w:t xml:space="preserve">he subject load pass rate </w:t>
      </w:r>
      <w:r w:rsidR="00A53B3F">
        <w:t xml:space="preserve">for all VET students is quite high, at 80%. However, the corresponding </w:t>
      </w:r>
      <w:r w:rsidR="00013967">
        <w:t xml:space="preserve">projected </w:t>
      </w:r>
      <w:r w:rsidR="00A53B3F">
        <w:t xml:space="preserve">qualification completion rate is comparatively low (around 30%). This suggests that, on the whole, the subjects attempted are completed but </w:t>
      </w:r>
      <w:r w:rsidR="00484203">
        <w:t xml:space="preserve">that </w:t>
      </w:r>
      <w:r w:rsidR="00A53B3F">
        <w:t xml:space="preserve">students are not completing the whole qualification. </w:t>
      </w:r>
    </w:p>
    <w:p w:rsidR="00A53B3F" w:rsidRDefault="00A53B3F" w:rsidP="00A53B3F">
      <w:pPr>
        <w:pStyle w:val="Text"/>
      </w:pPr>
      <w:r>
        <w:t>To better understand the differences between low completion rates and high load pass rates, NCVER undertook a survey of students’ intentions. Information was collected on students’ intentions to complete their course (as opposed to completing subjects only),</w:t>
      </w:r>
      <w:r w:rsidR="00484203">
        <w:t xml:space="preserve"> and the reasons behind these. The r</w:t>
      </w:r>
      <w:r>
        <w:t xml:space="preserve">esults (NCVER 2011c) </w:t>
      </w:r>
      <w:r w:rsidRPr="004E3DEE">
        <w:t>show that over 90% students intend to complete their qualification</w:t>
      </w:r>
      <w:r>
        <w:t xml:space="preserve"> (when asked at or close to the time of enrolment)</w:t>
      </w:r>
      <w:r w:rsidRPr="004E3DEE">
        <w:t>.</w:t>
      </w:r>
      <w:r>
        <w:t xml:space="preserve"> </w:t>
      </w:r>
    </w:p>
    <w:p w:rsidR="00A53B3F" w:rsidRPr="00F64297" w:rsidRDefault="00A53B3F" w:rsidP="00226E0D">
      <w:pPr>
        <w:pStyle w:val="Heading2"/>
      </w:pPr>
      <w:bookmarkStart w:id="47" w:name="_Toc309043803"/>
      <w:r w:rsidRPr="00F64297">
        <w:t>Latest completion rates for apprentices and trainees</w:t>
      </w:r>
      <w:bookmarkEnd w:id="47"/>
    </w:p>
    <w:p w:rsidR="00A53B3F" w:rsidRDefault="00A53B3F" w:rsidP="00A53B3F">
      <w:pPr>
        <w:pStyle w:val="Text"/>
      </w:pPr>
      <w:r>
        <w:t>The latest completion rates for apprent</w:t>
      </w:r>
      <w:r w:rsidR="008D3DBC">
        <w:t>ices and trainees are shown in t</w:t>
      </w:r>
      <w:r>
        <w:t>able 5. Notice that</w:t>
      </w:r>
      <w:r w:rsidRPr="0089342C">
        <w:t xml:space="preserve"> the contract completion rate for trades</w:t>
      </w:r>
      <w:r>
        <w:t xml:space="preserve"> (45%)</w:t>
      </w:r>
      <w:r w:rsidRPr="0089342C">
        <w:t xml:space="preserve"> is lower than </w:t>
      </w:r>
      <w:r>
        <w:t xml:space="preserve">that for non-trades (53%); however, once we look at individual completion rates, they are similar. This suggests that looking at contract completion rates alone can be misleading, because individuals in trade occupations often change employers and have to start a new contract of training, </w:t>
      </w:r>
      <w:r w:rsidR="008F1C4C">
        <w:t>which</w:t>
      </w:r>
      <w:r>
        <w:t xml:space="preserve"> is not captured by the contract completion rate.</w:t>
      </w:r>
    </w:p>
    <w:p w:rsidR="00F53FFE" w:rsidRDefault="00F53FFE" w:rsidP="00F53FFE">
      <w:pPr>
        <w:pStyle w:val="tabletitle"/>
      </w:pPr>
      <w:bookmarkStart w:id="48" w:name="_Toc311991634"/>
      <w:r>
        <w:t xml:space="preserve">Table </w:t>
      </w:r>
      <w:r w:rsidR="00AA54FC">
        <w:t>5</w:t>
      </w:r>
      <w:r>
        <w:tab/>
      </w:r>
      <w:r w:rsidR="00CE69A5">
        <w:t>Latest completion rates for apprentices and trainees</w:t>
      </w:r>
      <w:bookmarkEnd w:id="48"/>
    </w:p>
    <w:tbl>
      <w:tblPr>
        <w:tblW w:w="8789" w:type="dxa"/>
        <w:tblInd w:w="108" w:type="dxa"/>
        <w:tblBorders>
          <w:top w:val="single" w:sz="4" w:space="0" w:color="auto"/>
          <w:bottom w:val="single" w:sz="4" w:space="0" w:color="auto"/>
        </w:tblBorders>
        <w:tblLayout w:type="fixed"/>
        <w:tblLook w:val="0000"/>
      </w:tblPr>
      <w:tblGrid>
        <w:gridCol w:w="2977"/>
        <w:gridCol w:w="2835"/>
        <w:gridCol w:w="1488"/>
        <w:gridCol w:w="1489"/>
      </w:tblGrid>
      <w:tr w:rsidR="00096614" w:rsidTr="00096614">
        <w:trPr>
          <w:cantSplit/>
          <w:trHeight w:val="175"/>
        </w:trPr>
        <w:tc>
          <w:tcPr>
            <w:tcW w:w="2977" w:type="dxa"/>
            <w:tcBorders>
              <w:top w:val="single" w:sz="4" w:space="0" w:color="auto"/>
              <w:right w:val="nil"/>
            </w:tcBorders>
          </w:tcPr>
          <w:p w:rsidR="00096614" w:rsidRDefault="00096614" w:rsidP="006930A0">
            <w:pPr>
              <w:pStyle w:val="Tablehead1"/>
            </w:pPr>
            <w:r>
              <w:t>Completion rate</w:t>
            </w:r>
          </w:p>
        </w:tc>
        <w:tc>
          <w:tcPr>
            <w:tcW w:w="2835" w:type="dxa"/>
            <w:tcBorders>
              <w:top w:val="single" w:sz="4" w:space="0" w:color="auto"/>
              <w:left w:val="nil"/>
              <w:bottom w:val="nil"/>
            </w:tcBorders>
          </w:tcPr>
          <w:p w:rsidR="00096614" w:rsidRDefault="00096614" w:rsidP="006930A0">
            <w:pPr>
              <w:pStyle w:val="Tablehead1"/>
              <w:jc w:val="center"/>
            </w:pPr>
            <w:r>
              <w:t>Commencing in</w:t>
            </w:r>
          </w:p>
        </w:tc>
        <w:tc>
          <w:tcPr>
            <w:tcW w:w="2977" w:type="dxa"/>
            <w:gridSpan w:val="2"/>
            <w:tcBorders>
              <w:top w:val="single" w:sz="4" w:space="0" w:color="auto"/>
              <w:left w:val="nil"/>
              <w:bottom w:val="nil"/>
            </w:tcBorders>
          </w:tcPr>
          <w:p w:rsidR="00096614" w:rsidRDefault="00096614" w:rsidP="006930A0">
            <w:pPr>
              <w:pStyle w:val="Tablehead1"/>
              <w:jc w:val="center"/>
            </w:pPr>
            <w:r>
              <w:t>Completion rate</w:t>
            </w:r>
          </w:p>
        </w:tc>
      </w:tr>
      <w:tr w:rsidR="00096614" w:rsidTr="00096614">
        <w:trPr>
          <w:cantSplit/>
          <w:trHeight w:val="175"/>
        </w:trPr>
        <w:tc>
          <w:tcPr>
            <w:tcW w:w="2977" w:type="dxa"/>
            <w:tcBorders>
              <w:bottom w:val="single" w:sz="4" w:space="0" w:color="auto"/>
              <w:right w:val="nil"/>
            </w:tcBorders>
          </w:tcPr>
          <w:p w:rsidR="00096614" w:rsidRDefault="00096614" w:rsidP="00096614">
            <w:pPr>
              <w:pStyle w:val="Tablehead2"/>
              <w:jc w:val="center"/>
            </w:pPr>
          </w:p>
        </w:tc>
        <w:tc>
          <w:tcPr>
            <w:tcW w:w="2835" w:type="dxa"/>
            <w:tcBorders>
              <w:top w:val="nil"/>
              <w:left w:val="nil"/>
              <w:bottom w:val="single" w:sz="4" w:space="0" w:color="auto"/>
            </w:tcBorders>
          </w:tcPr>
          <w:p w:rsidR="00096614" w:rsidRDefault="00096614" w:rsidP="00096614">
            <w:pPr>
              <w:pStyle w:val="Tablehead2"/>
              <w:jc w:val="center"/>
            </w:pPr>
          </w:p>
        </w:tc>
        <w:tc>
          <w:tcPr>
            <w:tcW w:w="1488" w:type="dxa"/>
            <w:tcBorders>
              <w:top w:val="nil"/>
              <w:left w:val="nil"/>
              <w:bottom w:val="single" w:sz="4" w:space="0" w:color="auto"/>
            </w:tcBorders>
          </w:tcPr>
          <w:p w:rsidR="00096614" w:rsidRDefault="00096614" w:rsidP="00096614">
            <w:pPr>
              <w:pStyle w:val="Tablehead2"/>
              <w:jc w:val="center"/>
            </w:pPr>
            <w:r>
              <w:t>Trades (%)</w:t>
            </w:r>
          </w:p>
        </w:tc>
        <w:tc>
          <w:tcPr>
            <w:tcW w:w="1489" w:type="dxa"/>
            <w:tcBorders>
              <w:top w:val="nil"/>
              <w:left w:val="nil"/>
              <w:bottom w:val="single" w:sz="4" w:space="0" w:color="auto"/>
            </w:tcBorders>
          </w:tcPr>
          <w:p w:rsidR="00096614" w:rsidRDefault="00096614" w:rsidP="00096614">
            <w:pPr>
              <w:pStyle w:val="Tablehead2"/>
              <w:jc w:val="center"/>
            </w:pPr>
            <w:r>
              <w:t>Non-trades (%)</w:t>
            </w:r>
          </w:p>
        </w:tc>
      </w:tr>
      <w:tr w:rsidR="00CE69A5" w:rsidTr="00096614">
        <w:trPr>
          <w:cantSplit/>
        </w:trPr>
        <w:tc>
          <w:tcPr>
            <w:tcW w:w="2977" w:type="dxa"/>
            <w:tcBorders>
              <w:top w:val="single" w:sz="4" w:space="0" w:color="auto"/>
              <w:bottom w:val="nil"/>
              <w:right w:val="nil"/>
            </w:tcBorders>
          </w:tcPr>
          <w:p w:rsidR="00CE69A5" w:rsidRDefault="00AA54FC" w:rsidP="006930A0">
            <w:pPr>
              <w:pStyle w:val="Tabletext"/>
            </w:pPr>
            <w:r>
              <w:t xml:space="preserve">Contract completion rate </w:t>
            </w:r>
          </w:p>
        </w:tc>
        <w:tc>
          <w:tcPr>
            <w:tcW w:w="2835" w:type="dxa"/>
            <w:tcBorders>
              <w:top w:val="single" w:sz="4" w:space="0" w:color="auto"/>
              <w:left w:val="nil"/>
              <w:bottom w:val="nil"/>
              <w:right w:val="nil"/>
            </w:tcBorders>
          </w:tcPr>
          <w:p w:rsidR="00CE69A5" w:rsidRDefault="00CE69A5" w:rsidP="00CE69A5">
            <w:pPr>
              <w:pStyle w:val="Tabletext"/>
              <w:tabs>
                <w:tab w:val="decimal" w:pos="559"/>
              </w:tabs>
              <w:jc w:val="center"/>
            </w:pPr>
            <w:r>
              <w:t>2006</w:t>
            </w:r>
          </w:p>
        </w:tc>
        <w:tc>
          <w:tcPr>
            <w:tcW w:w="1488" w:type="dxa"/>
            <w:tcBorders>
              <w:top w:val="single" w:sz="4" w:space="0" w:color="auto"/>
              <w:left w:val="nil"/>
              <w:bottom w:val="nil"/>
              <w:right w:val="nil"/>
            </w:tcBorders>
          </w:tcPr>
          <w:p w:rsidR="00CE69A5" w:rsidRDefault="00AA54FC" w:rsidP="00096614">
            <w:pPr>
              <w:pStyle w:val="Tabletext"/>
              <w:tabs>
                <w:tab w:val="right" w:pos="697"/>
              </w:tabs>
              <w:jc w:val="center"/>
            </w:pPr>
            <w:r>
              <w:t>45</w:t>
            </w:r>
          </w:p>
        </w:tc>
        <w:tc>
          <w:tcPr>
            <w:tcW w:w="1489" w:type="dxa"/>
            <w:tcBorders>
              <w:top w:val="single" w:sz="4" w:space="0" w:color="auto"/>
              <w:left w:val="nil"/>
              <w:bottom w:val="nil"/>
            </w:tcBorders>
          </w:tcPr>
          <w:p w:rsidR="00CE69A5" w:rsidRDefault="006E2042" w:rsidP="006E2042">
            <w:pPr>
              <w:pStyle w:val="Tabletext"/>
              <w:jc w:val="center"/>
            </w:pPr>
            <w:r>
              <w:t>53</w:t>
            </w:r>
          </w:p>
        </w:tc>
      </w:tr>
      <w:tr w:rsidR="00CE69A5" w:rsidTr="00096614">
        <w:trPr>
          <w:cantSplit/>
        </w:trPr>
        <w:tc>
          <w:tcPr>
            <w:tcW w:w="2977" w:type="dxa"/>
            <w:tcBorders>
              <w:top w:val="nil"/>
              <w:bottom w:val="nil"/>
              <w:right w:val="nil"/>
            </w:tcBorders>
          </w:tcPr>
          <w:p w:rsidR="00CE69A5" w:rsidRDefault="00AA54FC" w:rsidP="006930A0">
            <w:pPr>
              <w:pStyle w:val="Tabletext"/>
            </w:pPr>
            <w:bookmarkStart w:id="49" w:name="_Hlk309376994"/>
            <w:r>
              <w:t>Individual completion rate</w:t>
            </w:r>
          </w:p>
        </w:tc>
        <w:tc>
          <w:tcPr>
            <w:tcW w:w="2835" w:type="dxa"/>
            <w:tcBorders>
              <w:top w:val="nil"/>
              <w:left w:val="nil"/>
              <w:bottom w:val="nil"/>
              <w:right w:val="nil"/>
            </w:tcBorders>
          </w:tcPr>
          <w:p w:rsidR="00CE69A5" w:rsidRDefault="00CE69A5" w:rsidP="00AA54FC">
            <w:pPr>
              <w:pStyle w:val="Tabletext"/>
              <w:tabs>
                <w:tab w:val="decimal" w:pos="559"/>
              </w:tabs>
              <w:jc w:val="center"/>
            </w:pPr>
            <w:r>
              <w:t>2006</w:t>
            </w:r>
          </w:p>
        </w:tc>
        <w:tc>
          <w:tcPr>
            <w:tcW w:w="1488" w:type="dxa"/>
            <w:tcBorders>
              <w:top w:val="nil"/>
              <w:left w:val="nil"/>
              <w:bottom w:val="nil"/>
              <w:right w:val="nil"/>
            </w:tcBorders>
          </w:tcPr>
          <w:p w:rsidR="00CE69A5" w:rsidRDefault="00AA54FC" w:rsidP="00096614">
            <w:pPr>
              <w:pStyle w:val="Tabletext"/>
              <w:tabs>
                <w:tab w:val="right" w:pos="697"/>
              </w:tabs>
              <w:jc w:val="center"/>
            </w:pPr>
            <w:r>
              <w:t>56</w:t>
            </w:r>
          </w:p>
        </w:tc>
        <w:tc>
          <w:tcPr>
            <w:tcW w:w="1489" w:type="dxa"/>
            <w:tcBorders>
              <w:top w:val="nil"/>
              <w:left w:val="nil"/>
              <w:bottom w:val="nil"/>
            </w:tcBorders>
          </w:tcPr>
          <w:p w:rsidR="00CE69A5" w:rsidRDefault="006E2042" w:rsidP="006E2042">
            <w:pPr>
              <w:pStyle w:val="Tabletext"/>
              <w:jc w:val="center"/>
            </w:pPr>
            <w:r>
              <w:t>54</w:t>
            </w:r>
          </w:p>
        </w:tc>
      </w:tr>
      <w:bookmarkEnd w:id="49"/>
      <w:tr w:rsidR="00AA54FC" w:rsidTr="00096614">
        <w:trPr>
          <w:cantSplit/>
        </w:trPr>
        <w:tc>
          <w:tcPr>
            <w:tcW w:w="2977" w:type="dxa"/>
            <w:tcBorders>
              <w:top w:val="nil"/>
              <w:bottom w:val="single" w:sz="4" w:space="0" w:color="auto"/>
              <w:right w:val="nil"/>
            </w:tcBorders>
          </w:tcPr>
          <w:p w:rsidR="00AA54FC" w:rsidRDefault="00AA54FC" w:rsidP="006930A0">
            <w:pPr>
              <w:pStyle w:val="Tabletext"/>
            </w:pPr>
            <w:r>
              <w:t>Projected contract completion rate</w:t>
            </w:r>
          </w:p>
        </w:tc>
        <w:tc>
          <w:tcPr>
            <w:tcW w:w="2835" w:type="dxa"/>
            <w:tcBorders>
              <w:top w:val="nil"/>
              <w:left w:val="nil"/>
              <w:bottom w:val="single" w:sz="4" w:space="0" w:color="auto"/>
              <w:right w:val="nil"/>
            </w:tcBorders>
          </w:tcPr>
          <w:p w:rsidR="00AA54FC" w:rsidRDefault="00AA54FC" w:rsidP="00AA54FC">
            <w:pPr>
              <w:pStyle w:val="Tabletext"/>
              <w:tabs>
                <w:tab w:val="decimal" w:pos="559"/>
              </w:tabs>
              <w:jc w:val="center"/>
            </w:pPr>
            <w:r>
              <w:t>December quarter 2010</w:t>
            </w:r>
          </w:p>
        </w:tc>
        <w:tc>
          <w:tcPr>
            <w:tcW w:w="1488" w:type="dxa"/>
            <w:tcBorders>
              <w:top w:val="nil"/>
              <w:left w:val="nil"/>
              <w:bottom w:val="single" w:sz="4" w:space="0" w:color="auto"/>
              <w:right w:val="nil"/>
            </w:tcBorders>
          </w:tcPr>
          <w:p w:rsidR="00AA54FC" w:rsidRDefault="00AA54FC" w:rsidP="00096614">
            <w:pPr>
              <w:pStyle w:val="Tabletext"/>
              <w:tabs>
                <w:tab w:val="right" w:pos="697"/>
              </w:tabs>
              <w:jc w:val="center"/>
            </w:pPr>
            <w:r>
              <w:t>46</w:t>
            </w:r>
          </w:p>
        </w:tc>
        <w:tc>
          <w:tcPr>
            <w:tcW w:w="1489" w:type="dxa"/>
            <w:tcBorders>
              <w:top w:val="nil"/>
              <w:left w:val="nil"/>
              <w:bottom w:val="single" w:sz="4" w:space="0" w:color="auto"/>
            </w:tcBorders>
          </w:tcPr>
          <w:p w:rsidR="00AA54FC" w:rsidRDefault="006E2042" w:rsidP="006E2042">
            <w:pPr>
              <w:pStyle w:val="Tabletext"/>
              <w:jc w:val="center"/>
            </w:pPr>
            <w:r>
              <w:t>60</w:t>
            </w:r>
          </w:p>
        </w:tc>
      </w:tr>
    </w:tbl>
    <w:p w:rsidR="00F53FFE" w:rsidRDefault="00F53FFE" w:rsidP="00096614">
      <w:pPr>
        <w:pStyle w:val="Source"/>
      </w:pPr>
      <w:r>
        <w:t>Source:</w:t>
      </w:r>
      <w:r>
        <w:tab/>
      </w:r>
      <w:r w:rsidR="00226E0D" w:rsidRPr="00096614">
        <w:t>NCVER</w:t>
      </w:r>
      <w:r w:rsidR="00226E0D">
        <w:t xml:space="preserve"> </w:t>
      </w:r>
      <w:r w:rsidR="008D3DBC">
        <w:t>(</w:t>
      </w:r>
      <w:r w:rsidR="00226E0D">
        <w:t>2011a</w:t>
      </w:r>
      <w:r w:rsidR="008D3DBC">
        <w:t>).</w:t>
      </w:r>
    </w:p>
    <w:p w:rsidR="00DC5733" w:rsidRDefault="006E2042" w:rsidP="00096614">
      <w:pPr>
        <w:pStyle w:val="Textmorebefore"/>
      </w:pPr>
      <w:r>
        <w:t>Y</w:t>
      </w:r>
      <w:r w:rsidR="00A53B3F">
        <w:t xml:space="preserve">ou might be wondering, given the variety of rates available for apprentices and trainees, which rate should you use? Individual completion rates account for employer switching, but a drawback is that the most recent rates available will be for students who commenced </w:t>
      </w:r>
      <w:r w:rsidR="008D3DBC">
        <w:t>four</w:t>
      </w:r>
      <w:r w:rsidR="00A53B3F">
        <w:t xml:space="preserve"> years ago. If you need up-to-date information, your best option is the projected contract completion rate. These give a prediction of the contract completion rate for much more recent time periods. The latest projected contract completion rate is for the December quarter 2010, whereas the latest contract or individual completion rate is only for 200</w:t>
      </w:r>
      <w:r w:rsidR="008D3DBC">
        <w:t xml:space="preserve">6. </w:t>
      </w:r>
      <w:r w:rsidR="00A53B3F">
        <w:t>The projected contract completion rates have been validated using historical data, and the predicted values were found to be very close to observed values (</w:t>
      </w:r>
      <w:proofErr w:type="spellStart"/>
      <w:r w:rsidR="00A53B3F">
        <w:t>Karmel</w:t>
      </w:r>
      <w:proofErr w:type="spellEnd"/>
      <w:r w:rsidR="00A53B3F">
        <w:t xml:space="preserve"> </w:t>
      </w:r>
      <w:r w:rsidR="008D3DBC">
        <w:t>&amp;</w:t>
      </w:r>
      <w:r w:rsidR="00A53B3F">
        <w:t xml:space="preserve"> Mlotkowski 2010</w:t>
      </w:r>
      <w:r w:rsidR="00DC5733">
        <w:t>a</w:t>
      </w:r>
      <w:r w:rsidR="00A53B3F">
        <w:t>).</w:t>
      </w:r>
      <w:r w:rsidR="00DC5733">
        <w:t xml:space="preserve"> </w:t>
      </w:r>
    </w:p>
    <w:p w:rsidR="00096614" w:rsidRDefault="008D3DBC" w:rsidP="00F53FFE">
      <w:pPr>
        <w:pStyle w:val="Text"/>
      </w:pPr>
      <w:r>
        <w:t>The completion rates given in t</w:t>
      </w:r>
      <w:r w:rsidR="00A53B3F">
        <w:t xml:space="preserve">able 5 are average rates; these rates vary considerably by occupation. For example, contract completion rates </w:t>
      </w:r>
      <w:r w:rsidR="00013967">
        <w:t xml:space="preserve">for students commencing in 2006 </w:t>
      </w:r>
      <w:r w:rsidR="00A53B3F">
        <w:t>range from 27% for food trades workers</w:t>
      </w:r>
      <w:r w:rsidR="008F1C4C">
        <w:t>,</w:t>
      </w:r>
      <w:r w:rsidR="00A53B3F">
        <w:t xml:space="preserve"> throug</w:t>
      </w:r>
      <w:r w:rsidR="008F1C4C">
        <w:t>h to 64% for carers and aides, while i</w:t>
      </w:r>
      <w:r w:rsidR="00A53B3F">
        <w:t>ndividual completion rates range from 3</w:t>
      </w:r>
      <w:r w:rsidR="00713EFE">
        <w:t>0</w:t>
      </w:r>
      <w:r w:rsidR="00A53B3F">
        <w:t xml:space="preserve">% for food </w:t>
      </w:r>
      <w:r w:rsidR="00713EFE">
        <w:t>preparation assistants</w:t>
      </w:r>
      <w:r>
        <w:t>,</w:t>
      </w:r>
      <w:r w:rsidR="00A53B3F">
        <w:t xml:space="preserve"> through to 67% for </w:t>
      </w:r>
      <w:r w:rsidR="00013967">
        <w:t>carers and aides</w:t>
      </w:r>
      <w:r w:rsidR="00713EFE">
        <w:t xml:space="preserve"> and </w:t>
      </w:r>
      <w:proofErr w:type="spellStart"/>
      <w:r w:rsidR="00713EFE">
        <w:t>electrotechnology</w:t>
      </w:r>
      <w:proofErr w:type="spellEnd"/>
      <w:r w:rsidR="00713EFE">
        <w:t xml:space="preserve"> and telecommunications trades workers</w:t>
      </w:r>
      <w:r w:rsidR="00013967">
        <w:t xml:space="preserve">. </w:t>
      </w:r>
      <w:proofErr w:type="gramStart"/>
      <w:r w:rsidR="00A53B3F">
        <w:t xml:space="preserve">For a more detailed breakdown of apprentice and trainee completion rates (by occupation), see </w:t>
      </w:r>
      <w:r w:rsidR="00A53B3F" w:rsidRPr="002C44F2">
        <w:rPr>
          <w:i/>
        </w:rPr>
        <w:t>Completion and attrition rates for apprentices and trainees 2010</w:t>
      </w:r>
      <w:r w:rsidR="00A53B3F">
        <w:t xml:space="preserve"> (NCVER 2011a).</w:t>
      </w:r>
      <w:proofErr w:type="gramEnd"/>
      <w:r w:rsidR="00A53B3F">
        <w:t xml:space="preserve"> In the n</w:t>
      </w:r>
      <w:r w:rsidR="00945BD5">
        <w:t>ext section, we look at the pay-</w:t>
      </w:r>
      <w:r w:rsidR="00A53B3F">
        <w:t xml:space="preserve">off </w:t>
      </w:r>
      <w:r w:rsidR="00945BD5">
        <w:t>from completion of</w:t>
      </w:r>
      <w:r w:rsidR="00A53B3F">
        <w:t xml:space="preserve"> a VET qualification.</w:t>
      </w:r>
    </w:p>
    <w:p w:rsidR="00A53B3F" w:rsidRPr="00DD3079" w:rsidRDefault="00A53B3F" w:rsidP="00F53FFE">
      <w:pPr>
        <w:pStyle w:val="Text"/>
      </w:pPr>
      <w:r>
        <w:rPr>
          <w:b/>
          <w:sz w:val="24"/>
          <w:szCs w:val="24"/>
        </w:rPr>
        <w:br w:type="page"/>
      </w:r>
    </w:p>
    <w:p w:rsidR="00A53B3F" w:rsidRDefault="00A53B3F" w:rsidP="00226E0D">
      <w:pPr>
        <w:pStyle w:val="Heading1"/>
      </w:pPr>
      <w:bookmarkStart w:id="50" w:name="_Toc309043804"/>
      <w:r w:rsidRPr="00F03140">
        <w:lastRenderedPageBreak/>
        <w:t xml:space="preserve">The value of completing a </w:t>
      </w:r>
      <w:r w:rsidR="00226E0D">
        <w:t xml:space="preserve">VET </w:t>
      </w:r>
      <w:r w:rsidRPr="00F03140">
        <w:t>qualification</w:t>
      </w:r>
      <w:bookmarkEnd w:id="50"/>
    </w:p>
    <w:p w:rsidR="00A53B3F" w:rsidRDefault="00A53B3F" w:rsidP="00096614">
      <w:pPr>
        <w:pStyle w:val="Text"/>
        <w:ind w:right="-143"/>
      </w:pPr>
      <w:r w:rsidRPr="004720C6">
        <w:t>The impl</w:t>
      </w:r>
      <w:r>
        <w:t>icit assumption is that complet</w:t>
      </w:r>
      <w:r w:rsidRPr="004720C6">
        <w:t xml:space="preserve">ing a VET qualification, as opposed to only completing </w:t>
      </w:r>
      <w:r w:rsidRPr="004720C6">
        <w:rPr>
          <w:i/>
        </w:rPr>
        <w:t>part</w:t>
      </w:r>
      <w:r w:rsidRPr="004720C6">
        <w:t xml:space="preserve"> of a VET qualification, is beneficial. How true is this assumption? Is completing a qualification of the same benefit to all groups of learners? The answer is </w:t>
      </w:r>
      <w:r w:rsidR="00945BD5">
        <w:t>‘</w:t>
      </w:r>
      <w:r w:rsidRPr="004720C6">
        <w:t>yes</w:t>
      </w:r>
      <w:r w:rsidR="00945BD5">
        <w:t>’</w:t>
      </w:r>
      <w:r w:rsidRPr="004720C6">
        <w:t xml:space="preserve"> in </w:t>
      </w:r>
      <w:r w:rsidR="00945BD5">
        <w:t>relation to</w:t>
      </w:r>
      <w:r w:rsidRPr="004720C6">
        <w:t xml:space="preserve"> some outcomes but </w:t>
      </w:r>
      <w:r w:rsidR="00945BD5">
        <w:t>‘</w:t>
      </w:r>
      <w:r w:rsidRPr="004720C6">
        <w:t>no</w:t>
      </w:r>
      <w:r w:rsidR="00945BD5">
        <w:t>’</w:t>
      </w:r>
      <w:r w:rsidRPr="004720C6">
        <w:t xml:space="preserve"> for others. </w:t>
      </w:r>
    </w:p>
    <w:p w:rsidR="00A53B3F" w:rsidRDefault="00A53B3F" w:rsidP="00A53B3F">
      <w:pPr>
        <w:pStyle w:val="Text"/>
      </w:pPr>
      <w:r w:rsidRPr="004720C6">
        <w:t xml:space="preserve">Recent work </w:t>
      </w:r>
      <w:r>
        <w:t xml:space="preserve">by </w:t>
      </w:r>
      <w:proofErr w:type="spellStart"/>
      <w:r>
        <w:t>Karmel</w:t>
      </w:r>
      <w:proofErr w:type="spellEnd"/>
      <w:r>
        <w:t xml:space="preserve"> and </w:t>
      </w:r>
      <w:proofErr w:type="spellStart"/>
      <w:r>
        <w:t>Fieger</w:t>
      </w:r>
      <w:proofErr w:type="spellEnd"/>
      <w:r>
        <w:t xml:space="preserve"> (forthcoming)</w:t>
      </w:r>
      <w:r w:rsidRPr="004720C6">
        <w:t xml:space="preserve"> finds that completing a qualification is of more benefit </w:t>
      </w:r>
      <w:r>
        <w:t>for some groups of students than others.</w:t>
      </w:r>
      <w:r w:rsidRPr="004720C6">
        <w:t xml:space="preserve"> </w:t>
      </w:r>
      <w:r>
        <w:t>Using data from NCVER’s Student Outcomes Survey (NCVER 2010b), the authors run separate models for various outcomes, such as the probabili</w:t>
      </w:r>
      <w:r w:rsidR="008F1C4C">
        <w:t>ty of employment after training</w:t>
      </w:r>
      <w:r>
        <w:t xml:space="preserve"> for completers and non-</w:t>
      </w:r>
      <w:r w:rsidR="00945BD5">
        <w:t>completers. This enables a ‘pay-</w:t>
      </w:r>
      <w:r>
        <w:t>off func</w:t>
      </w:r>
      <w:r w:rsidR="00945BD5">
        <w:t>tion’ to be devised</w:t>
      </w:r>
      <w:r>
        <w:t xml:space="preserve"> by comparing the probabilities for the same student conditional on (</w:t>
      </w:r>
      <w:proofErr w:type="spellStart"/>
      <w:r>
        <w:t>i</w:t>
      </w:r>
      <w:proofErr w:type="spellEnd"/>
      <w:r>
        <w:t>) completing and (ii) not completing. Other outcomes considered include the likelihood of improved sa</w:t>
      </w:r>
      <w:r w:rsidR="00945BD5">
        <w:t>lary, going on to further study</w:t>
      </w:r>
      <w:r>
        <w:t xml:space="preserve"> and occupational status. </w:t>
      </w:r>
    </w:p>
    <w:p w:rsidR="00A53B3F" w:rsidRPr="00E3172E" w:rsidRDefault="00A53B3F" w:rsidP="00A53B3F">
      <w:pPr>
        <w:pStyle w:val="Text"/>
      </w:pPr>
      <w:r>
        <w:t>In gen</w:t>
      </w:r>
      <w:r w:rsidR="00945BD5">
        <w:t>eral, the pay-</w:t>
      </w:r>
      <w:r>
        <w:t xml:space="preserve">offs are positive, but the </w:t>
      </w:r>
      <w:r w:rsidRPr="0001267D">
        <w:t>size</w:t>
      </w:r>
      <w:r w:rsidR="00945BD5">
        <w:t xml:space="preserve"> of the pay-</w:t>
      </w:r>
      <w:r>
        <w:t xml:space="preserve">off is much larger for some groups of students than others. Consider the outcome of ‘employment after training’. </w:t>
      </w:r>
      <w:proofErr w:type="spellStart"/>
      <w:r>
        <w:t>Karmel</w:t>
      </w:r>
      <w:proofErr w:type="spellEnd"/>
      <w:r>
        <w:t xml:space="preserve"> and </w:t>
      </w:r>
      <w:proofErr w:type="spellStart"/>
      <w:r>
        <w:t>Fieger</w:t>
      </w:r>
      <w:proofErr w:type="spellEnd"/>
      <w:r w:rsidR="00DC2E9F">
        <w:t xml:space="preserve"> (forthcoming)</w:t>
      </w:r>
      <w:r>
        <w:t xml:space="preserve"> find that those who complete are around 22% more likely to be employed after training than those who don’t complete. However, this varies </w:t>
      </w:r>
      <w:r w:rsidR="008F1C4C">
        <w:t>according to</w:t>
      </w:r>
      <w:r>
        <w:t xml:space="preserve"> prior employment status. For those students who were not in the labour force before trai</w:t>
      </w:r>
      <w:r w:rsidR="00945BD5">
        <w:t>ning, the pay-off rises to 108%,</w:t>
      </w:r>
      <w:r>
        <w:t xml:space="preserve"> while for those students who were employed before training, the pay-off is only 3%.</w:t>
      </w:r>
    </w:p>
    <w:p w:rsidR="00A53B3F" w:rsidRDefault="00A53B3F" w:rsidP="00A53B3F">
      <w:pPr>
        <w:pStyle w:val="Text"/>
      </w:pPr>
      <w:r>
        <w:t xml:space="preserve">Another key finding is that completion does not have a positive pay-off for every student </w:t>
      </w:r>
      <w:proofErr w:type="spellStart"/>
      <w:r w:rsidR="008F1C4C">
        <w:t>vis</w:t>
      </w:r>
      <w:proofErr w:type="spellEnd"/>
      <w:r w:rsidR="008F1C4C">
        <w:t>-a-</w:t>
      </w:r>
      <w:proofErr w:type="spellStart"/>
      <w:r w:rsidR="008F1C4C">
        <w:t>vis</w:t>
      </w:r>
      <w:proofErr w:type="spellEnd"/>
      <w:r>
        <w:t xml:space="preserve"> every outcome variable. When it comes to being in further study, completion has a high pay-off for everyone, regardless of prior employment status, and is particularly high for certificates I/II students. However, when i</w:t>
      </w:r>
      <w:r w:rsidR="00013967">
        <w:t>t comes to wages, only around 61</w:t>
      </w:r>
      <w:r>
        <w:t>% of students can expect higher wages upon compl</w:t>
      </w:r>
      <w:r w:rsidR="00013967">
        <w:t>etion. Similarly, only around 59</w:t>
      </w:r>
      <w:r>
        <w:t xml:space="preserve">% of students have a positive pay-off </w:t>
      </w:r>
      <w:r w:rsidR="00945BD5">
        <w:t>in relation</w:t>
      </w:r>
      <w:r>
        <w:t xml:space="preserve"> to improved occupational status after training.</w:t>
      </w:r>
    </w:p>
    <w:p w:rsidR="00A53B3F" w:rsidRDefault="00A53B3F" w:rsidP="00A53B3F">
      <w:pPr>
        <w:pStyle w:val="Text"/>
      </w:pPr>
      <w:r>
        <w:t>The authors conclude that completion is particularly important for those not employed before training (if the objective is employment after training and higher wages), for certificates I/II (if the objective is further study), and for diplomas and above (if the objective is higher wages). They recommend that it is particularly important to calculate completion rates for these groups.</w:t>
      </w:r>
    </w:p>
    <w:p w:rsidR="00A53B3F" w:rsidRDefault="00A53B3F" w:rsidP="00A53B3F">
      <w:pPr>
        <w:pStyle w:val="Text"/>
      </w:pPr>
      <w:r>
        <w:t>One might expect that those students who stand to benefit most from completion might be more likely to complete, but this is not the case — the authors find little relationship between the pay-off to completion and the probability of completing. A</w:t>
      </w:r>
      <w:r w:rsidR="00945BD5">
        <w:t xml:space="preserve">s </w:t>
      </w:r>
      <w:proofErr w:type="spellStart"/>
      <w:r w:rsidR="00945BD5">
        <w:t>Karmel</w:t>
      </w:r>
      <w:proofErr w:type="spellEnd"/>
      <w:r w:rsidR="00945BD5">
        <w:t xml:space="preserve"> and </w:t>
      </w:r>
      <w:proofErr w:type="spellStart"/>
      <w:r w:rsidR="00945BD5">
        <w:t>Fieger</w:t>
      </w:r>
      <w:proofErr w:type="spellEnd"/>
      <w:r w:rsidR="00945BD5">
        <w:t xml:space="preserve"> point out, ‘</w:t>
      </w:r>
      <w:r>
        <w:t>We cannot leave it to students to understand the benefit from completion</w:t>
      </w:r>
      <w:r w:rsidR="00945BD5">
        <w:t>’</w:t>
      </w:r>
      <w:r w:rsidR="00DC2E9F">
        <w:t xml:space="preserve"> (forthcoming)</w:t>
      </w:r>
      <w:r w:rsidR="00945BD5">
        <w:t>.</w:t>
      </w:r>
    </w:p>
    <w:p w:rsidR="00A53B3F" w:rsidRDefault="00A53B3F" w:rsidP="00A53B3F">
      <w:pPr>
        <w:pStyle w:val="Text"/>
      </w:pPr>
      <w:proofErr w:type="spellStart"/>
      <w:r>
        <w:t>Polidano</w:t>
      </w:r>
      <w:proofErr w:type="spellEnd"/>
      <w:r>
        <w:t xml:space="preserve"> and </w:t>
      </w:r>
      <w:proofErr w:type="spellStart"/>
      <w:r>
        <w:t>Mavromaras</w:t>
      </w:r>
      <w:proofErr w:type="spellEnd"/>
      <w:r>
        <w:t xml:space="preserve"> (2010) also find that the value of completing varies for different groups. Using data from the Household, Income and Labour Dynamics in Austra</w:t>
      </w:r>
      <w:r w:rsidR="00945BD5">
        <w:t>lia (HILDA) surveys from 2001</w:t>
      </w:r>
      <w:r w:rsidR="008F1C4C">
        <w:t xml:space="preserve"> to 20</w:t>
      </w:r>
      <w:r>
        <w:t>07, they find that completing a VET qualification provides no further employment benefits for those already employed, but that it significantly increases the likelihood of subsequent employment for those who are not working.</w:t>
      </w:r>
    </w:p>
    <w:p w:rsidR="00DC5733" w:rsidRDefault="00A53B3F" w:rsidP="00A53B3F">
      <w:pPr>
        <w:pStyle w:val="Text"/>
      </w:pPr>
      <w:r>
        <w:t xml:space="preserve">The employment benefits are even greater for unemployed individuals with a disability. </w:t>
      </w:r>
      <w:proofErr w:type="spellStart"/>
      <w:r>
        <w:t>Polidano</w:t>
      </w:r>
      <w:proofErr w:type="spellEnd"/>
      <w:r>
        <w:t xml:space="preserve"> and </w:t>
      </w:r>
      <w:proofErr w:type="spellStart"/>
      <w:r>
        <w:t>Mavromaras</w:t>
      </w:r>
      <w:proofErr w:type="spellEnd"/>
      <w:r>
        <w:t xml:space="preserve"> (2010) find that for an average person who is out of work </w:t>
      </w:r>
      <w:r w:rsidRPr="00815E3C">
        <w:rPr>
          <w:i/>
        </w:rPr>
        <w:t>and</w:t>
      </w:r>
      <w:r>
        <w:t xml:space="preserve"> has a disability, completing a VET qualification is estimated to increase their </w:t>
      </w:r>
      <w:r w:rsidRPr="003428CE">
        <w:t>probability</w:t>
      </w:r>
      <w:r>
        <w:t xml:space="preserve"> of employment from 9% to 29% in their </w:t>
      </w:r>
      <w:r>
        <w:lastRenderedPageBreak/>
        <w:t xml:space="preserve">first year after completion. In other words, the probability of employment triples. On the other hand, for an average person who is out of work and </w:t>
      </w:r>
      <w:r w:rsidRPr="00A61C84">
        <w:rPr>
          <w:i/>
        </w:rPr>
        <w:t>doesn’t</w:t>
      </w:r>
      <w:r>
        <w:t xml:space="preserve"> have a disability, completing a VET qualification is estimated to increase their probability of employment from 52% to 62% in their first year after completion — a more modest improvement of </w:t>
      </w:r>
      <w:r w:rsidRPr="00DC2E9F">
        <w:t>20%.</w:t>
      </w:r>
      <w:r w:rsidR="00515E40">
        <w:t xml:space="preserve"> </w:t>
      </w:r>
    </w:p>
    <w:p w:rsidR="00A53B3F" w:rsidRDefault="00A53B3F" w:rsidP="00096614">
      <w:pPr>
        <w:pStyle w:val="Text"/>
        <w:ind w:right="141"/>
      </w:pPr>
      <w:r w:rsidRPr="00A25561">
        <w:t xml:space="preserve">VET completion was also found to have </w:t>
      </w:r>
      <w:r w:rsidR="00515E40">
        <w:t>longer-term employment benefits</w:t>
      </w:r>
      <w:r w:rsidR="005C7618">
        <w:t>;</w:t>
      </w:r>
      <w:r w:rsidR="00DC2E9F">
        <w:t xml:space="preserve"> </w:t>
      </w:r>
      <w:r w:rsidR="005C7618">
        <w:t>for example,</w:t>
      </w:r>
      <w:r w:rsidR="00515E40" w:rsidRPr="00A25561">
        <w:t xml:space="preserve"> those who </w:t>
      </w:r>
      <w:r w:rsidR="00515E40">
        <w:t xml:space="preserve">were unemployed and </w:t>
      </w:r>
      <w:r w:rsidR="00515E40" w:rsidRPr="00A25561">
        <w:t>had a disability</w:t>
      </w:r>
      <w:r w:rsidR="005C7618">
        <w:t xml:space="preserve"> had </w:t>
      </w:r>
      <w:r w:rsidRPr="00A25561">
        <w:t xml:space="preserve">around a ten-percentage-point increase in the chances of being in work for up to three consecutive years after completion </w:t>
      </w:r>
      <w:r>
        <w:t>(</w:t>
      </w:r>
      <w:proofErr w:type="spellStart"/>
      <w:r>
        <w:t>Polidano</w:t>
      </w:r>
      <w:proofErr w:type="spellEnd"/>
      <w:r>
        <w:t xml:space="preserve"> </w:t>
      </w:r>
      <w:r w:rsidR="00924A5B">
        <w:t>&amp;</w:t>
      </w:r>
      <w:r>
        <w:t xml:space="preserve"> </w:t>
      </w:r>
      <w:proofErr w:type="spellStart"/>
      <w:r>
        <w:t>Mavromaras</w:t>
      </w:r>
      <w:proofErr w:type="spellEnd"/>
      <w:r>
        <w:t xml:space="preserve"> 2010)</w:t>
      </w:r>
      <w:r w:rsidRPr="00A25561">
        <w:t>. Those who were unemployed without a disabilit</w:t>
      </w:r>
      <w:r w:rsidR="00515E40">
        <w:t>y had around a seven-percentage-</w:t>
      </w:r>
      <w:r w:rsidRPr="00A25561">
        <w:t>point improvement.</w:t>
      </w:r>
    </w:p>
    <w:p w:rsidR="00A53B3F" w:rsidRPr="00D85591" w:rsidRDefault="00A53B3F" w:rsidP="00226E0D">
      <w:pPr>
        <w:pStyle w:val="Heading2"/>
      </w:pPr>
      <w:bookmarkStart w:id="51" w:name="_Toc309043805"/>
      <w:r w:rsidRPr="00D85591">
        <w:t>Value of completing an apprenticeship or traineeship</w:t>
      </w:r>
      <w:bookmarkEnd w:id="51"/>
    </w:p>
    <w:p w:rsidR="00A53B3F" w:rsidRDefault="00A53B3F" w:rsidP="00A53B3F">
      <w:pPr>
        <w:pStyle w:val="Text"/>
      </w:pPr>
      <w:r w:rsidRPr="00811463">
        <w:t xml:space="preserve">What about the value of completing an apprenticeship or traineeship? </w:t>
      </w:r>
      <w:r>
        <w:t xml:space="preserve">For those studying a trade, the monetary reward of completing their apprenticeship </w:t>
      </w:r>
      <w:r w:rsidRPr="00811463">
        <w:t xml:space="preserve">is substantial, with the average annual income for trade apprentices </w:t>
      </w:r>
      <w:r w:rsidR="00013967">
        <w:t xml:space="preserve">in 2010 </w:t>
      </w:r>
      <w:r w:rsidRPr="00811463">
        <w:t>jumping from $36</w:t>
      </w:r>
      <w:r w:rsidR="00096614">
        <w:t> </w:t>
      </w:r>
      <w:r w:rsidRPr="00811463">
        <w:t>600 during the last week of their</w:t>
      </w:r>
      <w:r w:rsidR="00924A5B">
        <w:t xml:space="preserve"> apprenticeship, to $52</w:t>
      </w:r>
      <w:r w:rsidR="00096614">
        <w:t> </w:t>
      </w:r>
      <w:r w:rsidRPr="00811463">
        <w:t>500 upon completion</w:t>
      </w:r>
      <w:r>
        <w:t xml:space="preserve"> (NCVER 2010a)</w:t>
      </w:r>
      <w:r w:rsidRPr="00811463">
        <w:t>. Looking at individual occupations</w:t>
      </w:r>
      <w:r>
        <w:t xml:space="preserve"> within the trades</w:t>
      </w:r>
      <w:r w:rsidRPr="00811463">
        <w:t xml:space="preserve">, all </w:t>
      </w:r>
      <w:r>
        <w:t xml:space="preserve">enjoy substantial pay </w:t>
      </w:r>
      <w:r w:rsidRPr="00811463">
        <w:t xml:space="preserve">increases on completion, except for hairdressers. The pay rise ranges from </w:t>
      </w:r>
      <w:r>
        <w:t>only</w:t>
      </w:r>
      <w:r w:rsidRPr="00811463">
        <w:t xml:space="preserve"> $630 for hairdressers, </w:t>
      </w:r>
      <w:r w:rsidR="00924A5B">
        <w:t>up to $23</w:t>
      </w:r>
      <w:r w:rsidR="00096614">
        <w:t> </w:t>
      </w:r>
      <w:r w:rsidRPr="00811463">
        <w:t xml:space="preserve">000 for </w:t>
      </w:r>
      <w:proofErr w:type="spellStart"/>
      <w:r w:rsidRPr="00811463">
        <w:t>electrotechnology</w:t>
      </w:r>
      <w:proofErr w:type="spellEnd"/>
      <w:r w:rsidRPr="00811463">
        <w:t xml:space="preserve"> and telecommunications (</w:t>
      </w:r>
      <w:proofErr w:type="spellStart"/>
      <w:r w:rsidRPr="00811463">
        <w:t>Karmel</w:t>
      </w:r>
      <w:proofErr w:type="spellEnd"/>
      <w:r w:rsidRPr="00811463">
        <w:t xml:space="preserve"> </w:t>
      </w:r>
      <w:r w:rsidR="00924A5B">
        <w:t>&amp;</w:t>
      </w:r>
      <w:r w:rsidRPr="00811463">
        <w:t xml:space="preserve"> Mlotkowski 2010</w:t>
      </w:r>
      <w:r w:rsidR="00DC5733">
        <w:t>b</w:t>
      </w:r>
      <w:r w:rsidRPr="00811463">
        <w:t>). For non-trade occupations</w:t>
      </w:r>
      <w:r>
        <w:t xml:space="preserve">, the pay </w:t>
      </w:r>
      <w:r w:rsidRPr="00811463">
        <w:t xml:space="preserve">rise associated with completing is far more modest </w:t>
      </w:r>
      <w:r>
        <w:t xml:space="preserve">— </w:t>
      </w:r>
      <w:r w:rsidRPr="00811463">
        <w:t xml:space="preserve">the average annual income for non-trade occupations </w:t>
      </w:r>
      <w:r w:rsidR="00013967">
        <w:t xml:space="preserve">in 2010 </w:t>
      </w:r>
      <w:r w:rsidR="00924A5B">
        <w:t xml:space="preserve">moves from $40 </w:t>
      </w:r>
      <w:r>
        <w:t>700 during the</w:t>
      </w:r>
      <w:r w:rsidRPr="00811463">
        <w:t xml:space="preserve"> last week of training to around $45</w:t>
      </w:r>
      <w:r w:rsidR="00096614">
        <w:t> </w:t>
      </w:r>
      <w:r w:rsidRPr="00811463">
        <w:t xml:space="preserve">900 upon completion (NCVER 2010a). There are even some non-trade occupations for which there is a </w:t>
      </w:r>
      <w:r w:rsidRPr="00381A06">
        <w:rPr>
          <w:i/>
        </w:rPr>
        <w:t>negative</w:t>
      </w:r>
      <w:r w:rsidRPr="00811463">
        <w:t xml:space="preserve"> pay</w:t>
      </w:r>
      <w:r w:rsidR="00924A5B">
        <w:t>-</w:t>
      </w:r>
      <w:r w:rsidRPr="00811463">
        <w:t>off associated with completion. For example, sales workers who complete earn, on average, $4000</w:t>
      </w:r>
      <w:r w:rsidR="00924A5B">
        <w:t>—</w:t>
      </w:r>
      <w:r w:rsidRPr="00811463">
        <w:t>5000</w:t>
      </w:r>
      <w:r w:rsidRPr="00811463">
        <w:rPr>
          <w:i/>
        </w:rPr>
        <w:t xml:space="preserve"> less</w:t>
      </w:r>
      <w:r w:rsidRPr="00811463">
        <w:t xml:space="preserve"> than those who don’t complete (</w:t>
      </w:r>
      <w:proofErr w:type="spellStart"/>
      <w:r w:rsidRPr="00811463">
        <w:t>Karmel</w:t>
      </w:r>
      <w:proofErr w:type="spellEnd"/>
      <w:r w:rsidRPr="00811463">
        <w:t xml:space="preserve"> </w:t>
      </w:r>
      <w:r w:rsidR="00924A5B">
        <w:t>&amp;</w:t>
      </w:r>
      <w:r w:rsidRPr="00811463">
        <w:t xml:space="preserve"> Mlotkowski </w:t>
      </w:r>
      <w:r w:rsidRPr="00DC5733">
        <w:t>2010</w:t>
      </w:r>
      <w:r w:rsidR="00DC5733" w:rsidRPr="00DC5733">
        <w:t>b</w:t>
      </w:r>
      <w:r w:rsidRPr="00DC5733">
        <w:t>). These findings show that not everyone who completes an apprenticeship or traineeship will b</w:t>
      </w:r>
      <w:r w:rsidR="008942A0" w:rsidRPr="00DC5733">
        <w:t>e</w:t>
      </w:r>
      <w:r w:rsidR="008942A0">
        <w:t xml:space="preserve"> rewarded with a higher income</w:t>
      </w:r>
      <w:r>
        <w:t xml:space="preserve"> and bring into question the value of the training for those occupations with a negative payoff (</w:t>
      </w:r>
      <w:proofErr w:type="spellStart"/>
      <w:r>
        <w:t>Karmel</w:t>
      </w:r>
      <w:proofErr w:type="spellEnd"/>
      <w:r>
        <w:t xml:space="preserve"> </w:t>
      </w:r>
      <w:r w:rsidR="00924A5B">
        <w:t>&amp;</w:t>
      </w:r>
      <w:r>
        <w:t xml:space="preserve"> Mlotkowski </w:t>
      </w:r>
      <w:r w:rsidRPr="00DC5733">
        <w:t>2010</w:t>
      </w:r>
      <w:r w:rsidR="00DC5733">
        <w:t>b</w:t>
      </w:r>
      <w:r>
        <w:t>).</w:t>
      </w:r>
    </w:p>
    <w:p w:rsidR="006E2042" w:rsidRDefault="006E2042">
      <w:pPr>
        <w:spacing w:before="0" w:line="240" w:lineRule="auto"/>
      </w:pPr>
      <w:bookmarkStart w:id="52" w:name="_Toc456000800"/>
      <w:bookmarkStart w:id="53" w:name="_Toc457122465"/>
      <w:bookmarkStart w:id="54" w:name="_Toc188077643"/>
      <w:r>
        <w:br w:type="page"/>
      </w:r>
    </w:p>
    <w:p w:rsidR="00A50895" w:rsidRPr="006E2042" w:rsidRDefault="00A50895" w:rsidP="00226E0D">
      <w:pPr>
        <w:pStyle w:val="Heading1"/>
      </w:pPr>
      <w:bookmarkStart w:id="55" w:name="_Toc309043806"/>
      <w:r w:rsidRPr="006E2042">
        <w:lastRenderedPageBreak/>
        <w:t>References</w:t>
      </w:r>
      <w:bookmarkEnd w:id="52"/>
      <w:bookmarkEnd w:id="53"/>
      <w:bookmarkEnd w:id="54"/>
      <w:bookmarkEnd w:id="55"/>
    </w:p>
    <w:p w:rsidR="00C20494" w:rsidRPr="00A53B3F" w:rsidRDefault="00C20494" w:rsidP="00A53B3F">
      <w:pPr>
        <w:pStyle w:val="References"/>
      </w:pPr>
      <w:r w:rsidRPr="00A53B3F">
        <w:t xml:space="preserve">Harvey, B 2010a, </w:t>
      </w:r>
      <w:r w:rsidRPr="00A53B3F">
        <w:rPr>
          <w:i/>
        </w:rPr>
        <w:t>Apprentice and trainee statistics: estimation of contract completion and attrition rates</w:t>
      </w:r>
      <w:r w:rsidRPr="00A53B3F">
        <w:t xml:space="preserve">, NCVER, Adelaide, </w:t>
      </w:r>
      <w:r w:rsidR="0073095A">
        <w:t>viewed 8 December 2011,</w:t>
      </w:r>
      <w:r w:rsidRPr="00A53B3F">
        <w:t xml:space="preserve"> &lt;http://</w:t>
      </w:r>
      <w:hyperlink r:id="rId12" w:history="1">
        <w:r w:rsidRPr="00A53B3F">
          <w:t>www.ncver.edu.au/publications/2388.html</w:t>
        </w:r>
      </w:hyperlink>
      <w:r w:rsidRPr="00A53B3F">
        <w:t>&gt;.</w:t>
      </w:r>
    </w:p>
    <w:p w:rsidR="00C20494" w:rsidRPr="00A53B3F" w:rsidRDefault="00096614" w:rsidP="00A53B3F">
      <w:pPr>
        <w:pStyle w:val="References"/>
      </w:pPr>
      <w:r>
        <w:t>——</w:t>
      </w:r>
      <w:r w:rsidR="00C20494" w:rsidRPr="00A53B3F">
        <w:t xml:space="preserve">2010b, </w:t>
      </w:r>
      <w:r w:rsidR="00C20494" w:rsidRPr="00A53B3F">
        <w:rPr>
          <w:i/>
        </w:rPr>
        <w:t>Estimation of apprentice and trainee statistics</w:t>
      </w:r>
      <w:r w:rsidR="00C20494" w:rsidRPr="00A53B3F">
        <w:t xml:space="preserve">, NCVER, Adelaide, </w:t>
      </w:r>
      <w:r w:rsidR="0073095A">
        <w:t xml:space="preserve">viewed 8 December 2011, </w:t>
      </w:r>
      <w:r w:rsidR="00C20494" w:rsidRPr="00A53B3F">
        <w:t>&lt;http://www.ncver.edu.au/publications/2267.html&gt;.</w:t>
      </w:r>
      <w:r w:rsidR="0073095A">
        <w:t xml:space="preserve"> </w:t>
      </w:r>
    </w:p>
    <w:p w:rsidR="00C20494" w:rsidRDefault="00C20494" w:rsidP="00A53B3F">
      <w:pPr>
        <w:pStyle w:val="References"/>
      </w:pPr>
      <w:proofErr w:type="spellStart"/>
      <w:proofErr w:type="gramStart"/>
      <w:r w:rsidRPr="00A53B3F">
        <w:t>Karmel</w:t>
      </w:r>
      <w:proofErr w:type="spellEnd"/>
      <w:r w:rsidRPr="00A53B3F">
        <w:t xml:space="preserve">, T 2011, </w:t>
      </w:r>
      <w:r w:rsidRPr="00A53B3F">
        <w:rPr>
          <w:i/>
        </w:rPr>
        <w:t>Individual-based completion rates for apprentices</w:t>
      </w:r>
      <w:r w:rsidRPr="00A53B3F">
        <w:t xml:space="preserve">, NCVER, Adelaide, </w:t>
      </w:r>
      <w:r w:rsidR="0073095A">
        <w:t xml:space="preserve">viewed 8 December 2011, </w:t>
      </w:r>
      <w:r w:rsidRPr="00A53B3F">
        <w:t>&lt;</w:t>
      </w:r>
      <w:hyperlink r:id="rId13" w:history="1">
        <w:r w:rsidRPr="00A53B3F">
          <w:t>http://www.ncver.edu.au/publications/2357.html</w:t>
        </w:r>
      </w:hyperlink>
      <w:r w:rsidRPr="00A53B3F">
        <w:t>&gt;.</w:t>
      </w:r>
      <w:proofErr w:type="gramEnd"/>
    </w:p>
    <w:p w:rsidR="00B24020" w:rsidRPr="00A53B3F" w:rsidRDefault="00B24020" w:rsidP="00B24020">
      <w:pPr>
        <w:pStyle w:val="References"/>
      </w:pPr>
      <w:proofErr w:type="spellStart"/>
      <w:r w:rsidRPr="00A53B3F">
        <w:t>Karmel</w:t>
      </w:r>
      <w:proofErr w:type="spellEnd"/>
      <w:r w:rsidRPr="00A53B3F">
        <w:t xml:space="preserve">, T </w:t>
      </w:r>
      <w:r w:rsidR="00F12DFF">
        <w:t>&amp;</w:t>
      </w:r>
      <w:r w:rsidRPr="00A53B3F">
        <w:t xml:space="preserve"> </w:t>
      </w:r>
      <w:proofErr w:type="spellStart"/>
      <w:r w:rsidRPr="00A53B3F">
        <w:t>Fieger</w:t>
      </w:r>
      <w:proofErr w:type="spellEnd"/>
      <w:r>
        <w:t>,</w:t>
      </w:r>
      <w:r w:rsidRPr="00A53B3F">
        <w:t xml:space="preserve"> P (forthcoming), </w:t>
      </w:r>
      <w:proofErr w:type="gramStart"/>
      <w:r w:rsidRPr="00A53B3F">
        <w:rPr>
          <w:i/>
        </w:rPr>
        <w:t>The</w:t>
      </w:r>
      <w:proofErr w:type="gramEnd"/>
      <w:r w:rsidRPr="00A53B3F">
        <w:rPr>
          <w:i/>
        </w:rPr>
        <w:t xml:space="preserve"> value of completion of a VET qualification</w:t>
      </w:r>
      <w:r w:rsidRPr="00A53B3F">
        <w:t>, NCVER, Adelaide.</w:t>
      </w:r>
    </w:p>
    <w:p w:rsidR="00C20494" w:rsidRPr="00A53B3F" w:rsidRDefault="00C20494" w:rsidP="00A53B3F">
      <w:pPr>
        <w:pStyle w:val="References"/>
      </w:pPr>
      <w:proofErr w:type="spellStart"/>
      <w:r w:rsidRPr="00A53B3F">
        <w:t>Karmel</w:t>
      </w:r>
      <w:proofErr w:type="spellEnd"/>
      <w:r w:rsidRPr="00A53B3F">
        <w:t>, T &amp; Mlotkowski, P 2010</w:t>
      </w:r>
      <w:r w:rsidR="00F12DFF">
        <w:t>a</w:t>
      </w:r>
      <w:r w:rsidRPr="00A53B3F">
        <w:t xml:space="preserve">, </w:t>
      </w:r>
      <w:r w:rsidRPr="00A53B3F">
        <w:rPr>
          <w:i/>
        </w:rPr>
        <w:t>Estimating apprentice and trainee completion and attrition rates using a ‘life tables’ approach</w:t>
      </w:r>
      <w:r w:rsidRPr="00A53B3F">
        <w:t xml:space="preserve">, NCVER, Adelaide, </w:t>
      </w:r>
      <w:r w:rsidR="0073095A">
        <w:t xml:space="preserve">viewed 8 December 2011, </w:t>
      </w:r>
      <w:r w:rsidRPr="00A53B3F">
        <w:t>&lt;http://www.ncver.edu.au/</w:t>
      </w:r>
      <w:r w:rsidR="00096614">
        <w:t xml:space="preserve"> </w:t>
      </w:r>
      <w:r w:rsidRPr="00A53B3F">
        <w:t>publications/2389.html&gt;.</w:t>
      </w:r>
    </w:p>
    <w:p w:rsidR="00C20494" w:rsidRPr="00A53B3F" w:rsidRDefault="00D47F8A" w:rsidP="00A53B3F">
      <w:pPr>
        <w:pStyle w:val="References"/>
      </w:pPr>
      <w:r>
        <w:t>——</w:t>
      </w:r>
      <w:r w:rsidR="00C20494" w:rsidRPr="00A53B3F">
        <w:t>2010</w:t>
      </w:r>
      <w:r w:rsidR="00F12DFF">
        <w:t>b</w:t>
      </w:r>
      <w:r w:rsidR="00C20494" w:rsidRPr="00A53B3F">
        <w:t xml:space="preserve">, </w:t>
      </w:r>
      <w:proofErr w:type="gramStart"/>
      <w:r w:rsidR="00C20494" w:rsidRPr="00A53B3F">
        <w:rPr>
          <w:i/>
        </w:rPr>
        <w:t>The</w:t>
      </w:r>
      <w:proofErr w:type="gramEnd"/>
      <w:r w:rsidR="00C20494" w:rsidRPr="00A53B3F">
        <w:rPr>
          <w:i/>
        </w:rPr>
        <w:t xml:space="preserve"> impact of wages on the probability of completing an apprenticeship or traineeship</w:t>
      </w:r>
      <w:r w:rsidR="00C20494" w:rsidRPr="00A53B3F">
        <w:t xml:space="preserve">, NCVER, Adelaide, </w:t>
      </w:r>
      <w:r w:rsidR="0073095A">
        <w:t xml:space="preserve">viewed 8 December 2011, </w:t>
      </w:r>
      <w:r w:rsidR="00C20494" w:rsidRPr="00A53B3F">
        <w:t>&lt;http://www.ncver.edu.au/publications/2277.html&gt;.</w:t>
      </w:r>
    </w:p>
    <w:p w:rsidR="00C20494" w:rsidRPr="00A53B3F" w:rsidRDefault="00C20494" w:rsidP="00A53B3F">
      <w:pPr>
        <w:pStyle w:val="References"/>
      </w:pPr>
      <w:r w:rsidRPr="00A53B3F">
        <w:t xml:space="preserve">Mark, K </w:t>
      </w:r>
      <w:r w:rsidR="00D47F8A">
        <w:t>&amp;</w:t>
      </w:r>
      <w:r w:rsidRPr="00A53B3F">
        <w:t xml:space="preserve"> </w:t>
      </w:r>
      <w:proofErr w:type="spellStart"/>
      <w:r w:rsidRPr="00A53B3F">
        <w:t>Karmel</w:t>
      </w:r>
      <w:proofErr w:type="spellEnd"/>
      <w:r w:rsidRPr="00A53B3F">
        <w:t xml:space="preserve">, T 2010, </w:t>
      </w:r>
      <w:proofErr w:type="gramStart"/>
      <w:r w:rsidRPr="00A53B3F">
        <w:rPr>
          <w:i/>
        </w:rPr>
        <w:t>The</w:t>
      </w:r>
      <w:proofErr w:type="gramEnd"/>
      <w:r w:rsidRPr="00A53B3F">
        <w:rPr>
          <w:i/>
        </w:rPr>
        <w:t xml:space="preserve"> likelihood of completing a VET qualification: a model-based approach</w:t>
      </w:r>
      <w:r w:rsidRPr="00A53B3F">
        <w:t xml:space="preserve">, NCVER, Adelaide, </w:t>
      </w:r>
      <w:r w:rsidR="008F1C4C">
        <w:t>viewed 8 December 2011,</w:t>
      </w:r>
      <w:r w:rsidRPr="00A53B3F">
        <w:t xml:space="preserve"> &lt;http://www.ncver.edu.au/publications/2272.html&gt;.</w:t>
      </w:r>
    </w:p>
    <w:p w:rsidR="00C20494" w:rsidRPr="00A53B3F" w:rsidRDefault="00C20494" w:rsidP="00A53B3F">
      <w:pPr>
        <w:pStyle w:val="References"/>
      </w:pPr>
      <w:r w:rsidRPr="00A53B3F">
        <w:t xml:space="preserve">NCVER </w:t>
      </w:r>
      <w:r w:rsidR="00D47F8A">
        <w:t xml:space="preserve">(National Centre for Vocational Education Research) </w:t>
      </w:r>
      <w:r w:rsidRPr="00A53B3F">
        <w:t xml:space="preserve">2010a, </w:t>
      </w:r>
      <w:r w:rsidRPr="00A53B3F">
        <w:rPr>
          <w:i/>
        </w:rPr>
        <w:t>Australian vocational education and training statistics: apprentice and trainee destinations 2010</w:t>
      </w:r>
      <w:r w:rsidRPr="00A53B3F">
        <w:t xml:space="preserve">, NCVER, Adelaide, </w:t>
      </w:r>
      <w:r w:rsidR="0073095A">
        <w:t xml:space="preserve">viewed 8 December 2011, </w:t>
      </w:r>
      <w:r w:rsidRPr="00A53B3F">
        <w:t>&lt;</w:t>
      </w:r>
      <w:hyperlink r:id="rId14" w:history="1">
        <w:r w:rsidRPr="00A53B3F">
          <w:t>http://www.ncver.edu.au/publications/2262.html</w:t>
        </w:r>
      </w:hyperlink>
      <w:r w:rsidRPr="00A53B3F">
        <w:t>&gt;.</w:t>
      </w:r>
    </w:p>
    <w:p w:rsidR="00C20494" w:rsidRPr="00A53B3F" w:rsidRDefault="00D47F8A" w:rsidP="00A53B3F">
      <w:pPr>
        <w:pStyle w:val="References"/>
      </w:pPr>
      <w:r>
        <w:t>——</w:t>
      </w:r>
      <w:r w:rsidR="00C20494" w:rsidRPr="00A53B3F">
        <w:t xml:space="preserve">2010b, </w:t>
      </w:r>
      <w:r w:rsidR="00C20494" w:rsidRPr="00A53B3F">
        <w:rPr>
          <w:i/>
        </w:rPr>
        <w:t>Australian vocational education and training statistics: student outcomes 2010</w:t>
      </w:r>
      <w:r w:rsidR="00C20494" w:rsidRPr="00A53B3F">
        <w:t xml:space="preserve">, NCVER, Adelaide, </w:t>
      </w:r>
      <w:r w:rsidR="0073095A">
        <w:t xml:space="preserve">viewed 8 December 2011, </w:t>
      </w:r>
      <w:r w:rsidR="00C20494" w:rsidRPr="00A53B3F">
        <w:t>&lt;</w:t>
      </w:r>
      <w:hyperlink r:id="rId15" w:history="1">
        <w:r w:rsidR="00C20494" w:rsidRPr="00A53B3F">
          <w:t>http://www.ncver.edu.au/publications/2315.html</w:t>
        </w:r>
      </w:hyperlink>
      <w:r w:rsidR="00C20494" w:rsidRPr="00A53B3F">
        <w:t>&gt;.</w:t>
      </w:r>
    </w:p>
    <w:p w:rsidR="00C20494" w:rsidRPr="00A53B3F" w:rsidRDefault="00D47F8A" w:rsidP="00A53B3F">
      <w:pPr>
        <w:pStyle w:val="References"/>
      </w:pPr>
      <w:r>
        <w:t>——</w:t>
      </w:r>
      <w:r w:rsidR="00C20494" w:rsidRPr="00A53B3F">
        <w:t xml:space="preserve">2011a, </w:t>
      </w:r>
      <w:r w:rsidR="00C20494" w:rsidRPr="00A53B3F">
        <w:rPr>
          <w:i/>
        </w:rPr>
        <w:t>Australian vocational education and training statistics: completion and attrition rates for apprentices and trainees 2010</w:t>
      </w:r>
      <w:r w:rsidR="00C20494" w:rsidRPr="00A53B3F">
        <w:t xml:space="preserve">, NCVER, Adelaide, </w:t>
      </w:r>
      <w:r w:rsidR="0073095A">
        <w:t xml:space="preserve">viewed 8 December 2011, </w:t>
      </w:r>
      <w:r w:rsidR="00C20494" w:rsidRPr="00A53B3F">
        <w:t>&lt;</w:t>
      </w:r>
      <w:hyperlink r:id="rId16" w:history="1">
        <w:r w:rsidR="00A842C6" w:rsidRPr="00C47226">
          <w:rPr>
            <w:rStyle w:val="Hyperlink"/>
            <w:sz w:val="18"/>
          </w:rPr>
          <w:t>http://www.ncver.edu.au/ publications/2403.html</w:t>
        </w:r>
      </w:hyperlink>
      <w:r w:rsidR="00C20494" w:rsidRPr="00A53B3F">
        <w:t>&gt;.</w:t>
      </w:r>
    </w:p>
    <w:p w:rsidR="00C20494" w:rsidRPr="00A53B3F" w:rsidRDefault="00D47F8A" w:rsidP="00A53B3F">
      <w:pPr>
        <w:pStyle w:val="References"/>
      </w:pPr>
      <w:r>
        <w:t>——</w:t>
      </w:r>
      <w:r w:rsidR="00C20494" w:rsidRPr="00A53B3F">
        <w:t xml:space="preserve">2011b, </w:t>
      </w:r>
      <w:r w:rsidR="00C20494" w:rsidRPr="00A53B3F">
        <w:rPr>
          <w:i/>
        </w:rPr>
        <w:t>Australian vocational education and training statistics: the likelihood of completing a VET qualification 2005</w:t>
      </w:r>
      <w:r w:rsidR="00DC2E9F">
        <w:rPr>
          <w:i/>
        </w:rPr>
        <w:t>—</w:t>
      </w:r>
      <w:r w:rsidR="00C20494" w:rsidRPr="00A53B3F">
        <w:rPr>
          <w:i/>
        </w:rPr>
        <w:t>08</w:t>
      </w:r>
      <w:r w:rsidR="00C20494" w:rsidRPr="00A53B3F">
        <w:t xml:space="preserve">, </w:t>
      </w:r>
      <w:r w:rsidR="00A53B3F">
        <w:t xml:space="preserve">NCVER, Adelaide, </w:t>
      </w:r>
      <w:r w:rsidR="0073095A">
        <w:t xml:space="preserve">viewed 8 December 2011, </w:t>
      </w:r>
      <w:r w:rsidR="00C20494" w:rsidRPr="00A53B3F">
        <w:t>&lt;</w:t>
      </w:r>
      <w:hyperlink r:id="rId17" w:history="1">
        <w:r w:rsidR="003A71E8" w:rsidRPr="00C47226">
          <w:rPr>
            <w:rStyle w:val="Hyperlink"/>
            <w:sz w:val="18"/>
          </w:rPr>
          <w:t>http://www.ncver.edu.au/ publications/2423.html</w:t>
        </w:r>
      </w:hyperlink>
      <w:r w:rsidR="00C20494" w:rsidRPr="00A53B3F">
        <w:t>&gt;.</w:t>
      </w:r>
    </w:p>
    <w:p w:rsidR="00C20494" w:rsidRPr="00A53B3F" w:rsidRDefault="00D47F8A" w:rsidP="00A53B3F">
      <w:pPr>
        <w:pStyle w:val="References"/>
      </w:pPr>
      <w:r>
        <w:t>——</w:t>
      </w:r>
      <w:r w:rsidR="00C20494" w:rsidRPr="00A53B3F">
        <w:t xml:space="preserve">2011c, </w:t>
      </w:r>
      <w:r w:rsidR="00C20494" w:rsidRPr="00A53B3F">
        <w:rPr>
          <w:i/>
        </w:rPr>
        <w:t>Australian vocational education and training statistics: student intentions 2011</w:t>
      </w:r>
      <w:r w:rsidR="00C20494" w:rsidRPr="00A53B3F">
        <w:t>, N</w:t>
      </w:r>
      <w:r w:rsidR="00A53B3F">
        <w:t xml:space="preserve">CVER, Adelaide, </w:t>
      </w:r>
      <w:r w:rsidR="0073095A">
        <w:t xml:space="preserve">viewed 8 December 2011, </w:t>
      </w:r>
      <w:r w:rsidR="00C20494" w:rsidRPr="00A53B3F">
        <w:t>&lt;http://www.ncver.edu.au/publications/2425.html&gt;.</w:t>
      </w:r>
    </w:p>
    <w:p w:rsidR="00C20494" w:rsidRPr="00A53B3F" w:rsidRDefault="00C20494" w:rsidP="00A53B3F">
      <w:pPr>
        <w:pStyle w:val="References"/>
      </w:pPr>
      <w:proofErr w:type="spellStart"/>
      <w:r w:rsidRPr="00A53B3F">
        <w:t>Polidano</w:t>
      </w:r>
      <w:proofErr w:type="spellEnd"/>
      <w:r w:rsidRPr="00A53B3F">
        <w:t xml:space="preserve">, C &amp; </w:t>
      </w:r>
      <w:proofErr w:type="spellStart"/>
      <w:r w:rsidRPr="00A53B3F">
        <w:t>Mavromaras</w:t>
      </w:r>
      <w:proofErr w:type="spellEnd"/>
      <w:r w:rsidRPr="00A53B3F">
        <w:t xml:space="preserve">, K 2010, </w:t>
      </w:r>
      <w:r w:rsidRPr="00A53B3F">
        <w:rPr>
          <w:i/>
        </w:rPr>
        <w:t>The role of vocational education and training in the labour market outcomes of people with disabilities</w:t>
      </w:r>
      <w:r w:rsidRPr="00A53B3F">
        <w:t xml:space="preserve">, NCVER, Adelaide, </w:t>
      </w:r>
      <w:r w:rsidR="0073095A">
        <w:t xml:space="preserve">viewed 8 December 2011, </w:t>
      </w:r>
      <w:r w:rsidRPr="00A53B3F">
        <w:t>&lt;</w:t>
      </w:r>
      <w:hyperlink r:id="rId18" w:history="1">
        <w:r w:rsidRPr="00A53B3F">
          <w:t>http://www.ncver.edu.au/publications/2215.html</w:t>
        </w:r>
      </w:hyperlink>
      <w:r w:rsidRPr="00A53B3F">
        <w:t>&gt;.</w:t>
      </w:r>
      <w:bookmarkEnd w:id="18"/>
      <w:bookmarkEnd w:id="19"/>
      <w:bookmarkEnd w:id="20"/>
      <w:bookmarkEnd w:id="21"/>
    </w:p>
    <w:sectPr w:rsidR="00C20494" w:rsidRPr="00A53B3F" w:rsidSect="00F60BA5">
      <w:headerReference w:type="even" r:id="rId19"/>
      <w:headerReference w:type="default" r:id="rId20"/>
      <w:footerReference w:type="even" r:id="rId21"/>
      <w:footerReference w:type="default" r:id="rId22"/>
      <w:headerReference w:type="first" r:id="rId23"/>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614" w:rsidRDefault="00096614">
      <w:r>
        <w:separator/>
      </w:r>
    </w:p>
  </w:endnote>
  <w:endnote w:type="continuationSeparator" w:id="0">
    <w:p w:rsidR="00096614" w:rsidRDefault="000966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altName w:val="Arial Narrow"/>
    <w:panose1 w:val="020B0604020202020204"/>
    <w:charset w:val="00"/>
    <w:family w:val="swiss"/>
    <w:pitch w:val="variable"/>
    <w:sig w:usb0="20002A87" w:usb1="80000000" w:usb2="00000008" w:usb3="00000000" w:csb0="000001FF" w:csb1="00000000"/>
  </w:font>
  <w:font w:name="TrebuchetMS-Bold">
    <w:altName w:val="Trebuchet MS"/>
    <w:panose1 w:val="00000000000000000000"/>
    <w:charset w:val="4D"/>
    <w:family w:val="auto"/>
    <w:notTrueType/>
    <w:pitch w:val="default"/>
    <w:sig w:usb0="00000003" w:usb1="00000000" w:usb2="00000000" w:usb3="00000000" w:csb0="00000001" w:csb1="00000000"/>
  </w:font>
  <w:font w:name="TrebuchetMS">
    <w:altName w:val="Trebuchet MS"/>
    <w:panose1 w:val="00000000000000000000"/>
    <w:charset w:val="4D"/>
    <w:family w:val="auto"/>
    <w:notTrueType/>
    <w:pitch w:val="default"/>
    <w:sig w:usb0="00000003" w:usb1="00000000" w:usb2="00000000" w:usb3="00000000" w:csb0="00000001" w:csb1="00000000"/>
  </w:font>
  <w:font w:name="Avant Garde">
    <w:altName w:val="Century Gothic"/>
    <w:charset w:val="00"/>
    <w:family w:val="swiss"/>
    <w:pitch w:val="variable"/>
    <w:sig w:usb0="00007A87" w:usb1="80000000" w:usb2="00000008" w:usb3="00000000" w:csb0="000000F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14" w:rsidRPr="008C0A74" w:rsidRDefault="00FA3B3F" w:rsidP="00FF5931">
    <w:pPr>
      <w:pStyle w:val="Footer"/>
      <w:tabs>
        <w:tab w:val="clear" w:pos="8505"/>
        <w:tab w:val="right" w:pos="8789"/>
      </w:tabs>
      <w:rPr>
        <w:b/>
      </w:rPr>
    </w:pPr>
    <w:r w:rsidRPr="00FA3B3F">
      <w:rPr>
        <w:b/>
        <w:noProof/>
        <w:color w:val="FFFFFF" w:themeColor="background1"/>
        <w:lang w:eastAsia="en-AU"/>
      </w:rPr>
      <w:pict>
        <v:rect id="_x0000_s2051" style="position:absolute;margin-left:-85.05pt;margin-top:-2.45pt;width:99pt;height:18.75pt;z-index:-251655168" fillcolor="black [3213]" stroked="f" strokecolor="#bfbfbf [2412]"/>
      </w:pict>
    </w:r>
    <w:r w:rsidRPr="008C0A74">
      <w:rPr>
        <w:b/>
        <w:color w:val="FFFFFF" w:themeColor="background1"/>
      </w:rPr>
      <w:fldChar w:fldCharType="begin"/>
    </w:r>
    <w:r w:rsidR="00096614" w:rsidRPr="008C0A74">
      <w:rPr>
        <w:b/>
        <w:color w:val="FFFFFF" w:themeColor="background1"/>
      </w:rPr>
      <w:instrText xml:space="preserve"> PAGE </w:instrText>
    </w:r>
    <w:r w:rsidRPr="008C0A74">
      <w:rPr>
        <w:b/>
        <w:color w:val="FFFFFF" w:themeColor="background1"/>
      </w:rPr>
      <w:fldChar w:fldCharType="separate"/>
    </w:r>
    <w:r w:rsidR="00AE7A8F">
      <w:rPr>
        <w:b/>
        <w:noProof/>
        <w:color w:val="FFFFFF" w:themeColor="background1"/>
      </w:rPr>
      <w:t>16</w:t>
    </w:r>
    <w:r w:rsidRPr="008C0A74">
      <w:rPr>
        <w:b/>
        <w:color w:val="FFFFFF" w:themeColor="background1"/>
      </w:rPr>
      <w:fldChar w:fldCharType="end"/>
    </w:r>
    <w:r w:rsidR="00096614" w:rsidRPr="008C0A74">
      <w:rPr>
        <w:b/>
        <w:color w:val="FFFFFF" w:themeColor="background1"/>
      </w:rPr>
      <w:tab/>
    </w:r>
    <w:r w:rsidR="00096614">
      <w:rPr>
        <w:b/>
      </w:rPr>
      <w:t>Lifting the lid on completion rates in the VET sector: how they are defined and derived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14" w:rsidRPr="009775C7" w:rsidRDefault="00FA3B3F" w:rsidP="008C0A74">
    <w:pPr>
      <w:pStyle w:val="Footer"/>
      <w:tabs>
        <w:tab w:val="clear" w:pos="8505"/>
        <w:tab w:val="right" w:pos="8789"/>
      </w:tabs>
      <w:rPr>
        <w:color w:val="FFFFFF" w:themeColor="background1"/>
      </w:rPr>
    </w:pPr>
    <w:r w:rsidRPr="00FA3B3F">
      <w:rPr>
        <w:b/>
        <w:noProof/>
        <w:lang w:eastAsia="en-AU"/>
      </w:rPr>
      <w:pict>
        <v:rect id="_x0000_s2052" style="position:absolute;margin-left:425.6pt;margin-top:-2.45pt;width:99pt;height:18.75pt;z-index:-251653120" fillcolor="black [3213]" stroked="f" strokecolor="#bfbfbf [2412]"/>
      </w:pict>
    </w:r>
    <w:r w:rsidR="00096614" w:rsidRPr="009775C7">
      <w:rPr>
        <w:b/>
      </w:rPr>
      <w:t>NCVER</w:t>
    </w:r>
    <w:r w:rsidR="00096614" w:rsidRPr="009775C7">
      <w:tab/>
    </w:r>
    <w:r w:rsidRPr="009775C7">
      <w:rPr>
        <w:rStyle w:val="PageNumber"/>
        <w:rFonts w:cs="Tahoma"/>
        <w:b/>
        <w:color w:val="FFFFFF" w:themeColor="background1"/>
        <w:sz w:val="17"/>
      </w:rPr>
      <w:fldChar w:fldCharType="begin"/>
    </w:r>
    <w:r w:rsidR="00096614"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AE7A8F">
      <w:rPr>
        <w:rStyle w:val="PageNumber"/>
        <w:rFonts w:cs="Tahoma"/>
        <w:b/>
        <w:noProof/>
        <w:color w:val="FFFFFF" w:themeColor="background1"/>
        <w:sz w:val="17"/>
      </w:rPr>
      <w:t>15</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614" w:rsidRDefault="00096614">
      <w:r>
        <w:separator/>
      </w:r>
    </w:p>
  </w:footnote>
  <w:footnote w:type="continuationSeparator" w:id="0">
    <w:p w:rsidR="00096614" w:rsidRDefault="000966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14" w:rsidRDefault="000966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14" w:rsidRDefault="000966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14" w:rsidRDefault="000966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04C080C2"/>
    <w:lvl w:ilvl="0" w:tplc="24BA3DD4">
      <w:start w:val="1"/>
      <w:numFmt w:val="decimal"/>
      <w:pStyle w:val="NumberedListContinuing"/>
      <w:lvlText w:val="%1"/>
      <w:lvlJc w:val="left"/>
      <w:pPr>
        <w:tabs>
          <w:tab w:val="num" w:pos="1004"/>
        </w:tabs>
        <w:ind w:left="720" w:firstLine="0"/>
      </w:pPr>
      <w:rPr>
        <w:rFonts w:hint="default"/>
      </w:rPr>
    </w:lvl>
    <w:lvl w:ilvl="1" w:tplc="0994B9E0">
      <w:start w:val="1"/>
      <w:numFmt w:val="lowerLetter"/>
      <w:pStyle w:val="NumberedAlphaLevel2"/>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75901FB"/>
    <w:multiLevelType w:val="hybridMultilevel"/>
    <w:tmpl w:val="49883E18"/>
    <w:lvl w:ilvl="0" w:tplc="AE346B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640C91"/>
    <w:multiLevelType w:val="hybridMultilevel"/>
    <w:tmpl w:val="A3DCB69C"/>
    <w:lvl w:ilvl="0" w:tplc="AE346B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6">
    <w:nsid w:val="1833185A"/>
    <w:multiLevelType w:val="hybridMultilevel"/>
    <w:tmpl w:val="C90097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8">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5EA0A11"/>
    <w:multiLevelType w:val="hybridMultilevel"/>
    <w:tmpl w:val="C284B4B0"/>
    <w:lvl w:ilvl="0" w:tplc="AE346B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72C640A"/>
    <w:multiLevelType w:val="hybridMultilevel"/>
    <w:tmpl w:val="2836EC44"/>
    <w:lvl w:ilvl="0" w:tplc="0C090001">
      <w:start w:val="1"/>
      <w:numFmt w:val="bullet"/>
      <w:lvlText w:val=""/>
      <w:lvlJc w:val="left"/>
      <w:pPr>
        <w:tabs>
          <w:tab w:val="num" w:pos="1004"/>
        </w:tabs>
        <w:ind w:left="720" w:firstLine="0"/>
      </w:pPr>
      <w:rPr>
        <w:rFonts w:ascii="Symbol" w:hAnsi="Symbol" w:hint="default"/>
      </w:rPr>
    </w:lvl>
    <w:lvl w:ilvl="1" w:tplc="0994B9E0">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1">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9B334BA"/>
    <w:multiLevelType w:val="hybridMultilevel"/>
    <w:tmpl w:val="E850CF52"/>
    <w:lvl w:ilvl="0" w:tplc="AE346B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2823F94"/>
    <w:multiLevelType w:val="hybridMultilevel"/>
    <w:tmpl w:val="0FAC8F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nsid w:val="62604FA0"/>
    <w:multiLevelType w:val="hybridMultilevel"/>
    <w:tmpl w:val="861415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ACF567F"/>
    <w:multiLevelType w:val="hybridMultilevel"/>
    <w:tmpl w:val="1E0047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7681844"/>
    <w:multiLevelType w:val="hybridMultilevel"/>
    <w:tmpl w:val="4FE0AD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8331202"/>
    <w:multiLevelType w:val="hybridMultilevel"/>
    <w:tmpl w:val="2C4E022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0"/>
  </w:num>
  <w:num w:numId="4">
    <w:abstractNumId w:val="25"/>
  </w:num>
  <w:num w:numId="5">
    <w:abstractNumId w:val="12"/>
  </w:num>
  <w:num w:numId="6">
    <w:abstractNumId w:val="29"/>
  </w:num>
  <w:num w:numId="7">
    <w:abstractNumId w:val="31"/>
  </w:num>
  <w:num w:numId="8">
    <w:abstractNumId w:val="30"/>
  </w:num>
  <w:num w:numId="9">
    <w:abstractNumId w:val="36"/>
  </w:num>
  <w:num w:numId="10">
    <w:abstractNumId w:val="26"/>
  </w:num>
  <w:num w:numId="11">
    <w:abstractNumId w:val="21"/>
  </w:num>
  <w:num w:numId="12">
    <w:abstractNumId w:val="27"/>
  </w:num>
  <w:num w:numId="13">
    <w:abstractNumId w:val="28"/>
  </w:num>
  <w:num w:numId="14">
    <w:abstractNumId w:val="17"/>
  </w:num>
  <w:num w:numId="15">
    <w:abstractNumId w:val="23"/>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5"/>
  </w:num>
  <w:num w:numId="24">
    <w:abstractNumId w:val="11"/>
  </w:num>
  <w:num w:numId="25">
    <w:abstractNumId w:val="15"/>
  </w:num>
  <w:num w:numId="26">
    <w:abstractNumId w:val="37"/>
  </w:num>
  <w:num w:numId="27">
    <w:abstractNumId w:val="33"/>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32"/>
  </w:num>
  <w:num w:numId="35">
    <w:abstractNumId w:val="39"/>
  </w:num>
  <w:num w:numId="36">
    <w:abstractNumId w:val="24"/>
  </w:num>
  <w:num w:numId="37">
    <w:abstractNumId w:val="35"/>
  </w:num>
  <w:num w:numId="38">
    <w:abstractNumId w:val="34"/>
  </w:num>
  <w:num w:numId="39">
    <w:abstractNumId w:val="38"/>
  </w:num>
  <w:num w:numId="40">
    <w:abstractNumId w:val="16"/>
  </w:num>
  <w:num w:numId="41">
    <w:abstractNumId w:val="20"/>
  </w:num>
  <w:num w:numId="42">
    <w:abstractNumId w:val="22"/>
  </w:num>
  <w:num w:numId="43">
    <w:abstractNumId w:val="14"/>
  </w:num>
  <w:num w:numId="44">
    <w:abstractNumId w:val="13"/>
  </w:num>
  <w:num w:numId="4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C20494"/>
    <w:rsid w:val="000012A8"/>
    <w:rsid w:val="000108B2"/>
    <w:rsid w:val="000131E8"/>
    <w:rsid w:val="00013265"/>
    <w:rsid w:val="00013967"/>
    <w:rsid w:val="00015E94"/>
    <w:rsid w:val="00022290"/>
    <w:rsid w:val="00030057"/>
    <w:rsid w:val="000315D7"/>
    <w:rsid w:val="0006125F"/>
    <w:rsid w:val="00074BD4"/>
    <w:rsid w:val="00093654"/>
    <w:rsid w:val="00096048"/>
    <w:rsid w:val="00096614"/>
    <w:rsid w:val="000A0745"/>
    <w:rsid w:val="000B53D0"/>
    <w:rsid w:val="000C3145"/>
    <w:rsid w:val="000E2F47"/>
    <w:rsid w:val="000E6170"/>
    <w:rsid w:val="000F641C"/>
    <w:rsid w:val="0010761A"/>
    <w:rsid w:val="00113608"/>
    <w:rsid w:val="001170F8"/>
    <w:rsid w:val="00121688"/>
    <w:rsid w:val="00123B5C"/>
    <w:rsid w:val="00135C75"/>
    <w:rsid w:val="001368F1"/>
    <w:rsid w:val="00150874"/>
    <w:rsid w:val="001509F3"/>
    <w:rsid w:val="00155839"/>
    <w:rsid w:val="00177827"/>
    <w:rsid w:val="0018368C"/>
    <w:rsid w:val="00184504"/>
    <w:rsid w:val="001B43CF"/>
    <w:rsid w:val="001C0D48"/>
    <w:rsid w:val="001C1591"/>
    <w:rsid w:val="001D5110"/>
    <w:rsid w:val="001F068A"/>
    <w:rsid w:val="001F7D84"/>
    <w:rsid w:val="00206BE4"/>
    <w:rsid w:val="00222F72"/>
    <w:rsid w:val="00226E0D"/>
    <w:rsid w:val="002277A9"/>
    <w:rsid w:val="00233BFA"/>
    <w:rsid w:val="002553AD"/>
    <w:rsid w:val="002651CB"/>
    <w:rsid w:val="00281843"/>
    <w:rsid w:val="00284FCB"/>
    <w:rsid w:val="002E196B"/>
    <w:rsid w:val="00334CE3"/>
    <w:rsid w:val="00340B4D"/>
    <w:rsid w:val="00342A9F"/>
    <w:rsid w:val="00342DE6"/>
    <w:rsid w:val="00356412"/>
    <w:rsid w:val="0037213A"/>
    <w:rsid w:val="00376608"/>
    <w:rsid w:val="00397C94"/>
    <w:rsid w:val="003A71E8"/>
    <w:rsid w:val="003B16DA"/>
    <w:rsid w:val="003B483E"/>
    <w:rsid w:val="003E67CB"/>
    <w:rsid w:val="00404819"/>
    <w:rsid w:val="00415A34"/>
    <w:rsid w:val="0042157E"/>
    <w:rsid w:val="00430FD7"/>
    <w:rsid w:val="0046106D"/>
    <w:rsid w:val="00484203"/>
    <w:rsid w:val="0048643A"/>
    <w:rsid w:val="0049453B"/>
    <w:rsid w:val="00494E7C"/>
    <w:rsid w:val="004C4063"/>
    <w:rsid w:val="004C661F"/>
    <w:rsid w:val="004C7993"/>
    <w:rsid w:val="004D4802"/>
    <w:rsid w:val="004E34EC"/>
    <w:rsid w:val="004E7227"/>
    <w:rsid w:val="00504C9F"/>
    <w:rsid w:val="00514BD8"/>
    <w:rsid w:val="00515E40"/>
    <w:rsid w:val="00520315"/>
    <w:rsid w:val="0052276C"/>
    <w:rsid w:val="005235FF"/>
    <w:rsid w:val="00545349"/>
    <w:rsid w:val="005513CF"/>
    <w:rsid w:val="00570758"/>
    <w:rsid w:val="00592E36"/>
    <w:rsid w:val="005B0556"/>
    <w:rsid w:val="005B4580"/>
    <w:rsid w:val="005C277E"/>
    <w:rsid w:val="005C61F8"/>
    <w:rsid w:val="005C7618"/>
    <w:rsid w:val="005E4764"/>
    <w:rsid w:val="00640C48"/>
    <w:rsid w:val="00652973"/>
    <w:rsid w:val="00656679"/>
    <w:rsid w:val="0067712D"/>
    <w:rsid w:val="00682A97"/>
    <w:rsid w:val="006930A0"/>
    <w:rsid w:val="00696A48"/>
    <w:rsid w:val="006A581C"/>
    <w:rsid w:val="006C5DA9"/>
    <w:rsid w:val="006D3822"/>
    <w:rsid w:val="006E2042"/>
    <w:rsid w:val="006E3443"/>
    <w:rsid w:val="007037A4"/>
    <w:rsid w:val="00713EFE"/>
    <w:rsid w:val="0073095A"/>
    <w:rsid w:val="00731EC8"/>
    <w:rsid w:val="00745279"/>
    <w:rsid w:val="007626E4"/>
    <w:rsid w:val="00783F44"/>
    <w:rsid w:val="00786269"/>
    <w:rsid w:val="00787494"/>
    <w:rsid w:val="007A2079"/>
    <w:rsid w:val="007A3B16"/>
    <w:rsid w:val="007B0886"/>
    <w:rsid w:val="007C3281"/>
    <w:rsid w:val="007C50A7"/>
    <w:rsid w:val="007E2D8C"/>
    <w:rsid w:val="007E3E40"/>
    <w:rsid w:val="007E655C"/>
    <w:rsid w:val="00800A2B"/>
    <w:rsid w:val="00806C1C"/>
    <w:rsid w:val="00826757"/>
    <w:rsid w:val="00836132"/>
    <w:rsid w:val="00842044"/>
    <w:rsid w:val="00845D7C"/>
    <w:rsid w:val="00852661"/>
    <w:rsid w:val="00874DA5"/>
    <w:rsid w:val="00882461"/>
    <w:rsid w:val="008923B6"/>
    <w:rsid w:val="00894271"/>
    <w:rsid w:val="008942A0"/>
    <w:rsid w:val="008C0A74"/>
    <w:rsid w:val="008C41AF"/>
    <w:rsid w:val="008D3DBC"/>
    <w:rsid w:val="008D4BBE"/>
    <w:rsid w:val="008F1C4C"/>
    <w:rsid w:val="008F20BA"/>
    <w:rsid w:val="00903C56"/>
    <w:rsid w:val="009058B5"/>
    <w:rsid w:val="0091757B"/>
    <w:rsid w:val="00924A5B"/>
    <w:rsid w:val="00933317"/>
    <w:rsid w:val="00945BD5"/>
    <w:rsid w:val="009461ED"/>
    <w:rsid w:val="009538E6"/>
    <w:rsid w:val="009704E4"/>
    <w:rsid w:val="009775C7"/>
    <w:rsid w:val="009B7619"/>
    <w:rsid w:val="009C22BE"/>
    <w:rsid w:val="009E0791"/>
    <w:rsid w:val="009E231A"/>
    <w:rsid w:val="009E2F64"/>
    <w:rsid w:val="009E3A69"/>
    <w:rsid w:val="009F3F56"/>
    <w:rsid w:val="00A10A6B"/>
    <w:rsid w:val="00A10E2B"/>
    <w:rsid w:val="00A30084"/>
    <w:rsid w:val="00A42275"/>
    <w:rsid w:val="00A50895"/>
    <w:rsid w:val="00A523B8"/>
    <w:rsid w:val="00A53B3F"/>
    <w:rsid w:val="00A62018"/>
    <w:rsid w:val="00A73318"/>
    <w:rsid w:val="00A842C6"/>
    <w:rsid w:val="00A93867"/>
    <w:rsid w:val="00AA44D4"/>
    <w:rsid w:val="00AA54FC"/>
    <w:rsid w:val="00AA6BEC"/>
    <w:rsid w:val="00AB40E9"/>
    <w:rsid w:val="00AB7C9D"/>
    <w:rsid w:val="00AC688A"/>
    <w:rsid w:val="00AD27EE"/>
    <w:rsid w:val="00AD2AC3"/>
    <w:rsid w:val="00AE7A8F"/>
    <w:rsid w:val="00AF1005"/>
    <w:rsid w:val="00B01C92"/>
    <w:rsid w:val="00B05F5C"/>
    <w:rsid w:val="00B15335"/>
    <w:rsid w:val="00B24020"/>
    <w:rsid w:val="00B33D28"/>
    <w:rsid w:val="00B41272"/>
    <w:rsid w:val="00B426FE"/>
    <w:rsid w:val="00B625C7"/>
    <w:rsid w:val="00B77043"/>
    <w:rsid w:val="00B77AF8"/>
    <w:rsid w:val="00B86D06"/>
    <w:rsid w:val="00BA634F"/>
    <w:rsid w:val="00BB113D"/>
    <w:rsid w:val="00BC5766"/>
    <w:rsid w:val="00BC5D80"/>
    <w:rsid w:val="00BC770A"/>
    <w:rsid w:val="00BC7C47"/>
    <w:rsid w:val="00BF206B"/>
    <w:rsid w:val="00BF690E"/>
    <w:rsid w:val="00C03399"/>
    <w:rsid w:val="00C053D5"/>
    <w:rsid w:val="00C20494"/>
    <w:rsid w:val="00C37003"/>
    <w:rsid w:val="00C42DFE"/>
    <w:rsid w:val="00C54125"/>
    <w:rsid w:val="00C63294"/>
    <w:rsid w:val="00C77DC6"/>
    <w:rsid w:val="00C801DA"/>
    <w:rsid w:val="00C83C52"/>
    <w:rsid w:val="00C853BF"/>
    <w:rsid w:val="00C926F0"/>
    <w:rsid w:val="00C92F99"/>
    <w:rsid w:val="00C9656D"/>
    <w:rsid w:val="00CA33D4"/>
    <w:rsid w:val="00CA3EC8"/>
    <w:rsid w:val="00CA4AFC"/>
    <w:rsid w:val="00CA7344"/>
    <w:rsid w:val="00CB16C3"/>
    <w:rsid w:val="00CB68A9"/>
    <w:rsid w:val="00CD5F32"/>
    <w:rsid w:val="00CE69A5"/>
    <w:rsid w:val="00CE7E4C"/>
    <w:rsid w:val="00D077DB"/>
    <w:rsid w:val="00D31F03"/>
    <w:rsid w:val="00D43B5F"/>
    <w:rsid w:val="00D47F8A"/>
    <w:rsid w:val="00D766FC"/>
    <w:rsid w:val="00D806B0"/>
    <w:rsid w:val="00DB599C"/>
    <w:rsid w:val="00DC2E9F"/>
    <w:rsid w:val="00DC5733"/>
    <w:rsid w:val="00DC5F5C"/>
    <w:rsid w:val="00DE2C71"/>
    <w:rsid w:val="00DE3403"/>
    <w:rsid w:val="00E0673B"/>
    <w:rsid w:val="00E06B95"/>
    <w:rsid w:val="00E123CB"/>
    <w:rsid w:val="00E14FA9"/>
    <w:rsid w:val="00E236D0"/>
    <w:rsid w:val="00E365F8"/>
    <w:rsid w:val="00E45A10"/>
    <w:rsid w:val="00E52313"/>
    <w:rsid w:val="00E5412C"/>
    <w:rsid w:val="00E56EC1"/>
    <w:rsid w:val="00E57478"/>
    <w:rsid w:val="00E61256"/>
    <w:rsid w:val="00E7408B"/>
    <w:rsid w:val="00E81A91"/>
    <w:rsid w:val="00E95812"/>
    <w:rsid w:val="00E95948"/>
    <w:rsid w:val="00E978E3"/>
    <w:rsid w:val="00EA239B"/>
    <w:rsid w:val="00EB7112"/>
    <w:rsid w:val="00ED24F6"/>
    <w:rsid w:val="00ED4D6D"/>
    <w:rsid w:val="00EE42D9"/>
    <w:rsid w:val="00EE67B3"/>
    <w:rsid w:val="00F013F4"/>
    <w:rsid w:val="00F11718"/>
    <w:rsid w:val="00F12DFF"/>
    <w:rsid w:val="00F360D2"/>
    <w:rsid w:val="00F53FFE"/>
    <w:rsid w:val="00F573BA"/>
    <w:rsid w:val="00F60BA5"/>
    <w:rsid w:val="00F71685"/>
    <w:rsid w:val="00F93048"/>
    <w:rsid w:val="00FA3B3F"/>
    <w:rsid w:val="00FA79F7"/>
    <w:rsid w:val="00FB217F"/>
    <w:rsid w:val="00FE03E2"/>
    <w:rsid w:val="00FE3F74"/>
    <w:rsid w:val="00FE4A2D"/>
    <w:rsid w:val="00FF0952"/>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9" type="connector" idref="#_x0000_s1182"/>
        <o:r id="V:Rule10" type="connector" idref="#_x0000_s1173"/>
        <o:r id="V:Rule11" type="connector" idref="#_x0000_s1138"/>
        <o:r id="V:Rule12" type="connector" idref="#_x0000_s1128"/>
        <o:r id="V:Rule13" type="connector" idref="#_x0000_s1130"/>
        <o:r id="V:Rule14" type="connector" idref="#_x0000_s1175"/>
        <o:r id="V:Rule15" type="connector" idref="#_x0000_s1180"/>
        <o:r id="V:Rule16" type="connector" idref="#_x0000_s1140"/>
      </o:rules>
      <o:regrouptable v:ext="edit">
        <o:entry new="1" old="0"/>
        <o:entry new="2" old="0"/>
        <o:entry new="3" old="1"/>
        <o:entry new="4" old="0"/>
        <o:entry new="5" old="4"/>
        <o:entry new="6" old="0"/>
        <o:entry new="7" old="6"/>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903C56"/>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C853BF"/>
    <w:pPr>
      <w:spacing w:before="160" w:line="300" w:lineRule="exact"/>
    </w:pPr>
    <w:rPr>
      <w:rFonts w:ascii="Trebuchet MS" w:hAnsi="Trebuchet MS"/>
      <w:sz w:val="19"/>
      <w:lang w:val="en-AU"/>
    </w:rPr>
  </w:style>
  <w:style w:type="character" w:customStyle="1" w:styleId="TextChar">
    <w:name w:val="Text Char"/>
    <w:basedOn w:val="DefaultParagraphFont"/>
    <w:link w:val="Text"/>
    <w:rsid w:val="00C853BF"/>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096614"/>
    <w:pPr>
      <w:spacing w:before="80"/>
      <w:ind w:left="284"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3A71E8"/>
    <w:pPr>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1"/>
    <w:qFormat/>
    <w:rsid w:val="00ED24F6"/>
    <w:pPr>
      <w:numPr>
        <w:ilvl w:val="1"/>
      </w:numPr>
      <w:tabs>
        <w:tab w:val="num" w:pos="567"/>
      </w:tabs>
      <w:ind w:left="567" w:hanging="283"/>
    </w:pPr>
  </w:style>
  <w:style w:type="paragraph" w:customStyle="1" w:styleId="TableRowBold">
    <w:name w:val="TableRowBold"/>
    <w:basedOn w:val="Tabletext"/>
    <w:rsid w:val="00A53B3F"/>
    <w:pPr>
      <w:spacing w:before="80"/>
    </w:pPr>
    <w:rPr>
      <w:b/>
      <w:color w:val="CE7019"/>
      <w:szCs w:val="15"/>
    </w:rPr>
  </w:style>
  <w:style w:type="paragraph" w:customStyle="1" w:styleId="Tabletitle0">
    <w:name w:val="Tabletitle"/>
    <w:next w:val="Normal"/>
    <w:link w:val="TabletitleCharChar"/>
    <w:rsid w:val="00A53B3F"/>
    <w:pPr>
      <w:tabs>
        <w:tab w:val="left" w:pos="900"/>
      </w:tabs>
      <w:spacing w:before="320" w:after="80"/>
    </w:pPr>
    <w:rPr>
      <w:rFonts w:ascii="Arial" w:hAnsi="Arial"/>
      <w:b/>
      <w:color w:val="CE7019"/>
      <w:sz w:val="17"/>
      <w:szCs w:val="17"/>
      <w:lang w:val="en-AU"/>
    </w:rPr>
  </w:style>
  <w:style w:type="character" w:customStyle="1" w:styleId="TabletitleCharChar">
    <w:name w:val="Tabletitle Char Char"/>
    <w:basedOn w:val="DefaultParagraphFont"/>
    <w:link w:val="Tabletitle0"/>
    <w:rsid w:val="00A53B3F"/>
    <w:rPr>
      <w:rFonts w:ascii="Arial" w:hAnsi="Arial"/>
      <w:b/>
      <w:color w:val="CE7019"/>
      <w:sz w:val="17"/>
      <w:szCs w:val="17"/>
      <w:lang w:val="en-AU"/>
    </w:rPr>
  </w:style>
  <w:style w:type="paragraph" w:customStyle="1" w:styleId="Textlessbefore">
    <w:name w:val="Text less # before"/>
    <w:basedOn w:val="Text"/>
    <w:uiPriority w:val="1"/>
    <w:qFormat/>
    <w:rsid w:val="00356412"/>
    <w:pPr>
      <w:spacing w:before="80"/>
    </w:pPr>
  </w:style>
  <w:style w:type="paragraph" w:customStyle="1" w:styleId="Textmorebefore">
    <w:name w:val="Text more # before"/>
    <w:basedOn w:val="Text"/>
    <w:uiPriority w:val="1"/>
    <w:qFormat/>
    <w:rsid w:val="00356412"/>
    <w:pPr>
      <w:spacing w:before="360"/>
    </w:pPr>
  </w:style>
  <w:style w:type="paragraph" w:customStyle="1" w:styleId="Textbeforebox">
    <w:name w:val="Text before box"/>
    <w:basedOn w:val="Textlessbefore"/>
    <w:uiPriority w:val="1"/>
    <w:qFormat/>
    <w:rsid w:val="00C853BF"/>
    <w:pPr>
      <w:spacing w:before="0" w:line="240" w:lineRule="auto"/>
    </w:pPr>
  </w:style>
</w:styles>
</file>

<file path=word/webSettings.xml><?xml version="1.0" encoding="utf-8"?>
<w:webSettings xmlns:r="http://schemas.openxmlformats.org/officeDocument/2006/relationships" xmlns:w="http://schemas.openxmlformats.org/wordprocessingml/2006/main">
  <w:divs>
    <w:div w:id="1484618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ncver.edu.au/publications/2357.html" TargetMode="External"/><Relationship Id="rId18" Type="http://schemas.openxmlformats.org/officeDocument/2006/relationships/hyperlink" Target="http://www.ncver.edu.au/publications/2215.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cver.edu.au/publications/2388.html" TargetMode="External"/><Relationship Id="rId17" Type="http://schemas.openxmlformats.org/officeDocument/2006/relationships/hyperlink" Target="http://www.ncver.edu.au/%20publications/2423.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cver.edu.au/%20publications/2403.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cver.edu.au/publications/2315.html" TargetMode="External"/><Relationship Id="rId23" Type="http://schemas.openxmlformats.org/officeDocument/2006/relationships/header" Target="header3.xml"/><Relationship Id="rId10" Type="http://schemas.openxmlformats.org/officeDocument/2006/relationships/hyperlink" Target="mailto:ncver@ncver.edu.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ncver.edu.au/publications/2262.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78584-D22C-4F2A-9566-5E18EE52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4474</Words>
  <Characters>25503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29918</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alicebednarz</dc:creator>
  <cp:lastModifiedBy>julianneTreloar</cp:lastModifiedBy>
  <cp:revision>2</cp:revision>
  <cp:lastPrinted>2012-02-02T00:57:00Z</cp:lastPrinted>
  <dcterms:created xsi:type="dcterms:W3CDTF">2012-02-02T02:26:00Z</dcterms:created>
  <dcterms:modified xsi:type="dcterms:W3CDTF">2012-02-02T02:26:00Z</dcterms:modified>
</cp:coreProperties>
</file>