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739" w:rsidRPr="00A42929" w:rsidRDefault="00282739" w:rsidP="00282739">
      <w:pPr>
        <w:pStyle w:val="PublicationTitle"/>
        <w:spacing w:before="0"/>
      </w:pPr>
      <w:bookmarkStart w:id="0" w:name="_Toc296423677"/>
      <w:bookmarkStart w:id="1" w:name="_Toc296497508"/>
      <w:r>
        <w:rPr>
          <w:noProof/>
          <w:lang w:eastAsia="en-AU"/>
        </w:rPr>
        <w:drawing>
          <wp:anchor distT="0" distB="0" distL="114300" distR="114300" simplePos="0" relativeHeight="251661312" behindDoc="0" locked="0" layoutInCell="1" allowOverlap="1" wp14:anchorId="54A081B0" wp14:editId="2C9C2CCF">
            <wp:simplePos x="0" y="0"/>
            <wp:positionH relativeFrom="column">
              <wp:posOffset>-378460</wp:posOffset>
            </wp:positionH>
            <wp:positionV relativeFrom="paragraph">
              <wp:posOffset>243205</wp:posOffset>
            </wp:positionV>
            <wp:extent cx="2393315" cy="511175"/>
            <wp:effectExtent l="0" t="0" r="6985" b="3175"/>
            <wp:wrapSquare wrapText="bothSides"/>
            <wp:docPr id="17" name="Picture 17" descr="NCVER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CVER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315" cy="51117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MACROBUTTON MTEditEquationSection2 </w:instrText>
      </w:r>
      <w:r w:rsidRPr="00F94F00">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bookmarkEnd w:id="0"/>
      <w:bookmarkEnd w:id="1"/>
      <w:r>
        <w:rPr>
          <w:noProof/>
          <w:lang w:eastAsia="en-AU"/>
        </w:rPr>
        <w:drawing>
          <wp:anchor distT="0" distB="0" distL="114300" distR="114300" simplePos="0" relativeHeight="251662336" behindDoc="0" locked="0" layoutInCell="1" allowOverlap="1" wp14:anchorId="7E6FBBF1" wp14:editId="1F89F5FA">
            <wp:simplePos x="0" y="0"/>
            <wp:positionH relativeFrom="column">
              <wp:posOffset>-621665</wp:posOffset>
            </wp:positionH>
            <wp:positionV relativeFrom="paragraph">
              <wp:posOffset>905510</wp:posOffset>
            </wp:positionV>
            <wp:extent cx="2781300" cy="952500"/>
            <wp:effectExtent l="0" t="0" r="0" b="0"/>
            <wp:wrapSquare wrapText="bothSides"/>
            <wp:docPr id="16" name="Picture 16" descr="Dept_Industry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pt_Industry_in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739" w:rsidRPr="00A42929" w:rsidRDefault="00282739" w:rsidP="00282739">
      <w:pPr>
        <w:pStyle w:val="PublicationTitle"/>
        <w:spacing w:before="0" w:after="0"/>
        <w:ind w:left="0"/>
        <w:rPr>
          <w:noProof/>
          <w:lang w:eastAsia="en-AU"/>
        </w:rPr>
      </w:pPr>
    </w:p>
    <w:p w:rsidR="00282739" w:rsidRPr="005C2FCF" w:rsidRDefault="00282739" w:rsidP="00282739">
      <w:pPr>
        <w:pStyle w:val="PublicationTitle"/>
        <w:spacing w:before="1200"/>
      </w:pPr>
      <w:r>
        <w:t>Does scored VET in Schools help or hinder access to higher education in Victoria?</w:t>
      </w:r>
    </w:p>
    <w:p w:rsidR="00282739" w:rsidRPr="00391EC5" w:rsidRDefault="00282739" w:rsidP="00282739">
      <w:pPr>
        <w:pStyle w:val="Authors"/>
        <w:rPr>
          <w:lang w:val="it-IT"/>
        </w:rPr>
      </w:pPr>
      <w:bookmarkStart w:id="2" w:name="_Toc296423678"/>
      <w:bookmarkStart w:id="3" w:name="_Toc296497509"/>
      <w:r w:rsidRPr="00391EC5">
        <w:rPr>
          <w:lang w:val="it-IT"/>
        </w:rPr>
        <w:t>Cain Polidano</w:t>
      </w:r>
      <w:r>
        <w:rPr>
          <w:lang w:val="it-IT"/>
        </w:rPr>
        <w:br/>
      </w:r>
      <w:r w:rsidRPr="00391EC5">
        <w:rPr>
          <w:lang w:val="it-IT"/>
        </w:rPr>
        <w:t>Domenico Tabasso</w:t>
      </w:r>
      <w:r>
        <w:rPr>
          <w:lang w:val="it-IT"/>
        </w:rPr>
        <w:br/>
      </w:r>
      <w:r w:rsidRPr="00391EC5">
        <w:rPr>
          <w:lang w:val="it-IT"/>
        </w:rPr>
        <w:t>Rong Zhang</w:t>
      </w:r>
    </w:p>
    <w:bookmarkEnd w:id="2"/>
    <w:bookmarkEnd w:id="3"/>
    <w:p w:rsidR="00282739" w:rsidRDefault="00282739" w:rsidP="00282739">
      <w:pPr>
        <w:pStyle w:val="Organisation"/>
      </w:pPr>
      <w:r>
        <w:t>Melbourne Institute of Applied Economic and Social Research</w:t>
      </w:r>
    </w:p>
    <w:p w:rsidR="00282739" w:rsidRDefault="00282739" w:rsidP="00282739">
      <w:pPr>
        <w:pStyle w:val="Heading3"/>
        <w:ind w:right="-1"/>
      </w:pPr>
      <w:r>
        <w:rPr>
          <w:noProof/>
          <w:lang w:eastAsia="en-AU"/>
        </w:rPr>
        <mc:AlternateContent>
          <mc:Choice Requires="wps">
            <w:drawing>
              <wp:anchor distT="0" distB="0" distL="114300" distR="114300" simplePos="0" relativeHeight="251660288" behindDoc="0" locked="0" layoutInCell="1" allowOverlap="1" wp14:anchorId="68D427BC" wp14:editId="2E05443E">
                <wp:simplePos x="0" y="0"/>
                <wp:positionH relativeFrom="column">
                  <wp:posOffset>1015365</wp:posOffset>
                </wp:positionH>
                <wp:positionV relativeFrom="margin">
                  <wp:posOffset>7052945</wp:posOffset>
                </wp:positionV>
                <wp:extent cx="3362960" cy="105410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739" w:rsidRPr="001B43CF" w:rsidRDefault="00282739" w:rsidP="00282739">
                            <w:pPr>
                              <w:pStyle w:val="Heading3"/>
                            </w:pPr>
                            <w:r>
                              <w:t>NATIONAL VOCATIONAL EDUCATION AND TRAINING RESEARCH PROGRAM</w:t>
                            </w:r>
                          </w:p>
                          <w:p w:rsidR="00282739" w:rsidRPr="002B67A0" w:rsidRDefault="00282739" w:rsidP="00282739">
                            <w:pPr>
                              <w:pStyle w:val="Heading3"/>
                              <w:rPr>
                                <w:b/>
                              </w:rPr>
                            </w:pPr>
                            <w:r w:rsidRPr="002B67A0">
                              <w:rPr>
                                <w:b/>
                              </w:rPr>
                              <w:t>RESEARCH REPORT</w:t>
                            </w:r>
                          </w:p>
                          <w:p w:rsidR="00282739" w:rsidRDefault="00282739" w:rsidP="00282739">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9.95pt;margin-top:555.35pt;width:264.8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3rctwIAALw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" filled="f" stroked="f">
                <v:textbox>
                  <w:txbxContent>
                    <w:p w:rsidR="00282739" w:rsidRPr="001B43CF" w:rsidRDefault="00282739" w:rsidP="00282739">
                      <w:pPr>
                        <w:pStyle w:val="Heading3"/>
                      </w:pPr>
                      <w:r>
                        <w:t>NATIONAL VOCATIONAL EDUCATION AND TRAINING RESEARCH PROGRAM</w:t>
                      </w:r>
                    </w:p>
                    <w:p w:rsidR="00282739" w:rsidRPr="002B67A0" w:rsidRDefault="00282739" w:rsidP="00282739">
                      <w:pPr>
                        <w:pStyle w:val="Heading3"/>
                        <w:rPr>
                          <w:b/>
                        </w:rPr>
                      </w:pPr>
                      <w:r w:rsidRPr="002B67A0">
                        <w:rPr>
                          <w:b/>
                        </w:rPr>
                        <w:t>RESEARCH REPORT</w:t>
                      </w:r>
                    </w:p>
                    <w:p w:rsidR="00282739" w:rsidRDefault="00282739" w:rsidP="00282739">
                      <w:pPr>
                        <w:pStyle w:val="Heading3"/>
                      </w:pPr>
                    </w:p>
                  </w:txbxContent>
                </v:textbox>
                <w10:wrap anchory="margin"/>
              </v:shape>
            </w:pict>
          </mc:Fallback>
        </mc:AlternateContent>
      </w:r>
      <w:r>
        <w:rPr>
          <w:noProof/>
          <w:lang w:eastAsia="en-AU"/>
        </w:rPr>
        <mc:AlternateContent>
          <mc:Choice Requires="wps">
            <w:drawing>
              <wp:anchor distT="0" distB="0" distL="114300" distR="114300" simplePos="0" relativeHeight="251659264" behindDoc="0" locked="0" layoutInCell="1" allowOverlap="1" wp14:anchorId="1B17DC69" wp14:editId="7D6F7278">
                <wp:simplePos x="0" y="0"/>
                <wp:positionH relativeFrom="column">
                  <wp:posOffset>928370</wp:posOffset>
                </wp:positionH>
                <wp:positionV relativeFrom="margin">
                  <wp:posOffset>8378190</wp:posOffset>
                </wp:positionV>
                <wp:extent cx="4533900" cy="10541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739" w:rsidRDefault="00282739" w:rsidP="0028273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282739" w:rsidRDefault="00282739" w:rsidP="00282739">
                            <w:pPr>
                              <w:pStyle w:val="Imprint"/>
                              <w:spacing w:before="120"/>
                              <w:ind w:left="142" w:right="10"/>
                            </w:pPr>
                            <w:r w:rsidRPr="005C2FCF">
                              <w:rPr>
                                <w:color w:val="000000"/>
                              </w:rPr>
                              <w:t>Any interpretation of data is the responsibility of the author/project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73.1pt;margin-top:659.7pt;width:357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Ws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" filled="f" stroked="f">
                <v:textbox>
                  <w:txbxContent>
                    <w:p w:rsidR="00282739" w:rsidRDefault="00282739" w:rsidP="0028273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282739" w:rsidRDefault="00282739" w:rsidP="00282739">
                      <w:pPr>
                        <w:pStyle w:val="Imprint"/>
                        <w:spacing w:before="120"/>
                        <w:ind w:left="142" w:right="10"/>
                      </w:pPr>
                      <w:r w:rsidRPr="005C2FCF">
                        <w:rPr>
                          <w:color w:val="000000"/>
                        </w:rPr>
                        <w:t>Any interpretation of data is the responsibility of the author/project team.</w:t>
                      </w:r>
                    </w:p>
                  </w:txbxContent>
                </v:textbox>
                <w10:wrap anchory="margin"/>
              </v:shape>
            </w:pict>
          </mc:Fallback>
        </mc:AlternateContent>
      </w:r>
    </w:p>
    <w:p w:rsidR="00282739" w:rsidRDefault="00282739" w:rsidP="00282739">
      <w:pPr>
        <w:pStyle w:val="Heading3"/>
        <w:ind w:right="-1"/>
      </w:pPr>
      <w:r w:rsidRPr="005C2FCF">
        <w:br w:type="page"/>
      </w:r>
    </w:p>
    <w:p w:rsidR="00282739" w:rsidRPr="005C2FCF" w:rsidRDefault="00282739" w:rsidP="00282739">
      <w:pPr>
        <w:pStyle w:val="Heading3"/>
        <w:ind w:right="-1"/>
      </w:pPr>
      <w:r w:rsidRPr="005C2FCF">
        <w:lastRenderedPageBreak/>
        <w:t>Publisher</w:t>
      </w:r>
      <w:r>
        <w:t>’</w:t>
      </w:r>
      <w:r w:rsidRPr="005C2FCF">
        <w:t>s note</w:t>
      </w:r>
    </w:p>
    <w:p w:rsidR="00282739" w:rsidRDefault="00282739" w:rsidP="00282739">
      <w:pPr>
        <w:pStyle w:val="Imprint"/>
        <w:ind w:right="-1"/>
      </w:pPr>
      <w:r>
        <w:t>To find other material of interest, search VOCED (the UNESCO/NCVER international database &lt;</w:t>
      </w:r>
      <w:hyperlink r:id="rId10" w:history="1">
        <w:r>
          <w:t>http://www.voced.edu.au</w:t>
        </w:r>
      </w:hyperlink>
      <w:r>
        <w:t>&gt;) using the following keywords: access to education and training; higher education; outcomes of education and training; participation; secondary education; students; university; VET in Schools; vocational education and training.</w:t>
      </w:r>
    </w:p>
    <w:p w:rsidR="00282739" w:rsidRDefault="00282739" w:rsidP="00282739">
      <w:pPr>
        <w:pStyle w:val="Imprint"/>
        <w:rPr>
          <w:sz w:val="19"/>
          <w:szCs w:val="19"/>
        </w:rPr>
      </w:pPr>
    </w:p>
    <w:p w:rsidR="00282739" w:rsidRPr="00E236D0" w:rsidRDefault="00282739" w:rsidP="00282739">
      <w:pPr>
        <w:pStyle w:val="Imprint"/>
        <w:rPr>
          <w:b/>
          <w:sz w:val="19"/>
          <w:szCs w:val="19"/>
        </w:rPr>
      </w:pPr>
    </w:p>
    <w:p w:rsidR="00282739" w:rsidRPr="00C77DC6" w:rsidRDefault="00282739" w:rsidP="00282739">
      <w:pPr>
        <w:pStyle w:val="Abouttheresearch"/>
      </w:pPr>
      <w:r>
        <w:rPr>
          <w:b/>
          <w:noProof/>
          <w:sz w:val="19"/>
          <w:szCs w:val="19"/>
          <w:lang w:eastAsia="en-AU"/>
        </w:rPr>
        <mc:AlternateContent>
          <mc:Choice Requires="wps">
            <w:drawing>
              <wp:anchor distT="0" distB="0" distL="114300" distR="114300" simplePos="0" relativeHeight="251663360" behindDoc="1" locked="0" layoutInCell="1" allowOverlap="1" wp14:anchorId="5997B9E0" wp14:editId="2CC2B139">
                <wp:simplePos x="0" y="0"/>
                <wp:positionH relativeFrom="column">
                  <wp:posOffset>5715</wp:posOffset>
                </wp:positionH>
                <wp:positionV relativeFrom="paragraph">
                  <wp:posOffset>1202690</wp:posOffset>
                </wp:positionV>
                <wp:extent cx="4975225" cy="5791200"/>
                <wp:effectExtent l="0" t="0" r="15875" b="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225" cy="579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739" w:rsidRPr="00A021FC" w:rsidRDefault="00282739" w:rsidP="00282739">
                            <w:pPr>
                              <w:pStyle w:val="Imprint"/>
                              <w:ind w:right="228"/>
                              <w:rPr>
                                <w:b/>
                              </w:rPr>
                            </w:pPr>
                            <w:r w:rsidRPr="00A021FC">
                              <w:rPr>
                                <w:b/>
                              </w:rPr>
                              <w:t xml:space="preserve">© Commonwealth of Australia, </w:t>
                            </w:r>
                            <w:r>
                              <w:rPr>
                                <w:b/>
                              </w:rPr>
                              <w:t>2014</w:t>
                            </w:r>
                          </w:p>
                          <w:p w:rsidR="00282739" w:rsidRDefault="00282739" w:rsidP="00282739">
                            <w:pPr>
                              <w:pStyle w:val="Imprint"/>
                              <w:ind w:right="228"/>
                              <w:rPr>
                                <w:sz w:val="20"/>
                              </w:rPr>
                            </w:pPr>
                            <w:r>
                              <w:rPr>
                                <w:noProof/>
                                <w:sz w:val="20"/>
                                <w:lang w:eastAsia="en-AU"/>
                              </w:rPr>
                              <w:drawing>
                                <wp:inline distT="0" distB="0" distL="0" distR="0" wp14:anchorId="2CE64C83" wp14:editId="1A120719">
                                  <wp:extent cx="847725" cy="304800"/>
                                  <wp:effectExtent l="0" t="0" r="9525" b="0"/>
                                  <wp:docPr id="20" name="Picture 20" descr="Description: 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pub_prod\PublicationComponents\logos\Creativecommons\CC BY logo.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inline>
                              </w:drawing>
                            </w:r>
                          </w:p>
                          <w:p w:rsidR="00282739" w:rsidRPr="00A021FC" w:rsidRDefault="00282739" w:rsidP="00282739">
                            <w:pPr>
                              <w:pStyle w:val="Imprint"/>
                              <w:ind w:right="228"/>
                            </w:pPr>
                            <w:r w:rsidRPr="00A021FC">
                              <w:t>With the exception of the Commonwealth Coat of Arms, the Department</w:t>
                            </w:r>
                            <w:r>
                              <w:t>’</w:t>
                            </w:r>
                            <w:r w:rsidRPr="00A021FC">
                              <w:t xml:space="preserve">s logo, any material protected by a trade mark and where otherwise noted all material presented in this document is provided under a Creative Commons Attribution 3.0 Australia &lt;http://creativecommons.org/licenses/by/3.0/au&gt; licence. </w:t>
                            </w:r>
                          </w:p>
                          <w:p w:rsidR="00282739" w:rsidRPr="00A021FC" w:rsidRDefault="00282739" w:rsidP="00282739">
                            <w:pPr>
                              <w:pStyle w:val="Imprint"/>
                              <w:spacing w:before="80"/>
                              <w:ind w:right="227"/>
                            </w:pPr>
                            <w:r w:rsidRPr="00A021FC">
                              <w:t>The details of the relevant licence conditions are available on the Creative Commons website (accessible</w:t>
                            </w:r>
                            <w:r>
                              <w:t> </w:t>
                            </w:r>
                            <w:r w:rsidRPr="00A021FC">
                              <w:t>using the links provided) as is the full legal code for the CC BY 3.0 AU licence &lt;http://creativecommons.org/licenses/by/3.0/legalcode&gt;.</w:t>
                            </w:r>
                          </w:p>
                          <w:p w:rsidR="00282739" w:rsidRPr="00A021FC" w:rsidRDefault="00282739" w:rsidP="00282739">
                            <w:pPr>
                              <w:pStyle w:val="Imprint"/>
                              <w:spacing w:before="80"/>
                              <w:ind w:right="227"/>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282739" w:rsidRPr="00A021FC" w:rsidRDefault="00282739" w:rsidP="00282739">
                            <w:pPr>
                              <w:pStyle w:val="Imprint"/>
                            </w:pPr>
                            <w:r w:rsidRPr="00A021FC">
                              <w:t xml:space="preserve">This document should be attributed as </w:t>
                            </w:r>
                            <w:r>
                              <w:t>Polidano, C, Tabasso, D &amp; Zhang, R 2014</w:t>
                            </w:r>
                            <w:r w:rsidRPr="002B67A0">
                              <w:t xml:space="preserve">, </w:t>
                            </w:r>
                            <w:r>
                              <w:rPr>
                                <w:i/>
                              </w:rPr>
                              <w:t>Does VET in Schools help</w:t>
                            </w:r>
                            <w:r>
                              <w:rPr>
                                <w:i/>
                              </w:rPr>
                              <w:br/>
                              <w:t xml:space="preserve"> or hinder access to higher education in Victoria?</w:t>
                            </w:r>
                            <w:r>
                              <w:t xml:space="preserve">, </w:t>
                            </w:r>
                            <w:r w:rsidRPr="00A021FC">
                              <w:t>NCVER, Adelaide.</w:t>
                            </w:r>
                          </w:p>
                          <w:p w:rsidR="00282739" w:rsidRDefault="00282739" w:rsidP="00282739">
                            <w:pPr>
                              <w:pStyle w:val="Imprint"/>
                              <w:ind w:right="228"/>
                              <w:rPr>
                                <w:smallCaps/>
                                <w:color w:val="000000"/>
                              </w:rPr>
                            </w:pPr>
                          </w:p>
                          <w:p w:rsidR="00282739" w:rsidRPr="00EC29E3" w:rsidRDefault="00282739" w:rsidP="00282739">
                            <w:pPr>
                              <w:pStyle w:val="Imprint"/>
                              <w:ind w:right="228"/>
                              <w:rPr>
                                <w:smallCaps/>
                                <w:color w:val="000000"/>
                              </w:rPr>
                            </w:pPr>
                            <w:r>
                              <w:rPr>
                                <w:smallCaps/>
                                <w:color w:val="000000"/>
                              </w:rPr>
                              <w:t>COVER IMAGE: GETTY IMAGES/THINKSTOCK</w:t>
                            </w:r>
                          </w:p>
                          <w:p w:rsidR="00282739" w:rsidRDefault="00282739" w:rsidP="00282739">
                            <w:pPr>
                              <w:pStyle w:val="Imprint"/>
                              <w:ind w:right="228"/>
                              <w:rPr>
                                <w:color w:val="000000"/>
                              </w:rPr>
                            </w:pPr>
                            <w:r w:rsidRPr="005C2FCF">
                              <w:rPr>
                                <w:color w:val="000000"/>
                              </w:rPr>
                              <w:t>ISBN</w:t>
                            </w:r>
                            <w:r>
                              <w:rPr>
                                <w:color w:val="000000"/>
                              </w:rPr>
                              <w:tab/>
                            </w:r>
                            <w:r w:rsidRPr="008F34AB">
                              <w:rPr>
                                <w:color w:val="000000"/>
                              </w:rPr>
                              <w:t>978 1 925173 09 3</w:t>
                            </w:r>
                            <w:r w:rsidRPr="005C2FCF">
                              <w:rPr>
                                <w:color w:val="000000"/>
                              </w:rPr>
                              <w:tab/>
                            </w:r>
                          </w:p>
                          <w:p w:rsidR="00282739" w:rsidRPr="005C2FCF" w:rsidRDefault="00282739" w:rsidP="00282739">
                            <w:pPr>
                              <w:pStyle w:val="Imprint"/>
                              <w:ind w:right="228"/>
                              <w:rPr>
                                <w:color w:val="000000"/>
                              </w:rPr>
                            </w:pPr>
                            <w:r w:rsidRPr="005C2FCF">
                              <w:rPr>
                                <w:color w:val="000000"/>
                              </w:rPr>
                              <w:t>TD/TNC</w:t>
                            </w:r>
                            <w:r w:rsidRPr="005C2FCF">
                              <w:rPr>
                                <w:color w:val="000000"/>
                              </w:rPr>
                              <w:tab/>
                            </w:r>
                            <w:r w:rsidRPr="008F34AB">
                              <w:rPr>
                                <w:color w:val="000000"/>
                              </w:rPr>
                              <w:t>118.13</w:t>
                            </w:r>
                          </w:p>
                          <w:p w:rsidR="00282739" w:rsidRPr="005C53F0" w:rsidRDefault="00282739" w:rsidP="00282739">
                            <w:pPr>
                              <w:pStyle w:val="Imprint"/>
                              <w:ind w:right="228"/>
                              <w:rPr>
                                <w:color w:val="000000"/>
                              </w:rPr>
                            </w:pPr>
                            <w:r w:rsidRPr="005C53F0">
                              <w:rPr>
                                <w:color w:val="000000"/>
                              </w:rPr>
                              <w:t>Published by NCVER, ABN 87 007 967 311</w:t>
                            </w:r>
                          </w:p>
                          <w:p w:rsidR="00282739" w:rsidRPr="005C53F0" w:rsidRDefault="00282739" w:rsidP="00282739">
                            <w:pPr>
                              <w:pStyle w:val="Imprint"/>
                              <w:spacing w:before="80"/>
                              <w:ind w:right="227"/>
                              <w:rPr>
                                <w:color w:val="000000"/>
                              </w:rPr>
                            </w:pPr>
                            <w:r w:rsidRPr="005C53F0">
                              <w:rPr>
                                <w:color w:val="000000"/>
                              </w:rPr>
                              <w:t>Level 11, 33 King William Street, Adelaide SA 5000</w:t>
                            </w:r>
                          </w:p>
                          <w:p w:rsidR="00282739" w:rsidRPr="005C53F0" w:rsidRDefault="00282739" w:rsidP="00282739">
                            <w:pPr>
                              <w:pStyle w:val="Imprint"/>
                              <w:spacing w:before="80"/>
                              <w:ind w:right="227"/>
                              <w:rPr>
                                <w:color w:val="000000"/>
                              </w:rPr>
                            </w:pPr>
                            <w:r w:rsidRPr="005C53F0">
                              <w:rPr>
                                <w:color w:val="000000"/>
                              </w:rPr>
                              <w:t>PO Box 8288 Station Arcade, Adelaide SA 5000, Australia</w:t>
                            </w:r>
                          </w:p>
                          <w:p w:rsidR="00282739" w:rsidRPr="005C53F0" w:rsidRDefault="00282739" w:rsidP="00282739">
                            <w:pPr>
                              <w:pStyle w:val="Imprint"/>
                              <w:spacing w:before="80"/>
                              <w:ind w:right="227"/>
                              <w:rPr>
                                <w:color w:val="000000"/>
                              </w:rPr>
                            </w:pPr>
                            <w:r w:rsidRPr="005C53F0">
                              <w:rPr>
                                <w:color w:val="000000"/>
                              </w:rPr>
                              <w:t>Phone +61 8 8230 8400     Fax +61 8 8212 3436</w:t>
                            </w:r>
                          </w:p>
                          <w:p w:rsidR="00282739" w:rsidRPr="005C53F0" w:rsidRDefault="00282739" w:rsidP="00282739">
                            <w:pPr>
                              <w:pStyle w:val="Imprint"/>
                              <w:spacing w:before="80"/>
                              <w:ind w:right="227"/>
                              <w:rPr>
                                <w:color w:val="000000"/>
                              </w:rPr>
                            </w:pPr>
                            <w:r w:rsidRPr="005C53F0">
                              <w:rPr>
                                <w:color w:val="000000"/>
                              </w:rPr>
                              <w:t>Email ncver@ncver.edu.au     Web &lt;http://www.ncver.edu.au&gt;  &lt;http://www.lsay.edu.au&gt;</w:t>
                            </w:r>
                          </w:p>
                          <w:p w:rsidR="00282739" w:rsidRPr="00541B94" w:rsidRDefault="00282739" w:rsidP="00282739">
                            <w:pPr>
                              <w:pStyle w:val="Imprint"/>
                              <w:tabs>
                                <w:tab w:val="left" w:pos="993"/>
                                <w:tab w:val="left" w:pos="4253"/>
                              </w:tabs>
                              <w:spacing w:before="80"/>
                              <w:ind w:right="227"/>
                              <w:rPr>
                                <w:color w:val="000000"/>
                              </w:rPr>
                            </w:pPr>
                            <w:r w:rsidRPr="005C53F0">
                              <w:rPr>
                                <w:color w:val="000000"/>
                              </w:rPr>
                              <w:t xml:space="preserve">Follow us: </w:t>
                            </w:r>
                            <w:r w:rsidRPr="005C53F0">
                              <w:rPr>
                                <w:color w:val="000000"/>
                              </w:rPr>
                              <w:tab/>
                            </w:r>
                            <w:r>
                              <w:rPr>
                                <w:noProof/>
                                <w:color w:val="000000"/>
                                <w:lang w:eastAsia="en-AU"/>
                              </w:rPr>
                              <w:drawing>
                                <wp:inline distT="0" distB="0" distL="0" distR="0" wp14:anchorId="40A704D3" wp14:editId="6270FC13">
                                  <wp:extent cx="123825" cy="142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color w:val="000000"/>
                              </w:rPr>
                              <w:t xml:space="preserve">   &lt;</w:t>
                            </w:r>
                            <w:hyperlink r:id="rId13" w:history="1">
                              <w:r w:rsidRPr="00422274">
                                <w:rPr>
                                  <w:rStyle w:val="Hyperlink"/>
                                  <w:szCs w:val="16"/>
                                </w:rPr>
                                <w:t>http://twitter.com/ncver</w:t>
                              </w:r>
                            </w:hyperlink>
                            <w:r w:rsidRPr="00422274">
                              <w:rPr>
                                <w:color w:val="000000"/>
                                <w:szCs w:val="16"/>
                              </w:rPr>
                              <w:t>&gt;</w:t>
                            </w:r>
                            <w:r>
                              <w:rPr>
                                <w:color w:val="000000"/>
                              </w:rPr>
                              <w:t xml:space="preserve">    </w:t>
                            </w:r>
                            <w:r>
                              <w:rPr>
                                <w:noProof/>
                                <w:color w:val="000000"/>
                                <w:lang w:eastAsia="en-AU"/>
                              </w:rPr>
                              <w:drawing>
                                <wp:inline distT="0" distB="0" distL="0" distR="0" wp14:anchorId="2383548C" wp14:editId="004F4B11">
                                  <wp:extent cx="133350" cy="1428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5C53F0">
                              <w:rPr>
                                <w:color w:val="000000"/>
                              </w:rPr>
                              <w:t>&lt;http://www.linkedin.com/company/ncver&gt;</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45pt;margin-top:94.7pt;width:391.75pt;height:4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" filled="f" stroked="f">
                <v:textbox inset="0,,0">
                  <w:txbxContent>
                    <w:p w:rsidR="00282739" w:rsidRPr="00A021FC" w:rsidRDefault="00282739" w:rsidP="00282739">
                      <w:pPr>
                        <w:pStyle w:val="Imprint"/>
                        <w:ind w:right="228"/>
                        <w:rPr>
                          <w:b/>
                        </w:rPr>
                      </w:pPr>
                      <w:r w:rsidRPr="00A021FC">
                        <w:rPr>
                          <w:b/>
                        </w:rPr>
                        <w:t xml:space="preserve">© Commonwealth of Australia, </w:t>
                      </w:r>
                      <w:r>
                        <w:rPr>
                          <w:b/>
                        </w:rPr>
                        <w:t>2014</w:t>
                      </w:r>
                    </w:p>
                    <w:p w:rsidR="00282739" w:rsidRDefault="00282739" w:rsidP="00282739">
                      <w:pPr>
                        <w:pStyle w:val="Imprint"/>
                        <w:ind w:right="228"/>
                        <w:rPr>
                          <w:sz w:val="20"/>
                        </w:rPr>
                      </w:pPr>
                      <w:r>
                        <w:rPr>
                          <w:noProof/>
                          <w:sz w:val="20"/>
                          <w:lang w:eastAsia="en-AU"/>
                        </w:rPr>
                        <w:drawing>
                          <wp:inline distT="0" distB="0" distL="0" distR="0" wp14:anchorId="2CE64C83" wp14:editId="1A120719">
                            <wp:extent cx="847725" cy="304800"/>
                            <wp:effectExtent l="0" t="0" r="9525" b="0"/>
                            <wp:docPr id="20" name="Picture 20" descr="Description: 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pub_prod\PublicationComponents\logos\Creativecommons\CC BY logo.ep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inline>
                        </w:drawing>
                      </w:r>
                    </w:p>
                    <w:p w:rsidR="00282739" w:rsidRPr="00A021FC" w:rsidRDefault="00282739" w:rsidP="00282739">
                      <w:pPr>
                        <w:pStyle w:val="Imprint"/>
                        <w:ind w:right="228"/>
                      </w:pPr>
                      <w:r w:rsidRPr="00A021FC">
                        <w:t>With the exception of the Commonwealth Coat of Arms, the Department</w:t>
                      </w:r>
                      <w:r>
                        <w:t>’</w:t>
                      </w:r>
                      <w:r w:rsidRPr="00A021FC">
                        <w:t xml:space="preserve">s logo, any material protected by a trade mark and where otherwise noted all material presented in this document is provided under a Creative Commons Attribution 3.0 Australia &lt;http://creativecommons.org/licenses/by/3.0/au&gt; licence. </w:t>
                      </w:r>
                    </w:p>
                    <w:p w:rsidR="00282739" w:rsidRPr="00A021FC" w:rsidRDefault="00282739" w:rsidP="00282739">
                      <w:pPr>
                        <w:pStyle w:val="Imprint"/>
                        <w:spacing w:before="80"/>
                        <w:ind w:right="227"/>
                      </w:pPr>
                      <w:r w:rsidRPr="00A021FC">
                        <w:t>The details of the relevant licence conditions are available on the Creative Commons website (accessible</w:t>
                      </w:r>
                      <w:r>
                        <w:t> </w:t>
                      </w:r>
                      <w:r w:rsidRPr="00A021FC">
                        <w:t>using the links provided) as is the full legal code for the CC BY 3.0 AU licence &lt;http://creativecommons.org/licenses/by/3.0/legalcode&gt;.</w:t>
                      </w:r>
                    </w:p>
                    <w:p w:rsidR="00282739" w:rsidRPr="00A021FC" w:rsidRDefault="00282739" w:rsidP="00282739">
                      <w:pPr>
                        <w:pStyle w:val="Imprint"/>
                        <w:spacing w:before="80"/>
                        <w:ind w:right="227"/>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282739" w:rsidRPr="00A021FC" w:rsidRDefault="00282739" w:rsidP="00282739">
                      <w:pPr>
                        <w:pStyle w:val="Imprint"/>
                      </w:pPr>
                      <w:r w:rsidRPr="00A021FC">
                        <w:t xml:space="preserve">This document should be attributed as </w:t>
                      </w:r>
                      <w:r>
                        <w:t xml:space="preserve">Polidano, C, </w:t>
                      </w:r>
                      <w:proofErr w:type="spellStart"/>
                      <w:r>
                        <w:t>Tabasso</w:t>
                      </w:r>
                      <w:proofErr w:type="spellEnd"/>
                      <w:r>
                        <w:t>, D &amp; Zhang, R 2014</w:t>
                      </w:r>
                      <w:r w:rsidRPr="002B67A0">
                        <w:t xml:space="preserve">, </w:t>
                      </w:r>
                      <w:r>
                        <w:rPr>
                          <w:i/>
                        </w:rPr>
                        <w:t>Does VET in Schools help</w:t>
                      </w:r>
                      <w:r>
                        <w:rPr>
                          <w:i/>
                        </w:rPr>
                        <w:br/>
                        <w:t xml:space="preserve"> or hinder access to higher education in Victoria?</w:t>
                      </w:r>
                      <w:r>
                        <w:t xml:space="preserve">, </w:t>
                      </w:r>
                      <w:r w:rsidRPr="00A021FC">
                        <w:t>NCVER, Adelaide.</w:t>
                      </w:r>
                    </w:p>
                    <w:p w:rsidR="00282739" w:rsidRDefault="00282739" w:rsidP="00282739">
                      <w:pPr>
                        <w:pStyle w:val="Imprint"/>
                        <w:ind w:right="228"/>
                        <w:rPr>
                          <w:smallCaps/>
                          <w:color w:val="000000"/>
                        </w:rPr>
                      </w:pPr>
                    </w:p>
                    <w:p w:rsidR="00282739" w:rsidRPr="00EC29E3" w:rsidRDefault="00282739" w:rsidP="00282739">
                      <w:pPr>
                        <w:pStyle w:val="Imprint"/>
                        <w:ind w:right="228"/>
                        <w:rPr>
                          <w:smallCaps/>
                          <w:color w:val="000000"/>
                        </w:rPr>
                      </w:pPr>
                      <w:r>
                        <w:rPr>
                          <w:smallCaps/>
                          <w:color w:val="000000"/>
                        </w:rPr>
                        <w:t>COVER IMAGE: GETTY IMAGES/THINKSTOCK</w:t>
                      </w:r>
                    </w:p>
                    <w:p w:rsidR="00282739" w:rsidRDefault="00282739" w:rsidP="00282739">
                      <w:pPr>
                        <w:pStyle w:val="Imprint"/>
                        <w:ind w:right="228"/>
                        <w:rPr>
                          <w:color w:val="000000"/>
                        </w:rPr>
                      </w:pPr>
                      <w:r w:rsidRPr="005C2FCF">
                        <w:rPr>
                          <w:color w:val="000000"/>
                        </w:rPr>
                        <w:t>ISBN</w:t>
                      </w:r>
                      <w:r>
                        <w:rPr>
                          <w:color w:val="000000"/>
                        </w:rPr>
                        <w:tab/>
                      </w:r>
                      <w:r w:rsidRPr="008F34AB">
                        <w:rPr>
                          <w:color w:val="000000"/>
                        </w:rPr>
                        <w:t>978 1 925173 09 3</w:t>
                      </w:r>
                      <w:r w:rsidRPr="005C2FCF">
                        <w:rPr>
                          <w:color w:val="000000"/>
                        </w:rPr>
                        <w:tab/>
                      </w:r>
                    </w:p>
                    <w:p w:rsidR="00282739" w:rsidRPr="005C2FCF" w:rsidRDefault="00282739" w:rsidP="00282739">
                      <w:pPr>
                        <w:pStyle w:val="Imprint"/>
                        <w:ind w:right="228"/>
                        <w:rPr>
                          <w:color w:val="000000"/>
                        </w:rPr>
                      </w:pPr>
                      <w:r w:rsidRPr="005C2FCF">
                        <w:rPr>
                          <w:color w:val="000000"/>
                        </w:rPr>
                        <w:t>TD/TNC</w:t>
                      </w:r>
                      <w:r w:rsidRPr="005C2FCF">
                        <w:rPr>
                          <w:color w:val="000000"/>
                        </w:rPr>
                        <w:tab/>
                      </w:r>
                      <w:r w:rsidRPr="008F34AB">
                        <w:rPr>
                          <w:color w:val="000000"/>
                        </w:rPr>
                        <w:t>118.13</w:t>
                      </w:r>
                    </w:p>
                    <w:p w:rsidR="00282739" w:rsidRPr="005C53F0" w:rsidRDefault="00282739" w:rsidP="00282739">
                      <w:pPr>
                        <w:pStyle w:val="Imprint"/>
                        <w:ind w:right="228"/>
                        <w:rPr>
                          <w:color w:val="000000"/>
                        </w:rPr>
                      </w:pPr>
                      <w:r w:rsidRPr="005C53F0">
                        <w:rPr>
                          <w:color w:val="000000"/>
                        </w:rPr>
                        <w:t>Published by NCVER, ABN 87 007 967 311</w:t>
                      </w:r>
                    </w:p>
                    <w:p w:rsidR="00282739" w:rsidRPr="005C53F0" w:rsidRDefault="00282739" w:rsidP="00282739">
                      <w:pPr>
                        <w:pStyle w:val="Imprint"/>
                        <w:spacing w:before="80"/>
                        <w:ind w:right="227"/>
                        <w:rPr>
                          <w:color w:val="000000"/>
                        </w:rPr>
                      </w:pPr>
                      <w:r w:rsidRPr="005C53F0">
                        <w:rPr>
                          <w:color w:val="000000"/>
                        </w:rPr>
                        <w:t>Level 11, 33 King William Street, Adelaide SA 5000</w:t>
                      </w:r>
                    </w:p>
                    <w:p w:rsidR="00282739" w:rsidRPr="005C53F0" w:rsidRDefault="00282739" w:rsidP="00282739">
                      <w:pPr>
                        <w:pStyle w:val="Imprint"/>
                        <w:spacing w:before="80"/>
                        <w:ind w:right="227"/>
                        <w:rPr>
                          <w:color w:val="000000"/>
                        </w:rPr>
                      </w:pPr>
                      <w:r w:rsidRPr="005C53F0">
                        <w:rPr>
                          <w:color w:val="000000"/>
                        </w:rPr>
                        <w:t>PO Box 8288 Station Arcade, Adelaide SA 5000, Australia</w:t>
                      </w:r>
                    </w:p>
                    <w:p w:rsidR="00282739" w:rsidRPr="005C53F0" w:rsidRDefault="00282739" w:rsidP="00282739">
                      <w:pPr>
                        <w:pStyle w:val="Imprint"/>
                        <w:spacing w:before="80"/>
                        <w:ind w:right="227"/>
                        <w:rPr>
                          <w:color w:val="000000"/>
                        </w:rPr>
                      </w:pPr>
                      <w:r w:rsidRPr="005C53F0">
                        <w:rPr>
                          <w:color w:val="000000"/>
                        </w:rPr>
                        <w:t>Phone +61 8 8230 8400     Fax +61 8 8212 3436</w:t>
                      </w:r>
                    </w:p>
                    <w:p w:rsidR="00282739" w:rsidRPr="005C53F0" w:rsidRDefault="00282739" w:rsidP="00282739">
                      <w:pPr>
                        <w:pStyle w:val="Imprint"/>
                        <w:spacing w:before="80"/>
                        <w:ind w:right="227"/>
                        <w:rPr>
                          <w:color w:val="000000"/>
                        </w:rPr>
                      </w:pPr>
                      <w:r w:rsidRPr="005C53F0">
                        <w:rPr>
                          <w:color w:val="000000"/>
                        </w:rPr>
                        <w:t>Email ncver@ncver.edu.au     Web &lt;http://www.ncver.edu.au</w:t>
                      </w:r>
                      <w:proofErr w:type="gramStart"/>
                      <w:r w:rsidRPr="005C53F0">
                        <w:rPr>
                          <w:color w:val="000000"/>
                        </w:rPr>
                        <w:t>&gt;  &lt;</w:t>
                      </w:r>
                      <w:proofErr w:type="gramEnd"/>
                      <w:r w:rsidRPr="005C53F0">
                        <w:rPr>
                          <w:color w:val="000000"/>
                        </w:rPr>
                        <w:t>http://www.lsay.edu.au&gt;</w:t>
                      </w:r>
                    </w:p>
                    <w:p w:rsidR="00282739" w:rsidRPr="00541B94" w:rsidRDefault="00282739" w:rsidP="00282739">
                      <w:pPr>
                        <w:pStyle w:val="Imprint"/>
                        <w:tabs>
                          <w:tab w:val="left" w:pos="993"/>
                          <w:tab w:val="left" w:pos="4253"/>
                        </w:tabs>
                        <w:spacing w:before="80"/>
                        <w:ind w:right="227"/>
                        <w:rPr>
                          <w:color w:val="000000"/>
                        </w:rPr>
                      </w:pPr>
                      <w:r w:rsidRPr="005C53F0">
                        <w:rPr>
                          <w:color w:val="000000"/>
                        </w:rPr>
                        <w:t xml:space="preserve">Follow us: </w:t>
                      </w:r>
                      <w:r w:rsidRPr="005C53F0">
                        <w:rPr>
                          <w:color w:val="000000"/>
                        </w:rPr>
                        <w:tab/>
                      </w:r>
                      <w:r>
                        <w:rPr>
                          <w:noProof/>
                          <w:color w:val="000000"/>
                          <w:lang w:eastAsia="en-AU"/>
                        </w:rPr>
                        <w:drawing>
                          <wp:inline distT="0" distB="0" distL="0" distR="0" wp14:anchorId="40A704D3" wp14:editId="6270FC13">
                            <wp:extent cx="123825" cy="142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color w:val="000000"/>
                        </w:rPr>
                        <w:t xml:space="preserve">   &lt;</w:t>
                      </w:r>
                      <w:hyperlink r:id="rId17" w:history="1">
                        <w:r w:rsidRPr="00422274">
                          <w:rPr>
                            <w:rStyle w:val="Hyperlink"/>
                            <w:szCs w:val="16"/>
                          </w:rPr>
                          <w:t>http://twitter.com/ncver</w:t>
                        </w:r>
                      </w:hyperlink>
                      <w:r w:rsidRPr="00422274">
                        <w:rPr>
                          <w:color w:val="000000"/>
                          <w:szCs w:val="16"/>
                        </w:rPr>
                        <w:t>&gt;</w:t>
                      </w:r>
                      <w:r>
                        <w:rPr>
                          <w:color w:val="000000"/>
                        </w:rPr>
                        <w:t xml:space="preserve">    </w:t>
                      </w:r>
                      <w:r>
                        <w:rPr>
                          <w:noProof/>
                          <w:color w:val="000000"/>
                          <w:lang w:eastAsia="en-AU"/>
                        </w:rPr>
                        <w:drawing>
                          <wp:inline distT="0" distB="0" distL="0" distR="0" wp14:anchorId="2383548C" wp14:editId="004F4B11">
                            <wp:extent cx="133350" cy="1428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5C53F0">
                        <w:rPr>
                          <w:color w:val="000000"/>
                        </w:rPr>
                        <w:t>&lt;http://www.linkedin.com/company/ncver&gt;</w:t>
                      </w:r>
                    </w:p>
                  </w:txbxContent>
                </v:textbox>
                <w10:wrap type="topAndBottom"/>
              </v:shape>
            </w:pict>
          </mc:Fallback>
        </mc:AlternateContent>
      </w:r>
      <w:r w:rsidRPr="005C2FCF">
        <w:br w:type="page"/>
      </w:r>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296423679"/>
      <w:bookmarkStart w:id="16" w:name="_Toc296497510"/>
      <w:r w:rsidRPr="005C2FCF">
        <w:lastRenderedPageBreak/>
        <w:t>About the research</w:t>
      </w:r>
      <w:bookmarkEnd w:id="4"/>
      <w:bookmarkEnd w:id="5"/>
      <w:bookmarkEnd w:id="6"/>
      <w:bookmarkEnd w:id="7"/>
      <w:bookmarkEnd w:id="8"/>
      <w:bookmarkEnd w:id="9"/>
      <w:bookmarkEnd w:id="10"/>
      <w:bookmarkEnd w:id="11"/>
      <w:bookmarkEnd w:id="12"/>
      <w:bookmarkEnd w:id="13"/>
      <w:bookmarkEnd w:id="14"/>
      <w:bookmarkEnd w:id="15"/>
      <w:bookmarkEnd w:id="16"/>
    </w:p>
    <w:p w:rsidR="00282739" w:rsidRDefault="00282739" w:rsidP="00282739">
      <w:pPr>
        <w:pStyle w:val="Abouttheresearchpubtitle"/>
      </w:pPr>
      <w:bookmarkStart w:id="17" w:name="_Toc296423680"/>
      <w:bookmarkStart w:id="18" w:name="_Toc296497511"/>
      <w:bookmarkStart w:id="19" w:name="_Toc98394877"/>
      <w:r>
        <w:t>Does scored VET in Schools help or hinder access to higher education in Victoria?</w:t>
      </w:r>
      <w:bookmarkEnd w:id="17"/>
      <w:bookmarkEnd w:id="18"/>
    </w:p>
    <w:p w:rsidR="00282739" w:rsidRPr="001B43CF" w:rsidRDefault="00282739" w:rsidP="00282739">
      <w:pPr>
        <w:pStyle w:val="Heading3"/>
      </w:pPr>
      <w:bookmarkStart w:id="20" w:name="_Toc296423681"/>
      <w:bookmarkStart w:id="21" w:name="_Toc296497512"/>
      <w:r>
        <w:t>Cain Polidano, Domenico Tabasso and</w:t>
      </w:r>
      <w:r w:rsidRPr="005C2FCF">
        <w:t xml:space="preserve"> </w:t>
      </w:r>
      <w:bookmarkEnd w:id="19"/>
      <w:bookmarkEnd w:id="20"/>
      <w:bookmarkEnd w:id="21"/>
      <w:r>
        <w:t>Rong Zhang, Melbourne Institute of Applied Economic and Social Research</w:t>
      </w:r>
    </w:p>
    <w:p w:rsidR="00282739" w:rsidRDefault="00282739" w:rsidP="00282739">
      <w:pPr>
        <w:pStyle w:val="Text"/>
      </w:pPr>
      <w:r>
        <w:t xml:space="preserve">The systematic introduction of vocational subjects to the secondary school curriculum in the 1990s — VET in Schools — was aimed at helping to retain less academically inclined students at school and to provide students with a broad range of post-secondary options and pathways. The early 2000s saw a broadening of the VET in Schools programs with the scoring of vocational subjects. This meant that particular vocational subjects could count towards both nationally recognised training and a university entrance score. The anticipated benefit of scored VET subjects was an improved status for vocational education and training (VET) in the secondary school curriculum and a further benefit was that it offered viable options to those students who were not entirely certain of which pathway to take — university or vocational training. </w:t>
      </w:r>
    </w:p>
    <w:p w:rsidR="00282739" w:rsidRDefault="00282739" w:rsidP="00282739">
      <w:pPr>
        <w:pStyle w:val="Text"/>
        <w:spacing w:before="120"/>
        <w:ind w:right="-284"/>
      </w:pPr>
      <w:r>
        <w:t>This study, which focuses on the experiences of Victorian secondary school students who completed ‘scored’ VET subjects — counting towards the Victorian Certificate of Education (VCE) — looks at whether taking these subjects affects their entry to university in terms of university entry score, receiving a university offer or receiving an offer in a preferred course. Victoria is the focus for two reasons: since the early 1990s, VET subjects have been highly integrated into the Victorian secondary school curriculum; and, secondly, Victoria was the first state to allow scores from some VET subjects to count fully towards a national vocational qualification, the Victorian Certificate of Education and a university entry score. In this study, those who take scored VET subjects represent fewer than 10% of all Year 12 completers in 2011.</w:t>
      </w:r>
    </w:p>
    <w:p w:rsidR="00282739" w:rsidRPr="003A50D0" w:rsidRDefault="00282739" w:rsidP="00282739">
      <w:pPr>
        <w:pStyle w:val="Keymessages"/>
        <w:spacing w:before="280"/>
      </w:pPr>
      <w:bookmarkStart w:id="22" w:name="_Toc98394878"/>
      <w:bookmarkStart w:id="23" w:name="_Toc296423682"/>
      <w:bookmarkStart w:id="24" w:name="_Toc296497513"/>
      <w:r w:rsidRPr="003A50D0">
        <w:t>Key messages</w:t>
      </w:r>
      <w:bookmarkEnd w:id="22"/>
      <w:bookmarkEnd w:id="23"/>
      <w:bookmarkEnd w:id="24"/>
    </w:p>
    <w:p w:rsidR="00282739" w:rsidRPr="003A50D0" w:rsidRDefault="00282739" w:rsidP="00282739">
      <w:pPr>
        <w:pStyle w:val="Dotpoint1"/>
      </w:pPr>
      <w:r w:rsidRPr="003A50D0">
        <w:t>F</w:t>
      </w:r>
      <w:r w:rsidRPr="003A50D0">
        <w:rPr>
          <w:lang w:val="en-US"/>
        </w:rPr>
        <w:t xml:space="preserve">or </w:t>
      </w:r>
      <w:r>
        <w:rPr>
          <w:lang w:val="en-US"/>
        </w:rPr>
        <w:t xml:space="preserve">Victorian </w:t>
      </w:r>
      <w:r w:rsidRPr="003A50D0">
        <w:rPr>
          <w:lang w:val="en-US"/>
        </w:rPr>
        <w:t>students who intend to go to university and who complete a scored VET subjec</w:t>
      </w:r>
      <w:r>
        <w:rPr>
          <w:lang w:val="en-US"/>
        </w:rPr>
        <w:t>t this research indicates that there is a sizeable penalty. The a</w:t>
      </w:r>
      <w:r w:rsidRPr="003A50D0">
        <w:rPr>
          <w:lang w:val="en-US"/>
        </w:rPr>
        <w:t xml:space="preserve">verage university entry scores for these </w:t>
      </w:r>
      <w:r w:rsidRPr="00C3232D">
        <w:rPr>
          <w:spacing w:val="-2"/>
          <w:lang w:val="en-US"/>
        </w:rPr>
        <w:t xml:space="preserve">students are </w:t>
      </w:r>
      <w:r>
        <w:rPr>
          <w:spacing w:val="-2"/>
          <w:lang w:val="en-US"/>
        </w:rPr>
        <w:t>estimated</w:t>
      </w:r>
      <w:r w:rsidRPr="00C3232D">
        <w:rPr>
          <w:spacing w:val="-2"/>
          <w:lang w:val="en-US"/>
        </w:rPr>
        <w:t xml:space="preserve"> to be six points lower than they would have been had a general subject been chosen, representing around a 5% reduction in university entry scores, on average.</w:t>
      </w:r>
    </w:p>
    <w:p w:rsidR="00282739" w:rsidRDefault="00282739" w:rsidP="00282739">
      <w:pPr>
        <w:pStyle w:val="Dotpoint1"/>
        <w:spacing w:before="100"/>
      </w:pPr>
      <w:r>
        <w:t xml:space="preserve">This reduction in university entry scores negatively impacts upon the chances of receiving a university offer, from 79% to 67%, on average. </w:t>
      </w:r>
    </w:p>
    <w:p w:rsidR="00282739" w:rsidRDefault="00282739" w:rsidP="00282739">
      <w:pPr>
        <w:pStyle w:val="Dotpoint1"/>
        <w:spacing w:before="100"/>
      </w:pPr>
      <w:r>
        <w:t>The largest negative impacts on average university entry scores are found with engineering and technology; community, outdoor and recreation; and hospitality subjects.</w:t>
      </w:r>
    </w:p>
    <w:p w:rsidR="00282739" w:rsidRDefault="00282739" w:rsidP="00282739">
      <w:pPr>
        <w:pStyle w:val="Dotpoint1"/>
        <w:spacing w:before="100"/>
      </w:pPr>
      <w:r>
        <w:t>The authors suggest that the down-scaling of scored VET subjects may partly explain this impact and they offer an alternative scaling methodology for consideration.</w:t>
      </w:r>
    </w:p>
    <w:p w:rsidR="00282739" w:rsidRDefault="00282739" w:rsidP="00282739">
      <w:pPr>
        <w:pStyle w:val="Text"/>
        <w:spacing w:before="120"/>
        <w:ind w:right="0"/>
      </w:pPr>
      <w:r>
        <w:t xml:space="preserve">This is an important study as it is the first to attempt to </w:t>
      </w:r>
      <w:r w:rsidR="000E6CC0">
        <w:t>examine any</w:t>
      </w:r>
      <w:r>
        <w:t xml:space="preserve"> impacts on university access of taking a scored VET subject </w:t>
      </w:r>
      <w:r w:rsidR="000E6CC0">
        <w:t>(</w:t>
      </w:r>
      <w:r>
        <w:t>in Victoria</w:t>
      </w:r>
      <w:r w:rsidR="000E6CC0">
        <w:t>)</w:t>
      </w:r>
      <w:bookmarkStart w:id="25" w:name="_GoBack"/>
      <w:bookmarkEnd w:id="25"/>
      <w:r>
        <w:t xml:space="preserve">. In doing so however it highlights an </w:t>
      </w:r>
      <w:r w:rsidR="000E6CC0">
        <w:t>apparent</w:t>
      </w:r>
      <w:r>
        <w:t xml:space="preserve"> adverse outcome of a pathway originally intended to offer students the best opportunities to pursue the post-school </w:t>
      </w:r>
      <w:r w:rsidR="000E6CC0">
        <w:t>studies</w:t>
      </w:r>
      <w:r>
        <w:t xml:space="preserve"> most suited to their ability and motivation.</w:t>
      </w:r>
    </w:p>
    <w:p w:rsidR="00282739" w:rsidRDefault="00282739" w:rsidP="00282739">
      <w:pPr>
        <w:pStyle w:val="Text"/>
        <w:spacing w:before="360"/>
        <w:ind w:right="0"/>
      </w:pPr>
      <w:r>
        <w:t>Dr Craig Fowler</w:t>
      </w:r>
      <w:r w:rsidRPr="005C2FCF">
        <w:br/>
        <w:t>Managing Director, NCVER</w:t>
      </w:r>
    </w:p>
    <w:p w:rsidR="00282739" w:rsidRDefault="00282739" w:rsidP="00282739">
      <w:pPr>
        <w:pStyle w:val="Heading1"/>
      </w:pPr>
      <w:r>
        <w:br w:type="page"/>
      </w:r>
      <w:bookmarkStart w:id="26" w:name="_Toc402794945"/>
      <w:r>
        <w:lastRenderedPageBreak/>
        <w:t>Acknowledgments</w:t>
      </w:r>
      <w:bookmarkEnd w:id="26"/>
    </w:p>
    <w:p w:rsidR="00282739" w:rsidRDefault="00282739" w:rsidP="00282739">
      <w:pPr>
        <w:pStyle w:val="Text"/>
      </w:pPr>
      <w:r>
        <w:t xml:space="preserve">The authors would like to thank staff from the Department of Education and Early Childhood Development; the Victorian Curriculum and Assessment Authority, and the Victorian Tertiary Admissions Centre for making the data available for this project and for providing very helpful feedback on an earlier draft of this report. </w:t>
      </w:r>
    </w:p>
    <w:p w:rsidR="00282739" w:rsidRDefault="00282739" w:rsidP="00282739">
      <w:pPr>
        <w:pStyle w:val="Text"/>
      </w:pPr>
    </w:p>
    <w:p w:rsidR="00282739" w:rsidRDefault="00282739" w:rsidP="00282739">
      <w:pPr>
        <w:pStyle w:val="Contents"/>
      </w:pPr>
    </w:p>
    <w:p w:rsidR="00282739" w:rsidRDefault="00282739" w:rsidP="00282739">
      <w:pPr>
        <w:pStyle w:val="Contents"/>
        <w:sectPr w:rsidR="00282739" w:rsidSect="00C3232D">
          <w:pgSz w:w="11907" w:h="16840" w:code="9"/>
          <w:pgMar w:top="1276" w:right="1701" w:bottom="567" w:left="1418" w:header="709" w:footer="556" w:gutter="0"/>
          <w:cols w:space="708"/>
          <w:docGrid w:linePitch="360"/>
        </w:sectPr>
      </w:pPr>
    </w:p>
    <w:p w:rsidR="00282739" w:rsidRPr="00DC5F5C" w:rsidRDefault="00282739" w:rsidP="00282739">
      <w:pPr>
        <w:pStyle w:val="Contents"/>
      </w:pPr>
      <w:bookmarkStart w:id="27" w:name="_Toc98394880"/>
      <w:bookmarkStart w:id="28" w:name="_Toc296423683"/>
      <w:bookmarkStart w:id="29" w:name="_Toc296497514"/>
      <w:r w:rsidRPr="00DC5F5C">
        <w:lastRenderedPageBreak/>
        <w:t>Contents</w:t>
      </w:r>
      <w:bookmarkEnd w:id="27"/>
      <w:bookmarkEnd w:id="28"/>
      <w:bookmarkEnd w:id="29"/>
    </w:p>
    <w:p w:rsidR="00282739" w:rsidRDefault="00282739" w:rsidP="00282739">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Pr="009775C7">
        <w:rPr>
          <w:rFonts w:ascii="Avant Garde" w:hAnsi="Avant Garde"/>
        </w:rPr>
        <w:instrText xml:space="preserve"> TOC \o "1-2" </w:instrText>
      </w:r>
      <w:r w:rsidRPr="009775C7">
        <w:rPr>
          <w:rFonts w:ascii="Avant Garde" w:hAnsi="Avant Garde"/>
        </w:rPr>
        <w:fldChar w:fldCharType="separate"/>
      </w:r>
      <w:r>
        <w:t>Tables</w:t>
      </w:r>
      <w:r>
        <w:tab/>
      </w:r>
      <w:r>
        <w:fldChar w:fldCharType="begin"/>
      </w:r>
      <w:r>
        <w:instrText xml:space="preserve"> PAGEREF _Toc402794946 \h </w:instrText>
      </w:r>
      <w:r>
        <w:fldChar w:fldCharType="separate"/>
      </w:r>
      <w:r>
        <w:t>6</w:t>
      </w:r>
      <w:r>
        <w:fldChar w:fldCharType="end"/>
      </w:r>
    </w:p>
    <w:p w:rsidR="00282739" w:rsidRDefault="00282739" w:rsidP="00282739">
      <w:pPr>
        <w:pStyle w:val="TOC1"/>
        <w:rPr>
          <w:rFonts w:asciiTheme="minorHAnsi" w:eastAsiaTheme="minorEastAsia" w:hAnsiTheme="minorHAnsi" w:cstheme="minorBidi"/>
          <w:color w:val="auto"/>
          <w:sz w:val="22"/>
          <w:szCs w:val="22"/>
          <w:lang w:eastAsia="en-AU"/>
        </w:rPr>
      </w:pPr>
      <w:r>
        <w:t>Executive summary</w:t>
      </w:r>
      <w:r>
        <w:tab/>
      </w:r>
      <w:r>
        <w:fldChar w:fldCharType="begin"/>
      </w:r>
      <w:r>
        <w:instrText xml:space="preserve"> PAGEREF _Toc402794949 \h </w:instrText>
      </w:r>
      <w:r>
        <w:fldChar w:fldCharType="separate"/>
      </w:r>
      <w:r>
        <w:t>8</w:t>
      </w:r>
      <w:r>
        <w:fldChar w:fldCharType="end"/>
      </w:r>
    </w:p>
    <w:p w:rsidR="00282739" w:rsidRDefault="00282739" w:rsidP="00282739">
      <w:pPr>
        <w:pStyle w:val="TOC1"/>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_Toc402794952 \h </w:instrText>
      </w:r>
      <w:r>
        <w:fldChar w:fldCharType="separate"/>
      </w:r>
      <w:r>
        <w:t>12</w:t>
      </w:r>
      <w:r>
        <w:fldChar w:fldCharType="end"/>
      </w:r>
    </w:p>
    <w:p w:rsidR="00282739" w:rsidRDefault="00282739" w:rsidP="00282739">
      <w:pPr>
        <w:pStyle w:val="TOC1"/>
        <w:rPr>
          <w:rFonts w:asciiTheme="minorHAnsi" w:eastAsiaTheme="minorEastAsia" w:hAnsiTheme="minorHAnsi" w:cstheme="minorBidi"/>
          <w:color w:val="auto"/>
          <w:sz w:val="22"/>
          <w:szCs w:val="22"/>
          <w:lang w:eastAsia="en-AU"/>
        </w:rPr>
      </w:pPr>
      <w:r>
        <w:t>Integrating VET into the academic curriculum</w:t>
      </w:r>
      <w:r>
        <w:tab/>
      </w:r>
      <w:r>
        <w:fldChar w:fldCharType="begin"/>
      </w:r>
      <w:r>
        <w:instrText xml:space="preserve"> PAGEREF _Toc402794953 \h </w:instrText>
      </w:r>
      <w:r>
        <w:fldChar w:fldCharType="separate"/>
      </w:r>
      <w:r>
        <w:t>15</w:t>
      </w:r>
      <w:r>
        <w:fldChar w:fldCharType="end"/>
      </w:r>
    </w:p>
    <w:p w:rsidR="00282739" w:rsidRDefault="00282739" w:rsidP="00282739">
      <w:pPr>
        <w:pStyle w:val="TOC2"/>
        <w:rPr>
          <w:rFonts w:asciiTheme="minorHAnsi" w:eastAsiaTheme="minorEastAsia" w:hAnsiTheme="minorHAnsi" w:cstheme="minorBidi"/>
          <w:color w:val="auto"/>
          <w:sz w:val="22"/>
          <w:szCs w:val="22"/>
          <w:lang w:eastAsia="en-AU"/>
        </w:rPr>
      </w:pPr>
      <w:r>
        <w:t>VET in Schools in Victoria</w:t>
      </w:r>
      <w:r>
        <w:tab/>
      </w:r>
      <w:r>
        <w:fldChar w:fldCharType="begin"/>
      </w:r>
      <w:r>
        <w:instrText xml:space="preserve"> PAGEREF _Toc402794954 \h </w:instrText>
      </w:r>
      <w:r>
        <w:fldChar w:fldCharType="separate"/>
      </w:r>
      <w:r>
        <w:t>15</w:t>
      </w:r>
      <w:r>
        <w:fldChar w:fldCharType="end"/>
      </w:r>
    </w:p>
    <w:p w:rsidR="00282739" w:rsidRDefault="00282739" w:rsidP="00282739">
      <w:pPr>
        <w:pStyle w:val="TOC2"/>
        <w:rPr>
          <w:rFonts w:asciiTheme="minorHAnsi" w:eastAsiaTheme="minorEastAsia" w:hAnsiTheme="minorHAnsi" w:cstheme="minorBidi"/>
          <w:color w:val="auto"/>
          <w:sz w:val="22"/>
          <w:szCs w:val="22"/>
          <w:lang w:eastAsia="en-AU"/>
        </w:rPr>
      </w:pPr>
      <w:r>
        <w:t>Scoring VCE VET subjects</w:t>
      </w:r>
      <w:r>
        <w:tab/>
      </w:r>
      <w:r>
        <w:fldChar w:fldCharType="begin"/>
      </w:r>
      <w:r>
        <w:instrText xml:space="preserve"> PAGEREF _Toc402794955 \h </w:instrText>
      </w:r>
      <w:r>
        <w:fldChar w:fldCharType="separate"/>
      </w:r>
      <w:r>
        <w:t>17</w:t>
      </w:r>
      <w:r>
        <w:fldChar w:fldCharType="end"/>
      </w:r>
    </w:p>
    <w:p w:rsidR="00282739" w:rsidRDefault="00282739" w:rsidP="00282739">
      <w:pPr>
        <w:pStyle w:val="TOC1"/>
        <w:rPr>
          <w:rFonts w:asciiTheme="minorHAnsi" w:eastAsiaTheme="minorEastAsia" w:hAnsiTheme="minorHAnsi" w:cstheme="minorBidi"/>
          <w:color w:val="auto"/>
          <w:sz w:val="22"/>
          <w:szCs w:val="22"/>
          <w:lang w:eastAsia="en-AU"/>
        </w:rPr>
      </w:pPr>
      <w:r w:rsidRPr="004E4D22">
        <w:rPr>
          <w:lang w:val="en-GB"/>
        </w:rPr>
        <w:t>Data</w:t>
      </w:r>
      <w:r>
        <w:tab/>
      </w:r>
      <w:r>
        <w:fldChar w:fldCharType="begin"/>
      </w:r>
      <w:r>
        <w:instrText xml:space="preserve"> PAGEREF _Toc402794956 \h </w:instrText>
      </w:r>
      <w:r>
        <w:fldChar w:fldCharType="separate"/>
      </w:r>
      <w:r>
        <w:t>20</w:t>
      </w:r>
      <w:r>
        <w:fldChar w:fldCharType="end"/>
      </w:r>
    </w:p>
    <w:p w:rsidR="00282739" w:rsidRDefault="00282739" w:rsidP="00282739">
      <w:pPr>
        <w:pStyle w:val="TOC2"/>
        <w:rPr>
          <w:rFonts w:asciiTheme="minorHAnsi" w:eastAsiaTheme="minorEastAsia" w:hAnsiTheme="minorHAnsi" w:cstheme="minorBidi"/>
          <w:color w:val="auto"/>
          <w:sz w:val="22"/>
          <w:szCs w:val="22"/>
          <w:lang w:eastAsia="en-AU"/>
        </w:rPr>
      </w:pPr>
      <w:r>
        <w:t>Outcomes of interest</w:t>
      </w:r>
      <w:r>
        <w:tab/>
      </w:r>
      <w:r>
        <w:fldChar w:fldCharType="begin"/>
      </w:r>
      <w:r>
        <w:instrText xml:space="preserve"> PAGEREF _Toc402794957 \h </w:instrText>
      </w:r>
      <w:r>
        <w:fldChar w:fldCharType="separate"/>
      </w:r>
      <w:r>
        <w:t>21</w:t>
      </w:r>
      <w:r>
        <w:fldChar w:fldCharType="end"/>
      </w:r>
    </w:p>
    <w:p w:rsidR="00282739" w:rsidRDefault="00282739" w:rsidP="00282739">
      <w:pPr>
        <w:pStyle w:val="TOC2"/>
        <w:rPr>
          <w:rFonts w:asciiTheme="minorHAnsi" w:eastAsiaTheme="minorEastAsia" w:hAnsiTheme="minorHAnsi" w:cstheme="minorBidi"/>
          <w:color w:val="auto"/>
          <w:sz w:val="22"/>
          <w:szCs w:val="22"/>
          <w:lang w:eastAsia="en-AU"/>
        </w:rPr>
      </w:pPr>
      <w:r>
        <w:t>Descriptive statistics</w:t>
      </w:r>
      <w:r>
        <w:tab/>
      </w:r>
      <w:r>
        <w:fldChar w:fldCharType="begin"/>
      </w:r>
      <w:r>
        <w:instrText xml:space="preserve"> PAGEREF _Toc402794958 \h </w:instrText>
      </w:r>
      <w:r>
        <w:fldChar w:fldCharType="separate"/>
      </w:r>
      <w:r>
        <w:t>22</w:t>
      </w:r>
      <w:r>
        <w:fldChar w:fldCharType="end"/>
      </w:r>
    </w:p>
    <w:p w:rsidR="00282739" w:rsidRDefault="00282739" w:rsidP="00282739">
      <w:pPr>
        <w:pStyle w:val="TOC1"/>
        <w:rPr>
          <w:rFonts w:asciiTheme="minorHAnsi" w:eastAsiaTheme="minorEastAsia" w:hAnsiTheme="minorHAnsi" w:cstheme="minorBidi"/>
          <w:color w:val="auto"/>
          <w:sz w:val="22"/>
          <w:szCs w:val="22"/>
          <w:lang w:eastAsia="en-AU"/>
        </w:rPr>
      </w:pPr>
      <w:r>
        <w:t>Methodology</w:t>
      </w:r>
      <w:r>
        <w:tab/>
      </w:r>
      <w:r>
        <w:fldChar w:fldCharType="begin"/>
      </w:r>
      <w:r>
        <w:instrText xml:space="preserve"> PAGEREF _Toc402794959 \h </w:instrText>
      </w:r>
      <w:r>
        <w:fldChar w:fldCharType="separate"/>
      </w:r>
      <w:r>
        <w:t>26</w:t>
      </w:r>
      <w:r>
        <w:fldChar w:fldCharType="end"/>
      </w:r>
    </w:p>
    <w:p w:rsidR="00282739" w:rsidRDefault="00282739" w:rsidP="00282739">
      <w:pPr>
        <w:pStyle w:val="TOC2"/>
        <w:rPr>
          <w:rFonts w:asciiTheme="minorHAnsi" w:eastAsiaTheme="minorEastAsia" w:hAnsiTheme="minorHAnsi" w:cstheme="minorBidi"/>
          <w:color w:val="auto"/>
          <w:sz w:val="22"/>
          <w:szCs w:val="22"/>
          <w:lang w:eastAsia="en-AU"/>
        </w:rPr>
      </w:pPr>
      <w:r>
        <w:t>Propensity score matching methods used</w:t>
      </w:r>
      <w:r>
        <w:tab/>
      </w:r>
      <w:r>
        <w:fldChar w:fldCharType="begin"/>
      </w:r>
      <w:r>
        <w:instrText xml:space="preserve"> PAGEREF _Toc402794960 \h </w:instrText>
      </w:r>
      <w:r>
        <w:fldChar w:fldCharType="separate"/>
      </w:r>
      <w:r>
        <w:t>26</w:t>
      </w:r>
      <w:r>
        <w:fldChar w:fldCharType="end"/>
      </w:r>
    </w:p>
    <w:p w:rsidR="00282739" w:rsidRDefault="00282739" w:rsidP="00282739">
      <w:pPr>
        <w:pStyle w:val="TOC2"/>
        <w:rPr>
          <w:rFonts w:asciiTheme="minorHAnsi" w:eastAsiaTheme="minorEastAsia" w:hAnsiTheme="minorHAnsi" w:cstheme="minorBidi"/>
          <w:color w:val="auto"/>
          <w:sz w:val="22"/>
          <w:szCs w:val="22"/>
          <w:lang w:eastAsia="en-AU"/>
        </w:rPr>
      </w:pPr>
      <w:r>
        <w:t>Specification of the propensity score function</w:t>
      </w:r>
      <w:r>
        <w:tab/>
      </w:r>
      <w:r>
        <w:fldChar w:fldCharType="begin"/>
      </w:r>
      <w:r>
        <w:instrText xml:space="preserve"> PAGEREF _Toc402794961 \h </w:instrText>
      </w:r>
      <w:r>
        <w:fldChar w:fldCharType="separate"/>
      </w:r>
      <w:r>
        <w:t>27</w:t>
      </w:r>
      <w:r>
        <w:fldChar w:fldCharType="end"/>
      </w:r>
    </w:p>
    <w:p w:rsidR="00282739" w:rsidRDefault="00282739" w:rsidP="00282739">
      <w:pPr>
        <w:pStyle w:val="TOC1"/>
        <w:rPr>
          <w:rFonts w:asciiTheme="minorHAnsi" w:eastAsiaTheme="minorEastAsia" w:hAnsiTheme="minorHAnsi" w:cstheme="minorBidi"/>
          <w:color w:val="auto"/>
          <w:sz w:val="22"/>
          <w:szCs w:val="22"/>
          <w:lang w:eastAsia="en-AU"/>
        </w:rPr>
      </w:pPr>
      <w:r>
        <w:t>Results</w:t>
      </w:r>
      <w:r>
        <w:tab/>
      </w:r>
      <w:r>
        <w:fldChar w:fldCharType="begin"/>
      </w:r>
      <w:r>
        <w:instrText xml:space="preserve"> PAGEREF _Toc402794962 \h </w:instrText>
      </w:r>
      <w:r>
        <w:fldChar w:fldCharType="separate"/>
      </w:r>
      <w:r>
        <w:t>29</w:t>
      </w:r>
      <w:r>
        <w:fldChar w:fldCharType="end"/>
      </w:r>
    </w:p>
    <w:p w:rsidR="00282739" w:rsidRDefault="00282739" w:rsidP="00282739">
      <w:pPr>
        <w:pStyle w:val="TOC2"/>
        <w:rPr>
          <w:rFonts w:asciiTheme="minorHAnsi" w:eastAsiaTheme="minorEastAsia" w:hAnsiTheme="minorHAnsi" w:cstheme="minorBidi"/>
          <w:color w:val="auto"/>
          <w:sz w:val="22"/>
          <w:szCs w:val="22"/>
          <w:lang w:eastAsia="en-AU"/>
        </w:rPr>
      </w:pPr>
      <w:r>
        <w:t>Overall impacts on university entry scores</w:t>
      </w:r>
      <w:r>
        <w:tab/>
      </w:r>
      <w:r>
        <w:fldChar w:fldCharType="begin"/>
      </w:r>
      <w:r>
        <w:instrText xml:space="preserve"> PAGEREF _Toc402794963 \h </w:instrText>
      </w:r>
      <w:r>
        <w:fldChar w:fldCharType="separate"/>
      </w:r>
      <w:r>
        <w:t>29</w:t>
      </w:r>
      <w:r>
        <w:fldChar w:fldCharType="end"/>
      </w:r>
    </w:p>
    <w:p w:rsidR="00282739" w:rsidRDefault="00282739" w:rsidP="00282739">
      <w:pPr>
        <w:pStyle w:val="TOC2"/>
        <w:rPr>
          <w:rFonts w:asciiTheme="minorHAnsi" w:eastAsiaTheme="minorEastAsia" w:hAnsiTheme="minorHAnsi" w:cstheme="minorBidi"/>
          <w:color w:val="auto"/>
          <w:sz w:val="22"/>
          <w:szCs w:val="22"/>
          <w:lang w:eastAsia="en-AU"/>
        </w:rPr>
      </w:pPr>
      <w:r>
        <w:t>Results by VCE VET subject group</w:t>
      </w:r>
      <w:r>
        <w:tab/>
      </w:r>
      <w:r>
        <w:fldChar w:fldCharType="begin"/>
      </w:r>
      <w:r>
        <w:instrText xml:space="preserve"> PAGEREF _Toc402794964 \h </w:instrText>
      </w:r>
      <w:r>
        <w:fldChar w:fldCharType="separate"/>
      </w:r>
      <w:r>
        <w:t>31</w:t>
      </w:r>
      <w:r>
        <w:fldChar w:fldCharType="end"/>
      </w:r>
    </w:p>
    <w:p w:rsidR="00282739" w:rsidRDefault="00282739" w:rsidP="00282739">
      <w:pPr>
        <w:pStyle w:val="TOC2"/>
        <w:rPr>
          <w:rFonts w:asciiTheme="minorHAnsi" w:eastAsiaTheme="minorEastAsia" w:hAnsiTheme="minorHAnsi" w:cstheme="minorBidi"/>
          <w:color w:val="auto"/>
          <w:sz w:val="22"/>
          <w:szCs w:val="22"/>
          <w:lang w:eastAsia="en-AU"/>
        </w:rPr>
      </w:pPr>
      <w:r>
        <w:t>Impacts on university access</w:t>
      </w:r>
      <w:r>
        <w:tab/>
      </w:r>
      <w:r>
        <w:fldChar w:fldCharType="begin"/>
      </w:r>
      <w:r>
        <w:instrText xml:space="preserve"> PAGEREF _Toc402794965 \h </w:instrText>
      </w:r>
      <w:r>
        <w:fldChar w:fldCharType="separate"/>
      </w:r>
      <w:r>
        <w:t>32</w:t>
      </w:r>
      <w:r>
        <w:fldChar w:fldCharType="end"/>
      </w:r>
    </w:p>
    <w:p w:rsidR="00282739" w:rsidRDefault="00282739" w:rsidP="00282739">
      <w:pPr>
        <w:pStyle w:val="TOC1"/>
        <w:rPr>
          <w:rFonts w:asciiTheme="minorHAnsi" w:eastAsiaTheme="minorEastAsia" w:hAnsiTheme="minorHAnsi" w:cstheme="minorBidi"/>
          <w:color w:val="auto"/>
          <w:sz w:val="22"/>
          <w:szCs w:val="22"/>
          <w:lang w:eastAsia="en-AU"/>
        </w:rPr>
      </w:pPr>
      <w:r>
        <w:t>Conclusions</w:t>
      </w:r>
      <w:r>
        <w:tab/>
      </w:r>
      <w:r>
        <w:fldChar w:fldCharType="begin"/>
      </w:r>
      <w:r>
        <w:instrText xml:space="preserve"> PAGEREF _Toc402794966 \h </w:instrText>
      </w:r>
      <w:r>
        <w:fldChar w:fldCharType="separate"/>
      </w:r>
      <w:r>
        <w:t>35</w:t>
      </w:r>
      <w:r>
        <w:fldChar w:fldCharType="end"/>
      </w:r>
    </w:p>
    <w:p w:rsidR="00282739" w:rsidRDefault="00282739" w:rsidP="00282739">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_Toc402794967 \h </w:instrText>
      </w:r>
      <w:r>
        <w:fldChar w:fldCharType="separate"/>
      </w:r>
      <w:r>
        <w:t>37</w:t>
      </w:r>
      <w:r>
        <w:fldChar w:fldCharType="end"/>
      </w:r>
    </w:p>
    <w:p w:rsidR="00282739" w:rsidRDefault="00282739" w:rsidP="00282739">
      <w:pPr>
        <w:pStyle w:val="TOC1"/>
      </w:pPr>
      <w:r>
        <w:t>Appendices</w:t>
      </w:r>
    </w:p>
    <w:p w:rsidR="00282739" w:rsidRDefault="00282739" w:rsidP="00282739">
      <w:pPr>
        <w:pStyle w:val="TOC2"/>
        <w:rPr>
          <w:rFonts w:asciiTheme="minorHAnsi" w:eastAsiaTheme="minorEastAsia" w:hAnsiTheme="minorHAnsi" w:cstheme="minorBidi"/>
          <w:color w:val="auto"/>
          <w:sz w:val="22"/>
          <w:szCs w:val="22"/>
          <w:lang w:eastAsia="en-AU"/>
        </w:rPr>
      </w:pPr>
      <w:r>
        <w:t>A: Assessment</w:t>
      </w:r>
      <w:r>
        <w:tab/>
      </w:r>
      <w:r>
        <w:fldChar w:fldCharType="begin"/>
      </w:r>
      <w:r>
        <w:instrText xml:space="preserve"> PAGEREF _Toc402794968 \h </w:instrText>
      </w:r>
      <w:r>
        <w:fldChar w:fldCharType="separate"/>
      </w:r>
      <w:r>
        <w:t>38</w:t>
      </w:r>
      <w:r>
        <w:fldChar w:fldCharType="end"/>
      </w:r>
    </w:p>
    <w:p w:rsidR="00282739" w:rsidRDefault="00282739" w:rsidP="00282739">
      <w:pPr>
        <w:pStyle w:val="TOC2"/>
        <w:rPr>
          <w:rFonts w:asciiTheme="minorHAnsi" w:eastAsiaTheme="minorEastAsia" w:hAnsiTheme="minorHAnsi" w:cstheme="minorBidi"/>
          <w:color w:val="auto"/>
          <w:sz w:val="22"/>
          <w:szCs w:val="22"/>
          <w:lang w:eastAsia="en-AU"/>
        </w:rPr>
      </w:pPr>
      <w:r>
        <w:t>B: VCE VET subjects</w:t>
      </w:r>
      <w:r>
        <w:tab/>
      </w:r>
      <w:r>
        <w:fldChar w:fldCharType="begin"/>
      </w:r>
      <w:r>
        <w:instrText xml:space="preserve"> PAGEREF _Toc402794969 \h </w:instrText>
      </w:r>
      <w:r>
        <w:fldChar w:fldCharType="separate"/>
      </w:r>
      <w:r>
        <w:t>39</w:t>
      </w:r>
      <w:r>
        <w:fldChar w:fldCharType="end"/>
      </w:r>
    </w:p>
    <w:p w:rsidR="00282739" w:rsidRDefault="00282739" w:rsidP="00282739">
      <w:pPr>
        <w:pStyle w:val="TOC2"/>
        <w:rPr>
          <w:rFonts w:asciiTheme="minorHAnsi" w:eastAsiaTheme="minorEastAsia" w:hAnsiTheme="minorHAnsi" w:cstheme="minorBidi"/>
          <w:color w:val="auto"/>
          <w:sz w:val="22"/>
          <w:szCs w:val="22"/>
          <w:lang w:eastAsia="en-AU"/>
        </w:rPr>
      </w:pPr>
      <w:r>
        <w:t>C: Technical appendix</w:t>
      </w:r>
      <w:r>
        <w:tab/>
      </w:r>
      <w:r>
        <w:fldChar w:fldCharType="begin"/>
      </w:r>
      <w:r>
        <w:instrText xml:space="preserve"> PAGEREF _Toc402794970 \h </w:instrText>
      </w:r>
      <w:r>
        <w:fldChar w:fldCharType="separate"/>
      </w:r>
      <w:r>
        <w:t>43</w:t>
      </w:r>
      <w:r>
        <w:fldChar w:fldCharType="end"/>
      </w:r>
    </w:p>
    <w:p w:rsidR="00282739" w:rsidRDefault="00282739" w:rsidP="00282739">
      <w:pPr>
        <w:pStyle w:val="TOC2"/>
        <w:rPr>
          <w:rFonts w:asciiTheme="minorHAnsi" w:eastAsiaTheme="minorEastAsia" w:hAnsiTheme="minorHAnsi" w:cstheme="minorBidi"/>
          <w:color w:val="auto"/>
          <w:sz w:val="22"/>
          <w:szCs w:val="22"/>
          <w:lang w:eastAsia="en-AU"/>
        </w:rPr>
      </w:pPr>
      <w:r>
        <w:t>D: Probit results and balancing test results</w:t>
      </w:r>
      <w:r>
        <w:tab/>
      </w:r>
      <w:r>
        <w:fldChar w:fldCharType="begin"/>
      </w:r>
      <w:r>
        <w:instrText xml:space="preserve"> PAGEREF _Toc402794971 \h </w:instrText>
      </w:r>
      <w:r>
        <w:fldChar w:fldCharType="separate"/>
      </w:r>
      <w:r>
        <w:t>45</w:t>
      </w:r>
      <w:r>
        <w:fldChar w:fldCharType="end"/>
      </w:r>
    </w:p>
    <w:p w:rsidR="00282739" w:rsidRDefault="00282739" w:rsidP="00282739">
      <w:pPr>
        <w:pStyle w:val="TOC2"/>
        <w:rPr>
          <w:rFonts w:asciiTheme="minorHAnsi" w:eastAsiaTheme="minorEastAsia" w:hAnsiTheme="minorHAnsi" w:cstheme="minorBidi"/>
          <w:color w:val="auto"/>
          <w:sz w:val="22"/>
          <w:szCs w:val="22"/>
          <w:lang w:eastAsia="en-AU"/>
        </w:rPr>
      </w:pPr>
      <w:r>
        <w:t>E: Sensitivity analysis</w:t>
      </w:r>
      <w:r>
        <w:tab/>
      </w:r>
      <w:r>
        <w:fldChar w:fldCharType="begin"/>
      </w:r>
      <w:r>
        <w:instrText xml:space="preserve"> PAGEREF _Toc402794972 \h </w:instrText>
      </w:r>
      <w:r>
        <w:fldChar w:fldCharType="separate"/>
      </w:r>
      <w:r>
        <w:t>48</w:t>
      </w:r>
      <w:r>
        <w:fldChar w:fldCharType="end"/>
      </w:r>
    </w:p>
    <w:p w:rsidR="00282739" w:rsidRDefault="00282739" w:rsidP="00282739">
      <w:pPr>
        <w:pStyle w:val="TOC1"/>
        <w:rPr>
          <w:rFonts w:asciiTheme="minorHAnsi" w:eastAsiaTheme="minorEastAsia" w:hAnsiTheme="minorHAnsi" w:cstheme="minorBidi"/>
          <w:color w:val="auto"/>
          <w:sz w:val="22"/>
          <w:szCs w:val="22"/>
          <w:lang w:eastAsia="en-AU"/>
        </w:rPr>
      </w:pPr>
      <w:r>
        <w:t>NVETR Program Funding</w:t>
      </w:r>
      <w:r>
        <w:tab/>
      </w:r>
      <w:r>
        <w:fldChar w:fldCharType="begin"/>
      </w:r>
      <w:r>
        <w:instrText xml:space="preserve"> PAGEREF _Toc402794973 \h </w:instrText>
      </w:r>
      <w:r>
        <w:fldChar w:fldCharType="separate"/>
      </w:r>
      <w:r>
        <w:t>50</w:t>
      </w:r>
      <w:r>
        <w:fldChar w:fldCharType="end"/>
      </w:r>
    </w:p>
    <w:p w:rsidR="00282739" w:rsidRDefault="00282739" w:rsidP="00282739">
      <w:pPr>
        <w:pStyle w:val="Text"/>
      </w:pPr>
      <w:r w:rsidRPr="009775C7">
        <w:fldChar w:fldCharType="end"/>
      </w:r>
    </w:p>
    <w:p w:rsidR="00282739" w:rsidRDefault="00282739" w:rsidP="00282739">
      <w:pPr>
        <w:pStyle w:val="Text"/>
        <w:rPr>
          <w:rFonts w:ascii="Tahoma" w:hAnsi="Tahoma" w:cs="Tahoma"/>
          <w:color w:val="000000"/>
          <w:kern w:val="28"/>
          <w:sz w:val="56"/>
          <w:szCs w:val="56"/>
        </w:rPr>
      </w:pPr>
      <w:r>
        <w:br w:type="page"/>
      </w:r>
    </w:p>
    <w:p w:rsidR="00282739" w:rsidRDefault="00282739" w:rsidP="00282739">
      <w:pPr>
        <w:pStyle w:val="Heading1"/>
      </w:pPr>
      <w:bookmarkStart w:id="30" w:name="_Toc402794946"/>
      <w:r>
        <w:lastRenderedPageBreak/>
        <w:t xml:space="preserve">Tables </w:t>
      </w:r>
      <w:bookmarkEnd w:id="30"/>
    </w:p>
    <w:p w:rsidR="00282739" w:rsidRDefault="00282739" w:rsidP="00282739">
      <w:pPr>
        <w:pStyle w:val="TableofFigures"/>
        <w:tabs>
          <w:tab w:val="clear" w:pos="425"/>
          <w:tab w:val="left" w:pos="880"/>
        </w:tabs>
        <w:rPr>
          <w:rFonts w:asciiTheme="minorHAnsi" w:eastAsiaTheme="minorEastAsia" w:hAnsiTheme="minorHAnsi" w:cstheme="minorBidi"/>
          <w:color w:val="auto"/>
          <w:sz w:val="22"/>
          <w:szCs w:val="22"/>
          <w:lang w:eastAsia="en-AU"/>
        </w:rPr>
      </w:pPr>
      <w:r>
        <w:fldChar w:fldCharType="begin"/>
      </w:r>
      <w:r>
        <w:instrText xml:space="preserve"> TOC \f F \t "tabletitle" \c </w:instrText>
      </w:r>
      <w:r>
        <w:fldChar w:fldCharType="separate"/>
      </w:r>
      <w:r>
        <w:t>1</w:t>
      </w:r>
      <w:r>
        <w:tab/>
        <w:t>VCE VET subjects in 2011</w:t>
      </w:r>
      <w:r>
        <w:tab/>
      </w:r>
      <w:r>
        <w:fldChar w:fldCharType="begin"/>
      </w:r>
      <w:r>
        <w:instrText xml:space="preserve"> PAGEREF _Toc402794974 \h </w:instrText>
      </w:r>
      <w:r>
        <w:fldChar w:fldCharType="separate"/>
      </w:r>
      <w:r>
        <w:t>16</w:t>
      </w:r>
      <w:r>
        <w:fldChar w:fldCharType="end"/>
      </w:r>
    </w:p>
    <w:p w:rsidR="00282739" w:rsidRDefault="00282739" w:rsidP="00282739">
      <w:pPr>
        <w:pStyle w:val="TableofFigures"/>
        <w:tabs>
          <w:tab w:val="clear" w:pos="425"/>
          <w:tab w:val="left" w:pos="880"/>
        </w:tabs>
        <w:rPr>
          <w:rFonts w:asciiTheme="minorHAnsi" w:eastAsiaTheme="minorEastAsia" w:hAnsiTheme="minorHAnsi" w:cstheme="minorBidi"/>
          <w:color w:val="auto"/>
          <w:sz w:val="22"/>
          <w:szCs w:val="22"/>
          <w:lang w:eastAsia="en-AU"/>
        </w:rPr>
      </w:pPr>
      <w:r w:rsidRPr="00054FF2">
        <w:rPr>
          <w:lang w:val="en-GB"/>
        </w:rPr>
        <w:t>2</w:t>
      </w:r>
      <w:r>
        <w:rPr>
          <w:rFonts w:asciiTheme="minorHAnsi" w:eastAsiaTheme="minorEastAsia" w:hAnsiTheme="minorHAnsi" w:cstheme="minorBidi"/>
          <w:color w:val="auto"/>
          <w:sz w:val="22"/>
          <w:szCs w:val="22"/>
          <w:lang w:eastAsia="en-AU"/>
        </w:rPr>
        <w:tab/>
      </w:r>
      <w:r w:rsidRPr="00054FF2">
        <w:rPr>
          <w:lang w:val="en-GB"/>
        </w:rPr>
        <w:t>Average VCE scaled scores for VET and select</w:t>
      </w:r>
      <w:r>
        <w:rPr>
          <w:lang w:val="en-GB"/>
        </w:rPr>
        <w:t>ed</w:t>
      </w:r>
      <w:r w:rsidRPr="00054FF2">
        <w:rPr>
          <w:lang w:val="en-GB"/>
        </w:rPr>
        <w:t xml:space="preserve"> general subjects </w:t>
      </w:r>
      <w:r>
        <w:rPr>
          <w:lang w:val="en-GB"/>
        </w:rPr>
        <w:br/>
      </w:r>
      <w:r w:rsidRPr="00054FF2">
        <w:rPr>
          <w:lang w:val="en-GB"/>
        </w:rPr>
        <w:t>(out of 50) for students who completed school in 2011</w:t>
      </w:r>
      <w:r>
        <w:tab/>
      </w:r>
      <w:r>
        <w:fldChar w:fldCharType="begin"/>
      </w:r>
      <w:r>
        <w:instrText xml:space="preserve"> PAGEREF _Toc402794975 \h </w:instrText>
      </w:r>
      <w:r>
        <w:fldChar w:fldCharType="separate"/>
      </w:r>
      <w:r>
        <w:t>19</w:t>
      </w:r>
      <w:r>
        <w:fldChar w:fldCharType="end"/>
      </w:r>
    </w:p>
    <w:p w:rsidR="00282739" w:rsidRDefault="00282739" w:rsidP="00282739">
      <w:pPr>
        <w:pStyle w:val="TableofFigures"/>
        <w:tabs>
          <w:tab w:val="clear" w:pos="425"/>
          <w:tab w:val="left" w:pos="880"/>
        </w:tabs>
        <w:rPr>
          <w:rFonts w:asciiTheme="minorHAnsi" w:eastAsiaTheme="minorEastAsia" w:hAnsiTheme="minorHAnsi" w:cstheme="minorBidi"/>
          <w:color w:val="auto"/>
          <w:sz w:val="22"/>
          <w:szCs w:val="22"/>
          <w:lang w:eastAsia="en-AU"/>
        </w:rPr>
      </w:pPr>
      <w:r w:rsidRPr="00054FF2">
        <w:rPr>
          <w:lang w:val="en-GB"/>
        </w:rPr>
        <w:t>3</w:t>
      </w:r>
      <w:r>
        <w:rPr>
          <w:rFonts w:asciiTheme="minorHAnsi" w:eastAsiaTheme="minorEastAsia" w:hAnsiTheme="minorHAnsi" w:cstheme="minorBidi"/>
          <w:color w:val="auto"/>
          <w:sz w:val="22"/>
          <w:szCs w:val="22"/>
          <w:lang w:eastAsia="en-AU"/>
        </w:rPr>
        <w:tab/>
      </w:r>
      <w:r w:rsidRPr="00054FF2">
        <w:rPr>
          <w:lang w:val="en-GB"/>
        </w:rPr>
        <w:t>Number of students in the sample</w:t>
      </w:r>
      <w:r>
        <w:tab/>
      </w:r>
      <w:r>
        <w:fldChar w:fldCharType="begin"/>
      </w:r>
      <w:r>
        <w:instrText xml:space="preserve"> PAGEREF _Toc402794976 \h </w:instrText>
      </w:r>
      <w:r>
        <w:fldChar w:fldCharType="separate"/>
      </w:r>
      <w:r>
        <w:t>21</w:t>
      </w:r>
      <w:r>
        <w:fldChar w:fldCharType="end"/>
      </w:r>
    </w:p>
    <w:p w:rsidR="00282739" w:rsidRDefault="00282739" w:rsidP="00282739">
      <w:pPr>
        <w:pStyle w:val="TableofFigures"/>
        <w:tabs>
          <w:tab w:val="clear" w:pos="425"/>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 xml:space="preserve">Field of education (1-digit ASCED) of first preference among students </w:t>
      </w:r>
      <w:r>
        <w:br/>
        <w:t>who intend to go to university prior to sitting their final exams (</w:t>
      </w:r>
      <w:r w:rsidRPr="002201E8">
        <w:t>row</w:t>
      </w:r>
      <w:r>
        <w:t xml:space="preserve"> %)</w:t>
      </w:r>
      <w:r>
        <w:tab/>
      </w:r>
      <w:r>
        <w:fldChar w:fldCharType="begin"/>
      </w:r>
      <w:r>
        <w:instrText xml:space="preserve"> PAGEREF _Toc402794977 \h </w:instrText>
      </w:r>
      <w:r>
        <w:fldChar w:fldCharType="separate"/>
      </w:r>
      <w:r>
        <w:t>24</w:t>
      </w:r>
      <w:r>
        <w:fldChar w:fldCharType="end"/>
      </w:r>
    </w:p>
    <w:p w:rsidR="00282739" w:rsidRDefault="00282739" w:rsidP="00282739">
      <w:pPr>
        <w:pStyle w:val="TableofFigures"/>
        <w:tabs>
          <w:tab w:val="clear" w:pos="425"/>
          <w:tab w:val="left" w:pos="880"/>
        </w:tabs>
        <w:rPr>
          <w:rFonts w:asciiTheme="minorHAnsi" w:eastAsiaTheme="minorEastAsia" w:hAnsiTheme="minorHAnsi" w:cstheme="minorBidi"/>
          <w:color w:val="auto"/>
          <w:sz w:val="22"/>
          <w:szCs w:val="22"/>
          <w:lang w:eastAsia="en-AU"/>
        </w:rPr>
      </w:pPr>
      <w:r w:rsidRPr="00054FF2">
        <w:rPr>
          <w:lang w:val="en-GB"/>
        </w:rPr>
        <w:t>5</w:t>
      </w:r>
      <w:r>
        <w:rPr>
          <w:rFonts w:asciiTheme="minorHAnsi" w:eastAsiaTheme="minorEastAsia" w:hAnsiTheme="minorHAnsi" w:cstheme="minorBidi"/>
          <w:color w:val="auto"/>
          <w:sz w:val="22"/>
          <w:szCs w:val="22"/>
          <w:lang w:eastAsia="en-AU"/>
        </w:rPr>
        <w:tab/>
      </w:r>
      <w:r w:rsidRPr="00054FF2">
        <w:rPr>
          <w:lang w:val="en-GB"/>
        </w:rPr>
        <w:t>Mean values of select</w:t>
      </w:r>
      <w:r>
        <w:rPr>
          <w:lang w:val="en-GB"/>
        </w:rPr>
        <w:t>ed</w:t>
      </w:r>
      <w:r w:rsidRPr="00054FF2">
        <w:rPr>
          <w:lang w:val="en-GB"/>
        </w:rPr>
        <w:t xml:space="preserve"> student characteristics</w:t>
      </w:r>
      <w:r>
        <w:tab/>
      </w:r>
      <w:r>
        <w:fldChar w:fldCharType="begin"/>
      </w:r>
      <w:r>
        <w:instrText xml:space="preserve"> PAGEREF _Toc402794978 \h </w:instrText>
      </w:r>
      <w:r>
        <w:fldChar w:fldCharType="separate"/>
      </w:r>
      <w:r>
        <w:t>25</w:t>
      </w:r>
      <w:r>
        <w:fldChar w:fldCharType="end"/>
      </w:r>
    </w:p>
    <w:p w:rsidR="00282739" w:rsidRDefault="00282739" w:rsidP="00282739">
      <w:pPr>
        <w:pStyle w:val="TableofFigures"/>
        <w:tabs>
          <w:tab w:val="clear" w:pos="425"/>
          <w:tab w:val="left" w:pos="88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 xml:space="preserve">Estimated impacts from taking a VCE VET subject on university </w:t>
      </w:r>
      <w:r>
        <w:br/>
        <w:t xml:space="preserve">entry scores (out of a maximum of 205) among those who intend </w:t>
      </w:r>
      <w:r>
        <w:br/>
        <w:t>to go to university</w:t>
      </w:r>
      <w:r>
        <w:tab/>
      </w:r>
      <w:r>
        <w:fldChar w:fldCharType="begin"/>
      </w:r>
      <w:r>
        <w:instrText xml:space="preserve"> PAGEREF _Toc402794979 \h </w:instrText>
      </w:r>
      <w:r>
        <w:fldChar w:fldCharType="separate"/>
      </w:r>
      <w:r>
        <w:t>29</w:t>
      </w:r>
      <w:r>
        <w:fldChar w:fldCharType="end"/>
      </w:r>
    </w:p>
    <w:p w:rsidR="00282739" w:rsidRDefault="00282739" w:rsidP="00282739">
      <w:pPr>
        <w:pStyle w:val="TableofFigures"/>
        <w:tabs>
          <w:tab w:val="clear" w:pos="425"/>
          <w:tab w:val="left" w:pos="88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 xml:space="preserve">Estimated total, direct and indirect impacts of taking a VCE VET </w:t>
      </w:r>
      <w:r>
        <w:br/>
        <w:t xml:space="preserve">subject on university entry scores (out of a maximum of 205) </w:t>
      </w:r>
      <w:r>
        <w:br/>
        <w:t>among those who intend to go to university</w:t>
      </w:r>
      <w:r>
        <w:tab/>
      </w:r>
      <w:r>
        <w:fldChar w:fldCharType="begin"/>
      </w:r>
      <w:r>
        <w:instrText xml:space="preserve"> PAGEREF _Toc402794980 \h </w:instrText>
      </w:r>
      <w:r>
        <w:fldChar w:fldCharType="separate"/>
      </w:r>
      <w:r>
        <w:t>30</w:t>
      </w:r>
      <w:r>
        <w:fldChar w:fldCharType="end"/>
      </w:r>
    </w:p>
    <w:p w:rsidR="00282739" w:rsidRDefault="00282739" w:rsidP="00282739">
      <w:pPr>
        <w:pStyle w:val="TableofFigures"/>
        <w:tabs>
          <w:tab w:val="clear" w:pos="425"/>
          <w:tab w:val="left" w:pos="880"/>
        </w:tabs>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 xml:space="preserve">Estimated impacts from taking individual VCE VET subjects on </w:t>
      </w:r>
      <w:r>
        <w:br/>
        <w:t xml:space="preserve">university entry scores (out of a maximum of 205) of those who </w:t>
      </w:r>
      <w:r>
        <w:br/>
        <w:t>intend to go to university, Kernell matching</w:t>
      </w:r>
      <w:r>
        <w:tab/>
      </w:r>
      <w:r>
        <w:fldChar w:fldCharType="begin"/>
      </w:r>
      <w:r>
        <w:instrText xml:space="preserve"> PAGEREF _Toc402794981 \h </w:instrText>
      </w:r>
      <w:r>
        <w:fldChar w:fldCharType="separate"/>
      </w:r>
      <w:r>
        <w:t>32</w:t>
      </w:r>
      <w:r>
        <w:fldChar w:fldCharType="end"/>
      </w:r>
    </w:p>
    <w:p w:rsidR="00282739" w:rsidRDefault="00282739" w:rsidP="00282739">
      <w:pPr>
        <w:pStyle w:val="TableofFigures"/>
        <w:tabs>
          <w:tab w:val="clear" w:pos="425"/>
          <w:tab w:val="left" w:pos="880"/>
        </w:tabs>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 xml:space="preserve">Estimated impacts from taking a VCE VET subject on the chances </w:t>
      </w:r>
      <w:r>
        <w:br/>
        <w:t>of attaining entry to a university course</w:t>
      </w:r>
      <w:r>
        <w:tab/>
      </w:r>
      <w:r>
        <w:fldChar w:fldCharType="begin"/>
      </w:r>
      <w:r>
        <w:instrText xml:space="preserve"> PAGEREF _Toc402794982 \h </w:instrText>
      </w:r>
      <w:r>
        <w:fldChar w:fldCharType="separate"/>
      </w:r>
      <w:r>
        <w:t>33</w:t>
      </w:r>
      <w:r>
        <w:fldChar w:fldCharType="end"/>
      </w:r>
    </w:p>
    <w:p w:rsidR="00282739" w:rsidRDefault="00282739" w:rsidP="00282739">
      <w:pPr>
        <w:pStyle w:val="TableofFigures"/>
        <w:tabs>
          <w:tab w:val="clear" w:pos="425"/>
          <w:tab w:val="left" w:pos="1100"/>
        </w:tabs>
        <w:rPr>
          <w:rFonts w:asciiTheme="minorHAnsi" w:eastAsiaTheme="minorEastAsia" w:hAnsiTheme="minorHAnsi" w:cstheme="minorBidi"/>
          <w:color w:val="auto"/>
          <w:sz w:val="22"/>
          <w:szCs w:val="22"/>
          <w:lang w:eastAsia="en-AU"/>
        </w:rPr>
      </w:pPr>
      <w:r w:rsidRPr="00054FF2">
        <w:rPr>
          <w:lang w:val="en-GB"/>
        </w:rPr>
        <w:t>A1</w:t>
      </w:r>
      <w:r>
        <w:rPr>
          <w:rFonts w:asciiTheme="minorHAnsi" w:eastAsiaTheme="minorEastAsia" w:hAnsiTheme="minorHAnsi" w:cstheme="minorBidi"/>
          <w:color w:val="auto"/>
          <w:sz w:val="22"/>
          <w:szCs w:val="22"/>
          <w:lang w:eastAsia="en-AU"/>
        </w:rPr>
        <w:tab/>
      </w:r>
      <w:r w:rsidRPr="00054FF2">
        <w:rPr>
          <w:lang w:val="en-GB"/>
        </w:rPr>
        <w:t xml:space="preserve">Prescribed </w:t>
      </w:r>
      <w:r>
        <w:t>performance</w:t>
      </w:r>
      <w:r w:rsidRPr="00054FF2">
        <w:rPr>
          <w:lang w:val="en-GB"/>
        </w:rPr>
        <w:t xml:space="preserve"> criteria for work performance task</w:t>
      </w:r>
      <w:r>
        <w:tab/>
      </w:r>
      <w:r>
        <w:fldChar w:fldCharType="begin"/>
      </w:r>
      <w:r>
        <w:instrText xml:space="preserve"> PAGEREF _Toc402794983 \h </w:instrText>
      </w:r>
      <w:r>
        <w:fldChar w:fldCharType="separate"/>
      </w:r>
      <w:r>
        <w:t>38</w:t>
      </w:r>
      <w:r>
        <w:fldChar w:fldCharType="end"/>
      </w:r>
    </w:p>
    <w:p w:rsidR="00282739" w:rsidRDefault="00282739" w:rsidP="00282739">
      <w:pPr>
        <w:pStyle w:val="TableofFigures"/>
        <w:tabs>
          <w:tab w:val="clear" w:pos="425"/>
          <w:tab w:val="left" w:pos="1100"/>
        </w:tabs>
        <w:rPr>
          <w:rFonts w:asciiTheme="minorHAnsi" w:eastAsiaTheme="minorEastAsia" w:hAnsiTheme="minorHAnsi" w:cstheme="minorBidi"/>
          <w:color w:val="auto"/>
          <w:sz w:val="22"/>
          <w:szCs w:val="22"/>
          <w:lang w:eastAsia="en-AU"/>
        </w:rPr>
      </w:pPr>
      <w:r>
        <w:t>B1</w:t>
      </w:r>
      <w:r>
        <w:rPr>
          <w:rFonts w:asciiTheme="minorHAnsi" w:eastAsiaTheme="minorEastAsia" w:hAnsiTheme="minorHAnsi" w:cstheme="minorBidi"/>
          <w:color w:val="auto"/>
          <w:sz w:val="22"/>
          <w:szCs w:val="22"/>
          <w:lang w:eastAsia="en-AU"/>
        </w:rPr>
        <w:tab/>
      </w:r>
      <w:r>
        <w:t xml:space="preserve">General subjects taken by students who enrol in business and </w:t>
      </w:r>
      <w:r>
        <w:br/>
        <w:t>financial services</w:t>
      </w:r>
      <w:r>
        <w:tab/>
      </w:r>
      <w:r>
        <w:fldChar w:fldCharType="begin"/>
      </w:r>
      <w:r>
        <w:instrText xml:space="preserve"> PAGEREF _Toc402794984 \h </w:instrText>
      </w:r>
      <w:r>
        <w:fldChar w:fldCharType="separate"/>
      </w:r>
      <w:r>
        <w:t>39</w:t>
      </w:r>
      <w:r>
        <w:fldChar w:fldCharType="end"/>
      </w:r>
    </w:p>
    <w:p w:rsidR="00282739" w:rsidRDefault="00282739" w:rsidP="00282739">
      <w:pPr>
        <w:pStyle w:val="TableofFigures"/>
        <w:tabs>
          <w:tab w:val="clear" w:pos="425"/>
          <w:tab w:val="left" w:pos="1100"/>
        </w:tabs>
        <w:rPr>
          <w:rFonts w:asciiTheme="minorHAnsi" w:eastAsiaTheme="minorEastAsia" w:hAnsiTheme="minorHAnsi" w:cstheme="minorBidi"/>
          <w:color w:val="auto"/>
          <w:sz w:val="22"/>
          <w:szCs w:val="22"/>
          <w:lang w:eastAsia="en-AU"/>
        </w:rPr>
      </w:pPr>
      <w:r>
        <w:t>B2</w:t>
      </w:r>
      <w:r>
        <w:rPr>
          <w:rFonts w:asciiTheme="minorHAnsi" w:eastAsiaTheme="minorEastAsia" w:hAnsiTheme="minorHAnsi" w:cstheme="minorBidi"/>
          <w:color w:val="auto"/>
          <w:sz w:val="22"/>
          <w:szCs w:val="22"/>
          <w:lang w:eastAsia="en-AU"/>
        </w:rPr>
        <w:tab/>
      </w:r>
      <w:r>
        <w:t>General subjects taken by students who enrol in engineering studies</w:t>
      </w:r>
      <w:r>
        <w:tab/>
      </w:r>
      <w:r>
        <w:fldChar w:fldCharType="begin"/>
      </w:r>
      <w:r>
        <w:instrText xml:space="preserve"> PAGEREF _Toc402794985 \h </w:instrText>
      </w:r>
      <w:r>
        <w:fldChar w:fldCharType="separate"/>
      </w:r>
      <w:r>
        <w:t>39</w:t>
      </w:r>
      <w:r>
        <w:fldChar w:fldCharType="end"/>
      </w:r>
    </w:p>
    <w:p w:rsidR="00282739" w:rsidRDefault="00282739" w:rsidP="00282739">
      <w:pPr>
        <w:pStyle w:val="TableofFigures"/>
        <w:tabs>
          <w:tab w:val="clear" w:pos="425"/>
        </w:tabs>
        <w:rPr>
          <w:rFonts w:asciiTheme="minorHAnsi" w:eastAsiaTheme="minorEastAsia" w:hAnsiTheme="minorHAnsi" w:cstheme="minorBidi"/>
          <w:color w:val="auto"/>
          <w:sz w:val="22"/>
          <w:szCs w:val="22"/>
          <w:lang w:eastAsia="en-AU"/>
        </w:rPr>
      </w:pPr>
      <w:r>
        <w:t>B3</w:t>
      </w:r>
      <w:r>
        <w:rPr>
          <w:rFonts w:asciiTheme="minorHAnsi" w:eastAsiaTheme="minorEastAsia" w:hAnsiTheme="minorHAnsi" w:cstheme="minorBidi"/>
          <w:color w:val="auto"/>
          <w:sz w:val="22"/>
          <w:szCs w:val="22"/>
          <w:lang w:eastAsia="en-AU"/>
        </w:rPr>
        <w:tab/>
      </w:r>
      <w:r>
        <w:t xml:space="preserve">General subjects taken by students who enrol in electrotechnology </w:t>
      </w:r>
      <w:r>
        <w:br/>
        <w:t>studies</w:t>
      </w:r>
      <w:r>
        <w:tab/>
      </w:r>
      <w:r>
        <w:fldChar w:fldCharType="begin"/>
      </w:r>
      <w:r>
        <w:instrText xml:space="preserve"> PAGEREF _Toc402794986 \h </w:instrText>
      </w:r>
      <w:r>
        <w:fldChar w:fldCharType="separate"/>
      </w:r>
      <w:r>
        <w:t>40</w:t>
      </w:r>
      <w:r>
        <w:fldChar w:fldCharType="end"/>
      </w:r>
    </w:p>
    <w:p w:rsidR="00282739" w:rsidRDefault="00282739" w:rsidP="00282739">
      <w:pPr>
        <w:pStyle w:val="TableofFigures"/>
        <w:tabs>
          <w:tab w:val="clear" w:pos="425"/>
          <w:tab w:val="left" w:pos="1100"/>
        </w:tabs>
        <w:rPr>
          <w:rFonts w:asciiTheme="minorHAnsi" w:eastAsiaTheme="minorEastAsia" w:hAnsiTheme="minorHAnsi" w:cstheme="minorBidi"/>
          <w:color w:val="auto"/>
          <w:sz w:val="22"/>
          <w:szCs w:val="22"/>
          <w:lang w:eastAsia="en-AU"/>
        </w:rPr>
      </w:pPr>
      <w:r>
        <w:t>B4</w:t>
      </w:r>
      <w:r>
        <w:rPr>
          <w:rFonts w:asciiTheme="minorHAnsi" w:eastAsiaTheme="minorEastAsia" w:hAnsiTheme="minorHAnsi" w:cstheme="minorBidi"/>
          <w:color w:val="auto"/>
          <w:sz w:val="22"/>
          <w:szCs w:val="22"/>
          <w:lang w:eastAsia="en-AU"/>
        </w:rPr>
        <w:tab/>
      </w:r>
      <w:r>
        <w:t xml:space="preserve">General subjects taken by students who enrol in information </w:t>
      </w:r>
      <w:r>
        <w:br/>
        <w:t>technology studies</w:t>
      </w:r>
      <w:r>
        <w:tab/>
      </w:r>
      <w:r>
        <w:fldChar w:fldCharType="begin"/>
      </w:r>
      <w:r>
        <w:instrText xml:space="preserve"> PAGEREF _Toc402794987 \h </w:instrText>
      </w:r>
      <w:r>
        <w:fldChar w:fldCharType="separate"/>
      </w:r>
      <w:r>
        <w:t>40</w:t>
      </w:r>
      <w:r>
        <w:fldChar w:fldCharType="end"/>
      </w:r>
    </w:p>
    <w:p w:rsidR="00282739" w:rsidRDefault="00282739" w:rsidP="00282739">
      <w:pPr>
        <w:pStyle w:val="TableofFigures"/>
        <w:tabs>
          <w:tab w:val="clear" w:pos="425"/>
          <w:tab w:val="left" w:pos="1100"/>
        </w:tabs>
        <w:rPr>
          <w:rFonts w:asciiTheme="minorHAnsi" w:eastAsiaTheme="minorEastAsia" w:hAnsiTheme="minorHAnsi" w:cstheme="minorBidi"/>
          <w:color w:val="auto"/>
          <w:sz w:val="22"/>
          <w:szCs w:val="22"/>
          <w:lang w:eastAsia="en-AU"/>
        </w:rPr>
      </w:pPr>
      <w:r>
        <w:t>B5</w:t>
      </w:r>
      <w:r>
        <w:rPr>
          <w:rFonts w:asciiTheme="minorHAnsi" w:eastAsiaTheme="minorEastAsia" w:hAnsiTheme="minorHAnsi" w:cstheme="minorBidi"/>
          <w:color w:val="auto"/>
          <w:sz w:val="22"/>
          <w:szCs w:val="22"/>
          <w:lang w:eastAsia="en-AU"/>
        </w:rPr>
        <w:tab/>
      </w:r>
      <w:r>
        <w:t>General subjects taken by students who enrol in music studies</w:t>
      </w:r>
      <w:r>
        <w:tab/>
      </w:r>
      <w:r>
        <w:fldChar w:fldCharType="begin"/>
      </w:r>
      <w:r>
        <w:instrText xml:space="preserve"> PAGEREF _Toc402794988 \h </w:instrText>
      </w:r>
      <w:r>
        <w:fldChar w:fldCharType="separate"/>
      </w:r>
      <w:r>
        <w:t>41</w:t>
      </w:r>
      <w:r>
        <w:fldChar w:fldCharType="end"/>
      </w:r>
    </w:p>
    <w:p w:rsidR="00282739" w:rsidRDefault="00282739" w:rsidP="00282739">
      <w:pPr>
        <w:pStyle w:val="TableofFigures"/>
        <w:tabs>
          <w:tab w:val="clear" w:pos="425"/>
          <w:tab w:val="left" w:pos="1100"/>
        </w:tabs>
        <w:rPr>
          <w:rFonts w:asciiTheme="minorHAnsi" w:eastAsiaTheme="minorEastAsia" w:hAnsiTheme="minorHAnsi" w:cstheme="minorBidi"/>
          <w:color w:val="auto"/>
          <w:sz w:val="22"/>
          <w:szCs w:val="22"/>
          <w:lang w:eastAsia="en-AU"/>
        </w:rPr>
      </w:pPr>
      <w:r>
        <w:t>B6</w:t>
      </w:r>
      <w:r>
        <w:rPr>
          <w:rFonts w:asciiTheme="minorHAnsi" w:eastAsiaTheme="minorEastAsia" w:hAnsiTheme="minorHAnsi" w:cstheme="minorBidi"/>
          <w:color w:val="auto"/>
          <w:sz w:val="22"/>
          <w:szCs w:val="22"/>
          <w:lang w:eastAsia="en-AU"/>
        </w:rPr>
        <w:tab/>
      </w:r>
      <w:r>
        <w:t xml:space="preserve">General subjects taken by students who enrol in community </w:t>
      </w:r>
      <w:r>
        <w:br/>
        <w:t>services work</w:t>
      </w:r>
      <w:r>
        <w:tab/>
      </w:r>
      <w:r>
        <w:fldChar w:fldCharType="begin"/>
      </w:r>
      <w:r>
        <w:instrText xml:space="preserve"> PAGEREF _Toc402794989 \h </w:instrText>
      </w:r>
      <w:r>
        <w:fldChar w:fldCharType="separate"/>
      </w:r>
      <w:r>
        <w:t>41</w:t>
      </w:r>
      <w:r>
        <w:fldChar w:fldCharType="end"/>
      </w:r>
    </w:p>
    <w:p w:rsidR="00282739" w:rsidRDefault="00282739" w:rsidP="00282739">
      <w:pPr>
        <w:pStyle w:val="TableofFigures"/>
        <w:tabs>
          <w:tab w:val="clear" w:pos="425"/>
          <w:tab w:val="left" w:pos="1100"/>
        </w:tabs>
        <w:rPr>
          <w:rFonts w:asciiTheme="minorHAnsi" w:eastAsiaTheme="minorEastAsia" w:hAnsiTheme="minorHAnsi" w:cstheme="minorBidi"/>
          <w:color w:val="auto"/>
          <w:sz w:val="22"/>
          <w:szCs w:val="22"/>
          <w:lang w:eastAsia="en-AU"/>
        </w:rPr>
      </w:pPr>
      <w:r>
        <w:t>B7</w:t>
      </w:r>
      <w:r>
        <w:rPr>
          <w:rFonts w:asciiTheme="minorHAnsi" w:eastAsiaTheme="minorEastAsia" w:hAnsiTheme="minorHAnsi" w:cstheme="minorBidi"/>
          <w:color w:val="auto"/>
          <w:sz w:val="22"/>
          <w:szCs w:val="22"/>
          <w:lang w:eastAsia="en-AU"/>
        </w:rPr>
        <w:tab/>
      </w:r>
      <w:r>
        <w:t>General subjects taken by students who enrol in hospitality studies</w:t>
      </w:r>
      <w:r>
        <w:tab/>
      </w:r>
      <w:r>
        <w:fldChar w:fldCharType="begin"/>
      </w:r>
      <w:r>
        <w:instrText xml:space="preserve"> PAGEREF _Toc402794990 \h </w:instrText>
      </w:r>
      <w:r>
        <w:fldChar w:fldCharType="separate"/>
      </w:r>
      <w:r>
        <w:t>41</w:t>
      </w:r>
      <w:r>
        <w:fldChar w:fldCharType="end"/>
      </w:r>
    </w:p>
    <w:p w:rsidR="00282739" w:rsidRDefault="00282739" w:rsidP="00282739">
      <w:pPr>
        <w:pStyle w:val="TableofFigures"/>
        <w:tabs>
          <w:tab w:val="clear" w:pos="425"/>
          <w:tab w:val="left" w:pos="1100"/>
        </w:tabs>
        <w:rPr>
          <w:rFonts w:asciiTheme="minorHAnsi" w:eastAsiaTheme="minorEastAsia" w:hAnsiTheme="minorHAnsi" w:cstheme="minorBidi"/>
          <w:color w:val="auto"/>
          <w:sz w:val="22"/>
          <w:szCs w:val="22"/>
          <w:lang w:eastAsia="en-AU"/>
        </w:rPr>
      </w:pPr>
      <w:r>
        <w:t>B8</w:t>
      </w:r>
      <w:r>
        <w:rPr>
          <w:rFonts w:asciiTheme="minorHAnsi" w:eastAsiaTheme="minorEastAsia" w:hAnsiTheme="minorHAnsi" w:cstheme="minorBidi"/>
          <w:color w:val="auto"/>
          <w:sz w:val="22"/>
          <w:szCs w:val="22"/>
          <w:lang w:eastAsia="en-AU"/>
        </w:rPr>
        <w:tab/>
      </w:r>
      <w:r>
        <w:t>Subjects taken by students who enrol in interactive digital media</w:t>
      </w:r>
      <w:r>
        <w:tab/>
      </w:r>
      <w:r>
        <w:fldChar w:fldCharType="begin"/>
      </w:r>
      <w:r>
        <w:instrText xml:space="preserve"> PAGEREF _Toc402794991 \h </w:instrText>
      </w:r>
      <w:r>
        <w:fldChar w:fldCharType="separate"/>
      </w:r>
      <w:r>
        <w:t>42</w:t>
      </w:r>
      <w:r>
        <w:fldChar w:fldCharType="end"/>
      </w:r>
    </w:p>
    <w:p w:rsidR="00282739" w:rsidRDefault="00282739" w:rsidP="00282739">
      <w:pPr>
        <w:pStyle w:val="TableofFigures"/>
        <w:tabs>
          <w:tab w:val="clear" w:pos="425"/>
          <w:tab w:val="left" w:pos="1100"/>
        </w:tabs>
        <w:rPr>
          <w:rFonts w:asciiTheme="minorHAnsi" w:eastAsiaTheme="minorEastAsia" w:hAnsiTheme="minorHAnsi" w:cstheme="minorBidi"/>
          <w:color w:val="auto"/>
          <w:sz w:val="22"/>
          <w:szCs w:val="22"/>
          <w:lang w:eastAsia="en-AU"/>
        </w:rPr>
      </w:pPr>
      <w:r>
        <w:t>B9</w:t>
      </w:r>
      <w:r>
        <w:rPr>
          <w:rFonts w:asciiTheme="minorHAnsi" w:eastAsiaTheme="minorEastAsia" w:hAnsiTheme="minorHAnsi" w:cstheme="minorBidi"/>
          <w:color w:val="auto"/>
          <w:sz w:val="22"/>
          <w:szCs w:val="22"/>
          <w:lang w:eastAsia="en-AU"/>
        </w:rPr>
        <w:tab/>
      </w:r>
      <w:r>
        <w:t>Subjects taken by students who enrol in sport and recreation</w:t>
      </w:r>
      <w:r>
        <w:tab/>
      </w:r>
      <w:r>
        <w:fldChar w:fldCharType="begin"/>
      </w:r>
      <w:r>
        <w:instrText xml:space="preserve"> PAGEREF _Toc402794992 \h </w:instrText>
      </w:r>
      <w:r>
        <w:fldChar w:fldCharType="separate"/>
      </w:r>
      <w:r>
        <w:t>42</w:t>
      </w:r>
      <w:r>
        <w:fldChar w:fldCharType="end"/>
      </w:r>
    </w:p>
    <w:p w:rsidR="00282739" w:rsidRDefault="00282739" w:rsidP="00282739">
      <w:pPr>
        <w:pStyle w:val="TableofFigures"/>
        <w:tabs>
          <w:tab w:val="clear" w:pos="425"/>
          <w:tab w:val="left" w:pos="1100"/>
        </w:tabs>
        <w:rPr>
          <w:rFonts w:asciiTheme="minorHAnsi" w:eastAsiaTheme="minorEastAsia" w:hAnsiTheme="minorHAnsi" w:cstheme="minorBidi"/>
          <w:color w:val="auto"/>
          <w:sz w:val="22"/>
          <w:szCs w:val="22"/>
          <w:lang w:eastAsia="en-AU"/>
        </w:rPr>
      </w:pPr>
      <w:r>
        <w:t>D1</w:t>
      </w:r>
      <w:r>
        <w:rPr>
          <w:rFonts w:asciiTheme="minorHAnsi" w:eastAsiaTheme="minorEastAsia" w:hAnsiTheme="minorHAnsi" w:cstheme="minorBidi"/>
          <w:color w:val="auto"/>
          <w:sz w:val="22"/>
          <w:szCs w:val="22"/>
          <w:lang w:eastAsia="en-AU"/>
        </w:rPr>
        <w:tab/>
      </w:r>
      <w:r>
        <w:t xml:space="preserve">Results from the probit model of participation in a VCE VET subject </w:t>
      </w:r>
      <w:r>
        <w:br/>
        <w:t>used in the propensity score matching</w:t>
      </w:r>
      <w:r>
        <w:tab/>
      </w:r>
      <w:r>
        <w:fldChar w:fldCharType="begin"/>
      </w:r>
      <w:r>
        <w:instrText xml:space="preserve"> PAGEREF _Toc402794993 \h </w:instrText>
      </w:r>
      <w:r>
        <w:fldChar w:fldCharType="separate"/>
      </w:r>
      <w:r>
        <w:t>45</w:t>
      </w:r>
      <w:r>
        <w:fldChar w:fldCharType="end"/>
      </w:r>
    </w:p>
    <w:p w:rsidR="00282739" w:rsidRDefault="00282739" w:rsidP="00282739">
      <w:pPr>
        <w:pStyle w:val="TableofFigures"/>
        <w:tabs>
          <w:tab w:val="clear" w:pos="425"/>
          <w:tab w:val="left" w:pos="1100"/>
        </w:tabs>
        <w:rPr>
          <w:rFonts w:asciiTheme="minorHAnsi" w:eastAsiaTheme="minorEastAsia" w:hAnsiTheme="minorHAnsi" w:cstheme="minorBidi"/>
          <w:color w:val="auto"/>
          <w:sz w:val="22"/>
          <w:szCs w:val="22"/>
          <w:lang w:eastAsia="en-AU"/>
        </w:rPr>
      </w:pPr>
      <w:r>
        <w:t>D2</w:t>
      </w:r>
      <w:r>
        <w:rPr>
          <w:rFonts w:asciiTheme="minorHAnsi" w:eastAsiaTheme="minorEastAsia" w:hAnsiTheme="minorHAnsi" w:cstheme="minorBidi"/>
          <w:color w:val="auto"/>
          <w:sz w:val="22"/>
          <w:szCs w:val="22"/>
          <w:lang w:eastAsia="en-AU"/>
        </w:rPr>
        <w:tab/>
      </w:r>
      <w:r>
        <w:t xml:space="preserve">The ten most common general subjects taken by students who </w:t>
      </w:r>
      <w:r>
        <w:br/>
        <w:t>do and do not take a VCE VET subject</w:t>
      </w:r>
      <w:r>
        <w:tab/>
      </w:r>
      <w:r>
        <w:fldChar w:fldCharType="begin"/>
      </w:r>
      <w:r>
        <w:instrText xml:space="preserve"> PAGEREF _Toc402794994 \h </w:instrText>
      </w:r>
      <w:r>
        <w:fldChar w:fldCharType="separate"/>
      </w:r>
      <w:r>
        <w:t>47</w:t>
      </w:r>
      <w:r>
        <w:fldChar w:fldCharType="end"/>
      </w:r>
    </w:p>
    <w:p w:rsidR="00282739" w:rsidRDefault="00282739" w:rsidP="00282739">
      <w:pPr>
        <w:pStyle w:val="TableofFigures"/>
        <w:tabs>
          <w:tab w:val="clear" w:pos="425"/>
          <w:tab w:val="left" w:pos="1100"/>
        </w:tabs>
        <w:rPr>
          <w:rFonts w:asciiTheme="minorHAnsi" w:eastAsiaTheme="minorEastAsia" w:hAnsiTheme="minorHAnsi" w:cstheme="minorBidi"/>
          <w:color w:val="auto"/>
          <w:sz w:val="22"/>
          <w:szCs w:val="22"/>
          <w:lang w:eastAsia="en-AU"/>
        </w:rPr>
      </w:pPr>
      <w:r>
        <w:lastRenderedPageBreak/>
        <w:t>D3</w:t>
      </w:r>
      <w:r>
        <w:rPr>
          <w:rFonts w:asciiTheme="minorHAnsi" w:eastAsiaTheme="minorEastAsia" w:hAnsiTheme="minorHAnsi" w:cstheme="minorBidi"/>
          <w:color w:val="auto"/>
          <w:sz w:val="22"/>
          <w:szCs w:val="22"/>
          <w:lang w:eastAsia="en-AU"/>
        </w:rPr>
        <w:tab/>
      </w:r>
      <w:r>
        <w:t xml:space="preserve">Estimated impacts from taking a VCE VET subject on university </w:t>
      </w:r>
      <w:r>
        <w:br/>
        <w:t xml:space="preserve">entry scores (out of a maximum of </w:t>
      </w:r>
      <w:r w:rsidRPr="006F0B54">
        <w:t>205</w:t>
      </w:r>
      <w:r>
        <w:t xml:space="preserve">) of those who intend to </w:t>
      </w:r>
      <w:r>
        <w:br/>
        <w:t>go to university, alternative PSM methods</w:t>
      </w:r>
      <w:r>
        <w:tab/>
      </w:r>
      <w:r>
        <w:fldChar w:fldCharType="begin"/>
      </w:r>
      <w:r>
        <w:instrText xml:space="preserve"> PAGEREF _Toc402794995 \h </w:instrText>
      </w:r>
      <w:r>
        <w:fldChar w:fldCharType="separate"/>
      </w:r>
      <w:r>
        <w:t>47</w:t>
      </w:r>
      <w:r>
        <w:fldChar w:fldCharType="end"/>
      </w:r>
    </w:p>
    <w:p w:rsidR="00282739" w:rsidRDefault="00282739" w:rsidP="00282739">
      <w:pPr>
        <w:pStyle w:val="TableofFigures"/>
        <w:tabs>
          <w:tab w:val="clear" w:pos="425"/>
          <w:tab w:val="left" w:pos="1100"/>
        </w:tabs>
        <w:rPr>
          <w:rFonts w:asciiTheme="minorHAnsi" w:eastAsiaTheme="minorEastAsia" w:hAnsiTheme="minorHAnsi" w:cstheme="minorBidi"/>
          <w:color w:val="auto"/>
          <w:sz w:val="22"/>
          <w:szCs w:val="22"/>
          <w:lang w:eastAsia="en-AU"/>
        </w:rPr>
      </w:pPr>
      <w:r>
        <w:t>D4</w:t>
      </w:r>
      <w:r>
        <w:rPr>
          <w:rFonts w:asciiTheme="minorHAnsi" w:eastAsiaTheme="minorEastAsia" w:hAnsiTheme="minorHAnsi" w:cstheme="minorBidi"/>
          <w:color w:val="auto"/>
          <w:sz w:val="22"/>
          <w:szCs w:val="22"/>
          <w:lang w:eastAsia="en-AU"/>
        </w:rPr>
        <w:tab/>
      </w:r>
      <w:r>
        <w:t xml:space="preserve">Estimated total, direct and indirect impacts from taking a VCE VET subject university entry scores (out of a maximum of 205) of those </w:t>
      </w:r>
      <w:r>
        <w:br/>
        <w:t>who intend to go to university</w:t>
      </w:r>
      <w:r>
        <w:tab/>
      </w:r>
      <w:r>
        <w:fldChar w:fldCharType="begin"/>
      </w:r>
      <w:r>
        <w:instrText xml:space="preserve"> PAGEREF _Toc402794996 \h </w:instrText>
      </w:r>
      <w:r>
        <w:fldChar w:fldCharType="separate"/>
      </w:r>
      <w:r>
        <w:t>47</w:t>
      </w:r>
      <w:r>
        <w:fldChar w:fldCharType="end"/>
      </w:r>
    </w:p>
    <w:p w:rsidR="00282739" w:rsidRDefault="00282739" w:rsidP="00282739">
      <w:pPr>
        <w:pStyle w:val="TableofFigures"/>
        <w:tabs>
          <w:tab w:val="clear" w:pos="425"/>
          <w:tab w:val="left" w:pos="1100"/>
        </w:tabs>
        <w:rPr>
          <w:rFonts w:asciiTheme="minorHAnsi" w:eastAsiaTheme="minorEastAsia" w:hAnsiTheme="minorHAnsi" w:cstheme="minorBidi"/>
          <w:color w:val="auto"/>
          <w:sz w:val="22"/>
          <w:szCs w:val="22"/>
          <w:lang w:eastAsia="en-AU"/>
        </w:rPr>
      </w:pPr>
      <w:r>
        <w:t>E1</w:t>
      </w:r>
      <w:r>
        <w:rPr>
          <w:rFonts w:asciiTheme="minorHAnsi" w:eastAsiaTheme="minorEastAsia" w:hAnsiTheme="minorHAnsi" w:cstheme="minorBidi"/>
          <w:color w:val="auto"/>
          <w:sz w:val="22"/>
          <w:szCs w:val="22"/>
          <w:lang w:eastAsia="en-AU"/>
        </w:rPr>
        <w:tab/>
      </w:r>
      <w:r>
        <w:t xml:space="preserve">Estimated impacts from taking a VCE VET subject on university </w:t>
      </w:r>
      <w:r>
        <w:br/>
        <w:t>entry scores (out of a maximum of 205) under various assumptions</w:t>
      </w:r>
      <w:r>
        <w:tab/>
      </w:r>
      <w:r>
        <w:fldChar w:fldCharType="begin"/>
      </w:r>
      <w:r>
        <w:instrText xml:space="preserve"> PAGEREF _Toc402794997 \h </w:instrText>
      </w:r>
      <w:r>
        <w:fldChar w:fldCharType="separate"/>
      </w:r>
      <w:r>
        <w:t>48</w:t>
      </w:r>
      <w:r>
        <w:fldChar w:fldCharType="end"/>
      </w:r>
    </w:p>
    <w:p w:rsidR="00282739" w:rsidRPr="00A93867" w:rsidRDefault="00282739" w:rsidP="00282739">
      <w:pPr>
        <w:pStyle w:val="Heading2"/>
        <w:rPr>
          <w:b/>
          <w:color w:val="000000"/>
          <w:kern w:val="28"/>
          <w:sz w:val="56"/>
          <w:szCs w:val="56"/>
        </w:rPr>
      </w:pPr>
      <w:r>
        <w:fldChar w:fldCharType="end"/>
      </w:r>
    </w:p>
    <w:p w:rsidR="00282739" w:rsidRDefault="00282739" w:rsidP="00282739">
      <w:pPr>
        <w:spacing w:before="0" w:line="240" w:lineRule="auto"/>
        <w:rPr>
          <w:rFonts w:ascii="Tahoma" w:hAnsi="Tahoma" w:cs="Tahoma"/>
          <w:color w:val="000000"/>
          <w:kern w:val="28"/>
          <w:sz w:val="56"/>
          <w:szCs w:val="56"/>
        </w:rPr>
      </w:pPr>
      <w:bookmarkStart w:id="31" w:name="_Toc402794949"/>
      <w:r>
        <w:br w:type="page"/>
      </w:r>
    </w:p>
    <w:p w:rsidR="00282739" w:rsidRDefault="00282739" w:rsidP="00282739">
      <w:pPr>
        <w:pStyle w:val="Heading1"/>
      </w:pPr>
      <w:r w:rsidRPr="00B86D06">
        <w:lastRenderedPageBreak/>
        <w:t>Executive summary</w:t>
      </w:r>
      <w:bookmarkEnd w:id="31"/>
      <w:r>
        <w:t xml:space="preserve"> </w:t>
      </w:r>
    </w:p>
    <w:p w:rsidR="00282739" w:rsidRDefault="00282739" w:rsidP="00282739">
      <w:pPr>
        <w:pStyle w:val="Text"/>
      </w:pPr>
      <w:r>
        <w:t>Despite comprising only a small fraction of all VET in Schools enrolments, programs that count towards both national vocational education and training (VET) qualifications and university entry potentially fill an important role in the upper-secondary sc</w:t>
      </w:r>
      <w:r w:rsidRPr="00F968FB">
        <w:t>hool curriculum.</w:t>
      </w:r>
      <w:r>
        <w:t xml:space="preserve"> </w:t>
      </w:r>
    </w:p>
    <w:p w:rsidR="00282739" w:rsidRDefault="00282739" w:rsidP="00282739">
      <w:pPr>
        <w:pStyle w:val="Text"/>
      </w:pPr>
      <w:r>
        <w:t xml:space="preserve">The aim of this study is to take a first step in gaining an understanding of the efficacy of VET in Schools courses by estimating the relationship between enrolling in Victorian Certificate of Education (VCE) VET subjects and university access. We choose to examine the outcomes from VCE VET courses because they represent a model of assessment, known as ‘scored VET’, that closely resembles that applied in general courses. In particular, the assessment involves both written exams and numerical assessment of performance in job-specific tasks associated with units of competency. In this study, the analysis is carried out on a sample of school completers in Victoria in 2011 who lodged a first preference for enrolment in a university course prior to sitting their final year exams. </w:t>
      </w:r>
    </w:p>
    <w:p w:rsidR="00282739" w:rsidRDefault="00282739" w:rsidP="00282739">
      <w:pPr>
        <w:pStyle w:val="Text"/>
      </w:pPr>
      <w:r>
        <w:t>To meet the aim of this study, we address the following key research questions:</w:t>
      </w:r>
    </w:p>
    <w:p w:rsidR="00282739" w:rsidRDefault="00282739" w:rsidP="00282739">
      <w:pPr>
        <w:pStyle w:val="Dotpoint1"/>
      </w:pPr>
      <w:r w:rsidRPr="000E5F80">
        <w:t xml:space="preserve">What </w:t>
      </w:r>
      <w:r>
        <w:t xml:space="preserve">is the relationship between taking a Victorian Certificate of Education VET subject and university entry scores? </w:t>
      </w:r>
    </w:p>
    <w:p w:rsidR="00282739" w:rsidRDefault="00282739" w:rsidP="00282739">
      <w:pPr>
        <w:pStyle w:val="Dotpoint1"/>
      </w:pPr>
      <w:r>
        <w:t>To what extent is any relationship explained by scores in VCE VET subjects (direct effect) as opposed to scores in all other subjects taken by VCE VET students (indirect effect)?</w:t>
      </w:r>
    </w:p>
    <w:p w:rsidR="00282739" w:rsidRDefault="00282739" w:rsidP="00282739">
      <w:pPr>
        <w:pStyle w:val="Dotpoint1"/>
      </w:pPr>
      <w:r>
        <w:t xml:space="preserve">Does any relationship </w:t>
      </w:r>
      <w:r w:rsidRPr="000E5F80">
        <w:t xml:space="preserve">depend upon the type of </w:t>
      </w:r>
      <w:r>
        <w:t xml:space="preserve">VCE </w:t>
      </w:r>
      <w:r w:rsidRPr="000E5F80">
        <w:t xml:space="preserve">VET </w:t>
      </w:r>
      <w:r>
        <w:t>subject</w:t>
      </w:r>
      <w:r w:rsidRPr="000E5F80">
        <w:t xml:space="preserve"> chosen?</w:t>
      </w:r>
    </w:p>
    <w:p w:rsidR="00282739" w:rsidRDefault="00282739" w:rsidP="00282739">
      <w:pPr>
        <w:pStyle w:val="Dotpoint1"/>
      </w:pPr>
      <w:r w:rsidRPr="000E5F80">
        <w:t xml:space="preserve">What </w:t>
      </w:r>
      <w:r>
        <w:t xml:space="preserve">is the relationship between </w:t>
      </w:r>
      <w:r w:rsidRPr="000E5F80">
        <w:t xml:space="preserve">participating in </w:t>
      </w:r>
      <w:r>
        <w:t>VCE</w:t>
      </w:r>
      <w:r w:rsidRPr="000E5F80">
        <w:t xml:space="preserve"> VET </w:t>
      </w:r>
      <w:r>
        <w:t>subject</w:t>
      </w:r>
      <w:r w:rsidRPr="000E5F80">
        <w:t xml:space="preserve">s </w:t>
      </w:r>
      <w:r>
        <w:t>and the chances of being offered a place at university</w:t>
      </w:r>
      <w:r w:rsidRPr="000E5F80">
        <w:t xml:space="preserve">? </w:t>
      </w:r>
    </w:p>
    <w:p w:rsidR="00282739" w:rsidRDefault="00282739" w:rsidP="00282739">
      <w:pPr>
        <w:pStyle w:val="Dotpoint1"/>
      </w:pPr>
      <w:r w:rsidRPr="000E5F80">
        <w:t xml:space="preserve">What </w:t>
      </w:r>
      <w:r>
        <w:t xml:space="preserve">is the relationship between </w:t>
      </w:r>
      <w:r w:rsidRPr="000E5F80">
        <w:t xml:space="preserve">participating in </w:t>
      </w:r>
      <w:r>
        <w:t>VCE</w:t>
      </w:r>
      <w:r w:rsidRPr="000E5F80">
        <w:t xml:space="preserve"> VET </w:t>
      </w:r>
      <w:r>
        <w:t>subject</w:t>
      </w:r>
      <w:r w:rsidRPr="000E5F80">
        <w:t xml:space="preserve">s </w:t>
      </w:r>
      <w:r>
        <w:t>and the chances of attaining a first, third or sixth university entry preference?</w:t>
      </w:r>
      <w:r w:rsidRPr="000E5F80">
        <w:t xml:space="preserve"> </w:t>
      </w:r>
    </w:p>
    <w:p w:rsidR="00282739" w:rsidRDefault="00282739" w:rsidP="00282739">
      <w:pPr>
        <w:pStyle w:val="Text"/>
      </w:pPr>
      <w:r>
        <w:t>As far as we are aware, this is the first study to estimate the relationship between taking a VCE VET subject and university access. In estimating the relationship, we compare the outcomes of students who do and who do not take VCE VET subjects, using a rich dataset and econometric techniques to control for differences in a large number of characteristics. Most importantly, we control for differences that may have an important bearing on university entry scores, such as prior academic performance, using Year 9 NAPLAN scores; academic aspirations, using field of education and course cut-off scores for each student’s first preference submitted for university entry; student and peer socioeconomic background; and regional and school-level factors.</w:t>
      </w:r>
      <w:r>
        <w:rPr>
          <w:rStyle w:val="FootnoteReference"/>
        </w:rPr>
        <w:footnoteReference w:id="1"/>
      </w:r>
      <w:r>
        <w:t xml:space="preserve"> Although we control for a large range of differences between the two groups, to the extent that there are differences that are not controlled for or are imperfectly controlled for the relationship between taking a VCE VET subject and university access may not reflect a causal impact. </w:t>
      </w:r>
    </w:p>
    <w:p w:rsidR="00282739" w:rsidRDefault="00282739" w:rsidP="00282739">
      <w:pPr>
        <w:pStyle w:val="Text"/>
      </w:pPr>
      <w:r>
        <w:t xml:space="preserve">The econometric technique used in this study is propensity score matching, a quasi-experimental method that simulates random assignment into VCE VET by selecting, for each student who chooses a VCE VET subject, a control group with the same observable characteristics but who did not enrol in a VCE VET subject. The outcomes from the matched control group represent counterfactual outcomes, </w:t>
      </w:r>
      <w:r>
        <w:lastRenderedPageBreak/>
        <w:t>against which the VCE VET outcomes are compared to isolate the relationship between taking a VCE VET subject and university access. A key feature of this study is the use of a unique Victorian dataset that links, at the individual level, administrative population data on university preferences used in the university admission process; university entry scores; c</w:t>
      </w:r>
      <w:r w:rsidRPr="00F968FB">
        <w:t>haracteristics of students, schools, parents and place of residence; and university offer information (the last from a large survey of graduates).</w:t>
      </w:r>
      <w:r>
        <w:t xml:space="preserve"> </w:t>
      </w:r>
    </w:p>
    <w:p w:rsidR="00282739" w:rsidRDefault="00282739" w:rsidP="00282739">
      <w:pPr>
        <w:pStyle w:val="Text"/>
      </w:pPr>
      <w:r>
        <w:t>Another key feature of this study is the development of a decomposition approach to help explain any estimated relationship. The decomposition approach splits any relationship into direct and indirect effects. For those who take a VCE VET subject, the direct effect is defined as the difference in</w:t>
      </w:r>
      <w:r w:rsidRPr="000E5F80">
        <w:t xml:space="preserve"> </w:t>
      </w:r>
      <w:r>
        <w:t>the score</w:t>
      </w:r>
      <w:r w:rsidRPr="000E5F80">
        <w:t xml:space="preserve"> </w:t>
      </w:r>
      <w:r>
        <w:t xml:space="preserve">in a VCE </w:t>
      </w:r>
      <w:r w:rsidRPr="000E5F80">
        <w:t xml:space="preserve">VET </w:t>
      </w:r>
      <w:r>
        <w:t xml:space="preserve">subject relative to the score </w:t>
      </w:r>
      <w:r w:rsidRPr="000E5F80">
        <w:t xml:space="preserve">if </w:t>
      </w:r>
      <w:r>
        <w:t xml:space="preserve">a </w:t>
      </w:r>
      <w:r w:rsidRPr="000E5F80">
        <w:t xml:space="preserve">general </w:t>
      </w:r>
      <w:r>
        <w:t>subject</w:t>
      </w:r>
      <w:r w:rsidRPr="000E5F80">
        <w:t xml:space="preserve"> </w:t>
      </w:r>
      <w:r>
        <w:t>had been</w:t>
      </w:r>
      <w:r w:rsidRPr="000E5F80">
        <w:t xml:space="preserve"> chosen instead. </w:t>
      </w:r>
      <w:r>
        <w:t>The</w:t>
      </w:r>
      <w:r w:rsidRPr="000E5F80">
        <w:t xml:space="preserve"> indirect effect</w:t>
      </w:r>
      <w:r>
        <w:t>, or spillover,</w:t>
      </w:r>
      <w:r w:rsidRPr="000E5F80">
        <w:t xml:space="preserve"> is defined as the</w:t>
      </w:r>
      <w:r>
        <w:t xml:space="preserve"> average score </w:t>
      </w:r>
      <w:r w:rsidRPr="000E5F80">
        <w:t xml:space="preserve">in </w:t>
      </w:r>
      <w:r>
        <w:t xml:space="preserve">all </w:t>
      </w:r>
      <w:r w:rsidRPr="000E5F80">
        <w:t xml:space="preserve">general </w:t>
      </w:r>
      <w:r>
        <w:t>subject</w:t>
      </w:r>
      <w:r w:rsidRPr="000E5F80">
        <w:t xml:space="preserve">s when a </w:t>
      </w:r>
      <w:r>
        <w:t xml:space="preserve">VCE </w:t>
      </w:r>
      <w:r w:rsidRPr="000E5F80">
        <w:t xml:space="preserve">VET </w:t>
      </w:r>
      <w:r>
        <w:t>subject</w:t>
      </w:r>
      <w:r w:rsidRPr="000E5F80">
        <w:t xml:space="preserve"> is chosen, relative to </w:t>
      </w:r>
      <w:r>
        <w:t>the average score in these subjects had</w:t>
      </w:r>
      <w:r w:rsidRPr="000E5F80">
        <w:t xml:space="preserve"> an alternative general </w:t>
      </w:r>
      <w:r>
        <w:t>subject</w:t>
      </w:r>
      <w:r w:rsidRPr="000E5F80">
        <w:t xml:space="preserve"> </w:t>
      </w:r>
      <w:r>
        <w:t>been chosen</w:t>
      </w:r>
      <w:r w:rsidRPr="000E5F80">
        <w:t>.</w:t>
      </w:r>
      <w:r>
        <w:t xml:space="preserve"> The results are also estimated for scored VCE VET subjects across seven subject groupings: business and finance; community, outdoor and recreation; dance and music; engineering and technology; information technology; hospitality; and equine industry. The impacts are estimated across subject groups because there are insufficient observations to allow robust estimation by individual subjects. </w:t>
      </w:r>
    </w:p>
    <w:p w:rsidR="00282739" w:rsidRDefault="00282739" w:rsidP="00282739">
      <w:pPr>
        <w:pStyle w:val="Heading2"/>
      </w:pPr>
      <w:bookmarkStart w:id="32" w:name="_Toc402794950"/>
      <w:r w:rsidRPr="00F95471">
        <w:t>Results</w:t>
      </w:r>
      <w:bookmarkEnd w:id="32"/>
    </w:p>
    <w:p w:rsidR="00282739" w:rsidRDefault="00282739" w:rsidP="00282739">
      <w:pPr>
        <w:pStyle w:val="Text"/>
        <w:ind w:right="-143"/>
      </w:pPr>
      <w:r>
        <w:t xml:space="preserve">We find among students who intend to go to university, controlling for a range of differences between those who do and who do not take a VCE VET subject, that those who take a VCE VET subject have a </w:t>
      </w:r>
      <w:r>
        <w:br/>
        <w:t xml:space="preserve">six-point lower score on average than those who do not take a VCE VET subject (111 compared with 117 out of a possible 205). This represents around a 5% lower university entry score on average and is robust to the range of alternative key assumptions that underpin the analysis. Across VCE VET subject groupings, we find some variation in magnitude of the estimated negative association, with significant negative associations found in four of the seven subject groupings (engineering and technology; community, outdoor and recreation; hospitality; information technology) and no statistically significant negative results found for the rest (business and finance; dance and music; equine industry). </w:t>
      </w:r>
    </w:p>
    <w:p w:rsidR="00282739" w:rsidRDefault="00282739" w:rsidP="00282739">
      <w:pPr>
        <w:pStyle w:val="Text"/>
      </w:pPr>
      <w:r>
        <w:t>Consistent with a lower entry score, we also find that those who take VCE VET subjects have a lower chance of receiving a university offer. In particular, on average, taking a VCE VET subject is associated with a 12-percentage-point lower chance of receiving a university offer. In other words, 67% of students who take VCE VET subjects who apply to go to university receive an offer, but it is estimated that the chance of receiving an offer would be 79% (12 percentage points higher) if these students had taken a general course instead. The large difference in the chances of attaining a university offer, despite only relatively small differences in entry scores, is because VCE VET students are on average around the middle of the entry score distribution. Therefore, their chances of receiving an offer are sensitive to small changes in entry scores, including changes associated with course choice. Similarly, taking a VCE VET subject is associated with a seven-percentage-point lower chance of attaining a top six preference, from a total of 12 preferences.</w:t>
      </w:r>
    </w:p>
    <w:p w:rsidR="00282739" w:rsidRDefault="00282739" w:rsidP="00282739">
      <w:pPr>
        <w:pStyle w:val="Text"/>
      </w:pPr>
      <w:r>
        <w:t xml:space="preserve">We estimate that most of the six-point lower entry score associated with taking a VCE VET subject (around four points or 70%) can be attributed to a negative direct effect, while the remainder is due to a negative indirect effect. The dominance of the direct effect over the indirect effect reflects the relatively low scores attained in VCE VET subjects among students who intend to go to university. On average among VCE VET students who intend to go to university, their scores in VCE VET subjects are lower than those attained in their other subjects. In this study, we cannot be precise about the underlying causes of the negative direct and indirect effects, but they may include the disruption </w:t>
      </w:r>
      <w:r>
        <w:lastRenderedPageBreak/>
        <w:t xml:space="preserve">associated with accessing training off campus, poor suitability of VET training for students who intend to go to university and down-scaling of VCE VET scores. </w:t>
      </w:r>
    </w:p>
    <w:p w:rsidR="00282739" w:rsidRPr="001C2FBE" w:rsidRDefault="00282739" w:rsidP="00282739">
      <w:pPr>
        <w:pStyle w:val="Text"/>
        <w:rPr>
          <w:lang w:val="en-GB"/>
        </w:rPr>
      </w:pPr>
      <w:r>
        <w:t>Although we cannot precisely pinpoint the source of the direct effect, an exploratory analysis suggests that the down-scaling of VCE VET subjects may be a key source</w:t>
      </w:r>
      <w:r>
        <w:rPr>
          <w:lang w:val="en-GB"/>
        </w:rPr>
        <w:t xml:space="preserve">. Scaling ensures that scores across different subjects can be compared on an equal footing so that students do not gain an unfair advantage by choosing any particular combination of courses. Existing scaling arrangements in Victoria correct for differences in the strength of competition or difficulty in attaining the mean score in a given subject. Competition in a given subject is measured as the mean score in all other subjects taken by students in that course. In subjects where competition is less than average (mean score in other subjects is less than 30), the scores are scaled down; the opposite holds when competition is above average. In VCE VET subjects, scores are scaled down, but we find evidence to suggest that the extent of the down-scaling may be greater, on average, than in many general courses because a large proportion of the students in these courses do not intend to go to university but appear to focus their effort on these courses, to the detriment of performance in other courses. Therefore, the measure of competition used in the scaling may underestimate the true difficulty of attaining the mean in VCE VET courses. Unlike general courses, VCE VET students who do not intend to go to university have an incentive to focus their effort to attain credit for, or attainment of, a national qualification. </w:t>
      </w:r>
    </w:p>
    <w:p w:rsidR="00282739" w:rsidRDefault="00282739" w:rsidP="00282739">
      <w:pPr>
        <w:pStyle w:val="Text"/>
      </w:pPr>
      <w:r>
        <w:t xml:space="preserve">In this study, we cannot rule out the possibility that the lower average entry score for VCE VET students is due to the differences in factors that are not controlled for and which affect entry scores. That said, the dominance of the direct effect suggests that this is unlikely. If there are uncontrolled differences in factors that lead to lower entry scores for VCE VET students, then to explain the entire gap they must have a disproportionately </w:t>
      </w:r>
      <w:r>
        <w:rPr>
          <w:i/>
        </w:rPr>
        <w:t xml:space="preserve">negative </w:t>
      </w:r>
      <w:r>
        <w:t xml:space="preserve">effect on scores in VCE VET subjects compared with scores in other subjects. Such factors may be differences in preferences, such as a preference for hands-on learning, but they are likely to disproportionately </w:t>
      </w:r>
      <w:r w:rsidRPr="00F32E64">
        <w:rPr>
          <w:i/>
        </w:rPr>
        <w:t>increase</w:t>
      </w:r>
      <w:r>
        <w:rPr>
          <w:i/>
        </w:rPr>
        <w:t xml:space="preserve"> </w:t>
      </w:r>
      <w:r>
        <w:t>performance in VCE VET subjects. If we assume that uncontrolled-for factors have the same effect on all subjects, then at the most they are no larger than the per-subject indirect effect, which means they would explain no more than a third of the estimated gap in university entry scores.</w:t>
      </w:r>
      <w:r>
        <w:rPr>
          <w:rStyle w:val="FootnoteReference"/>
        </w:rPr>
        <w:footnoteReference w:id="2"/>
      </w:r>
    </w:p>
    <w:p w:rsidR="00282739" w:rsidRDefault="00282739" w:rsidP="00282739">
      <w:pPr>
        <w:pStyle w:val="Heading2"/>
      </w:pPr>
      <w:bookmarkStart w:id="33" w:name="_Toc402794951"/>
      <w:r>
        <w:t>Implications</w:t>
      </w:r>
      <w:bookmarkEnd w:id="33"/>
    </w:p>
    <w:p w:rsidR="00282739" w:rsidRDefault="00282739" w:rsidP="00282739">
      <w:pPr>
        <w:pStyle w:val="Text"/>
      </w:pPr>
      <w:r>
        <w:t>The stated aim for the introduction of VCE VET subjects to the academic curriculum was to enhance the status of VET programs by recognising performance in these subjects in the same way as performance in other VCE subjects (Victorian Curriculum and Assessment Authority 2010). As well as enhancing the status of vocational education and training, these subjects potentially also serve dual purposes: to provide vocational options for those who do not intend to go to university and to allow students in the middle of the academic distribution to pursue vocational options without closing off their pathways to university. In theory, these two purposes are compatible, but in practice the results presented in this paper suggest that there may be trade-offs.</w:t>
      </w:r>
    </w:p>
    <w:p w:rsidR="00282739" w:rsidRDefault="00282739" w:rsidP="00282739">
      <w:pPr>
        <w:pStyle w:val="Text"/>
      </w:pPr>
      <w:r>
        <w:t xml:space="preserve">To better meet the dual purposes of VCE VET subjects, we suggest two courses of action. First, more research is needed into the </w:t>
      </w:r>
      <w:r w:rsidRPr="00FA7130">
        <w:t>extent</w:t>
      </w:r>
      <w:r>
        <w:t xml:space="preserve"> to which different student motivations in scored VET subjects leads to greater down-scaling than would otherwise be the case. If further investigation were to confirm our over-scaling explanation, then one possible response would be to adjust the scaling of VET subjects to </w:t>
      </w:r>
      <w:r>
        <w:lastRenderedPageBreak/>
        <w:t>account for differences in motivation. One way to do this would be to restrict the scaling to only those students who intend to go to university, measured by whether or not they lodge an application for admission to a university course prior to sitting their final exam. Scaling subjects in this way should have relatively minor impacts on scores in general subjects where a high proportion of students intend to go to university. However, there are some general VCE subjects outside the VET system, such as industry and enterprise studies, that also attract relatively high proportions of students who do not intend to go to university but who may also focus</w:t>
      </w:r>
      <w:r w:rsidRPr="001C410F">
        <w:t xml:space="preserve"> their effort</w:t>
      </w:r>
      <w:r>
        <w:t xml:space="preserve"> in a particular course because the course is especially useful for employment preparation. Given that the main purpose of scaling is to allow students to be equitably ranked for university entry, then the scaling should be based on the scores of students who are competing for university entry. </w:t>
      </w:r>
    </w:p>
    <w:p w:rsidR="00282739" w:rsidRDefault="00282739" w:rsidP="00282739">
      <w:pPr>
        <w:pStyle w:val="Text"/>
      </w:pPr>
      <w:r>
        <w:t xml:space="preserve">Second, while the negative indirect effect is small and may be potentially explained by uncontrolled-for factors, there are a number of possible low-cost precautionary measures that could be taken by government and schools. For government, collecting data on the time spent in off-campus training may help in assessing and monitoring any academic impacts. If necessary, these data would also allow better coordination of training across local school clusters where close-by options in TAFE (technical and further education) institutes may be inadequate. For schools, an appropriate response may be to encourage their students to complete VCE VET subjects in Year 11 rather than in Year 12. </w:t>
      </w:r>
    </w:p>
    <w:p w:rsidR="00282739" w:rsidRDefault="00282739" w:rsidP="00282739">
      <w:pPr>
        <w:pStyle w:val="Text"/>
      </w:pPr>
      <w:r>
        <w:t xml:space="preserve">Importantly, we stress that this study only examines the impacts of taking VCE VET subjects on direct access to university. Other important outcomes from VCE VET programs, such as indirect access to university (for example, by completing a diploma course), participation in post-school VET study, retention in post-school study, and employment outcomes are not investigated here, but should be considered in any overall evaluation of these programs. Previous studies by Anlezark, Karmel and Ong </w:t>
      </w:r>
      <w:r w:rsidRPr="00F968FB">
        <w:t>(2006), Lamb and Vickers (2006) and Polidano and Tabasso (2013) have demonstrated positive benefits to school retention and initial labour market outcomes from unscored VET in Schools courses.</w:t>
      </w:r>
      <w:r>
        <w:t xml:space="preserve"> </w:t>
      </w:r>
    </w:p>
    <w:p w:rsidR="00282739" w:rsidRDefault="00282739" w:rsidP="00282739">
      <w:pPr>
        <w:pStyle w:val="Text"/>
      </w:pPr>
    </w:p>
    <w:p w:rsidR="00282739" w:rsidRPr="00D77DAC" w:rsidRDefault="00282739" w:rsidP="00282739">
      <w:pPr>
        <w:pStyle w:val="Heading1"/>
      </w:pPr>
      <w:r w:rsidRPr="005C2FCF">
        <w:br w:type="page"/>
      </w:r>
      <w:bookmarkStart w:id="34" w:name="_Toc402794952"/>
      <w:r>
        <w:lastRenderedPageBreak/>
        <w:t>Introduction</w:t>
      </w:r>
      <w:bookmarkStart w:id="35" w:name="_Toc188077642"/>
      <w:bookmarkEnd w:id="34"/>
    </w:p>
    <w:p w:rsidR="00282739" w:rsidRPr="000E5F80" w:rsidRDefault="00282739" w:rsidP="00282739">
      <w:pPr>
        <w:pStyle w:val="Text"/>
      </w:pPr>
      <w:r>
        <w:t xml:space="preserve">As occurred in other English-speaking countries such as Canada and the United States, vocational education was first introduced into the general upper-secondary school curriculum in Australia to </w:t>
      </w:r>
      <w:r w:rsidRPr="000E5F80">
        <w:t>k</w:t>
      </w:r>
      <w:r>
        <w:t>eep less academically oriented</w:t>
      </w:r>
      <w:r w:rsidRPr="000E5F80">
        <w:t xml:space="preserve"> youth </w:t>
      </w:r>
      <w:r>
        <w:t>at</w:t>
      </w:r>
      <w:r w:rsidRPr="000E5F80">
        <w:t xml:space="preserve"> school and to improve their post-school pathways</w:t>
      </w:r>
      <w:r>
        <w:t xml:space="preserve"> into further study or work (Ministerial Council on Education, Employment, Training and Youth Affairs 1999). </w:t>
      </w:r>
      <w:r w:rsidRPr="000E5F80">
        <w:t xml:space="preserve">However, because they are designed for less academically capable students and because of the strong emphasis on preparation for university in these countries, school vocational programs are often stigmatised </w:t>
      </w:r>
      <w:r w:rsidRPr="00F968FB">
        <w:t>(OECD 2000).</w:t>
      </w:r>
      <w:r w:rsidRPr="000E5F80">
        <w:t xml:space="preserve"> </w:t>
      </w:r>
    </w:p>
    <w:p w:rsidR="00282739" w:rsidRDefault="00282739" w:rsidP="00282739">
      <w:pPr>
        <w:pStyle w:val="Text"/>
      </w:pPr>
      <w:r w:rsidRPr="000E5F80">
        <w:t>In Australia,</w:t>
      </w:r>
      <w:r>
        <w:t xml:space="preserve"> under the </w:t>
      </w:r>
      <w:r w:rsidRPr="006F1E2F">
        <w:t>New</w:t>
      </w:r>
      <w:r w:rsidRPr="00B01166">
        <w:rPr>
          <w:i/>
        </w:rPr>
        <w:t xml:space="preserve"> </w:t>
      </w:r>
      <w:r>
        <w:t>Framework for Vocational Education i</w:t>
      </w:r>
      <w:r w:rsidRPr="006F1E2F">
        <w:t>n Schools</w:t>
      </w:r>
      <w:r w:rsidRPr="00B01166">
        <w:rPr>
          <w:i/>
        </w:rPr>
        <w:t xml:space="preserve"> </w:t>
      </w:r>
      <w:r>
        <w:t>(Ministerial Council on Education, Employment, Training and Youth Affairs 2001)</w:t>
      </w:r>
      <w:r w:rsidRPr="000E5F80">
        <w:t xml:space="preserve"> </w:t>
      </w:r>
      <w:r>
        <w:t>governments</w:t>
      </w:r>
      <w:r w:rsidRPr="000E5F80">
        <w:t xml:space="preserve"> attempted to remove the stigma and broaden the participation in </w:t>
      </w:r>
      <w:r>
        <w:t>VET in Schools</w:t>
      </w:r>
      <w:r w:rsidRPr="000E5F80">
        <w:t xml:space="preserve"> </w:t>
      </w:r>
      <w:r>
        <w:t>subject</w:t>
      </w:r>
      <w:r w:rsidRPr="000E5F80">
        <w:t xml:space="preserve">s by </w:t>
      </w:r>
      <w:r>
        <w:t>encouraging performance in upper-secondary VET subjects to count towards university entry.</w:t>
      </w:r>
      <w:r w:rsidRPr="000E5F80">
        <w:rPr>
          <w:vertAlign w:val="superscript"/>
        </w:rPr>
        <w:footnoteReference w:id="3"/>
      </w:r>
      <w:r>
        <w:t xml:space="preserve"> To date, all states and territories in Australia, except Western Australia, have upper-secondary VET programs that can count towards both a national qualification and a university entry score (Australasian Curriculum, Assessment and Certificatation Authorities 2012). The way by which performance in upper-secondary VET contributes towards university entry scores varies by state. For example, subject to certain conditions, VET in Schools students in New South Wales can opt to take a written exam, their performance in which counts towards their university entry score, while in South Australia, graded performance in VET subjects is converted to numerical scores for use in the calculation of entry scores. In Victoria, some VET subjects, known as VCE VET subjects, are scored in much the same way as academic subjects.</w:t>
      </w:r>
      <w:r>
        <w:rPr>
          <w:rStyle w:val="FootnoteReference"/>
        </w:rPr>
        <w:footnoteReference w:id="4"/>
      </w:r>
      <w:r>
        <w:t xml:space="preserve"> For these subjects, an assessment framework has been developed to measure, on a numerical scale, competency-based performance. Recognising VET subject performance in measures of university entry not only helps to improve the status of VET, but for students who are in the middle of the academic distribution and who intend to go to university, they provide an alternative pathway for consideration without potentially compromising their chances of attaining access to university. </w:t>
      </w:r>
    </w:p>
    <w:p w:rsidR="00282739" w:rsidRDefault="00282739" w:rsidP="00282739">
      <w:pPr>
        <w:pStyle w:val="Text"/>
      </w:pPr>
      <w:r>
        <w:t>In this study, we make a first attempt to better understand the efficacy of VET programs that count towards university entry by examining the relationship between taking a VCE VET course and attaining university entry. A priori, the sign of any effect from taking VCE VET subjects is unclear. On the positive side, the ‘real world’ context used to teach concepts, known as experiential learning (Kolb 1984), may improve learning. In particular, it is argued that experiential learning gives students the context in which theory is applied, which in turn helps them to understand the importance of theory and engages them in the learning process (Kolb 1984). All else being equal, the more complementary the VET subject is to other general subjects, the greater the effect on student learning. Experiential learning has also been argued to better suit the learning styles of less academic students (Smith 2002). However, while there is strong evidence suggesting that students have different preferences for teaching practices, there is very little empirical evidence that matching student preferences and teaching methods is important in learning (Pashler, McDaniel &amp; Bjork 2008).</w:t>
      </w:r>
    </w:p>
    <w:p w:rsidR="00282739" w:rsidRDefault="00282739" w:rsidP="00282739">
      <w:pPr>
        <w:pStyle w:val="Text"/>
      </w:pPr>
      <w:r>
        <w:lastRenderedPageBreak/>
        <w:t>But taking a VCE VET subject may hinder access to university for three reasons. First, on average, the scores used in the calculation of university entry scores for VCE VET subjects may be scaled down to a degree because the measure of student competition that scaling corrects underestimates the intensity of competition in these subjects. Second, because they are often, in part or in full, taken off-campus, VCE VET subjects may have a disruptive effect on performance in other subjects. Finally, students who intend to go to university who choose VCE VET subjects may be attracted by the opportunity to attain a qualification, but they may not be well suited to the hands-on nature of VET training.</w:t>
      </w:r>
    </w:p>
    <w:p w:rsidR="00282739" w:rsidRDefault="00282739" w:rsidP="00282739">
      <w:pPr>
        <w:pStyle w:val="Text"/>
      </w:pPr>
      <w:r>
        <w:t>To estimate the relationship between taking VCE VET subjects and university access, we use a number of measures of university access, including university entrance scores, the chances of receiving a university offer and the chances of receiving an offer in a preferred course (top three and top six). Because some students may take VCE VET subjects for reasons besides university entry, we restrict the analysis to those who lodge a first preference (with the Victorian Tertiary Admissions Centre [VTAC]) in a higher education course prior to sitting their final VCE exams.</w:t>
      </w:r>
      <w:r w:rsidRPr="00D04A6F">
        <w:t xml:space="preserve"> </w:t>
      </w:r>
      <w:r>
        <w:t xml:space="preserve">This sample represents 64% of all Year 12 VCE VET students in 2011. We test the sensitivity of the results to this restriction. </w:t>
      </w:r>
    </w:p>
    <w:p w:rsidR="00282739" w:rsidRPr="000E5F80" w:rsidRDefault="00282739" w:rsidP="00282739">
      <w:pPr>
        <w:pStyle w:val="Text"/>
      </w:pPr>
      <w:r>
        <w:t>The s</w:t>
      </w:r>
      <w:r w:rsidRPr="000E5F80">
        <w:t xml:space="preserve">pecific questions </w:t>
      </w:r>
      <w:r>
        <w:t xml:space="preserve">addressed in this study </w:t>
      </w:r>
      <w:r w:rsidRPr="000E5F80">
        <w:t xml:space="preserve">are: </w:t>
      </w:r>
    </w:p>
    <w:p w:rsidR="00282739" w:rsidRDefault="00282739" w:rsidP="00282739">
      <w:pPr>
        <w:pStyle w:val="Dotpoint1"/>
      </w:pPr>
      <w:r w:rsidRPr="000E5F80">
        <w:t xml:space="preserve">What </w:t>
      </w:r>
      <w:r>
        <w:t xml:space="preserve">is the relationship between taking a VCE VET subject and university entry scores? </w:t>
      </w:r>
    </w:p>
    <w:p w:rsidR="00282739" w:rsidRDefault="00282739" w:rsidP="00282739">
      <w:pPr>
        <w:pStyle w:val="Dotpoint1"/>
      </w:pPr>
      <w:r>
        <w:t>To what extent is any relationship explained by scores in VCE VET subjects (direct effect) as opposed to scores in all other subjects taken by VCE VET students (indirect effect)?</w:t>
      </w:r>
    </w:p>
    <w:p w:rsidR="00282739" w:rsidRDefault="00282739" w:rsidP="00282739">
      <w:pPr>
        <w:pStyle w:val="Dotpoint1"/>
      </w:pPr>
      <w:r>
        <w:t xml:space="preserve">Does any relationship </w:t>
      </w:r>
      <w:r w:rsidRPr="000E5F80">
        <w:t xml:space="preserve">depend upon the type of </w:t>
      </w:r>
      <w:r>
        <w:t xml:space="preserve">VCE </w:t>
      </w:r>
      <w:r w:rsidRPr="000E5F80">
        <w:t xml:space="preserve">VET </w:t>
      </w:r>
      <w:r>
        <w:t>subject</w:t>
      </w:r>
      <w:r w:rsidRPr="000E5F80">
        <w:t xml:space="preserve"> chosen?</w:t>
      </w:r>
    </w:p>
    <w:p w:rsidR="00282739" w:rsidRDefault="00282739" w:rsidP="00282739">
      <w:pPr>
        <w:pStyle w:val="Dotpoint1"/>
      </w:pPr>
      <w:r w:rsidRPr="000E5F80">
        <w:t xml:space="preserve">What </w:t>
      </w:r>
      <w:r>
        <w:t xml:space="preserve">is the relationship between </w:t>
      </w:r>
      <w:r w:rsidRPr="000E5F80">
        <w:t xml:space="preserve">participating in </w:t>
      </w:r>
      <w:r>
        <w:t>VCE</w:t>
      </w:r>
      <w:r w:rsidRPr="000E5F80">
        <w:t xml:space="preserve"> VET </w:t>
      </w:r>
      <w:r>
        <w:t>subject</w:t>
      </w:r>
      <w:r w:rsidRPr="000E5F80">
        <w:t xml:space="preserve">s </w:t>
      </w:r>
      <w:r>
        <w:t>and the chances of being offered a place at university</w:t>
      </w:r>
      <w:r w:rsidRPr="000E5F80">
        <w:t xml:space="preserve">? </w:t>
      </w:r>
    </w:p>
    <w:p w:rsidR="00282739" w:rsidRDefault="00282739" w:rsidP="00282739">
      <w:pPr>
        <w:pStyle w:val="Dotpoint1"/>
      </w:pPr>
      <w:r w:rsidRPr="000E5F80">
        <w:t xml:space="preserve">What </w:t>
      </w:r>
      <w:r>
        <w:t xml:space="preserve">is the relationship between </w:t>
      </w:r>
      <w:r w:rsidRPr="000E5F80">
        <w:t xml:space="preserve">participating in </w:t>
      </w:r>
      <w:r>
        <w:t>VCE</w:t>
      </w:r>
      <w:r w:rsidRPr="000E5F80">
        <w:t xml:space="preserve"> VET </w:t>
      </w:r>
      <w:r>
        <w:t>subject</w:t>
      </w:r>
      <w:r w:rsidRPr="000E5F80">
        <w:t xml:space="preserve">s </w:t>
      </w:r>
      <w:r>
        <w:t>and the chances of attaining a first, third or sixth university entry preference?</w:t>
      </w:r>
      <w:r w:rsidRPr="000E5F80">
        <w:t xml:space="preserve"> </w:t>
      </w:r>
    </w:p>
    <w:p w:rsidR="00282739" w:rsidRDefault="00282739" w:rsidP="00282739">
      <w:pPr>
        <w:pStyle w:val="Text"/>
      </w:pPr>
      <w:r w:rsidRPr="000E5F80">
        <w:t xml:space="preserve">We </w:t>
      </w:r>
      <w:r>
        <w:t>decompose the relationship between taking a VCE VET subject and university entry scores into direct and indirect effects. A direct effect is defined as the score</w:t>
      </w:r>
      <w:r w:rsidRPr="000E5F80">
        <w:t xml:space="preserve"> in a chosen </w:t>
      </w:r>
      <w:r>
        <w:t xml:space="preserve">VCE </w:t>
      </w:r>
      <w:r w:rsidRPr="000E5F80">
        <w:t xml:space="preserve">VET </w:t>
      </w:r>
      <w:r>
        <w:t>subject</w:t>
      </w:r>
      <w:r w:rsidRPr="000E5F80">
        <w:t xml:space="preserve">, relative to </w:t>
      </w:r>
      <w:r>
        <w:t>the score</w:t>
      </w:r>
      <w:r w:rsidRPr="000E5F80">
        <w:t xml:space="preserve"> if a general </w:t>
      </w:r>
      <w:r>
        <w:t>subject</w:t>
      </w:r>
      <w:r w:rsidRPr="000E5F80">
        <w:t xml:space="preserve"> </w:t>
      </w:r>
      <w:r>
        <w:t>had been</w:t>
      </w:r>
      <w:r w:rsidRPr="000E5F80">
        <w:t xml:space="preserve"> chosen instead. An indirect effect is defined as the</w:t>
      </w:r>
      <w:r>
        <w:t xml:space="preserve"> average</w:t>
      </w:r>
      <w:r w:rsidRPr="000E5F80">
        <w:t xml:space="preserve"> </w:t>
      </w:r>
      <w:r>
        <w:t>scores</w:t>
      </w:r>
      <w:r w:rsidRPr="000E5F80">
        <w:t xml:space="preserve"> in </w:t>
      </w:r>
      <w:r>
        <w:t xml:space="preserve">all </w:t>
      </w:r>
      <w:r w:rsidRPr="000E5F80">
        <w:t>gene</w:t>
      </w:r>
      <w:r w:rsidRPr="00F968FB">
        <w:t xml:space="preserve">ral subjects when a VCE VET subject is chosen, relative to </w:t>
      </w:r>
      <w:r>
        <w:t>the scores had</w:t>
      </w:r>
      <w:r w:rsidRPr="00F968FB">
        <w:t xml:space="preserve"> an alternative general subject had been chosen. Indirect effects measure spillover effects. We only decompose the relationship between taking a VCE VET course and university entry scores because it is the main driver of university entry and should broadly reflect the decomposition of any relationship explaining the chances of receiving university offer.</w:t>
      </w:r>
      <w:r>
        <w:t xml:space="preserve"> </w:t>
      </w:r>
    </w:p>
    <w:p w:rsidR="00282739" w:rsidRDefault="00282739" w:rsidP="00282739">
      <w:pPr>
        <w:pStyle w:val="Text"/>
      </w:pPr>
      <w:r>
        <w:t>A key feature of the approach in this study is the use of propensity score matching to deal with non-random selection into VCE VET subjects. Non-random selection is present when there are differences in the characteristics</w:t>
      </w:r>
      <w:r w:rsidRPr="00391EC5">
        <w:t xml:space="preserve"> </w:t>
      </w:r>
      <w:r>
        <w:t>that affect university entry scores, such as academic ability, between those who do and those who do not participate in VET. The failure to fully control for non-random selection means that estimates may not represent the causal impacts of taking a VCE VET subject. Another feature of this study is the unique and rich dataset that is being assembled. The outcomes of interest are subject scores from the Victorian Curriculum and Assessment Authority (VCAA) and university offer information from the Victorian On Track</w:t>
      </w:r>
      <w:r>
        <w:rPr>
          <w:rStyle w:val="FootnoteReference"/>
        </w:rPr>
        <w:footnoteReference w:id="5"/>
      </w:r>
      <w:r>
        <w:t xml:space="preserve"> survey of 2011 school completers. This information is linked at the student level with Year 9 NAPLAN scores (from 2008) and the university course preference data </w:t>
      </w:r>
      <w:r>
        <w:lastRenderedPageBreak/>
        <w:t xml:space="preserve">submitted by students to the Victorian Tertiary Admissions Centre (VTAC) prior to sitting their final exams. Linking data from these sources enables us </w:t>
      </w:r>
      <w:r w:rsidRPr="00C20804">
        <w:t xml:space="preserve">to </w:t>
      </w:r>
      <w:r>
        <w:t xml:space="preserve">control for </w:t>
      </w:r>
      <w:r w:rsidRPr="00C20804">
        <w:t xml:space="preserve">differences in </w:t>
      </w:r>
      <w:r>
        <w:t xml:space="preserve">academic ability and past education investments, study aspirations, post-school subject preferences, socio-demographic variables and school and peer-level factors. </w:t>
      </w:r>
    </w:p>
    <w:p w:rsidR="00282739" w:rsidRDefault="00282739" w:rsidP="00282739">
      <w:pPr>
        <w:spacing w:before="0" w:line="240" w:lineRule="auto"/>
        <w:rPr>
          <w:rFonts w:ascii="Tahoma" w:hAnsi="Tahoma" w:cs="Tahoma"/>
          <w:color w:val="000000"/>
          <w:kern w:val="28"/>
          <w:sz w:val="56"/>
          <w:szCs w:val="56"/>
        </w:rPr>
      </w:pPr>
      <w:r>
        <w:br w:type="page"/>
      </w:r>
    </w:p>
    <w:p w:rsidR="00282739" w:rsidRPr="00C20804" w:rsidRDefault="00282739" w:rsidP="00282739">
      <w:pPr>
        <w:pStyle w:val="Heading1"/>
      </w:pPr>
      <w:bookmarkStart w:id="36" w:name="_Toc402794953"/>
      <w:r w:rsidRPr="00C20804">
        <w:lastRenderedPageBreak/>
        <w:t>Integrating VET into the academic</w:t>
      </w:r>
      <w:r>
        <w:t> </w:t>
      </w:r>
      <w:r w:rsidRPr="00C20804">
        <w:t>curriculum</w:t>
      </w:r>
      <w:bookmarkEnd w:id="36"/>
    </w:p>
    <w:p w:rsidR="00282739" w:rsidRDefault="00282739" w:rsidP="00282739">
      <w:pPr>
        <w:pStyle w:val="Text"/>
      </w:pPr>
      <w:r w:rsidRPr="001B0ECA">
        <w:t xml:space="preserve">The integration of </w:t>
      </w:r>
      <w:r>
        <w:t>vocational education and training</w:t>
      </w:r>
      <w:r w:rsidRPr="001B0ECA">
        <w:t xml:space="preserve"> into the school curriculum </w:t>
      </w:r>
      <w:r>
        <w:t>began</w:t>
      </w:r>
      <w:r w:rsidRPr="001B0ECA">
        <w:t xml:space="preserve"> in Australia in the mid-1990s</w:t>
      </w:r>
      <w:r>
        <w:t xml:space="preserve"> and</w:t>
      </w:r>
      <w:r w:rsidRPr="001B0ECA">
        <w:t xml:space="preserve"> coincid</w:t>
      </w:r>
      <w:r>
        <w:t>ed</w:t>
      </w:r>
      <w:r w:rsidRPr="001B0ECA">
        <w:t xml:space="preserve"> with a move to</w:t>
      </w:r>
      <w:r>
        <w:t xml:space="preserve"> a competency-</w:t>
      </w:r>
      <w:r w:rsidRPr="001B0ECA">
        <w:t xml:space="preserve">based VET qualification system nationally. </w:t>
      </w:r>
      <w:r>
        <w:t xml:space="preserve">Under a competency-based system, </w:t>
      </w:r>
      <w:r w:rsidRPr="001B0ECA">
        <w:t xml:space="preserve">qualifications are awarded </w:t>
      </w:r>
      <w:r>
        <w:t xml:space="preserve">for the </w:t>
      </w:r>
      <w:r w:rsidRPr="001B0ECA">
        <w:t>demonstrati</w:t>
      </w:r>
      <w:r>
        <w:t>on of</w:t>
      </w:r>
      <w:r w:rsidRPr="001B0ECA">
        <w:t xml:space="preserve"> competency in carrying</w:t>
      </w:r>
      <w:r>
        <w:t xml:space="preserve"> </w:t>
      </w:r>
      <w:r w:rsidRPr="001B0ECA">
        <w:t xml:space="preserve">out </w:t>
      </w:r>
      <w:r>
        <w:t xml:space="preserve">the </w:t>
      </w:r>
      <w:r w:rsidRPr="001B0ECA">
        <w:t xml:space="preserve">job-specific tasks </w:t>
      </w:r>
      <w:r>
        <w:t>defined</w:t>
      </w:r>
      <w:r w:rsidRPr="001B0ECA">
        <w:t xml:space="preserve"> in nationally agreed training packages</w:t>
      </w:r>
      <w:r>
        <w:t>. The incompatibility between competency-based and grade-based assessment was a key challenge in integrating VET subjects in the upper-secondary curriculum (Barnett &amp; Ryan 2005).</w:t>
      </w:r>
    </w:p>
    <w:p w:rsidR="00282739" w:rsidRDefault="00282739" w:rsidP="00282739">
      <w:pPr>
        <w:pStyle w:val="Text"/>
      </w:pPr>
      <w:r>
        <w:t xml:space="preserve">The degree to which VET subjects have been integrated into the upper-secondary school curriculum varied across states. For example, in New South Wales and Queensland, many of the endorsed VET in Schools subjects sat outside the academic curriculum and did not count towards a school completion certificate. At the other extreme, Victoria, keen to promote VET in Schools programs, integrated parts of the nationally accredited subjects into existing academic subjects, which meant that the subjects contributed to both a secondary school certificate and a nationally accredited VET qualification (known as the dual model). While academic scores from VET subjects initially did not count towards university entry, to entice more academically inclined students to take them, a 10% increment was offered on a student’s primary four academic scores. </w:t>
      </w:r>
    </w:p>
    <w:p w:rsidR="00282739" w:rsidRDefault="00282739" w:rsidP="00282739">
      <w:pPr>
        <w:pStyle w:val="Text"/>
      </w:pPr>
      <w:r>
        <w:t xml:space="preserve">Since the publication of the </w:t>
      </w:r>
      <w:r w:rsidRPr="00220AD9">
        <w:t xml:space="preserve">New </w:t>
      </w:r>
      <w:r>
        <w:t>Framework for Vocational Education i</w:t>
      </w:r>
      <w:r w:rsidRPr="00220AD9">
        <w:t>n Schools</w:t>
      </w:r>
      <w:r w:rsidRPr="001B0ECA">
        <w:t xml:space="preserve"> (</w:t>
      </w:r>
      <w:r>
        <w:t>Ministerial Council on Education, Employment, Training and Youth Affairs</w:t>
      </w:r>
      <w:r w:rsidRPr="001B0ECA">
        <w:t xml:space="preserve"> 2001)</w:t>
      </w:r>
      <w:r>
        <w:t>, most VET subjects now count towards both a national VET qualification and a secondary school certificate in all states. And in response to the New F</w:t>
      </w:r>
      <w:r w:rsidRPr="00220AD9">
        <w:t>ramework</w:t>
      </w:r>
      <w:r w:rsidRPr="006D668D">
        <w:t xml:space="preserve"> recommendation </w:t>
      </w:r>
      <w:r>
        <w:t>to extend participation in vocational education and training by ensuring that it provides a pathway to university entry, to the best of our knowledge, all states except Western Australia have upper-secondary VET subjects that count to both a national qualification and university entry scores (Australasian Curriculum, Assessment and Certification Authorities 2012).</w:t>
      </w:r>
    </w:p>
    <w:p w:rsidR="00282739" w:rsidRDefault="00282739" w:rsidP="00282739">
      <w:pPr>
        <w:pStyle w:val="Text"/>
      </w:pPr>
      <w:r>
        <w:t>We concentrate on estimating the impacts of undertaking VCE VET subjects in Victoria for two reasons. First, as noted above, since the inception of VET in Schools in 1994, Victoria has adopted a model whereby VET subjects are highly integrated into the secondary school curriculum. Second, Victoria was also the first state, in 1997, to allow scores for some VET subjects to count fully towards a national qualification, a state secondary school certificate (the Victorian Certificate of Education) and university entry.</w:t>
      </w:r>
      <w:r>
        <w:rPr>
          <w:rStyle w:val="FootnoteReference"/>
        </w:rPr>
        <w:footnoteReference w:id="6"/>
      </w:r>
      <w:r>
        <w:t xml:space="preserve"> The analysis in this paper is based on outcomes for students in their final year of study in 2011.</w:t>
      </w:r>
    </w:p>
    <w:p w:rsidR="00282739" w:rsidRDefault="00282739" w:rsidP="00282739">
      <w:pPr>
        <w:pStyle w:val="Heading2"/>
      </w:pPr>
      <w:bookmarkStart w:id="37" w:name="_Toc402794954"/>
      <w:r>
        <w:t>VET in Schools in Victoria</w:t>
      </w:r>
      <w:bookmarkEnd w:id="37"/>
    </w:p>
    <w:p w:rsidR="00282739" w:rsidRDefault="00282739" w:rsidP="00282739">
      <w:pPr>
        <w:pStyle w:val="Text"/>
      </w:pPr>
      <w:r>
        <w:t xml:space="preserve">In Victoria in 2011 there </w:t>
      </w:r>
      <w:r w:rsidRPr="00AF366F">
        <w:t>were 27</w:t>
      </w:r>
      <w:r>
        <w:t xml:space="preserve"> </w:t>
      </w:r>
      <w:r w:rsidRPr="00AF366F">
        <w:t>subjects that count</w:t>
      </w:r>
      <w:r>
        <w:t>ed</w:t>
      </w:r>
      <w:r w:rsidRPr="00AF366F">
        <w:t xml:space="preserve"> to</w:t>
      </w:r>
      <w:r>
        <w:t>wards</w:t>
      </w:r>
      <w:r w:rsidRPr="00AF366F">
        <w:t xml:space="preserve"> both a nationally accredited VET qualification and the </w:t>
      </w:r>
      <w:r>
        <w:t>Victorian Certificate of Education</w:t>
      </w:r>
      <w:r w:rsidRPr="00AF366F">
        <w:t>. Of these subjects</w:t>
      </w:r>
      <w:r>
        <w:t>,</w:t>
      </w:r>
      <w:r w:rsidRPr="00AF366F">
        <w:t xml:space="preserve"> 17 (</w:t>
      </w:r>
      <w:r>
        <w:t xml:space="preserve">see table 1), which are at the VCE unit 3 and 4 level, can be scored and included in the calculation of the university entry score. </w:t>
      </w:r>
      <w:r w:rsidRPr="00FE28CE">
        <w:t xml:space="preserve">It is important to note that scored VCE VET </w:t>
      </w:r>
      <w:r>
        <w:t>subjects are not designed as stand-</w:t>
      </w:r>
      <w:r w:rsidRPr="00FE28CE">
        <w:t xml:space="preserve">alone </w:t>
      </w:r>
      <w:r>
        <w:t>subject</w:t>
      </w:r>
      <w:r w:rsidRPr="00FE28CE">
        <w:t xml:space="preserve">s; instead, </w:t>
      </w:r>
      <w:r>
        <w:t>it is</w:t>
      </w:r>
      <w:r w:rsidRPr="00FE28CE">
        <w:t xml:space="preserve"> highly</w:t>
      </w:r>
      <w:r>
        <w:t xml:space="preserve"> recommended that students undertake lower-</w:t>
      </w:r>
      <w:r w:rsidRPr="00FE28CE">
        <w:t xml:space="preserve">level </w:t>
      </w:r>
      <w:r>
        <w:t>subject</w:t>
      </w:r>
      <w:r w:rsidRPr="00FE28CE">
        <w:t>s in these fields first (VCE unit</w:t>
      </w:r>
      <w:r>
        <w:t xml:space="preserve"> levels 1 and 2) in Year 10 and/</w:t>
      </w:r>
      <w:r w:rsidRPr="00FE28CE">
        <w:t>or Year 11</w:t>
      </w:r>
      <w:r>
        <w:t>.</w:t>
      </w:r>
      <w:r>
        <w:rPr>
          <w:rStyle w:val="FootnoteReference"/>
          <w:color w:val="000000"/>
          <w:sz w:val="20"/>
        </w:rPr>
        <w:footnoteReference w:id="7"/>
      </w:r>
    </w:p>
    <w:p w:rsidR="00282739" w:rsidRPr="00A14583" w:rsidRDefault="00282739" w:rsidP="00282739">
      <w:pPr>
        <w:pStyle w:val="tabletitle"/>
      </w:pPr>
      <w:bookmarkStart w:id="38" w:name="_Toc402794974"/>
      <w:r>
        <w:lastRenderedPageBreak/>
        <w:t>Table 1</w:t>
      </w:r>
      <w:r>
        <w:tab/>
      </w:r>
      <w:r w:rsidRPr="00A14583">
        <w:t>VCE VET subjects in 2011</w:t>
      </w:r>
      <w:bookmarkEnd w:id="38"/>
    </w:p>
    <w:tbl>
      <w:tblPr>
        <w:tblW w:w="8789" w:type="dxa"/>
        <w:tblInd w:w="113" w:type="dxa"/>
        <w:tblLayout w:type="fixed"/>
        <w:tblCellMar>
          <w:left w:w="113" w:type="dxa"/>
          <w:right w:w="113" w:type="dxa"/>
        </w:tblCellMar>
        <w:tblLook w:val="04A0" w:firstRow="1" w:lastRow="0" w:firstColumn="1" w:lastColumn="0" w:noHBand="0" w:noVBand="1"/>
      </w:tblPr>
      <w:tblGrid>
        <w:gridCol w:w="4394"/>
        <w:gridCol w:w="4395"/>
      </w:tblGrid>
      <w:tr w:rsidR="00282739" w:rsidRPr="005B37D9" w:rsidTr="003C6043">
        <w:tc>
          <w:tcPr>
            <w:tcW w:w="4394" w:type="dxa"/>
            <w:tcBorders>
              <w:top w:val="single" w:sz="4" w:space="0" w:color="auto"/>
              <w:left w:val="nil"/>
              <w:bottom w:val="single" w:sz="4" w:space="0" w:color="auto"/>
              <w:right w:val="nil"/>
            </w:tcBorders>
            <w:shd w:val="clear" w:color="000000" w:fill="FFFFFF"/>
            <w:noWrap/>
            <w:tcMar>
              <w:top w:w="17" w:type="dxa"/>
              <w:left w:w="113" w:type="dxa"/>
              <w:bottom w:w="0" w:type="dxa"/>
              <w:right w:w="113" w:type="dxa"/>
            </w:tcMar>
            <w:hideMark/>
          </w:tcPr>
          <w:p w:rsidR="00282739" w:rsidRPr="005B37D9" w:rsidRDefault="00282739" w:rsidP="003C6043">
            <w:pPr>
              <w:pStyle w:val="Tablehead1"/>
            </w:pPr>
            <w:r w:rsidRPr="005B37D9">
              <w:t>Subjects that can be scored</w:t>
            </w:r>
          </w:p>
        </w:tc>
        <w:tc>
          <w:tcPr>
            <w:tcW w:w="4395" w:type="dxa"/>
            <w:tcBorders>
              <w:top w:val="single" w:sz="4" w:space="0" w:color="auto"/>
              <w:left w:val="nil"/>
              <w:bottom w:val="single" w:sz="4" w:space="0" w:color="auto"/>
              <w:right w:val="nil"/>
            </w:tcBorders>
            <w:shd w:val="clear" w:color="000000" w:fill="FFFFFF"/>
            <w:tcMar>
              <w:left w:w="113" w:type="dxa"/>
              <w:right w:w="113" w:type="dxa"/>
            </w:tcMar>
          </w:tcPr>
          <w:p w:rsidR="00282739" w:rsidRPr="005B37D9" w:rsidRDefault="00282739" w:rsidP="003C6043">
            <w:pPr>
              <w:pStyle w:val="Tablehead1"/>
            </w:pPr>
            <w:r w:rsidRPr="005B37D9">
              <w:t>Subjects not scored</w:t>
            </w:r>
          </w:p>
        </w:tc>
      </w:tr>
      <w:tr w:rsidR="00282739" w:rsidTr="003C6043">
        <w:tc>
          <w:tcPr>
            <w:tcW w:w="4394" w:type="dxa"/>
            <w:tcBorders>
              <w:top w:val="nil"/>
              <w:left w:val="nil"/>
              <w:bottom w:val="nil"/>
              <w:right w:val="nil"/>
            </w:tcBorders>
            <w:shd w:val="clear" w:color="000000" w:fill="FFFFFF"/>
            <w:noWrap/>
            <w:tcMar>
              <w:top w:w="17" w:type="dxa"/>
              <w:left w:w="113" w:type="dxa"/>
              <w:bottom w:w="0" w:type="dxa"/>
              <w:right w:w="113" w:type="dxa"/>
            </w:tcMar>
            <w:hideMark/>
          </w:tcPr>
          <w:p w:rsidR="00282739" w:rsidRDefault="00282739" w:rsidP="003C6043">
            <w:pPr>
              <w:pStyle w:val="Tabletext"/>
            </w:pPr>
            <w:r>
              <w:t>Business</w:t>
            </w:r>
          </w:p>
        </w:tc>
        <w:tc>
          <w:tcPr>
            <w:tcW w:w="4395" w:type="dxa"/>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pPr>
            <w:r w:rsidRPr="00830481">
              <w:t>Agriculture</w:t>
            </w:r>
          </w:p>
        </w:tc>
      </w:tr>
      <w:tr w:rsidR="00282739" w:rsidTr="003C6043">
        <w:tc>
          <w:tcPr>
            <w:tcW w:w="4394" w:type="dxa"/>
            <w:tcBorders>
              <w:top w:val="nil"/>
              <w:left w:val="nil"/>
              <w:bottom w:val="nil"/>
              <w:right w:val="nil"/>
            </w:tcBorders>
            <w:shd w:val="clear" w:color="000000" w:fill="FFFFFF"/>
            <w:noWrap/>
            <w:tcMar>
              <w:top w:w="17" w:type="dxa"/>
              <w:left w:w="113" w:type="dxa"/>
              <w:bottom w:w="0" w:type="dxa"/>
              <w:right w:w="113" w:type="dxa"/>
            </w:tcMar>
            <w:hideMark/>
          </w:tcPr>
          <w:p w:rsidR="00282739" w:rsidRDefault="00282739" w:rsidP="003C6043">
            <w:pPr>
              <w:pStyle w:val="Tabletext"/>
            </w:pPr>
            <w:r>
              <w:t>Community recreation</w:t>
            </w:r>
          </w:p>
        </w:tc>
        <w:tc>
          <w:tcPr>
            <w:tcW w:w="4395" w:type="dxa"/>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pPr>
            <w:r w:rsidRPr="00830481">
              <w:t>Applied fashion design and technology</w:t>
            </w:r>
          </w:p>
        </w:tc>
      </w:tr>
      <w:tr w:rsidR="00282739" w:rsidTr="003C6043">
        <w:tc>
          <w:tcPr>
            <w:tcW w:w="4394" w:type="dxa"/>
            <w:tcBorders>
              <w:top w:val="nil"/>
              <w:left w:val="nil"/>
              <w:bottom w:val="nil"/>
              <w:right w:val="nil"/>
            </w:tcBorders>
            <w:shd w:val="clear" w:color="000000" w:fill="FFFFFF"/>
            <w:noWrap/>
            <w:tcMar>
              <w:top w:w="17" w:type="dxa"/>
              <w:left w:w="113" w:type="dxa"/>
              <w:bottom w:w="0" w:type="dxa"/>
              <w:right w:w="113" w:type="dxa"/>
            </w:tcMar>
          </w:tcPr>
          <w:p w:rsidR="00282739" w:rsidRDefault="00282739" w:rsidP="003C6043">
            <w:pPr>
              <w:pStyle w:val="Tabletext"/>
            </w:pPr>
            <w:r>
              <w:t>Community services</w:t>
            </w:r>
          </w:p>
        </w:tc>
        <w:tc>
          <w:tcPr>
            <w:tcW w:w="4395" w:type="dxa"/>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pPr>
            <w:r w:rsidRPr="00830481">
              <w:t>Automotive</w:t>
            </w:r>
          </w:p>
        </w:tc>
      </w:tr>
      <w:tr w:rsidR="00282739" w:rsidTr="003C6043">
        <w:tc>
          <w:tcPr>
            <w:tcW w:w="4394" w:type="dxa"/>
            <w:tcBorders>
              <w:top w:val="nil"/>
              <w:left w:val="nil"/>
              <w:bottom w:val="nil"/>
              <w:right w:val="nil"/>
            </w:tcBorders>
            <w:shd w:val="clear" w:color="000000" w:fill="FFFFFF"/>
            <w:noWrap/>
            <w:tcMar>
              <w:top w:w="17" w:type="dxa"/>
              <w:left w:w="113" w:type="dxa"/>
              <w:bottom w:w="0" w:type="dxa"/>
              <w:right w:w="113" w:type="dxa"/>
            </w:tcMar>
          </w:tcPr>
          <w:p w:rsidR="00282739" w:rsidRDefault="00282739" w:rsidP="003C6043">
            <w:pPr>
              <w:pStyle w:val="Tabletext"/>
            </w:pPr>
            <w:r>
              <w:t>Dance</w:t>
            </w:r>
          </w:p>
        </w:tc>
        <w:tc>
          <w:tcPr>
            <w:tcW w:w="4395" w:type="dxa"/>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pPr>
            <w:r>
              <w:t>Building and c</w:t>
            </w:r>
            <w:r w:rsidRPr="00830481">
              <w:t>onstruction</w:t>
            </w:r>
          </w:p>
        </w:tc>
      </w:tr>
      <w:tr w:rsidR="00282739" w:rsidTr="003C6043">
        <w:tc>
          <w:tcPr>
            <w:tcW w:w="4394" w:type="dxa"/>
            <w:tcBorders>
              <w:top w:val="nil"/>
              <w:left w:val="nil"/>
              <w:bottom w:val="nil"/>
              <w:right w:val="nil"/>
            </w:tcBorders>
            <w:shd w:val="clear" w:color="000000" w:fill="FFFFFF"/>
            <w:noWrap/>
            <w:tcMar>
              <w:top w:w="17" w:type="dxa"/>
              <w:left w:w="113" w:type="dxa"/>
              <w:bottom w:w="0" w:type="dxa"/>
              <w:right w:w="113" w:type="dxa"/>
            </w:tcMar>
          </w:tcPr>
          <w:p w:rsidR="00282739" w:rsidRDefault="00282739" w:rsidP="003C6043">
            <w:pPr>
              <w:pStyle w:val="Tabletext"/>
            </w:pPr>
            <w:r>
              <w:t>Electrotechnology</w:t>
            </w:r>
          </w:p>
        </w:tc>
        <w:tc>
          <w:tcPr>
            <w:tcW w:w="4395" w:type="dxa"/>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pPr>
            <w:r w:rsidRPr="00830481">
              <w:t>Cisco</w:t>
            </w:r>
          </w:p>
        </w:tc>
      </w:tr>
      <w:tr w:rsidR="00282739" w:rsidTr="003C6043">
        <w:tc>
          <w:tcPr>
            <w:tcW w:w="4394" w:type="dxa"/>
            <w:tcBorders>
              <w:top w:val="nil"/>
              <w:left w:val="nil"/>
              <w:bottom w:val="nil"/>
              <w:right w:val="nil"/>
            </w:tcBorders>
            <w:shd w:val="clear" w:color="000000" w:fill="FFFFFF"/>
            <w:noWrap/>
            <w:tcMar>
              <w:top w:w="17" w:type="dxa"/>
              <w:left w:w="113" w:type="dxa"/>
              <w:bottom w:w="0" w:type="dxa"/>
              <w:right w:w="113" w:type="dxa"/>
            </w:tcMar>
          </w:tcPr>
          <w:p w:rsidR="00282739" w:rsidRDefault="00282739" w:rsidP="003C6043">
            <w:pPr>
              <w:pStyle w:val="Tabletext"/>
            </w:pPr>
            <w:r>
              <w:t>Engineering studies</w:t>
            </w:r>
          </w:p>
        </w:tc>
        <w:tc>
          <w:tcPr>
            <w:tcW w:w="4395" w:type="dxa"/>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pPr>
            <w:r w:rsidRPr="00830481">
              <w:t>Conservation and land management</w:t>
            </w:r>
          </w:p>
        </w:tc>
      </w:tr>
      <w:tr w:rsidR="00282739" w:rsidTr="003C6043">
        <w:tc>
          <w:tcPr>
            <w:tcW w:w="4394" w:type="dxa"/>
            <w:tcBorders>
              <w:top w:val="nil"/>
              <w:left w:val="nil"/>
              <w:bottom w:val="nil"/>
              <w:right w:val="nil"/>
            </w:tcBorders>
            <w:shd w:val="clear" w:color="000000" w:fill="FFFFFF"/>
            <w:noWrap/>
            <w:tcMar>
              <w:top w:w="17" w:type="dxa"/>
              <w:left w:w="113" w:type="dxa"/>
              <w:bottom w:w="0" w:type="dxa"/>
              <w:right w:w="113" w:type="dxa"/>
            </w:tcMar>
          </w:tcPr>
          <w:p w:rsidR="00282739" w:rsidRDefault="00282739" w:rsidP="003C6043">
            <w:pPr>
              <w:pStyle w:val="Tabletext"/>
            </w:pPr>
            <w:r>
              <w:t>Equine industry</w:t>
            </w:r>
          </w:p>
        </w:tc>
        <w:tc>
          <w:tcPr>
            <w:tcW w:w="4395" w:type="dxa"/>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pPr>
            <w:r w:rsidRPr="00830481">
              <w:t>Desktop publishing and printing</w:t>
            </w:r>
          </w:p>
        </w:tc>
      </w:tr>
      <w:tr w:rsidR="00282739" w:rsidTr="003C6043">
        <w:tc>
          <w:tcPr>
            <w:tcW w:w="4394" w:type="dxa"/>
            <w:tcBorders>
              <w:top w:val="nil"/>
              <w:left w:val="nil"/>
              <w:bottom w:val="nil"/>
              <w:right w:val="nil"/>
            </w:tcBorders>
            <w:shd w:val="clear" w:color="000000" w:fill="FFFFFF"/>
            <w:noWrap/>
            <w:tcMar>
              <w:top w:w="17" w:type="dxa"/>
              <w:left w:w="113" w:type="dxa"/>
              <w:bottom w:w="0" w:type="dxa"/>
              <w:right w:w="113" w:type="dxa"/>
            </w:tcMar>
          </w:tcPr>
          <w:p w:rsidR="00282739" w:rsidRDefault="00282739" w:rsidP="003C6043">
            <w:pPr>
              <w:pStyle w:val="Tabletext"/>
            </w:pPr>
            <w:r>
              <w:t>Financial services</w:t>
            </w:r>
          </w:p>
        </w:tc>
        <w:tc>
          <w:tcPr>
            <w:tcW w:w="4395" w:type="dxa"/>
            <w:tcBorders>
              <w:top w:val="nil"/>
              <w:left w:val="nil"/>
              <w:bottom w:val="nil"/>
              <w:right w:val="nil"/>
            </w:tcBorders>
            <w:shd w:val="clear" w:color="000000" w:fill="FFFFFF"/>
            <w:noWrap/>
            <w:tcMar>
              <w:top w:w="17" w:type="dxa"/>
              <w:left w:w="113" w:type="dxa"/>
              <w:bottom w:w="0" w:type="dxa"/>
              <w:right w:w="113" w:type="dxa"/>
            </w:tcMar>
          </w:tcPr>
          <w:p w:rsidR="00282739" w:rsidRPr="00830481" w:rsidRDefault="00282739" w:rsidP="003C6043">
            <w:pPr>
              <w:pStyle w:val="Tabletext"/>
            </w:pPr>
            <w:r w:rsidRPr="00830481">
              <w:t>Food processing (wine)</w:t>
            </w:r>
          </w:p>
        </w:tc>
      </w:tr>
      <w:tr w:rsidR="00282739" w:rsidTr="003C6043">
        <w:tc>
          <w:tcPr>
            <w:tcW w:w="4394" w:type="dxa"/>
            <w:tcBorders>
              <w:top w:val="nil"/>
              <w:left w:val="nil"/>
              <w:bottom w:val="nil"/>
              <w:right w:val="nil"/>
            </w:tcBorders>
            <w:shd w:val="clear" w:color="000000" w:fill="FFFFFF"/>
            <w:noWrap/>
            <w:tcMar>
              <w:top w:w="17" w:type="dxa"/>
              <w:left w:w="113" w:type="dxa"/>
              <w:bottom w:w="0" w:type="dxa"/>
              <w:right w:w="113" w:type="dxa"/>
            </w:tcMar>
          </w:tcPr>
          <w:p w:rsidR="00282739" w:rsidRDefault="00282739" w:rsidP="003C6043">
            <w:pPr>
              <w:pStyle w:val="Tabletext"/>
            </w:pPr>
            <w:r>
              <w:t>Furnishing</w:t>
            </w:r>
          </w:p>
        </w:tc>
        <w:tc>
          <w:tcPr>
            <w:tcW w:w="4395" w:type="dxa"/>
            <w:tcBorders>
              <w:top w:val="nil"/>
              <w:left w:val="nil"/>
              <w:bottom w:val="nil"/>
              <w:right w:val="nil"/>
            </w:tcBorders>
            <w:shd w:val="clear" w:color="000000" w:fill="FFFFFF"/>
            <w:noWrap/>
            <w:tcMar>
              <w:top w:w="17" w:type="dxa"/>
              <w:left w:w="113" w:type="dxa"/>
              <w:bottom w:w="0" w:type="dxa"/>
              <w:right w:w="113" w:type="dxa"/>
            </w:tcMar>
          </w:tcPr>
          <w:p w:rsidR="00282739" w:rsidRPr="00830481" w:rsidRDefault="00282739" w:rsidP="003C6043">
            <w:pPr>
              <w:pStyle w:val="Tabletext"/>
            </w:pPr>
            <w:r>
              <w:t>Horticulture</w:t>
            </w:r>
          </w:p>
        </w:tc>
      </w:tr>
      <w:tr w:rsidR="00282739" w:rsidTr="003C6043">
        <w:tc>
          <w:tcPr>
            <w:tcW w:w="4394" w:type="dxa"/>
            <w:tcBorders>
              <w:top w:val="nil"/>
              <w:left w:val="nil"/>
              <w:bottom w:val="nil"/>
              <w:right w:val="nil"/>
            </w:tcBorders>
            <w:shd w:val="clear" w:color="000000" w:fill="FFFFFF"/>
            <w:noWrap/>
            <w:tcMar>
              <w:top w:w="17" w:type="dxa"/>
              <w:left w:w="113" w:type="dxa"/>
              <w:bottom w:w="0" w:type="dxa"/>
              <w:right w:w="113" w:type="dxa"/>
            </w:tcMar>
          </w:tcPr>
          <w:p w:rsidR="00282739" w:rsidRDefault="00282739" w:rsidP="003C6043">
            <w:pPr>
              <w:pStyle w:val="Tabletext"/>
            </w:pPr>
            <w:r>
              <w:t>Hospitality</w:t>
            </w:r>
          </w:p>
        </w:tc>
        <w:tc>
          <w:tcPr>
            <w:tcW w:w="4395" w:type="dxa"/>
            <w:tcBorders>
              <w:top w:val="nil"/>
              <w:left w:val="nil"/>
              <w:bottom w:val="nil"/>
              <w:right w:val="nil"/>
            </w:tcBorders>
            <w:shd w:val="clear" w:color="000000" w:fill="FFFFFF"/>
            <w:noWrap/>
            <w:tcMar>
              <w:top w:w="17" w:type="dxa"/>
              <w:left w:w="113" w:type="dxa"/>
              <w:bottom w:w="0" w:type="dxa"/>
              <w:right w:w="113" w:type="dxa"/>
            </w:tcMar>
          </w:tcPr>
          <w:p w:rsidR="00282739" w:rsidRPr="00830481" w:rsidRDefault="00282739" w:rsidP="003C6043">
            <w:pPr>
              <w:pStyle w:val="Tabletext"/>
            </w:pPr>
            <w:r w:rsidRPr="00830481">
              <w:t>Small business</w:t>
            </w:r>
          </w:p>
        </w:tc>
      </w:tr>
      <w:tr w:rsidR="00282739" w:rsidTr="003C6043">
        <w:tc>
          <w:tcPr>
            <w:tcW w:w="4394" w:type="dxa"/>
            <w:tcBorders>
              <w:top w:val="nil"/>
              <w:left w:val="nil"/>
              <w:bottom w:val="nil"/>
              <w:right w:val="nil"/>
            </w:tcBorders>
            <w:shd w:val="clear" w:color="000000" w:fill="FFFFFF"/>
            <w:noWrap/>
            <w:tcMar>
              <w:top w:w="17" w:type="dxa"/>
              <w:left w:w="113" w:type="dxa"/>
              <w:bottom w:w="0" w:type="dxa"/>
              <w:right w:w="113" w:type="dxa"/>
            </w:tcMar>
          </w:tcPr>
          <w:p w:rsidR="00282739" w:rsidRDefault="00282739" w:rsidP="003C6043">
            <w:pPr>
              <w:pStyle w:val="Tabletext"/>
            </w:pPr>
            <w:r>
              <w:t>Hospitality (kitchen operations)</w:t>
            </w:r>
          </w:p>
        </w:tc>
        <w:tc>
          <w:tcPr>
            <w:tcW w:w="4395" w:type="dxa"/>
            <w:tcBorders>
              <w:top w:val="nil"/>
              <w:left w:val="nil"/>
              <w:bottom w:val="nil"/>
              <w:right w:val="nil"/>
            </w:tcBorders>
            <w:shd w:val="clear" w:color="auto" w:fill="auto"/>
            <w:noWrap/>
            <w:tcMar>
              <w:top w:w="17" w:type="dxa"/>
              <w:left w:w="113" w:type="dxa"/>
              <w:bottom w:w="0" w:type="dxa"/>
              <w:right w:w="113" w:type="dxa"/>
            </w:tcMar>
            <w:hideMark/>
          </w:tcPr>
          <w:p w:rsidR="00282739" w:rsidRPr="00830481" w:rsidRDefault="00282739" w:rsidP="003C6043">
            <w:pPr>
              <w:pStyle w:val="Tabletext"/>
            </w:pPr>
          </w:p>
        </w:tc>
      </w:tr>
      <w:tr w:rsidR="00282739" w:rsidTr="003C6043">
        <w:tc>
          <w:tcPr>
            <w:tcW w:w="4394" w:type="dxa"/>
            <w:tcBorders>
              <w:top w:val="nil"/>
              <w:left w:val="nil"/>
              <w:bottom w:val="nil"/>
              <w:right w:val="nil"/>
            </w:tcBorders>
            <w:shd w:val="clear" w:color="000000" w:fill="FFFFFF"/>
            <w:noWrap/>
            <w:tcMar>
              <w:top w:w="17" w:type="dxa"/>
              <w:left w:w="113" w:type="dxa"/>
              <w:bottom w:w="0" w:type="dxa"/>
              <w:right w:w="113" w:type="dxa"/>
            </w:tcMar>
          </w:tcPr>
          <w:p w:rsidR="00282739" w:rsidRDefault="00282739" w:rsidP="003C6043">
            <w:pPr>
              <w:pStyle w:val="Tabletext"/>
            </w:pPr>
            <w:r>
              <w:t>Information technology</w:t>
            </w:r>
          </w:p>
        </w:tc>
        <w:tc>
          <w:tcPr>
            <w:tcW w:w="4395" w:type="dxa"/>
            <w:tcBorders>
              <w:top w:val="nil"/>
              <w:left w:val="nil"/>
              <w:bottom w:val="nil"/>
              <w:right w:val="nil"/>
            </w:tcBorders>
            <w:shd w:val="clear" w:color="auto" w:fill="auto"/>
            <w:noWrap/>
            <w:tcMar>
              <w:top w:w="17" w:type="dxa"/>
              <w:left w:w="113" w:type="dxa"/>
              <w:bottom w:w="0" w:type="dxa"/>
              <w:right w:w="113" w:type="dxa"/>
            </w:tcMar>
          </w:tcPr>
          <w:p w:rsidR="00282739" w:rsidRPr="00830481" w:rsidRDefault="00282739" w:rsidP="003C6043">
            <w:pPr>
              <w:pStyle w:val="Tabletext"/>
            </w:pPr>
          </w:p>
        </w:tc>
      </w:tr>
      <w:tr w:rsidR="00282739" w:rsidTr="003C6043">
        <w:tc>
          <w:tcPr>
            <w:tcW w:w="4394" w:type="dxa"/>
            <w:tcBorders>
              <w:top w:val="nil"/>
              <w:left w:val="nil"/>
              <w:bottom w:val="nil"/>
              <w:right w:val="nil"/>
            </w:tcBorders>
            <w:shd w:val="clear" w:color="000000" w:fill="FFFFFF"/>
            <w:noWrap/>
            <w:tcMar>
              <w:top w:w="17" w:type="dxa"/>
              <w:left w:w="113" w:type="dxa"/>
              <w:bottom w:w="0" w:type="dxa"/>
              <w:right w:w="113" w:type="dxa"/>
            </w:tcMar>
          </w:tcPr>
          <w:p w:rsidR="00282739" w:rsidRDefault="00282739" w:rsidP="003C6043">
            <w:pPr>
              <w:pStyle w:val="Tabletext"/>
            </w:pPr>
            <w:r>
              <w:t>Interactive digital media</w:t>
            </w:r>
          </w:p>
        </w:tc>
        <w:tc>
          <w:tcPr>
            <w:tcW w:w="4395" w:type="dxa"/>
            <w:tcBorders>
              <w:top w:val="nil"/>
              <w:left w:val="nil"/>
              <w:bottom w:val="nil"/>
              <w:right w:val="nil"/>
            </w:tcBorders>
            <w:shd w:val="clear" w:color="auto" w:fill="auto"/>
            <w:noWrap/>
            <w:tcMar>
              <w:top w:w="17" w:type="dxa"/>
              <w:left w:w="113" w:type="dxa"/>
              <w:bottom w:w="0" w:type="dxa"/>
              <w:right w:w="113" w:type="dxa"/>
            </w:tcMar>
            <w:hideMark/>
          </w:tcPr>
          <w:p w:rsidR="00282739" w:rsidRPr="00830481" w:rsidRDefault="00282739" w:rsidP="003C6043">
            <w:pPr>
              <w:pStyle w:val="Tabletext"/>
            </w:pPr>
          </w:p>
        </w:tc>
      </w:tr>
      <w:tr w:rsidR="00282739" w:rsidTr="003C6043">
        <w:tc>
          <w:tcPr>
            <w:tcW w:w="4394" w:type="dxa"/>
            <w:tcBorders>
              <w:top w:val="nil"/>
              <w:left w:val="nil"/>
              <w:bottom w:val="nil"/>
              <w:right w:val="nil"/>
            </w:tcBorders>
            <w:shd w:val="clear" w:color="000000" w:fill="FFFFFF"/>
            <w:noWrap/>
            <w:tcMar>
              <w:top w:w="17" w:type="dxa"/>
              <w:left w:w="113" w:type="dxa"/>
              <w:bottom w:w="0" w:type="dxa"/>
              <w:right w:w="113" w:type="dxa"/>
            </w:tcMar>
          </w:tcPr>
          <w:p w:rsidR="00282739" w:rsidRDefault="00282739" w:rsidP="003C6043">
            <w:pPr>
              <w:pStyle w:val="Tabletext"/>
            </w:pPr>
            <w:r>
              <w:t>Laboratory skills</w:t>
            </w:r>
          </w:p>
        </w:tc>
        <w:tc>
          <w:tcPr>
            <w:tcW w:w="4395" w:type="dxa"/>
            <w:tcBorders>
              <w:top w:val="nil"/>
              <w:left w:val="nil"/>
              <w:bottom w:val="nil"/>
              <w:right w:val="nil"/>
            </w:tcBorders>
            <w:shd w:val="clear" w:color="auto" w:fill="auto"/>
            <w:noWrap/>
            <w:tcMar>
              <w:top w:w="17" w:type="dxa"/>
              <w:left w:w="113" w:type="dxa"/>
              <w:bottom w:w="0" w:type="dxa"/>
              <w:right w:w="113" w:type="dxa"/>
            </w:tcMar>
            <w:hideMark/>
          </w:tcPr>
          <w:p w:rsidR="00282739" w:rsidRPr="00830481" w:rsidRDefault="00282739" w:rsidP="003C6043">
            <w:pPr>
              <w:pStyle w:val="Tabletext"/>
            </w:pPr>
          </w:p>
        </w:tc>
      </w:tr>
      <w:tr w:rsidR="00282739" w:rsidTr="003C6043">
        <w:tc>
          <w:tcPr>
            <w:tcW w:w="4394" w:type="dxa"/>
            <w:tcBorders>
              <w:top w:val="nil"/>
              <w:left w:val="nil"/>
              <w:right w:val="nil"/>
            </w:tcBorders>
            <w:shd w:val="clear" w:color="000000" w:fill="FFFFFF"/>
            <w:noWrap/>
            <w:tcMar>
              <w:top w:w="17" w:type="dxa"/>
              <w:left w:w="113" w:type="dxa"/>
              <w:bottom w:w="0" w:type="dxa"/>
              <w:right w:w="113" w:type="dxa"/>
            </w:tcMar>
          </w:tcPr>
          <w:p w:rsidR="00282739" w:rsidRDefault="00282739" w:rsidP="003C6043">
            <w:pPr>
              <w:pStyle w:val="Tabletext"/>
            </w:pPr>
            <w:r>
              <w:t>Music</w:t>
            </w:r>
          </w:p>
        </w:tc>
        <w:tc>
          <w:tcPr>
            <w:tcW w:w="4395" w:type="dxa"/>
            <w:tcBorders>
              <w:top w:val="nil"/>
              <w:left w:val="nil"/>
              <w:right w:val="nil"/>
            </w:tcBorders>
            <w:shd w:val="clear" w:color="auto" w:fill="auto"/>
            <w:noWrap/>
            <w:tcMar>
              <w:top w:w="17" w:type="dxa"/>
              <w:left w:w="113" w:type="dxa"/>
              <w:bottom w:w="0" w:type="dxa"/>
              <w:right w:w="113" w:type="dxa"/>
            </w:tcMar>
            <w:hideMark/>
          </w:tcPr>
          <w:p w:rsidR="00282739" w:rsidRPr="00830481" w:rsidRDefault="00282739" w:rsidP="003C6043">
            <w:pPr>
              <w:pStyle w:val="Tabletext"/>
            </w:pPr>
          </w:p>
        </w:tc>
      </w:tr>
      <w:tr w:rsidR="00282739" w:rsidTr="003C6043">
        <w:tc>
          <w:tcPr>
            <w:tcW w:w="4394" w:type="dxa"/>
            <w:tcBorders>
              <w:left w:val="nil"/>
              <w:right w:val="nil"/>
            </w:tcBorders>
            <w:shd w:val="clear" w:color="000000" w:fill="FFFFFF"/>
            <w:noWrap/>
            <w:tcMar>
              <w:top w:w="17" w:type="dxa"/>
              <w:left w:w="113" w:type="dxa"/>
              <w:bottom w:w="0" w:type="dxa"/>
              <w:right w:w="113" w:type="dxa"/>
            </w:tcMar>
          </w:tcPr>
          <w:p w:rsidR="00282739" w:rsidRDefault="00282739" w:rsidP="003C6043">
            <w:pPr>
              <w:pStyle w:val="Tabletext"/>
            </w:pPr>
            <w:r>
              <w:t>Music industry (technical production)</w:t>
            </w:r>
          </w:p>
        </w:tc>
        <w:tc>
          <w:tcPr>
            <w:tcW w:w="4395" w:type="dxa"/>
            <w:tcBorders>
              <w:top w:val="nil"/>
              <w:left w:val="nil"/>
              <w:bottom w:val="nil"/>
              <w:right w:val="nil"/>
            </w:tcBorders>
            <w:shd w:val="clear" w:color="auto" w:fill="auto"/>
            <w:noWrap/>
            <w:tcMar>
              <w:top w:w="17" w:type="dxa"/>
              <w:left w:w="113" w:type="dxa"/>
              <w:bottom w:w="0" w:type="dxa"/>
              <w:right w:w="113" w:type="dxa"/>
            </w:tcMar>
            <w:hideMark/>
          </w:tcPr>
          <w:p w:rsidR="00282739" w:rsidRPr="00830481" w:rsidRDefault="00282739" w:rsidP="003C6043">
            <w:pPr>
              <w:pStyle w:val="Tabletext"/>
            </w:pPr>
          </w:p>
        </w:tc>
      </w:tr>
      <w:tr w:rsidR="00282739" w:rsidTr="003C6043">
        <w:tc>
          <w:tcPr>
            <w:tcW w:w="4394" w:type="dxa"/>
            <w:tcBorders>
              <w:left w:val="nil"/>
              <w:bottom w:val="single" w:sz="4" w:space="0" w:color="auto"/>
              <w:right w:val="nil"/>
            </w:tcBorders>
            <w:shd w:val="clear" w:color="000000" w:fill="FFFFFF"/>
            <w:noWrap/>
            <w:tcMar>
              <w:top w:w="17" w:type="dxa"/>
              <w:left w:w="113" w:type="dxa"/>
              <w:bottom w:w="0" w:type="dxa"/>
              <w:right w:w="113" w:type="dxa"/>
            </w:tcMar>
          </w:tcPr>
          <w:p w:rsidR="00282739" w:rsidRDefault="00282739" w:rsidP="003C6043">
            <w:pPr>
              <w:pStyle w:val="Tabletext"/>
            </w:pPr>
            <w:r>
              <w:t>Sports and outdoor recreation</w:t>
            </w:r>
          </w:p>
        </w:tc>
        <w:tc>
          <w:tcPr>
            <w:tcW w:w="4395" w:type="dxa"/>
            <w:tcBorders>
              <w:top w:val="nil"/>
              <w:left w:val="nil"/>
              <w:bottom w:val="single" w:sz="4" w:space="0" w:color="auto"/>
              <w:right w:val="nil"/>
            </w:tcBorders>
            <w:shd w:val="clear" w:color="auto" w:fill="auto"/>
            <w:noWrap/>
            <w:tcMar>
              <w:top w:w="17" w:type="dxa"/>
              <w:left w:w="113" w:type="dxa"/>
              <w:bottom w:w="0" w:type="dxa"/>
              <w:right w:w="113" w:type="dxa"/>
            </w:tcMar>
          </w:tcPr>
          <w:p w:rsidR="00282739" w:rsidRPr="00830481" w:rsidRDefault="00282739" w:rsidP="003C6043">
            <w:pPr>
              <w:pStyle w:val="Tabletext"/>
            </w:pPr>
          </w:p>
        </w:tc>
      </w:tr>
    </w:tbl>
    <w:p w:rsidR="00282739" w:rsidRDefault="00282739" w:rsidP="00282739">
      <w:pPr>
        <w:pStyle w:val="Source"/>
      </w:pPr>
      <w:r>
        <w:t>Notes:</w:t>
      </w:r>
      <w:r>
        <w:tab/>
        <w:t>All scored subjects are units 3 and 4. The VCE VET subject small business is not included because it does not include units 3 and 4 sequence and is not scored.</w:t>
      </w:r>
    </w:p>
    <w:p w:rsidR="00282739" w:rsidRPr="00830481" w:rsidRDefault="00282739" w:rsidP="00282739">
      <w:pPr>
        <w:pStyle w:val="Source"/>
      </w:pPr>
      <w:r>
        <w:t>Sources:</w:t>
      </w:r>
      <w:r>
        <w:tab/>
        <w:t>For scored subjects, Victorian Curriculum and Assessment Authority data; for not scored subjects, Victorian Curriculum and Assessment Authority (2010).</w:t>
      </w:r>
    </w:p>
    <w:p w:rsidR="00282739" w:rsidRDefault="00282739" w:rsidP="00282739">
      <w:pPr>
        <w:pStyle w:val="Textmorebefore"/>
      </w:pPr>
      <w:r>
        <w:t>Students who enrol in a scorable VCE VET subject may opt not to have their VET subject scored.</w:t>
      </w:r>
      <w:r>
        <w:rPr>
          <w:rStyle w:val="FootnoteReference"/>
        </w:rPr>
        <w:footnoteReference w:id="8"/>
      </w:r>
      <w:r>
        <w:t xml:space="preserve"> This is not the norm and we exclude from our analysis any student who does not attain a study score for their VCE VET subject. </w:t>
      </w:r>
    </w:p>
    <w:p w:rsidR="00282739" w:rsidRDefault="00282739" w:rsidP="00282739">
      <w:pPr>
        <w:pStyle w:val="Text"/>
      </w:pPr>
      <w:r>
        <w:t xml:space="preserve">For VCE VET subjects to count towards a national qualification, students must demonstrate a minimum performance in carrying out the job-specific and general work-related tasks (called units of competency) set out in national training package standards. Ideally, such competencies are attained through structured workplace learning (Victorian Curriculum and Assessment Authority </w:t>
      </w:r>
      <w:r w:rsidRPr="006F0B54">
        <w:t>2011</w:t>
      </w:r>
      <w:r>
        <w:t xml:space="preserve">). Structured workplace learning is different from work experience in that it involves a set of learning objectives (attainment of workplace competencies) against which achievement is tested. Work experience on the other hand </w:t>
      </w:r>
      <w:r w:rsidRPr="00BD7155">
        <w:t xml:space="preserve">contains no such learning objectives and its purpose is mainly to give students an opportunity to familiarise themselves with different working environments. </w:t>
      </w:r>
      <w:r>
        <w:t xml:space="preserve">Although it is encouraged, it must be noted </w:t>
      </w:r>
      <w:r w:rsidRPr="00BD7155">
        <w:t>that</w:t>
      </w:r>
      <w:r>
        <w:t xml:space="preserve">, except for two VCE VET courses, </w:t>
      </w:r>
      <w:r w:rsidRPr="00BD7155">
        <w:t xml:space="preserve">undertaking structured workplace learning is not essential for gaining competency in the specified units of competency. </w:t>
      </w:r>
      <w:r>
        <w:t>In practice, difficulty matching students to employers means that students often do not receive any structured workplace learning. In these cases, students attain their units of competency in a ‘simulated’ work environment in the school or a VET institute. Estimates from a previous study by the authors (Polidano &amp; Tabasso 2013) suggest, nationwide, that only around 45% of students who take upper-secondary VET in Schools subjects (excluding those in apprenticeships) experience part of their training in the workforce.</w:t>
      </w:r>
      <w:r w:rsidRPr="00BD7155">
        <w:t xml:space="preserve"> Structured workplace learning can take place over weekends, during school holidays and/or during</w:t>
      </w:r>
      <w:r>
        <w:t xml:space="preserve"> the school week.</w:t>
      </w:r>
    </w:p>
    <w:p w:rsidR="00282739" w:rsidRPr="00A94E5A" w:rsidRDefault="00282739" w:rsidP="00282739">
      <w:pPr>
        <w:pStyle w:val="Heading2"/>
      </w:pPr>
      <w:bookmarkStart w:id="39" w:name="_Toc402794955"/>
      <w:r>
        <w:lastRenderedPageBreak/>
        <w:t>Scoring VCE VET subjects</w:t>
      </w:r>
      <w:bookmarkEnd w:id="39"/>
    </w:p>
    <w:p w:rsidR="00282739" w:rsidRDefault="00282739" w:rsidP="00282739">
      <w:pPr>
        <w:pStyle w:val="Text"/>
      </w:pPr>
      <w:r>
        <w:t>A key challenge when integrating competency-based VET subjects into an academic curriculum is designing an assessment system that allows subject performance to be compared with performance in academic subjects without compromising the vocational, task-based nature of the training.</w:t>
      </w:r>
      <w:r>
        <w:rPr>
          <w:rStyle w:val="FootnoteReference"/>
          <w:color w:val="000000"/>
          <w:sz w:val="20"/>
        </w:rPr>
        <w:footnoteReference w:id="9"/>
      </w:r>
      <w:r>
        <w:t xml:space="preserve"> Because competency-based training is task-based, assessment is geared towards ascertaining whether or not vocational tasks can be performed to a minimum required standard. </w:t>
      </w:r>
    </w:p>
    <w:p w:rsidR="00282739" w:rsidRDefault="00282739" w:rsidP="00282739">
      <w:pPr>
        <w:pStyle w:val="Text"/>
      </w:pPr>
      <w:r>
        <w:t>In Victoria, to extend the minimum competency framework to an academic one, where assessment is measured on a continuous scale, internal assessment (which comprises 66% of all assessment in scored VCE VET subjects) is based on graded performance in three tasks.</w:t>
      </w:r>
      <w:r>
        <w:rPr>
          <w:rStyle w:val="FootnoteReference"/>
          <w:color w:val="000000"/>
          <w:sz w:val="20"/>
        </w:rPr>
        <w:footnoteReference w:id="10"/>
      </w:r>
      <w:r>
        <w:t xml:space="preserve"> The available task types (work performance, product, work project and portfolio) are designed by the Victorian Curriculum and Assessment Authority; however, registered training organisations (RTOs) and schools have the flexibility to design tasks to suit their specific needs. The task type selection must include all the (3 and 4) units of competency for the course and there must be only two of any one task type included. </w:t>
      </w:r>
    </w:p>
    <w:p w:rsidR="00282739" w:rsidRDefault="00282739" w:rsidP="00282739">
      <w:pPr>
        <w:pStyle w:val="Text"/>
      </w:pPr>
      <w:r>
        <w:t>Task assessment is carried out by a trained assessor who is approved by the relevant registered training organisation. The assessor rates performance in each of the three tasks using five specific criteria. For each criterion, performance is measured on a scale of 1 to 5, where 1 is base performance and 5 is high performance. The five criteria vary with the task, but are generally all related to demonstrating the application of knowledge to carry out a task, including the application of technical job-specific knowledge as well as general knowledge, such as communication, personal management and problem-solving techniques. To help the assessor rate the student on each of the criteria, a description of the expected performance at three of the five levels is provided — 1 (base), 3 (medium) and 5 (high). (See appendix A for the expected performance for the five criteria related to work performance tasks.) The contribution of each of the tasks to the overall subject score is weighted by the nominal hours for each task as a proportion of the total nominal hours required for (units 3 and 4) enrolment.</w:t>
      </w:r>
    </w:p>
    <w:p w:rsidR="00282739" w:rsidRPr="002B5285" w:rsidRDefault="00282739" w:rsidP="00282739">
      <w:pPr>
        <w:pStyle w:val="Text"/>
      </w:pPr>
      <w:r w:rsidRPr="0062070A">
        <w:t>W</w:t>
      </w:r>
      <w:r>
        <w:t>ith the exception of dance and m</w:t>
      </w:r>
      <w:r w:rsidRPr="0062070A">
        <w:t xml:space="preserve">usic, </w:t>
      </w:r>
      <w:r>
        <w:t xml:space="preserve">an </w:t>
      </w:r>
      <w:r w:rsidRPr="0062070A">
        <w:t xml:space="preserve">external assessment for VCE VET subjects involves written examinations carried out during the end-of-year </w:t>
      </w:r>
      <w:r w:rsidRPr="0083551E">
        <w:t xml:space="preserve">examination period. The focus of the exam is </w:t>
      </w:r>
      <w:r>
        <w:t>on</w:t>
      </w:r>
      <w:r w:rsidRPr="0083551E">
        <w:t xml:space="preserve"> testing students</w:t>
      </w:r>
      <w:r>
        <w:t>’</w:t>
      </w:r>
      <w:r w:rsidRPr="0083551E">
        <w:t xml:space="preserve"> underpinning knowledge and understanding</w:t>
      </w:r>
      <w:r w:rsidRPr="0062070A">
        <w:t xml:space="preserve"> of the skills identified in the competency standards relevant to the associated VET qualification. For more information on the assessment of VET subjects, see </w:t>
      </w:r>
      <w:r>
        <w:t xml:space="preserve">Victorian Curriculum and Assessment Authority (2010). </w:t>
      </w:r>
    </w:p>
    <w:p w:rsidR="00282739" w:rsidRPr="00524553" w:rsidRDefault="00282739" w:rsidP="00282739">
      <w:pPr>
        <w:pStyle w:val="Heading3"/>
      </w:pPr>
      <w:r>
        <w:t>Contribution to university entry scores</w:t>
      </w:r>
    </w:p>
    <w:p w:rsidR="00282739" w:rsidRDefault="00282739" w:rsidP="00282739">
      <w:pPr>
        <w:pStyle w:val="Textlessbefore"/>
      </w:pPr>
      <w:r>
        <w:t xml:space="preserve">To generate a university entry score, raw subject scores are standardised to make performance comparable across subjects. For each subject, the standardisation process sets the mean subject score at 30 (out of a possible 50). However, it is important to note that the standardised scores represent student rankings or relative positions within a subject. Those with a standardised score above 30 are ranked above average in that subject and those with a standardised score below 30 are ranked below average. However, as relative ranks, these scores cannot be simply combined to produce an overall rank because such a method would disadvantage students who chose subjects where the strength of student competition is high. Therefore, to combine subject scores to produce an overall rank, the Victorian Tertiary Admissions Centre scales standardised subject scores to correct </w:t>
      </w:r>
      <w:r>
        <w:lastRenderedPageBreak/>
        <w:t xml:space="preserve">for differences in the strength of student competition, or how difficult it is in a subject to attain the middle rank of 30. For a given subject, the strength of competition is measured by the mean score in the student’s other subjects. The scaling works so that the mean score for a given subject is equal to the mean (standardised and unscaled) score in the student’s other subjects (Victorian Tertiary Admissions Centre 2011). Therefore, in subjects where the student’s mean score in other subjects is greater than 30, the subject is scaled up, and in subjects where the opposite is the case, the scores are scaled down. </w:t>
      </w:r>
    </w:p>
    <w:p w:rsidR="00282739" w:rsidRDefault="00282739" w:rsidP="00282739">
      <w:pPr>
        <w:pStyle w:val="Text"/>
        <w:rPr>
          <w:lang w:val="en-GB"/>
        </w:rPr>
      </w:pPr>
      <w:r>
        <w:rPr>
          <w:lang w:val="en-GB"/>
        </w:rPr>
        <w:t>The average scaled VCE scores for VET subjects and the general subjects (non-VET) with which they are most frequently combined are presented in table 2. From table 2, it is clear that raw VCE VET subject scores are scaled down, and are scaled down by more than in the general subjects with which VCE VET subjects are commonly combined (with the exception of food technology). However, VCE VET scores are likely to be scaled down by more than general subjects because a relatively high proportion of VCE VET students do not intend to go to university and focus their effort in VET to attain credit towards a qualification to the detriment of their performance in other subjects. Therefore, using measures of the performance of VCE VET students in other subjects may under-represent the true difficulty of attaining the middle rank and lead to excessive down-scaling. Students who intend to go to university cannot afford to concentrate their efforts to the same extent because their aim is to maximise their aggregate score to gain entry to university.</w:t>
      </w:r>
    </w:p>
    <w:p w:rsidR="00282739" w:rsidRDefault="00282739" w:rsidP="00282739">
      <w:pPr>
        <w:pStyle w:val="Text"/>
        <w:rPr>
          <w:lang w:val="en-GB"/>
        </w:rPr>
      </w:pPr>
      <w:r>
        <w:rPr>
          <w:lang w:val="en-GB"/>
        </w:rPr>
        <w:t>The data presented in table 2 support the notion that VCE VET students who do not intend to go to university concentrate their effort in VET. Columns (a) and (b) of table 2 are the average raw scores (before scaling) for students who do and who do not intend to go to university, relative to the average raw scores in all other subjects taken by the same students.</w:t>
      </w:r>
      <w:r>
        <w:rPr>
          <w:rStyle w:val="FootnoteReference"/>
          <w:lang w:val="en-GB"/>
        </w:rPr>
        <w:footnoteReference w:id="11"/>
      </w:r>
      <w:r>
        <w:rPr>
          <w:lang w:val="en-GB"/>
        </w:rPr>
        <w:t xml:space="preserve"> Indices greater than 1 for all VCE VET subjects for both groups suggest that on average both groups do better in VCE VET subjects than in their other subjects, which is why VCE VET subjects are scaled below 30. However, there is a clear difference between the two groups in the extent to which they do better in VCE VET subjects </w:t>
      </w:r>
      <w:r w:rsidRPr="006F0B54">
        <w:rPr>
          <w:lang w:val="en-GB"/>
        </w:rPr>
        <w:t>(column [c]). The higher relative performance in VCE VET scores compared with scores in other subjects</w:t>
      </w:r>
      <w:r>
        <w:rPr>
          <w:lang w:val="en-GB"/>
        </w:rPr>
        <w:t xml:space="preserve"> is around three percentage points greater for students who do not want to go to university than for those who do. For engineering studies, hospitality (kitchen operations), music, community services, and </w:t>
      </w:r>
      <w:r w:rsidRPr="001216D3">
        <w:rPr>
          <w:lang w:val="en-GB"/>
        </w:rPr>
        <w:t>music industry (technical production)</w:t>
      </w:r>
      <w:r>
        <w:rPr>
          <w:lang w:val="en-GB"/>
        </w:rPr>
        <w:t xml:space="preserve">, the relative performance among those who do not intend to go to university is over five percentage points greater compared with those who do intend to go to university. The same pattern is not observed for the general VCE subjects commonly combined with VCE VET subjects. </w:t>
      </w:r>
    </w:p>
    <w:p w:rsidR="00282739" w:rsidRDefault="00282739" w:rsidP="00282739">
      <w:pPr>
        <w:spacing w:before="0" w:line="240" w:lineRule="auto"/>
        <w:rPr>
          <w:rFonts w:ascii="Tahoma" w:hAnsi="Tahoma"/>
          <w:b/>
          <w:sz w:val="17"/>
          <w:lang w:val="en-GB"/>
        </w:rPr>
      </w:pPr>
      <w:r>
        <w:rPr>
          <w:lang w:val="en-GB"/>
        </w:rPr>
        <w:br w:type="page"/>
      </w:r>
    </w:p>
    <w:p w:rsidR="00282739" w:rsidRDefault="00282739" w:rsidP="00282739">
      <w:pPr>
        <w:pStyle w:val="tabletitle"/>
        <w:rPr>
          <w:lang w:val="en-GB"/>
        </w:rPr>
      </w:pPr>
      <w:bookmarkStart w:id="40" w:name="_Toc402794975"/>
      <w:r>
        <w:rPr>
          <w:lang w:val="en-GB"/>
        </w:rPr>
        <w:lastRenderedPageBreak/>
        <w:t>Table 2</w:t>
      </w:r>
      <w:r>
        <w:rPr>
          <w:lang w:val="en-GB"/>
        </w:rPr>
        <w:tab/>
        <w:t>Average VCE scaled scores for VET and selected general subjects (out of 50) for students who completed school in 2011</w:t>
      </w:r>
      <w:bookmarkEnd w:id="40"/>
    </w:p>
    <w:tbl>
      <w:tblPr>
        <w:tblW w:w="8789" w:type="dxa"/>
        <w:tblInd w:w="113" w:type="dxa"/>
        <w:tblLayout w:type="fixed"/>
        <w:tblCellMar>
          <w:left w:w="113" w:type="dxa"/>
          <w:right w:w="113" w:type="dxa"/>
        </w:tblCellMar>
        <w:tblLook w:val="04A0" w:firstRow="1" w:lastRow="0" w:firstColumn="1" w:lastColumn="0" w:noHBand="0" w:noVBand="1"/>
      </w:tblPr>
      <w:tblGrid>
        <w:gridCol w:w="2827"/>
        <w:gridCol w:w="1192"/>
        <w:gridCol w:w="1192"/>
        <w:gridCol w:w="1192"/>
        <w:gridCol w:w="1192"/>
        <w:gridCol w:w="1194"/>
      </w:tblGrid>
      <w:tr w:rsidR="00282739" w:rsidRPr="00C23620" w:rsidTr="003C6043">
        <w:tc>
          <w:tcPr>
            <w:tcW w:w="1609" w:type="pct"/>
            <w:tcBorders>
              <w:top w:val="single" w:sz="4" w:space="0" w:color="auto"/>
              <w:left w:val="nil"/>
              <w:right w:val="nil"/>
            </w:tcBorders>
            <w:shd w:val="clear" w:color="auto" w:fill="auto"/>
            <w:noWrap/>
            <w:tcMar>
              <w:top w:w="17" w:type="dxa"/>
              <w:left w:w="113" w:type="dxa"/>
              <w:bottom w:w="0" w:type="dxa"/>
              <w:right w:w="113" w:type="dxa"/>
            </w:tcMar>
            <w:hideMark/>
          </w:tcPr>
          <w:p w:rsidR="00282739" w:rsidRPr="00C23620" w:rsidRDefault="00282739" w:rsidP="003C6043">
            <w:pPr>
              <w:pStyle w:val="Tablehead1"/>
            </w:pPr>
          </w:p>
        </w:tc>
        <w:tc>
          <w:tcPr>
            <w:tcW w:w="678" w:type="pct"/>
            <w:tcBorders>
              <w:top w:val="single" w:sz="4" w:space="0" w:color="auto"/>
              <w:left w:val="nil"/>
              <w:right w:val="nil"/>
            </w:tcBorders>
            <w:shd w:val="clear" w:color="auto" w:fill="auto"/>
            <w:tcMar>
              <w:top w:w="0" w:type="dxa"/>
              <w:left w:w="28" w:type="dxa"/>
              <w:bottom w:w="0" w:type="dxa"/>
              <w:right w:w="28" w:type="dxa"/>
            </w:tcMar>
            <w:hideMark/>
          </w:tcPr>
          <w:p w:rsidR="00282739" w:rsidRPr="00C23620" w:rsidRDefault="00282739" w:rsidP="003C6043">
            <w:pPr>
              <w:pStyle w:val="Tablehead1"/>
              <w:jc w:val="center"/>
            </w:pPr>
            <w:r w:rsidRPr="00C23620">
              <w:t>Av</w:t>
            </w:r>
            <w:r>
              <w:t>era</w:t>
            </w:r>
            <w:r w:rsidRPr="00C23620">
              <w:t>g</w:t>
            </w:r>
            <w:r>
              <w:t>e</w:t>
            </w:r>
            <w:r w:rsidRPr="00C23620">
              <w:t xml:space="preserve"> </w:t>
            </w:r>
            <w:r>
              <w:br/>
            </w:r>
            <w:r w:rsidRPr="00C23620">
              <w:t xml:space="preserve">scaled subject </w:t>
            </w:r>
            <w:r>
              <w:br/>
            </w:r>
            <w:r w:rsidRPr="00C23620">
              <w:t>score</w:t>
            </w:r>
          </w:p>
        </w:tc>
        <w:tc>
          <w:tcPr>
            <w:tcW w:w="678" w:type="pct"/>
            <w:tcBorders>
              <w:top w:val="single" w:sz="4" w:space="0" w:color="auto"/>
              <w:left w:val="nil"/>
              <w:right w:val="nil"/>
            </w:tcBorders>
            <w:shd w:val="clear" w:color="auto" w:fill="auto"/>
            <w:tcMar>
              <w:top w:w="0" w:type="dxa"/>
              <w:left w:w="28" w:type="dxa"/>
              <w:bottom w:w="0" w:type="dxa"/>
              <w:right w:w="28" w:type="dxa"/>
            </w:tcMar>
            <w:hideMark/>
          </w:tcPr>
          <w:p w:rsidR="00282739" w:rsidRPr="00C23620" w:rsidRDefault="00282739" w:rsidP="003C6043">
            <w:pPr>
              <w:pStyle w:val="Tablehead1"/>
              <w:jc w:val="center"/>
            </w:pPr>
            <w:r w:rsidRPr="00C23620">
              <w:t xml:space="preserve">Proportion who intend </w:t>
            </w:r>
            <w:r>
              <w:br/>
            </w:r>
            <w:r w:rsidRPr="00C23620">
              <w:t>to go to university</w:t>
            </w:r>
            <w:r w:rsidRPr="00461BD7">
              <w:rPr>
                <w:vertAlign w:val="superscript"/>
              </w:rPr>
              <w:t>a</w:t>
            </w:r>
          </w:p>
        </w:tc>
        <w:tc>
          <w:tcPr>
            <w:tcW w:w="2035" w:type="pct"/>
            <w:gridSpan w:val="3"/>
            <w:tcBorders>
              <w:top w:val="single" w:sz="4" w:space="0" w:color="auto"/>
              <w:left w:val="nil"/>
              <w:right w:val="nil"/>
            </w:tcBorders>
            <w:shd w:val="clear" w:color="auto" w:fill="auto"/>
            <w:tcMar>
              <w:top w:w="0" w:type="dxa"/>
              <w:left w:w="28" w:type="dxa"/>
              <w:bottom w:w="0" w:type="dxa"/>
              <w:right w:w="28" w:type="dxa"/>
            </w:tcMar>
            <w:hideMark/>
          </w:tcPr>
          <w:p w:rsidR="00282739" w:rsidRPr="00C23620" w:rsidRDefault="00282739" w:rsidP="003C6043">
            <w:pPr>
              <w:pStyle w:val="Tablehead1"/>
              <w:jc w:val="center"/>
            </w:pPr>
            <w:r w:rsidRPr="00C23620">
              <w:t xml:space="preserve">Raw scores in a given subject, relative </w:t>
            </w:r>
            <w:r w:rsidRPr="00C23620">
              <w:br/>
              <w:t xml:space="preserve">to raw scores in other subjects </w:t>
            </w:r>
            <w:r w:rsidRPr="00C23620">
              <w:br/>
              <w:t>taken by the same students</w:t>
            </w:r>
            <w:r w:rsidRPr="00461BD7">
              <w:rPr>
                <w:vertAlign w:val="superscript"/>
              </w:rPr>
              <w:t>b</w:t>
            </w:r>
          </w:p>
        </w:tc>
      </w:tr>
      <w:tr w:rsidR="00282739" w:rsidTr="003C6043">
        <w:tc>
          <w:tcPr>
            <w:tcW w:w="1609" w:type="pct"/>
            <w:tcBorders>
              <w:left w:val="nil"/>
              <w:right w:val="nil"/>
            </w:tcBorders>
            <w:shd w:val="clear" w:color="auto" w:fill="auto"/>
            <w:noWrap/>
            <w:tcMar>
              <w:top w:w="17" w:type="dxa"/>
              <w:left w:w="113" w:type="dxa"/>
              <w:bottom w:w="0" w:type="dxa"/>
              <w:right w:w="113" w:type="dxa"/>
            </w:tcMar>
            <w:hideMark/>
          </w:tcPr>
          <w:p w:rsidR="00282739" w:rsidRDefault="00282739" w:rsidP="003C6043">
            <w:pPr>
              <w:pStyle w:val="Tablehead2"/>
            </w:pPr>
          </w:p>
        </w:tc>
        <w:tc>
          <w:tcPr>
            <w:tcW w:w="678" w:type="pct"/>
            <w:tcBorders>
              <w:left w:val="nil"/>
              <w:right w:val="nil"/>
            </w:tcBorders>
            <w:shd w:val="clear" w:color="auto" w:fill="auto"/>
            <w:noWrap/>
            <w:tcMar>
              <w:top w:w="0" w:type="dxa"/>
              <w:left w:w="28" w:type="dxa"/>
              <w:bottom w:w="0" w:type="dxa"/>
              <w:right w:w="28" w:type="dxa"/>
            </w:tcMar>
            <w:hideMark/>
          </w:tcPr>
          <w:p w:rsidR="00282739" w:rsidRDefault="00282739" w:rsidP="003C6043">
            <w:pPr>
              <w:pStyle w:val="Tablehead2"/>
              <w:jc w:val="center"/>
            </w:pPr>
          </w:p>
        </w:tc>
        <w:tc>
          <w:tcPr>
            <w:tcW w:w="678" w:type="pct"/>
            <w:tcBorders>
              <w:left w:val="nil"/>
              <w:right w:val="nil"/>
            </w:tcBorders>
            <w:shd w:val="clear" w:color="auto" w:fill="auto"/>
            <w:tcMar>
              <w:top w:w="0" w:type="dxa"/>
              <w:left w:w="28" w:type="dxa"/>
              <w:bottom w:w="0" w:type="dxa"/>
              <w:right w:w="28" w:type="dxa"/>
            </w:tcMar>
            <w:hideMark/>
          </w:tcPr>
          <w:p w:rsidR="00282739" w:rsidRDefault="00282739" w:rsidP="003C6043">
            <w:pPr>
              <w:pStyle w:val="Tablehead2"/>
              <w:jc w:val="center"/>
            </w:pPr>
          </w:p>
        </w:tc>
        <w:tc>
          <w:tcPr>
            <w:tcW w:w="678" w:type="pct"/>
            <w:tcBorders>
              <w:left w:val="nil"/>
              <w:right w:val="nil"/>
            </w:tcBorders>
            <w:shd w:val="clear" w:color="auto" w:fill="auto"/>
            <w:noWrap/>
            <w:tcMar>
              <w:top w:w="0" w:type="dxa"/>
              <w:left w:w="28" w:type="dxa"/>
              <w:bottom w:w="0" w:type="dxa"/>
              <w:right w:w="28" w:type="dxa"/>
            </w:tcMar>
            <w:hideMark/>
          </w:tcPr>
          <w:p w:rsidR="00282739" w:rsidRPr="006F0B54" w:rsidRDefault="00282739" w:rsidP="003C6043">
            <w:pPr>
              <w:pStyle w:val="Tablehead2"/>
              <w:jc w:val="center"/>
            </w:pPr>
            <w:r w:rsidRPr="006F0B54">
              <w:t>(a)</w:t>
            </w:r>
          </w:p>
          <w:p w:rsidR="00282739" w:rsidRPr="006F0B54" w:rsidRDefault="00282739" w:rsidP="003C6043">
            <w:pPr>
              <w:pStyle w:val="Tablehead2"/>
              <w:jc w:val="center"/>
            </w:pPr>
            <w:r w:rsidRPr="006F0B54">
              <w:t xml:space="preserve">Intends to </w:t>
            </w:r>
            <w:r w:rsidRPr="006F0B54">
              <w:br/>
              <w:t>go to</w:t>
            </w:r>
            <w:r w:rsidRPr="006F0B54">
              <w:br/>
              <w:t xml:space="preserve"> university</w:t>
            </w:r>
          </w:p>
        </w:tc>
        <w:tc>
          <w:tcPr>
            <w:tcW w:w="678" w:type="pct"/>
            <w:tcBorders>
              <w:left w:val="nil"/>
              <w:right w:val="nil"/>
            </w:tcBorders>
            <w:shd w:val="clear" w:color="auto" w:fill="auto"/>
            <w:tcMar>
              <w:top w:w="0" w:type="dxa"/>
              <w:left w:w="28" w:type="dxa"/>
              <w:bottom w:w="0" w:type="dxa"/>
              <w:right w:w="28" w:type="dxa"/>
            </w:tcMar>
            <w:hideMark/>
          </w:tcPr>
          <w:p w:rsidR="00282739" w:rsidRPr="006F0B54" w:rsidRDefault="00282739" w:rsidP="003C6043">
            <w:pPr>
              <w:pStyle w:val="Tablehead2"/>
              <w:jc w:val="center"/>
            </w:pPr>
            <w:r w:rsidRPr="006F0B54">
              <w:t>(b)</w:t>
            </w:r>
          </w:p>
          <w:p w:rsidR="00282739" w:rsidRPr="006F0B54" w:rsidRDefault="00282739" w:rsidP="003C6043">
            <w:pPr>
              <w:pStyle w:val="Tablehead2"/>
              <w:jc w:val="center"/>
            </w:pPr>
            <w:r w:rsidRPr="006F0B54">
              <w:t xml:space="preserve">Doesn’t </w:t>
            </w:r>
            <w:r w:rsidRPr="006F0B54">
              <w:br/>
              <w:t>intend to go</w:t>
            </w:r>
            <w:r w:rsidRPr="006F0B54">
              <w:br/>
              <w:t>to university</w:t>
            </w:r>
          </w:p>
        </w:tc>
        <w:tc>
          <w:tcPr>
            <w:tcW w:w="679" w:type="pct"/>
            <w:tcBorders>
              <w:left w:val="nil"/>
              <w:right w:val="nil"/>
            </w:tcBorders>
            <w:shd w:val="clear" w:color="auto" w:fill="auto"/>
            <w:tcMar>
              <w:top w:w="0" w:type="dxa"/>
              <w:left w:w="28" w:type="dxa"/>
              <w:bottom w:w="0" w:type="dxa"/>
              <w:right w:w="28" w:type="dxa"/>
            </w:tcMar>
            <w:hideMark/>
          </w:tcPr>
          <w:p w:rsidR="00282739" w:rsidRPr="006F0B54" w:rsidRDefault="00282739" w:rsidP="003C6043">
            <w:pPr>
              <w:pStyle w:val="Tablehead2"/>
              <w:jc w:val="center"/>
            </w:pPr>
            <w:r w:rsidRPr="006F0B54">
              <w:t xml:space="preserve">(c) </w:t>
            </w:r>
          </w:p>
          <w:p w:rsidR="00282739" w:rsidRPr="006F0B54" w:rsidRDefault="00282739" w:rsidP="003C6043">
            <w:pPr>
              <w:pStyle w:val="Tablehead2"/>
              <w:jc w:val="center"/>
            </w:pPr>
            <w:r w:rsidRPr="006F0B54">
              <w:t>Diff</w:t>
            </w:r>
            <w:r w:rsidRPr="006F0B54">
              <w:br/>
              <w:t>(b)-(a)</w:t>
            </w:r>
          </w:p>
        </w:tc>
      </w:tr>
      <w:tr w:rsidR="00282739" w:rsidTr="003C6043">
        <w:tc>
          <w:tcPr>
            <w:tcW w:w="1609" w:type="pct"/>
            <w:tcBorders>
              <w:left w:val="nil"/>
              <w:bottom w:val="single" w:sz="4" w:space="0" w:color="auto"/>
              <w:right w:val="nil"/>
            </w:tcBorders>
            <w:shd w:val="clear" w:color="auto" w:fill="auto"/>
            <w:noWrap/>
            <w:tcMar>
              <w:top w:w="13" w:type="dxa"/>
              <w:left w:w="113" w:type="dxa"/>
              <w:bottom w:w="0" w:type="dxa"/>
              <w:right w:w="113" w:type="dxa"/>
            </w:tcMar>
            <w:hideMark/>
          </w:tcPr>
          <w:p w:rsidR="00282739" w:rsidRDefault="00282739" w:rsidP="003C6043">
            <w:pPr>
              <w:pStyle w:val="Tablehead3"/>
            </w:pPr>
          </w:p>
        </w:tc>
        <w:tc>
          <w:tcPr>
            <w:tcW w:w="678" w:type="pct"/>
            <w:tcBorders>
              <w:left w:val="nil"/>
              <w:bottom w:val="single" w:sz="4" w:space="0" w:color="auto"/>
              <w:right w:val="nil"/>
            </w:tcBorders>
            <w:shd w:val="clear" w:color="auto" w:fill="auto"/>
            <w:noWrap/>
            <w:tcMar>
              <w:top w:w="13" w:type="dxa"/>
              <w:left w:w="113" w:type="dxa"/>
              <w:bottom w:w="0" w:type="dxa"/>
              <w:right w:w="113" w:type="dxa"/>
            </w:tcMar>
            <w:hideMark/>
          </w:tcPr>
          <w:p w:rsidR="00282739" w:rsidRDefault="00282739" w:rsidP="003C6043">
            <w:pPr>
              <w:pStyle w:val="Tablehead3"/>
              <w:jc w:val="center"/>
            </w:pPr>
          </w:p>
        </w:tc>
        <w:tc>
          <w:tcPr>
            <w:tcW w:w="678" w:type="pct"/>
            <w:tcBorders>
              <w:left w:val="nil"/>
              <w:bottom w:val="single" w:sz="4" w:space="0" w:color="auto"/>
              <w:right w:val="nil"/>
            </w:tcBorders>
            <w:shd w:val="clear" w:color="auto" w:fill="auto"/>
            <w:tcMar>
              <w:top w:w="13" w:type="dxa"/>
              <w:left w:w="113" w:type="dxa"/>
              <w:bottom w:w="0" w:type="dxa"/>
              <w:right w:w="113" w:type="dxa"/>
            </w:tcMar>
            <w:hideMark/>
          </w:tcPr>
          <w:p w:rsidR="00282739" w:rsidRDefault="00282739" w:rsidP="003C6043">
            <w:pPr>
              <w:pStyle w:val="Tablehead3"/>
              <w:jc w:val="center"/>
            </w:pPr>
            <w:r>
              <w:t>%</w:t>
            </w:r>
          </w:p>
        </w:tc>
        <w:tc>
          <w:tcPr>
            <w:tcW w:w="678" w:type="pct"/>
            <w:tcBorders>
              <w:left w:val="nil"/>
              <w:bottom w:val="single" w:sz="4" w:space="0" w:color="auto"/>
              <w:right w:val="nil"/>
            </w:tcBorders>
            <w:shd w:val="clear" w:color="auto" w:fill="auto"/>
            <w:noWrap/>
            <w:tcMar>
              <w:top w:w="13" w:type="dxa"/>
              <w:left w:w="113" w:type="dxa"/>
              <w:bottom w:w="0" w:type="dxa"/>
              <w:right w:w="113" w:type="dxa"/>
            </w:tcMar>
            <w:hideMark/>
          </w:tcPr>
          <w:p w:rsidR="00282739" w:rsidRDefault="00282739" w:rsidP="003C6043">
            <w:pPr>
              <w:pStyle w:val="Tablehead3"/>
              <w:jc w:val="center"/>
            </w:pPr>
            <w:r>
              <w:t>Ratio</w:t>
            </w:r>
          </w:p>
        </w:tc>
        <w:tc>
          <w:tcPr>
            <w:tcW w:w="678" w:type="pct"/>
            <w:tcBorders>
              <w:left w:val="nil"/>
              <w:bottom w:val="single" w:sz="4" w:space="0" w:color="auto"/>
              <w:right w:val="nil"/>
            </w:tcBorders>
            <w:shd w:val="clear" w:color="auto" w:fill="auto"/>
            <w:tcMar>
              <w:top w:w="13" w:type="dxa"/>
              <w:left w:w="113" w:type="dxa"/>
              <w:bottom w:w="0" w:type="dxa"/>
              <w:right w:w="113" w:type="dxa"/>
            </w:tcMar>
            <w:hideMark/>
          </w:tcPr>
          <w:p w:rsidR="00282739" w:rsidRDefault="00282739" w:rsidP="003C6043">
            <w:pPr>
              <w:pStyle w:val="Tablehead3"/>
              <w:jc w:val="center"/>
            </w:pPr>
            <w:r>
              <w:t>Ratio</w:t>
            </w:r>
          </w:p>
        </w:tc>
        <w:tc>
          <w:tcPr>
            <w:tcW w:w="679" w:type="pct"/>
            <w:tcBorders>
              <w:left w:val="nil"/>
              <w:bottom w:val="single" w:sz="4" w:space="0" w:color="auto"/>
              <w:right w:val="nil"/>
            </w:tcBorders>
            <w:shd w:val="clear" w:color="auto" w:fill="auto"/>
            <w:tcMar>
              <w:top w:w="0" w:type="dxa"/>
              <w:left w:w="113" w:type="dxa"/>
              <w:bottom w:w="0" w:type="dxa"/>
              <w:right w:w="113" w:type="dxa"/>
            </w:tcMar>
            <w:hideMark/>
          </w:tcPr>
          <w:p w:rsidR="00282739" w:rsidRDefault="00282739" w:rsidP="003C6043">
            <w:pPr>
              <w:pStyle w:val="Tablehead3"/>
              <w:jc w:val="center"/>
            </w:pPr>
            <w:r>
              <w:t>Ratio</w:t>
            </w:r>
          </w:p>
        </w:tc>
      </w:tr>
      <w:tr w:rsidR="00282739" w:rsidTr="003C6043">
        <w:tc>
          <w:tcPr>
            <w:tcW w:w="1609" w:type="pct"/>
            <w:tcBorders>
              <w:top w:val="single" w:sz="4" w:space="0" w:color="auto"/>
              <w:left w:val="nil"/>
              <w:bottom w:val="nil"/>
              <w:right w:val="nil"/>
            </w:tcBorders>
            <w:shd w:val="clear" w:color="auto" w:fill="auto"/>
            <w:noWrap/>
            <w:tcMar>
              <w:top w:w="13" w:type="dxa"/>
              <w:left w:w="113" w:type="dxa"/>
              <w:bottom w:w="0" w:type="dxa"/>
              <w:right w:w="113" w:type="dxa"/>
            </w:tcMar>
            <w:hideMark/>
          </w:tcPr>
          <w:p w:rsidR="00282739" w:rsidRPr="00461BD7" w:rsidRDefault="00282739" w:rsidP="003C6043">
            <w:pPr>
              <w:pStyle w:val="Tabletext"/>
              <w:spacing w:before="80"/>
              <w:rPr>
                <w:b/>
              </w:rPr>
            </w:pPr>
            <w:r w:rsidRPr="00461BD7">
              <w:rPr>
                <w:b/>
              </w:rPr>
              <w:t>VCE VET subject</w:t>
            </w:r>
          </w:p>
        </w:tc>
        <w:tc>
          <w:tcPr>
            <w:tcW w:w="678" w:type="pct"/>
            <w:tcBorders>
              <w:top w:val="single" w:sz="4" w:space="0" w:color="auto"/>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spacing w:before="80"/>
              <w:rPr>
                <w:rFonts w:ascii="Calibri" w:hAnsi="Calibri" w:cs="Calibri"/>
              </w:rPr>
            </w:pPr>
          </w:p>
        </w:tc>
        <w:tc>
          <w:tcPr>
            <w:tcW w:w="678" w:type="pct"/>
            <w:tcBorders>
              <w:top w:val="single" w:sz="4" w:space="0" w:color="auto"/>
              <w:left w:val="nil"/>
              <w:bottom w:val="nil"/>
              <w:right w:val="nil"/>
            </w:tcBorders>
            <w:shd w:val="clear" w:color="auto" w:fill="auto"/>
            <w:tcMar>
              <w:top w:w="13" w:type="dxa"/>
              <w:left w:w="113" w:type="dxa"/>
              <w:bottom w:w="0" w:type="dxa"/>
              <w:right w:w="113" w:type="dxa"/>
            </w:tcMar>
            <w:hideMark/>
          </w:tcPr>
          <w:p w:rsidR="00282739" w:rsidRDefault="00282739" w:rsidP="003C6043">
            <w:pPr>
              <w:pStyle w:val="Tabletext"/>
              <w:spacing w:before="80"/>
              <w:rPr>
                <w:rFonts w:ascii="Calibri" w:hAnsi="Calibri" w:cs="Calibri"/>
              </w:rPr>
            </w:pPr>
          </w:p>
        </w:tc>
        <w:tc>
          <w:tcPr>
            <w:tcW w:w="678" w:type="pct"/>
            <w:tcBorders>
              <w:top w:val="single" w:sz="4" w:space="0" w:color="auto"/>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spacing w:before="80"/>
              <w:rPr>
                <w:rFonts w:ascii="Calibri" w:hAnsi="Calibri" w:cs="Calibri"/>
              </w:rPr>
            </w:pPr>
          </w:p>
        </w:tc>
        <w:tc>
          <w:tcPr>
            <w:tcW w:w="678" w:type="pct"/>
            <w:tcBorders>
              <w:top w:val="single" w:sz="4" w:space="0" w:color="auto"/>
              <w:left w:val="nil"/>
              <w:bottom w:val="nil"/>
              <w:right w:val="nil"/>
            </w:tcBorders>
            <w:shd w:val="clear" w:color="auto" w:fill="auto"/>
            <w:tcMar>
              <w:top w:w="13" w:type="dxa"/>
              <w:left w:w="113" w:type="dxa"/>
              <w:bottom w:w="0" w:type="dxa"/>
              <w:right w:w="113" w:type="dxa"/>
            </w:tcMar>
            <w:hideMark/>
          </w:tcPr>
          <w:p w:rsidR="00282739" w:rsidRDefault="00282739" w:rsidP="003C6043">
            <w:pPr>
              <w:pStyle w:val="Tabletext"/>
              <w:spacing w:before="80"/>
              <w:rPr>
                <w:rFonts w:ascii="Calibri" w:hAnsi="Calibri" w:cs="Calibri"/>
              </w:rPr>
            </w:pPr>
          </w:p>
        </w:tc>
        <w:tc>
          <w:tcPr>
            <w:tcW w:w="679" w:type="pct"/>
            <w:tcBorders>
              <w:top w:val="single" w:sz="4" w:space="0" w:color="auto"/>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spacing w:before="80"/>
            </w:pP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rPr>
                <w:szCs w:val="16"/>
              </w:rPr>
            </w:pPr>
            <w:r>
              <w:rPr>
                <w:szCs w:val="16"/>
              </w:rPr>
              <w:t>Business</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24.02</w:t>
            </w:r>
          </w:p>
        </w:tc>
        <w:tc>
          <w:tcPr>
            <w:tcW w:w="678" w:type="pct"/>
            <w:tcBorders>
              <w:top w:val="nil"/>
              <w:left w:val="nil"/>
              <w:bottom w:val="nil"/>
              <w:right w:val="nil"/>
            </w:tcBorders>
            <w:shd w:val="clear" w:color="auto" w:fill="auto"/>
            <w:tcMar>
              <w:top w:w="13" w:type="dxa"/>
              <w:left w:w="113" w:type="dxa"/>
              <w:bottom w:w="0" w:type="dxa"/>
              <w:right w:w="113" w:type="dxa"/>
            </w:tcMar>
            <w:hideMark/>
          </w:tcPr>
          <w:p w:rsidR="00282739" w:rsidRDefault="00282739" w:rsidP="003C6043">
            <w:pPr>
              <w:pStyle w:val="Tabletext"/>
              <w:tabs>
                <w:tab w:val="decimal" w:pos="454"/>
              </w:tabs>
            </w:pPr>
            <w:r>
              <w:t>72.22</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1.12</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1.13</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pPr>
            <w:r>
              <w:t>0.01</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tcPr>
          <w:p w:rsidR="00282739" w:rsidRPr="00E508B1" w:rsidRDefault="00282739" w:rsidP="003C6043">
            <w:pPr>
              <w:pStyle w:val="Tabletext"/>
              <w:rPr>
                <w:szCs w:val="16"/>
              </w:rPr>
            </w:pPr>
            <w:r>
              <w:rPr>
                <w:szCs w:val="16"/>
              </w:rPr>
              <w:t>Community recreation</w:t>
            </w:r>
          </w:p>
        </w:tc>
        <w:tc>
          <w:tcPr>
            <w:tcW w:w="678" w:type="pct"/>
            <w:tcBorders>
              <w:top w:val="nil"/>
              <w:left w:val="nil"/>
              <w:bottom w:val="nil"/>
              <w:right w:val="nil"/>
            </w:tcBorders>
            <w:shd w:val="clear" w:color="auto" w:fill="auto"/>
            <w:noWrap/>
            <w:tcMar>
              <w:top w:w="13" w:type="dxa"/>
              <w:left w:w="113" w:type="dxa"/>
              <w:bottom w:w="0" w:type="dxa"/>
              <w:right w:w="113" w:type="dxa"/>
            </w:tcMar>
          </w:tcPr>
          <w:p w:rsidR="00282739" w:rsidRDefault="00282739" w:rsidP="003C6043">
            <w:pPr>
              <w:pStyle w:val="Tabletext"/>
              <w:tabs>
                <w:tab w:val="decimal" w:pos="454"/>
              </w:tabs>
            </w:pPr>
            <w:r>
              <w:t>23.56</w:t>
            </w:r>
          </w:p>
        </w:tc>
        <w:tc>
          <w:tcPr>
            <w:tcW w:w="678" w:type="pct"/>
            <w:tcBorders>
              <w:top w:val="nil"/>
              <w:left w:val="nil"/>
              <w:bottom w:val="nil"/>
              <w:right w:val="nil"/>
            </w:tcBorders>
            <w:shd w:val="clear" w:color="auto" w:fill="auto"/>
            <w:tcMar>
              <w:top w:w="13" w:type="dxa"/>
              <w:left w:w="113" w:type="dxa"/>
              <w:bottom w:w="0" w:type="dxa"/>
              <w:right w:w="113" w:type="dxa"/>
            </w:tcMar>
          </w:tcPr>
          <w:p w:rsidR="00282739" w:rsidRDefault="00282739" w:rsidP="003C6043">
            <w:pPr>
              <w:pStyle w:val="Tabletext"/>
              <w:tabs>
                <w:tab w:val="decimal" w:pos="454"/>
              </w:tabs>
            </w:pPr>
            <w:r>
              <w:t>60.89</w:t>
            </w:r>
          </w:p>
        </w:tc>
        <w:tc>
          <w:tcPr>
            <w:tcW w:w="678" w:type="pct"/>
            <w:tcBorders>
              <w:top w:val="nil"/>
              <w:left w:val="nil"/>
              <w:bottom w:val="nil"/>
              <w:right w:val="nil"/>
            </w:tcBorders>
            <w:shd w:val="clear" w:color="auto" w:fill="auto"/>
            <w:noWrap/>
            <w:tcMar>
              <w:top w:w="17" w:type="dxa"/>
              <w:left w:w="113" w:type="dxa"/>
              <w:bottom w:w="0" w:type="dxa"/>
              <w:right w:w="113" w:type="dxa"/>
            </w:tcMar>
          </w:tcPr>
          <w:p w:rsidR="00282739" w:rsidRDefault="00282739" w:rsidP="003C6043">
            <w:pPr>
              <w:pStyle w:val="Tabletext"/>
              <w:tabs>
                <w:tab w:val="decimal" w:pos="425"/>
              </w:tabs>
            </w:pPr>
            <w:r>
              <w:t>1.13</w:t>
            </w:r>
          </w:p>
        </w:tc>
        <w:tc>
          <w:tcPr>
            <w:tcW w:w="678" w:type="pct"/>
            <w:tcBorders>
              <w:top w:val="nil"/>
              <w:left w:val="nil"/>
              <w:bottom w:val="nil"/>
              <w:right w:val="nil"/>
            </w:tcBorders>
            <w:shd w:val="clear" w:color="auto" w:fill="auto"/>
            <w:noWrap/>
            <w:tcMar>
              <w:top w:w="17" w:type="dxa"/>
              <w:left w:w="113" w:type="dxa"/>
              <w:bottom w:w="0" w:type="dxa"/>
              <w:right w:w="113" w:type="dxa"/>
            </w:tcMar>
          </w:tcPr>
          <w:p w:rsidR="00282739" w:rsidRDefault="00282739" w:rsidP="003C6043">
            <w:pPr>
              <w:pStyle w:val="Tabletext"/>
              <w:tabs>
                <w:tab w:val="decimal" w:pos="425"/>
              </w:tabs>
            </w:pPr>
            <w:r>
              <w:t>1.13</w:t>
            </w:r>
          </w:p>
        </w:tc>
        <w:tc>
          <w:tcPr>
            <w:tcW w:w="679" w:type="pct"/>
            <w:tcBorders>
              <w:top w:val="nil"/>
              <w:left w:val="nil"/>
              <w:bottom w:val="nil"/>
              <w:right w:val="nil"/>
            </w:tcBorders>
            <w:shd w:val="clear" w:color="auto" w:fill="auto"/>
            <w:tcMar>
              <w:top w:w="0" w:type="dxa"/>
              <w:left w:w="113" w:type="dxa"/>
              <w:bottom w:w="0" w:type="dxa"/>
              <w:right w:w="113" w:type="dxa"/>
            </w:tcMar>
          </w:tcPr>
          <w:p w:rsidR="00282739" w:rsidRDefault="00282739" w:rsidP="003C6043">
            <w:pPr>
              <w:pStyle w:val="Tabletext"/>
              <w:tabs>
                <w:tab w:val="decimal" w:pos="425"/>
              </w:tabs>
            </w:pPr>
            <w:r>
              <w:t>0.00</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rPr>
                <w:szCs w:val="16"/>
              </w:rPr>
            </w:pPr>
            <w:r w:rsidRPr="00E508B1">
              <w:rPr>
                <w:szCs w:val="16"/>
              </w:rPr>
              <w:t xml:space="preserve">Community </w:t>
            </w:r>
            <w:r>
              <w:rPr>
                <w:szCs w:val="16"/>
              </w:rPr>
              <w:t>s</w:t>
            </w:r>
            <w:r w:rsidRPr="00E508B1">
              <w:rPr>
                <w:szCs w:val="16"/>
              </w:rPr>
              <w:t>ervices</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23.13</w:t>
            </w:r>
          </w:p>
        </w:tc>
        <w:tc>
          <w:tcPr>
            <w:tcW w:w="678" w:type="pct"/>
            <w:tcBorders>
              <w:top w:val="nil"/>
              <w:left w:val="nil"/>
              <w:bottom w:val="nil"/>
              <w:right w:val="nil"/>
            </w:tcBorders>
            <w:shd w:val="clear" w:color="auto" w:fill="auto"/>
            <w:tcMar>
              <w:top w:w="13" w:type="dxa"/>
              <w:left w:w="113" w:type="dxa"/>
              <w:bottom w:w="0" w:type="dxa"/>
              <w:right w:w="113" w:type="dxa"/>
            </w:tcMar>
            <w:hideMark/>
          </w:tcPr>
          <w:p w:rsidR="00282739" w:rsidRDefault="00282739" w:rsidP="003C6043">
            <w:pPr>
              <w:pStyle w:val="Tabletext"/>
              <w:tabs>
                <w:tab w:val="decimal" w:pos="454"/>
              </w:tabs>
            </w:pPr>
            <w:r>
              <w:t>70.17</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1.17</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1.23</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pPr>
            <w:r>
              <w:t>0.06</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rPr>
                <w:szCs w:val="16"/>
              </w:rPr>
            </w:pPr>
            <w:r>
              <w:rPr>
                <w:szCs w:val="16"/>
              </w:rPr>
              <w:t>Dance</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28.79</w:t>
            </w:r>
          </w:p>
        </w:tc>
        <w:tc>
          <w:tcPr>
            <w:tcW w:w="678" w:type="pct"/>
            <w:tcBorders>
              <w:top w:val="nil"/>
              <w:left w:val="nil"/>
              <w:bottom w:val="nil"/>
              <w:right w:val="nil"/>
            </w:tcBorders>
            <w:shd w:val="clear" w:color="auto" w:fill="auto"/>
            <w:tcMar>
              <w:top w:w="13" w:type="dxa"/>
              <w:left w:w="113" w:type="dxa"/>
              <w:bottom w:w="0" w:type="dxa"/>
              <w:right w:w="113" w:type="dxa"/>
            </w:tcMar>
            <w:hideMark/>
          </w:tcPr>
          <w:p w:rsidR="00282739" w:rsidRDefault="00282739" w:rsidP="003C6043">
            <w:pPr>
              <w:pStyle w:val="Tabletext"/>
              <w:tabs>
                <w:tab w:val="decimal" w:pos="454"/>
              </w:tabs>
            </w:pPr>
            <w:r>
              <w:t>63.10</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1.11</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1.12</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pPr>
            <w:r>
              <w:t>0.01</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rPr>
                <w:szCs w:val="16"/>
              </w:rPr>
            </w:pPr>
            <w:r>
              <w:rPr>
                <w:szCs w:val="16"/>
              </w:rPr>
              <w:t>Electrotechnology</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24.17</w:t>
            </w:r>
          </w:p>
        </w:tc>
        <w:tc>
          <w:tcPr>
            <w:tcW w:w="678" w:type="pct"/>
            <w:tcBorders>
              <w:top w:val="nil"/>
              <w:left w:val="nil"/>
              <w:bottom w:val="nil"/>
              <w:right w:val="nil"/>
            </w:tcBorders>
            <w:shd w:val="clear" w:color="auto" w:fill="auto"/>
            <w:tcMar>
              <w:top w:w="13" w:type="dxa"/>
              <w:left w:w="113" w:type="dxa"/>
              <w:bottom w:w="0" w:type="dxa"/>
              <w:right w:w="113" w:type="dxa"/>
            </w:tcMar>
            <w:hideMark/>
          </w:tcPr>
          <w:p w:rsidR="00282739" w:rsidRDefault="00282739" w:rsidP="003C6043">
            <w:pPr>
              <w:pStyle w:val="Tabletext"/>
              <w:tabs>
                <w:tab w:val="decimal" w:pos="454"/>
              </w:tabs>
            </w:pPr>
            <w:r>
              <w:t>35.14</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1.18</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1.09</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pPr>
            <w:r>
              <w:t>-0.09</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rPr>
                <w:szCs w:val="16"/>
              </w:rPr>
            </w:pPr>
            <w:r>
              <w:rPr>
                <w:szCs w:val="16"/>
              </w:rPr>
              <w:t>Engineering studies</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23.94</w:t>
            </w:r>
          </w:p>
        </w:tc>
        <w:tc>
          <w:tcPr>
            <w:tcW w:w="678" w:type="pct"/>
            <w:tcBorders>
              <w:top w:val="nil"/>
              <w:left w:val="nil"/>
              <w:bottom w:val="nil"/>
              <w:right w:val="nil"/>
            </w:tcBorders>
            <w:shd w:val="clear" w:color="auto" w:fill="auto"/>
            <w:tcMar>
              <w:top w:w="13" w:type="dxa"/>
              <w:left w:w="113" w:type="dxa"/>
              <w:bottom w:w="0" w:type="dxa"/>
              <w:right w:w="113" w:type="dxa"/>
            </w:tcMar>
            <w:hideMark/>
          </w:tcPr>
          <w:p w:rsidR="00282739" w:rsidRDefault="00282739" w:rsidP="003C6043">
            <w:pPr>
              <w:pStyle w:val="Tabletext"/>
              <w:tabs>
                <w:tab w:val="decimal" w:pos="454"/>
              </w:tabs>
            </w:pPr>
            <w:r>
              <w:t>45.67</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1.19</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1.27</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pPr>
            <w:r>
              <w:t>0.08</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tcPr>
          <w:p w:rsidR="00282739" w:rsidRDefault="00282739" w:rsidP="003C6043">
            <w:pPr>
              <w:pStyle w:val="Tabletext"/>
              <w:rPr>
                <w:szCs w:val="16"/>
              </w:rPr>
            </w:pPr>
            <w:r>
              <w:rPr>
                <w:szCs w:val="16"/>
              </w:rPr>
              <w:t>Equine industry</w:t>
            </w:r>
          </w:p>
        </w:tc>
        <w:tc>
          <w:tcPr>
            <w:tcW w:w="678" w:type="pct"/>
            <w:tcBorders>
              <w:top w:val="nil"/>
              <w:left w:val="nil"/>
              <w:bottom w:val="nil"/>
              <w:right w:val="nil"/>
            </w:tcBorders>
            <w:shd w:val="clear" w:color="auto" w:fill="auto"/>
            <w:noWrap/>
            <w:tcMar>
              <w:top w:w="13" w:type="dxa"/>
              <w:left w:w="113" w:type="dxa"/>
              <w:bottom w:w="0" w:type="dxa"/>
              <w:right w:w="113" w:type="dxa"/>
            </w:tcMar>
          </w:tcPr>
          <w:p w:rsidR="00282739" w:rsidRDefault="00282739" w:rsidP="003C6043">
            <w:pPr>
              <w:pStyle w:val="Tabletext"/>
              <w:tabs>
                <w:tab w:val="decimal" w:pos="454"/>
              </w:tabs>
            </w:pPr>
            <w:r>
              <w:t>25.57</w:t>
            </w:r>
          </w:p>
        </w:tc>
        <w:tc>
          <w:tcPr>
            <w:tcW w:w="678" w:type="pct"/>
            <w:tcBorders>
              <w:top w:val="nil"/>
              <w:left w:val="nil"/>
              <w:bottom w:val="nil"/>
              <w:right w:val="nil"/>
            </w:tcBorders>
            <w:shd w:val="clear" w:color="auto" w:fill="auto"/>
            <w:tcMar>
              <w:top w:w="13" w:type="dxa"/>
              <w:left w:w="113" w:type="dxa"/>
              <w:bottom w:w="0" w:type="dxa"/>
              <w:right w:w="113" w:type="dxa"/>
            </w:tcMar>
          </w:tcPr>
          <w:p w:rsidR="00282739" w:rsidRDefault="00282739" w:rsidP="003C6043">
            <w:pPr>
              <w:pStyle w:val="Tabletext"/>
              <w:tabs>
                <w:tab w:val="decimal" w:pos="454"/>
              </w:tabs>
            </w:pPr>
            <w:r>
              <w:t>61.90</w:t>
            </w:r>
          </w:p>
        </w:tc>
        <w:tc>
          <w:tcPr>
            <w:tcW w:w="678" w:type="pct"/>
            <w:tcBorders>
              <w:top w:val="nil"/>
              <w:left w:val="nil"/>
              <w:bottom w:val="nil"/>
              <w:right w:val="nil"/>
            </w:tcBorders>
            <w:shd w:val="clear" w:color="auto" w:fill="auto"/>
            <w:noWrap/>
            <w:tcMar>
              <w:top w:w="17" w:type="dxa"/>
              <w:left w:w="113" w:type="dxa"/>
              <w:bottom w:w="0" w:type="dxa"/>
              <w:right w:w="113" w:type="dxa"/>
            </w:tcMar>
          </w:tcPr>
          <w:p w:rsidR="00282739" w:rsidRDefault="00282739" w:rsidP="003C6043">
            <w:pPr>
              <w:pStyle w:val="Tabletext"/>
              <w:tabs>
                <w:tab w:val="decimal" w:pos="425"/>
              </w:tabs>
            </w:pPr>
            <w:r>
              <w:t>1.04</w:t>
            </w:r>
          </w:p>
        </w:tc>
        <w:tc>
          <w:tcPr>
            <w:tcW w:w="678" w:type="pct"/>
            <w:tcBorders>
              <w:top w:val="nil"/>
              <w:left w:val="nil"/>
              <w:bottom w:val="nil"/>
              <w:right w:val="nil"/>
            </w:tcBorders>
            <w:shd w:val="clear" w:color="auto" w:fill="auto"/>
            <w:noWrap/>
            <w:tcMar>
              <w:top w:w="17" w:type="dxa"/>
              <w:left w:w="113" w:type="dxa"/>
              <w:bottom w:w="0" w:type="dxa"/>
              <w:right w:w="113" w:type="dxa"/>
            </w:tcMar>
          </w:tcPr>
          <w:p w:rsidR="00282739" w:rsidRDefault="00282739" w:rsidP="003C6043">
            <w:pPr>
              <w:pStyle w:val="Tabletext"/>
              <w:tabs>
                <w:tab w:val="decimal" w:pos="425"/>
              </w:tabs>
            </w:pPr>
            <w:r>
              <w:t>1.06</w:t>
            </w:r>
          </w:p>
        </w:tc>
        <w:tc>
          <w:tcPr>
            <w:tcW w:w="679" w:type="pct"/>
            <w:tcBorders>
              <w:top w:val="nil"/>
              <w:left w:val="nil"/>
              <w:bottom w:val="nil"/>
              <w:right w:val="nil"/>
            </w:tcBorders>
            <w:shd w:val="clear" w:color="auto" w:fill="auto"/>
            <w:tcMar>
              <w:top w:w="0" w:type="dxa"/>
              <w:left w:w="113" w:type="dxa"/>
              <w:bottom w:w="0" w:type="dxa"/>
              <w:right w:w="113" w:type="dxa"/>
            </w:tcMar>
          </w:tcPr>
          <w:p w:rsidR="00282739" w:rsidRDefault="00282739" w:rsidP="003C6043">
            <w:pPr>
              <w:pStyle w:val="Tabletext"/>
              <w:tabs>
                <w:tab w:val="decimal" w:pos="425"/>
              </w:tabs>
            </w:pPr>
            <w:r>
              <w:t>0.02</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tcPr>
          <w:p w:rsidR="00282739" w:rsidRDefault="00282739" w:rsidP="003C6043">
            <w:pPr>
              <w:pStyle w:val="Tabletext"/>
              <w:rPr>
                <w:szCs w:val="16"/>
              </w:rPr>
            </w:pPr>
            <w:r>
              <w:rPr>
                <w:szCs w:val="16"/>
              </w:rPr>
              <w:t>Furnishing</w:t>
            </w:r>
          </w:p>
        </w:tc>
        <w:tc>
          <w:tcPr>
            <w:tcW w:w="678" w:type="pct"/>
            <w:tcBorders>
              <w:top w:val="nil"/>
              <w:left w:val="nil"/>
              <w:bottom w:val="nil"/>
              <w:right w:val="nil"/>
            </w:tcBorders>
            <w:shd w:val="clear" w:color="auto" w:fill="auto"/>
            <w:noWrap/>
            <w:tcMar>
              <w:top w:w="13" w:type="dxa"/>
              <w:left w:w="113" w:type="dxa"/>
              <w:bottom w:w="0" w:type="dxa"/>
              <w:right w:w="113" w:type="dxa"/>
            </w:tcMar>
          </w:tcPr>
          <w:p w:rsidR="00282739" w:rsidRDefault="00282739" w:rsidP="003C6043">
            <w:pPr>
              <w:pStyle w:val="Tabletext"/>
              <w:tabs>
                <w:tab w:val="decimal" w:pos="454"/>
              </w:tabs>
            </w:pPr>
            <w:r>
              <w:t>24.01</w:t>
            </w:r>
          </w:p>
        </w:tc>
        <w:tc>
          <w:tcPr>
            <w:tcW w:w="678" w:type="pct"/>
            <w:tcBorders>
              <w:top w:val="nil"/>
              <w:left w:val="nil"/>
              <w:bottom w:val="nil"/>
              <w:right w:val="nil"/>
            </w:tcBorders>
            <w:shd w:val="clear" w:color="auto" w:fill="auto"/>
            <w:tcMar>
              <w:top w:w="13" w:type="dxa"/>
              <w:left w:w="113" w:type="dxa"/>
              <w:bottom w:w="0" w:type="dxa"/>
              <w:right w:w="113" w:type="dxa"/>
            </w:tcMar>
          </w:tcPr>
          <w:p w:rsidR="00282739" w:rsidRDefault="00282739" w:rsidP="003C6043">
            <w:pPr>
              <w:pStyle w:val="Tabletext"/>
              <w:tabs>
                <w:tab w:val="decimal" w:pos="454"/>
              </w:tabs>
            </w:pPr>
            <w:r>
              <w:t>35.48</w:t>
            </w:r>
          </w:p>
        </w:tc>
        <w:tc>
          <w:tcPr>
            <w:tcW w:w="678" w:type="pct"/>
            <w:tcBorders>
              <w:top w:val="nil"/>
              <w:left w:val="nil"/>
              <w:bottom w:val="nil"/>
              <w:right w:val="nil"/>
            </w:tcBorders>
            <w:shd w:val="clear" w:color="auto" w:fill="auto"/>
            <w:noWrap/>
            <w:tcMar>
              <w:top w:w="17" w:type="dxa"/>
              <w:left w:w="113" w:type="dxa"/>
              <w:bottom w:w="0" w:type="dxa"/>
              <w:right w:w="113" w:type="dxa"/>
            </w:tcMar>
          </w:tcPr>
          <w:p w:rsidR="00282739" w:rsidRDefault="00282739" w:rsidP="003C6043">
            <w:pPr>
              <w:pStyle w:val="Tabletext"/>
              <w:tabs>
                <w:tab w:val="decimal" w:pos="425"/>
              </w:tabs>
            </w:pPr>
            <w:r>
              <w:t>1.11</w:t>
            </w:r>
          </w:p>
        </w:tc>
        <w:tc>
          <w:tcPr>
            <w:tcW w:w="678" w:type="pct"/>
            <w:tcBorders>
              <w:top w:val="nil"/>
              <w:left w:val="nil"/>
              <w:bottom w:val="nil"/>
              <w:right w:val="nil"/>
            </w:tcBorders>
            <w:shd w:val="clear" w:color="auto" w:fill="auto"/>
            <w:noWrap/>
            <w:tcMar>
              <w:top w:w="17" w:type="dxa"/>
              <w:left w:w="113" w:type="dxa"/>
              <w:bottom w:w="0" w:type="dxa"/>
              <w:right w:w="113" w:type="dxa"/>
            </w:tcMar>
          </w:tcPr>
          <w:p w:rsidR="00282739" w:rsidRDefault="00282739" w:rsidP="003C6043">
            <w:pPr>
              <w:pStyle w:val="Tabletext"/>
              <w:tabs>
                <w:tab w:val="decimal" w:pos="425"/>
              </w:tabs>
            </w:pPr>
            <w:r>
              <w:t>1.06</w:t>
            </w:r>
          </w:p>
        </w:tc>
        <w:tc>
          <w:tcPr>
            <w:tcW w:w="679" w:type="pct"/>
            <w:tcBorders>
              <w:top w:val="nil"/>
              <w:left w:val="nil"/>
              <w:bottom w:val="nil"/>
              <w:right w:val="nil"/>
            </w:tcBorders>
            <w:shd w:val="clear" w:color="auto" w:fill="auto"/>
            <w:tcMar>
              <w:top w:w="0" w:type="dxa"/>
              <w:left w:w="113" w:type="dxa"/>
              <w:bottom w:w="0" w:type="dxa"/>
              <w:right w:w="113" w:type="dxa"/>
            </w:tcMar>
          </w:tcPr>
          <w:p w:rsidR="00282739" w:rsidRDefault="00282739" w:rsidP="003C6043">
            <w:pPr>
              <w:pStyle w:val="Tabletext"/>
              <w:tabs>
                <w:tab w:val="decimal" w:pos="425"/>
              </w:tabs>
            </w:pPr>
            <w:r>
              <w:t>-0.05</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rPr>
                <w:szCs w:val="16"/>
              </w:rPr>
            </w:pPr>
            <w:r>
              <w:rPr>
                <w:szCs w:val="16"/>
              </w:rPr>
              <w:t>Hospitality</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25.02</w:t>
            </w:r>
          </w:p>
        </w:tc>
        <w:tc>
          <w:tcPr>
            <w:tcW w:w="678" w:type="pct"/>
            <w:tcBorders>
              <w:top w:val="nil"/>
              <w:left w:val="nil"/>
              <w:bottom w:val="nil"/>
              <w:right w:val="nil"/>
            </w:tcBorders>
            <w:shd w:val="clear" w:color="auto" w:fill="auto"/>
            <w:tcMar>
              <w:top w:w="13" w:type="dxa"/>
              <w:left w:w="113" w:type="dxa"/>
              <w:bottom w:w="0" w:type="dxa"/>
              <w:right w:w="113" w:type="dxa"/>
            </w:tcMar>
            <w:hideMark/>
          </w:tcPr>
          <w:p w:rsidR="00282739" w:rsidRDefault="00282739" w:rsidP="003C6043">
            <w:pPr>
              <w:pStyle w:val="Tabletext"/>
              <w:tabs>
                <w:tab w:val="decimal" w:pos="454"/>
              </w:tabs>
            </w:pPr>
            <w:r>
              <w:t>60.63</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1.07</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1.12</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pPr>
            <w:r>
              <w:t>0.05</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rPr>
                <w:szCs w:val="16"/>
              </w:rPr>
            </w:pPr>
            <w:r>
              <w:rPr>
                <w:szCs w:val="16"/>
              </w:rPr>
              <w:t>Hospitality (kitchen operations)</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24.65</w:t>
            </w:r>
          </w:p>
        </w:tc>
        <w:tc>
          <w:tcPr>
            <w:tcW w:w="678" w:type="pct"/>
            <w:tcBorders>
              <w:top w:val="nil"/>
              <w:left w:val="nil"/>
              <w:bottom w:val="nil"/>
              <w:right w:val="nil"/>
            </w:tcBorders>
            <w:shd w:val="clear" w:color="auto" w:fill="auto"/>
            <w:tcMar>
              <w:top w:w="13" w:type="dxa"/>
              <w:left w:w="113" w:type="dxa"/>
              <w:bottom w:w="0" w:type="dxa"/>
              <w:right w:w="113" w:type="dxa"/>
            </w:tcMar>
            <w:hideMark/>
          </w:tcPr>
          <w:p w:rsidR="00282739" w:rsidRDefault="00282739" w:rsidP="003C6043">
            <w:pPr>
              <w:pStyle w:val="Tabletext"/>
              <w:tabs>
                <w:tab w:val="decimal" w:pos="454"/>
              </w:tabs>
            </w:pPr>
            <w:r>
              <w:t>52.94</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1.09</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1.16</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pPr>
            <w:r>
              <w:t>0.07</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rPr>
                <w:szCs w:val="16"/>
              </w:rPr>
            </w:pPr>
            <w:r>
              <w:rPr>
                <w:szCs w:val="16"/>
              </w:rPr>
              <w:t>Information technology</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24.84</w:t>
            </w:r>
          </w:p>
        </w:tc>
        <w:tc>
          <w:tcPr>
            <w:tcW w:w="678" w:type="pct"/>
            <w:tcBorders>
              <w:top w:val="nil"/>
              <w:left w:val="nil"/>
              <w:bottom w:val="nil"/>
              <w:right w:val="nil"/>
            </w:tcBorders>
            <w:shd w:val="clear" w:color="auto" w:fill="auto"/>
            <w:tcMar>
              <w:top w:w="13" w:type="dxa"/>
              <w:left w:w="113" w:type="dxa"/>
              <w:bottom w:w="0" w:type="dxa"/>
              <w:right w:w="113" w:type="dxa"/>
            </w:tcMar>
            <w:hideMark/>
          </w:tcPr>
          <w:p w:rsidR="00282739" w:rsidRDefault="00282739" w:rsidP="003C6043">
            <w:pPr>
              <w:pStyle w:val="Tabletext"/>
              <w:tabs>
                <w:tab w:val="decimal" w:pos="454"/>
              </w:tabs>
            </w:pPr>
            <w:r>
              <w:t>71.43</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1.21</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1.18</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pPr>
            <w:r>
              <w:t>-0.03</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rPr>
                <w:szCs w:val="16"/>
              </w:rPr>
            </w:pPr>
            <w:r>
              <w:rPr>
                <w:szCs w:val="16"/>
              </w:rPr>
              <w:t>Interactive digital media</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25.52</w:t>
            </w:r>
          </w:p>
        </w:tc>
        <w:tc>
          <w:tcPr>
            <w:tcW w:w="678" w:type="pct"/>
            <w:tcBorders>
              <w:top w:val="nil"/>
              <w:left w:val="nil"/>
              <w:bottom w:val="nil"/>
              <w:right w:val="nil"/>
            </w:tcBorders>
            <w:shd w:val="clear" w:color="auto" w:fill="auto"/>
            <w:tcMar>
              <w:top w:w="13" w:type="dxa"/>
              <w:left w:w="113" w:type="dxa"/>
              <w:bottom w:w="0" w:type="dxa"/>
              <w:right w:w="113" w:type="dxa"/>
            </w:tcMar>
            <w:hideMark/>
          </w:tcPr>
          <w:p w:rsidR="00282739" w:rsidRDefault="00282739" w:rsidP="003C6043">
            <w:pPr>
              <w:pStyle w:val="Tabletext"/>
              <w:tabs>
                <w:tab w:val="decimal" w:pos="454"/>
              </w:tabs>
            </w:pPr>
            <w:r>
              <w:t>68.62</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1.07</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1.10</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pPr>
            <w:r>
              <w:t>0.03</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rPr>
                <w:szCs w:val="16"/>
              </w:rPr>
            </w:pPr>
            <w:r>
              <w:rPr>
                <w:szCs w:val="16"/>
              </w:rPr>
              <w:t>Music</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27.12</w:t>
            </w:r>
          </w:p>
        </w:tc>
        <w:tc>
          <w:tcPr>
            <w:tcW w:w="678" w:type="pct"/>
            <w:tcBorders>
              <w:top w:val="nil"/>
              <w:left w:val="nil"/>
              <w:bottom w:val="nil"/>
              <w:right w:val="nil"/>
            </w:tcBorders>
            <w:shd w:val="clear" w:color="auto" w:fill="auto"/>
            <w:tcMar>
              <w:top w:w="13" w:type="dxa"/>
              <w:left w:w="113" w:type="dxa"/>
              <w:bottom w:w="0" w:type="dxa"/>
              <w:right w:w="113" w:type="dxa"/>
            </w:tcMar>
            <w:hideMark/>
          </w:tcPr>
          <w:p w:rsidR="00282739" w:rsidRDefault="00282739" w:rsidP="003C6043">
            <w:pPr>
              <w:pStyle w:val="Tabletext"/>
              <w:tabs>
                <w:tab w:val="decimal" w:pos="454"/>
              </w:tabs>
            </w:pPr>
            <w:r>
              <w:t>65.83</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1.11</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1.18</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pPr>
            <w:r>
              <w:t>0.07</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rPr>
                <w:szCs w:val="16"/>
              </w:rPr>
            </w:pPr>
            <w:r w:rsidRPr="00D5077A">
              <w:rPr>
                <w:szCs w:val="16"/>
              </w:rPr>
              <w:t>Music</w:t>
            </w:r>
            <w:r>
              <w:rPr>
                <w:szCs w:val="16"/>
              </w:rPr>
              <w:t xml:space="preserve"> industry</w:t>
            </w:r>
            <w:r w:rsidRPr="00D5077A">
              <w:rPr>
                <w:szCs w:val="16"/>
              </w:rPr>
              <w:t xml:space="preserve"> </w:t>
            </w:r>
            <w:r>
              <w:rPr>
                <w:szCs w:val="16"/>
              </w:rPr>
              <w:t>(</w:t>
            </w:r>
            <w:r w:rsidRPr="00D5077A">
              <w:rPr>
                <w:szCs w:val="16"/>
              </w:rPr>
              <w:t>technical production</w:t>
            </w:r>
            <w:r>
              <w:rPr>
                <w:szCs w:val="16"/>
              </w:rPr>
              <w:t>)</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26.12</w:t>
            </w:r>
          </w:p>
        </w:tc>
        <w:tc>
          <w:tcPr>
            <w:tcW w:w="678" w:type="pct"/>
            <w:tcBorders>
              <w:top w:val="nil"/>
              <w:left w:val="nil"/>
              <w:bottom w:val="nil"/>
              <w:right w:val="nil"/>
            </w:tcBorders>
            <w:shd w:val="clear" w:color="auto" w:fill="auto"/>
            <w:tcMar>
              <w:top w:w="13" w:type="dxa"/>
              <w:left w:w="113" w:type="dxa"/>
              <w:bottom w:w="0" w:type="dxa"/>
              <w:right w:w="113" w:type="dxa"/>
            </w:tcMar>
            <w:hideMark/>
          </w:tcPr>
          <w:p w:rsidR="00282739" w:rsidRDefault="00282739" w:rsidP="003C6043">
            <w:pPr>
              <w:pStyle w:val="Tabletext"/>
              <w:tabs>
                <w:tab w:val="decimal" w:pos="454"/>
              </w:tabs>
            </w:pPr>
            <w:r>
              <w:t>58.30</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1.09</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1.15</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pPr>
            <w:r>
              <w:t>0.06</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rPr>
                <w:szCs w:val="16"/>
              </w:rPr>
            </w:pPr>
            <w:r>
              <w:rPr>
                <w:szCs w:val="16"/>
              </w:rPr>
              <w:t>Sport and outdoor recreation</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23.84</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67.74</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1.16</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1.13</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pPr>
            <w:r>
              <w:t>-0.03</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Pr="00E508B1" w:rsidRDefault="00282739" w:rsidP="003C6043">
            <w:pPr>
              <w:pStyle w:val="Tabletext"/>
              <w:rPr>
                <w:szCs w:val="16"/>
              </w:rPr>
            </w:pPr>
            <w:r w:rsidRPr="00E508B1">
              <w:rPr>
                <w:szCs w:val="16"/>
              </w:rPr>
              <w:t>All VET subjects</w:t>
            </w:r>
            <w:r w:rsidRPr="00E508B1">
              <w:rPr>
                <w:szCs w:val="16"/>
                <w:vertAlign w:val="superscript"/>
              </w:rPr>
              <w:t>b</w:t>
            </w:r>
            <w:r w:rsidRPr="00E508B1">
              <w:rPr>
                <w:szCs w:val="16"/>
              </w:rPr>
              <w:t xml:space="preserve"> </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Pr="00E16BA6" w:rsidRDefault="00282739" w:rsidP="003C6043">
            <w:pPr>
              <w:pStyle w:val="Tabletext"/>
              <w:tabs>
                <w:tab w:val="decimal" w:pos="454"/>
              </w:tabs>
            </w:pPr>
            <w:r w:rsidRPr="00E16BA6">
              <w:t>24.8</w:t>
            </w:r>
            <w:r>
              <w:t>1</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Pr="00E16BA6" w:rsidRDefault="00282739" w:rsidP="003C6043">
            <w:pPr>
              <w:pStyle w:val="Tabletext"/>
              <w:tabs>
                <w:tab w:val="decimal" w:pos="454"/>
              </w:tabs>
            </w:pPr>
            <w:r w:rsidRPr="00E16BA6">
              <w:t>6</w:t>
            </w:r>
            <w:r>
              <w:t>2.96</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1.11</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1.14</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Pr="00A968EC" w:rsidRDefault="00282739" w:rsidP="003C6043">
            <w:pPr>
              <w:pStyle w:val="Tabletext"/>
              <w:tabs>
                <w:tab w:val="decimal" w:pos="425"/>
              </w:tabs>
            </w:pPr>
            <w:r w:rsidRPr="00A968EC">
              <w:t>0.03</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Pr="00461BD7" w:rsidRDefault="00282739" w:rsidP="003C6043">
            <w:pPr>
              <w:pStyle w:val="Tabletext"/>
              <w:spacing w:before="120"/>
              <w:rPr>
                <w:b/>
              </w:rPr>
            </w:pPr>
            <w:r w:rsidRPr="00461BD7">
              <w:rPr>
                <w:b/>
              </w:rPr>
              <w:t>General VCE subject</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spacing w:before="120"/>
              <w:rPr>
                <w:rFonts w:ascii="Calibri" w:hAnsi="Calibri" w:cs="Calibri"/>
              </w:rPr>
            </w:pP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spacing w:before="120"/>
              <w:rPr>
                <w:rFonts w:ascii="Calibri" w:hAnsi="Calibri" w:cs="Calibri"/>
              </w:rPr>
            </w:pP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Pr="00461BD7" w:rsidRDefault="00282739" w:rsidP="003C6043">
            <w:pPr>
              <w:pStyle w:val="Tabletext"/>
              <w:tabs>
                <w:tab w:val="decimal" w:pos="425"/>
              </w:tabs>
              <w:spacing w:before="120"/>
            </w:pP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Pr="00461BD7" w:rsidRDefault="00282739" w:rsidP="003C6043">
            <w:pPr>
              <w:pStyle w:val="Tabletext"/>
              <w:tabs>
                <w:tab w:val="decimal" w:pos="425"/>
              </w:tabs>
              <w:spacing w:before="120"/>
            </w:pP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spacing w:before="120"/>
            </w:pP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rPr>
                <w:szCs w:val="16"/>
              </w:rPr>
            </w:pPr>
            <w:r>
              <w:rPr>
                <w:szCs w:val="16"/>
              </w:rPr>
              <w:t>Business management</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25.93</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74.85</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1.08</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1.03</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pPr>
            <w:r>
              <w:t>-0.05</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rPr>
                <w:szCs w:val="16"/>
              </w:rPr>
            </w:pPr>
            <w:r>
              <w:rPr>
                <w:szCs w:val="16"/>
              </w:rPr>
              <w:t>Health and human development</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25.63</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77.48</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1.09</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1.04</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pPr>
            <w:r>
              <w:t>-0.05</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rPr>
                <w:szCs w:val="16"/>
              </w:rPr>
            </w:pPr>
            <w:r>
              <w:rPr>
                <w:szCs w:val="16"/>
              </w:rPr>
              <w:t>Dance</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26.67</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73.52</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0.99</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1.01</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pPr>
            <w:r>
              <w:t>0.02</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rPr>
                <w:szCs w:val="16"/>
              </w:rPr>
            </w:pPr>
            <w:r>
              <w:rPr>
                <w:szCs w:val="16"/>
              </w:rPr>
              <w:t>Physics</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32.30</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92.92</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0.97</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0.89</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pPr>
            <w:r>
              <w:t>-0.08</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rPr>
                <w:szCs w:val="16"/>
              </w:rPr>
            </w:pPr>
            <w:r>
              <w:rPr>
                <w:szCs w:val="16"/>
              </w:rPr>
              <w:t>Food and technology</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23.48</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58.51</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1.18</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1.19</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pPr>
            <w:r>
              <w:t>0.01</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rPr>
                <w:szCs w:val="16"/>
              </w:rPr>
            </w:pPr>
            <w:r>
              <w:rPr>
                <w:szCs w:val="16"/>
              </w:rPr>
              <w:t>Information technology applications</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24.79</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72.37</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1.13</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1.13</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pPr>
            <w:r>
              <w:t>0.00</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rPr>
                <w:szCs w:val="16"/>
              </w:rPr>
            </w:pPr>
            <w:r>
              <w:rPr>
                <w:szCs w:val="16"/>
              </w:rPr>
              <w:t>Visual communications and design</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26.43</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71.80</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1.07</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1.05</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pPr>
            <w:r>
              <w:t>-0.02</w:t>
            </w:r>
          </w:p>
        </w:tc>
      </w:tr>
      <w:tr w:rsidR="00282739" w:rsidTr="003C6043">
        <w:tc>
          <w:tcPr>
            <w:tcW w:w="1609"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rPr>
                <w:szCs w:val="16"/>
              </w:rPr>
            </w:pPr>
            <w:r>
              <w:rPr>
                <w:szCs w:val="16"/>
              </w:rPr>
              <w:t>Music performance</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28.53</w:t>
            </w:r>
          </w:p>
        </w:tc>
        <w:tc>
          <w:tcPr>
            <w:tcW w:w="678"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454"/>
              </w:tabs>
            </w:pPr>
            <w:r>
              <w:t>80.19</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0.99</w:t>
            </w:r>
          </w:p>
        </w:tc>
        <w:tc>
          <w:tcPr>
            <w:tcW w:w="678" w:type="pct"/>
            <w:tcBorders>
              <w:top w:val="nil"/>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425"/>
              </w:tabs>
            </w:pPr>
            <w:r>
              <w:t>1.02</w:t>
            </w:r>
          </w:p>
        </w:tc>
        <w:tc>
          <w:tcPr>
            <w:tcW w:w="679" w:type="pct"/>
            <w:tcBorders>
              <w:top w:val="nil"/>
              <w:left w:val="nil"/>
              <w:bottom w:val="nil"/>
              <w:right w:val="nil"/>
            </w:tcBorders>
            <w:shd w:val="clear" w:color="auto" w:fill="auto"/>
            <w:tcMar>
              <w:top w:w="0" w:type="dxa"/>
              <w:left w:w="113" w:type="dxa"/>
              <w:bottom w:w="0" w:type="dxa"/>
              <w:right w:w="113" w:type="dxa"/>
            </w:tcMar>
            <w:hideMark/>
          </w:tcPr>
          <w:p w:rsidR="00282739" w:rsidRDefault="00282739" w:rsidP="003C6043">
            <w:pPr>
              <w:pStyle w:val="Tabletext"/>
              <w:tabs>
                <w:tab w:val="decimal" w:pos="425"/>
              </w:tabs>
            </w:pPr>
            <w:r>
              <w:t>0.03</w:t>
            </w:r>
          </w:p>
        </w:tc>
      </w:tr>
      <w:tr w:rsidR="00282739" w:rsidRPr="00461BD7" w:rsidTr="003C6043">
        <w:tc>
          <w:tcPr>
            <w:tcW w:w="1609" w:type="pct"/>
            <w:tcBorders>
              <w:top w:val="nil"/>
              <w:left w:val="nil"/>
              <w:bottom w:val="single" w:sz="8" w:space="0" w:color="auto"/>
              <w:right w:val="nil"/>
            </w:tcBorders>
            <w:shd w:val="clear" w:color="auto" w:fill="auto"/>
            <w:noWrap/>
            <w:tcMar>
              <w:top w:w="17" w:type="dxa"/>
              <w:left w:w="113" w:type="dxa"/>
              <w:bottom w:w="0" w:type="dxa"/>
              <w:right w:w="113" w:type="dxa"/>
            </w:tcMar>
            <w:hideMark/>
          </w:tcPr>
          <w:p w:rsidR="00282739" w:rsidRPr="00461BD7" w:rsidRDefault="00282739" w:rsidP="003C6043">
            <w:pPr>
              <w:pStyle w:val="Tabletext"/>
            </w:pPr>
            <w:r w:rsidRPr="00461BD7">
              <w:t>Physical education</w:t>
            </w:r>
          </w:p>
        </w:tc>
        <w:tc>
          <w:tcPr>
            <w:tcW w:w="678" w:type="pct"/>
            <w:tcBorders>
              <w:top w:val="nil"/>
              <w:left w:val="nil"/>
              <w:bottom w:val="single" w:sz="8" w:space="0" w:color="auto"/>
              <w:right w:val="nil"/>
            </w:tcBorders>
            <w:shd w:val="clear" w:color="auto" w:fill="auto"/>
            <w:noWrap/>
            <w:tcMar>
              <w:top w:w="17" w:type="dxa"/>
              <w:left w:w="113" w:type="dxa"/>
              <w:bottom w:w="0" w:type="dxa"/>
              <w:right w:w="113" w:type="dxa"/>
            </w:tcMar>
            <w:hideMark/>
          </w:tcPr>
          <w:p w:rsidR="00282739" w:rsidRPr="00461BD7" w:rsidRDefault="00282739" w:rsidP="003C6043">
            <w:pPr>
              <w:pStyle w:val="Tabletext"/>
              <w:tabs>
                <w:tab w:val="decimal" w:pos="454"/>
              </w:tabs>
            </w:pPr>
            <w:r w:rsidRPr="00461BD7">
              <w:t>26.76</w:t>
            </w:r>
          </w:p>
        </w:tc>
        <w:tc>
          <w:tcPr>
            <w:tcW w:w="678" w:type="pct"/>
            <w:tcBorders>
              <w:top w:val="nil"/>
              <w:left w:val="nil"/>
              <w:bottom w:val="single" w:sz="8" w:space="0" w:color="auto"/>
              <w:right w:val="nil"/>
            </w:tcBorders>
            <w:shd w:val="clear" w:color="auto" w:fill="auto"/>
            <w:noWrap/>
            <w:tcMar>
              <w:top w:w="17" w:type="dxa"/>
              <w:left w:w="113" w:type="dxa"/>
              <w:bottom w:w="0" w:type="dxa"/>
              <w:right w:w="113" w:type="dxa"/>
            </w:tcMar>
            <w:hideMark/>
          </w:tcPr>
          <w:p w:rsidR="00282739" w:rsidRPr="00461BD7" w:rsidRDefault="00282739" w:rsidP="003C6043">
            <w:pPr>
              <w:pStyle w:val="Tabletext"/>
              <w:tabs>
                <w:tab w:val="decimal" w:pos="454"/>
              </w:tabs>
            </w:pPr>
            <w:r w:rsidRPr="00461BD7">
              <w:t>78.31</w:t>
            </w:r>
          </w:p>
        </w:tc>
        <w:tc>
          <w:tcPr>
            <w:tcW w:w="678" w:type="pct"/>
            <w:tcBorders>
              <w:top w:val="nil"/>
              <w:left w:val="nil"/>
              <w:bottom w:val="single" w:sz="8" w:space="0" w:color="auto"/>
              <w:right w:val="nil"/>
            </w:tcBorders>
            <w:shd w:val="clear" w:color="auto" w:fill="auto"/>
            <w:noWrap/>
            <w:tcMar>
              <w:top w:w="17" w:type="dxa"/>
              <w:left w:w="113" w:type="dxa"/>
              <w:bottom w:w="0" w:type="dxa"/>
              <w:right w:w="113" w:type="dxa"/>
            </w:tcMar>
            <w:hideMark/>
          </w:tcPr>
          <w:p w:rsidR="00282739" w:rsidRPr="00461BD7" w:rsidRDefault="00282739" w:rsidP="003C6043">
            <w:pPr>
              <w:pStyle w:val="Tabletext"/>
              <w:tabs>
                <w:tab w:val="decimal" w:pos="425"/>
              </w:tabs>
            </w:pPr>
            <w:r w:rsidRPr="00461BD7">
              <w:t>1.06</w:t>
            </w:r>
          </w:p>
        </w:tc>
        <w:tc>
          <w:tcPr>
            <w:tcW w:w="678" w:type="pct"/>
            <w:tcBorders>
              <w:top w:val="nil"/>
              <w:left w:val="nil"/>
              <w:bottom w:val="single" w:sz="8" w:space="0" w:color="auto"/>
              <w:right w:val="nil"/>
            </w:tcBorders>
            <w:shd w:val="clear" w:color="auto" w:fill="auto"/>
            <w:noWrap/>
            <w:tcMar>
              <w:top w:w="17" w:type="dxa"/>
              <w:left w:w="113" w:type="dxa"/>
              <w:bottom w:w="0" w:type="dxa"/>
              <w:right w:w="113" w:type="dxa"/>
            </w:tcMar>
            <w:hideMark/>
          </w:tcPr>
          <w:p w:rsidR="00282739" w:rsidRPr="00461BD7" w:rsidRDefault="00282739" w:rsidP="003C6043">
            <w:pPr>
              <w:pStyle w:val="Tabletext"/>
              <w:tabs>
                <w:tab w:val="decimal" w:pos="425"/>
              </w:tabs>
            </w:pPr>
            <w:r w:rsidRPr="00461BD7">
              <w:t>1.01</w:t>
            </w:r>
          </w:p>
        </w:tc>
        <w:tc>
          <w:tcPr>
            <w:tcW w:w="679" w:type="pct"/>
            <w:tcBorders>
              <w:top w:val="nil"/>
              <w:left w:val="nil"/>
              <w:bottom w:val="single" w:sz="8" w:space="0" w:color="auto"/>
              <w:right w:val="nil"/>
            </w:tcBorders>
            <w:shd w:val="clear" w:color="auto" w:fill="auto"/>
            <w:tcMar>
              <w:top w:w="17" w:type="dxa"/>
              <w:left w:w="113" w:type="dxa"/>
              <w:bottom w:w="0" w:type="dxa"/>
              <w:right w:w="113" w:type="dxa"/>
            </w:tcMar>
            <w:hideMark/>
          </w:tcPr>
          <w:p w:rsidR="00282739" w:rsidRPr="00461BD7" w:rsidRDefault="00282739" w:rsidP="003C6043">
            <w:pPr>
              <w:pStyle w:val="Tabletext"/>
              <w:tabs>
                <w:tab w:val="decimal" w:pos="425"/>
              </w:tabs>
            </w:pPr>
            <w:r w:rsidRPr="00461BD7">
              <w:t>0.05</w:t>
            </w:r>
          </w:p>
        </w:tc>
      </w:tr>
    </w:tbl>
    <w:p w:rsidR="00282739" w:rsidRPr="00C23620" w:rsidRDefault="00282739" w:rsidP="00282739">
      <w:pPr>
        <w:pStyle w:val="Source"/>
      </w:pPr>
      <w:r>
        <w:t>Note:</w:t>
      </w:r>
      <w:r>
        <w:tab/>
        <w:t xml:space="preserve">The results for ‘financial </w:t>
      </w:r>
      <w:r w:rsidRPr="00C23620">
        <w:t>services</w:t>
      </w:r>
      <w:r>
        <w:t>’</w:t>
      </w:r>
      <w:r w:rsidRPr="00C23620">
        <w:t xml:space="preserve"> and </w:t>
      </w:r>
      <w:r>
        <w:t>‘</w:t>
      </w:r>
      <w:r w:rsidRPr="00C23620">
        <w:t>laboratory skills</w:t>
      </w:r>
      <w:r>
        <w:t>’</w:t>
      </w:r>
      <w:r w:rsidRPr="00C23620">
        <w:t xml:space="preserve"> are not reported because they are based on fewer than </w:t>
      </w:r>
      <w:r>
        <w:t>ten</w:t>
      </w:r>
      <w:r w:rsidRPr="00C23620">
        <w:t xml:space="preserve"> observations.</w:t>
      </w:r>
    </w:p>
    <w:p w:rsidR="00282739" w:rsidRDefault="00282739" w:rsidP="00282739">
      <w:pPr>
        <w:pStyle w:val="Source"/>
        <w:ind w:left="907" w:hanging="170"/>
      </w:pPr>
      <w:r w:rsidRPr="00C23620">
        <w:t>a</w:t>
      </w:r>
      <w:r>
        <w:tab/>
      </w:r>
      <w:r w:rsidRPr="00C23620">
        <w:t>Determined by whether they lodge a first preference to VTAC to attend a university. The differences in the ratio of scores for all VCE VET students who do and do not intend to go to university are statistically significant at 1%.</w:t>
      </w:r>
    </w:p>
    <w:p w:rsidR="00282739" w:rsidRPr="00C23620" w:rsidRDefault="00282739" w:rsidP="00282739">
      <w:pPr>
        <w:pStyle w:val="Source"/>
        <w:ind w:left="907" w:hanging="170"/>
      </w:pPr>
      <w:r w:rsidRPr="00C23620">
        <w:t>b</w:t>
      </w:r>
      <w:r>
        <w:tab/>
      </w:r>
      <w:r w:rsidRPr="00C23620">
        <w:t>It</w:t>
      </w:r>
      <w:r>
        <w:t xml:space="preserve"> i</w:t>
      </w:r>
      <w:r w:rsidRPr="00C23620">
        <w:t xml:space="preserve">s estimated as the average raw study score (unscaled) for the given subject (column 1) divided by the average raw score for all other subjects taken by the students who took the given subject. </w:t>
      </w:r>
    </w:p>
    <w:p w:rsidR="00282739" w:rsidRDefault="00282739" w:rsidP="00282739">
      <w:pPr>
        <w:pStyle w:val="Source"/>
      </w:pPr>
      <w:r w:rsidRPr="00C23620">
        <w:t>Source:</w:t>
      </w:r>
      <w:r>
        <w:tab/>
        <w:t xml:space="preserve">VCAA student performance data and VTAC preference data. </w:t>
      </w:r>
    </w:p>
    <w:p w:rsidR="00282739" w:rsidRPr="008F6FD7" w:rsidRDefault="00282739" w:rsidP="00282739">
      <w:pPr>
        <w:pStyle w:val="Source"/>
        <w:ind w:left="0" w:firstLine="0"/>
      </w:pPr>
      <w:r>
        <w:rPr>
          <w:lang w:val="en-GB"/>
        </w:rPr>
        <w:br w:type="page"/>
      </w:r>
    </w:p>
    <w:p w:rsidR="00282739" w:rsidRDefault="00282739" w:rsidP="00282739">
      <w:pPr>
        <w:pStyle w:val="Heading1"/>
        <w:rPr>
          <w:lang w:val="en-GB"/>
        </w:rPr>
      </w:pPr>
      <w:bookmarkStart w:id="41" w:name="_Toc402794956"/>
      <w:r>
        <w:rPr>
          <w:lang w:val="en-GB"/>
        </w:rPr>
        <w:lastRenderedPageBreak/>
        <w:t>Data</w:t>
      </w:r>
      <w:bookmarkEnd w:id="41"/>
    </w:p>
    <w:p w:rsidR="00282739" w:rsidRDefault="00282739" w:rsidP="00282739">
      <w:pPr>
        <w:pStyle w:val="Text"/>
      </w:pPr>
      <w:r>
        <w:t xml:space="preserve">A feature of this study is the use of population unit record data of Year 12 completers in Victoria in 2011 from all school sectors (government, Catholic and independent). The data comprise information from four sources: student and subject choice information from the Victorian Curriculum and Assessment Authority; preferences for post-school study and scaled subject scores from the Victorian Tertiary Admissions Centre; Year 9 NAPLAN test scores from the Department of Education and Early Childhood Development (DEECD); and self-reported information on university enrolments and offers from the On Track survey of 2011 school completers. These datasets were linked by the Department of Education and Early Childhood Development using a de-identified student number common to each of the datasets, which ensured that the datasets could be linked with close to 100% accuracy. Linking this information produces an extremely rich dataset, one that allows us to control for the differences in academic ability, post-school preferences and personal, regional and school characteristics between those who do and those who do not choose VCE VET subjects. </w:t>
      </w:r>
    </w:p>
    <w:p w:rsidR="00282739" w:rsidRDefault="00282739" w:rsidP="00282739">
      <w:pPr>
        <w:pStyle w:val="Text"/>
      </w:pPr>
      <w:r>
        <w:t>Overall, we observe 49 003 school completers, of which 3628 (or 7.4%) took at least one VCE VET subject in their five (or six) VCE subjects (table 3). It is important to note that the students who undertake unscored VET subjects as part of their upper secondary school are not part of this analysis. The most popular VCE VET subjects are interactive digital media (around 18% of all VCE VET); community recreation and sport and outdoor recreation (19% of all VCE VET); hospitality and hospitality (kitchen operations) (18% of all VCE VET); music and music industry (11% of all VCE VET); information technology and electrotechnology (9% of all VCE VET); and business (7% of all VCE VET).</w:t>
      </w:r>
      <w:r w:rsidRPr="00D77DAC">
        <w:t xml:space="preserve"> </w:t>
      </w:r>
    </w:p>
    <w:p w:rsidR="00282739" w:rsidRDefault="00282739" w:rsidP="00282739">
      <w:pPr>
        <w:pStyle w:val="Text"/>
      </w:pPr>
      <w:r>
        <w:t>We retain in the sample of analysis only those with a university entry score who had Year 9 NAPLAN test score results and who lodged a first preference for a university course with the Victorian Tertiary Admissions Centre prior to sitting their final exams (before the end of October 2011). Restricting the sample to those who lodge a first-round university preference is to ensure that the analysis is only conducted on those who have an intention to go to university. There may be other ways of measuring intention to go to university, such as whether or not a student has lodged any preference for a university course. To test the sensitivity of our results to this restriction, we also estimate results with this restriction relaxed (see appendix E).</w:t>
      </w:r>
    </w:p>
    <w:p w:rsidR="00282739" w:rsidRPr="00BB5F4F" w:rsidRDefault="00282739" w:rsidP="00282739">
      <w:pPr>
        <w:pStyle w:val="Text"/>
      </w:pPr>
      <w:r>
        <w:t>For VCE VET students, we also restrict the sample to those who only take one VCE VET subject and who attain a study score for their VCE VET subject, which as discussed above is optional. These restrictions reduce the sample by around 27%, to 35 511 observations.</w:t>
      </w:r>
      <w:r w:rsidRPr="002E013D">
        <w:t xml:space="preserve"> </w:t>
      </w:r>
      <w:r>
        <w:t>Most of this reduction in observations is due to omitting those who did not lodge a first preference for a university course and those with missing NAPLAN scores.</w:t>
      </w:r>
      <w:r w:rsidRPr="002E013D">
        <w:t xml:space="preserve"> </w:t>
      </w:r>
      <w:r>
        <w:t>All else being equal, those with missing NAPLAN scores are likely to be below-average students, which means that if the chance of having a missing NAPLAN score is strongly correlated with the chance of taking a VCE VET subject, the sample and results from the analysis may be biased. However, from table 3, no evidence of a strong correlation exists, with a slightly higher rate of omissions among those who did not take a VCE VET subject than among those who did.</w:t>
      </w:r>
    </w:p>
    <w:p w:rsidR="00282739" w:rsidRDefault="00282739" w:rsidP="00282739">
      <w:pPr>
        <w:spacing w:before="0" w:line="240" w:lineRule="auto"/>
        <w:rPr>
          <w:rFonts w:ascii="Tahoma" w:hAnsi="Tahoma"/>
          <w:b/>
          <w:sz w:val="17"/>
          <w:lang w:val="en-GB"/>
        </w:rPr>
      </w:pPr>
      <w:bookmarkStart w:id="42" w:name="RANGE!A80"/>
      <w:r>
        <w:rPr>
          <w:lang w:val="en-GB"/>
        </w:rPr>
        <w:br w:type="page"/>
      </w:r>
    </w:p>
    <w:p w:rsidR="00282739" w:rsidRDefault="00282739" w:rsidP="00282739">
      <w:pPr>
        <w:pStyle w:val="tabletitle"/>
        <w:rPr>
          <w:lang w:val="en-GB"/>
        </w:rPr>
      </w:pPr>
      <w:bookmarkStart w:id="43" w:name="_Toc402794976"/>
      <w:r>
        <w:rPr>
          <w:lang w:val="en-GB"/>
        </w:rPr>
        <w:lastRenderedPageBreak/>
        <w:t>Table 3</w:t>
      </w:r>
      <w:r>
        <w:rPr>
          <w:lang w:val="en-GB"/>
        </w:rPr>
        <w:tab/>
        <w:t>Number of students in the sample</w:t>
      </w:r>
      <w:bookmarkEnd w:id="42"/>
      <w:bookmarkEnd w:id="43"/>
    </w:p>
    <w:tbl>
      <w:tblPr>
        <w:tblW w:w="8789" w:type="dxa"/>
        <w:tblInd w:w="113" w:type="dxa"/>
        <w:tblLayout w:type="fixed"/>
        <w:tblCellMar>
          <w:left w:w="113" w:type="dxa"/>
          <w:right w:w="113" w:type="dxa"/>
        </w:tblCellMar>
        <w:tblLook w:val="04A0" w:firstRow="1" w:lastRow="0" w:firstColumn="1" w:lastColumn="0" w:noHBand="0" w:noVBand="1"/>
      </w:tblPr>
      <w:tblGrid>
        <w:gridCol w:w="2697"/>
        <w:gridCol w:w="1219"/>
        <w:gridCol w:w="1219"/>
        <w:gridCol w:w="1218"/>
        <w:gridCol w:w="1218"/>
        <w:gridCol w:w="1218"/>
      </w:tblGrid>
      <w:tr w:rsidR="00282739" w:rsidTr="003C6043">
        <w:tc>
          <w:tcPr>
            <w:tcW w:w="1534" w:type="pct"/>
            <w:tcBorders>
              <w:top w:val="single" w:sz="8" w:space="0" w:color="auto"/>
              <w:left w:val="nil"/>
              <w:bottom w:val="single" w:sz="8" w:space="0" w:color="000000"/>
              <w:right w:val="nil"/>
            </w:tcBorders>
            <w:shd w:val="clear" w:color="auto" w:fill="auto"/>
            <w:noWrap/>
            <w:tcMar>
              <w:top w:w="14" w:type="dxa"/>
              <w:left w:w="113" w:type="dxa"/>
              <w:bottom w:w="0" w:type="dxa"/>
              <w:right w:w="113" w:type="dxa"/>
            </w:tcMar>
            <w:hideMark/>
          </w:tcPr>
          <w:p w:rsidR="00282739" w:rsidRDefault="00282739" w:rsidP="003C6043">
            <w:pPr>
              <w:pStyle w:val="Tablehead1"/>
            </w:pPr>
            <w:r>
              <w:t>Subjects</w:t>
            </w:r>
          </w:p>
        </w:tc>
        <w:tc>
          <w:tcPr>
            <w:tcW w:w="693" w:type="pct"/>
            <w:tcBorders>
              <w:top w:val="single" w:sz="8" w:space="0" w:color="auto"/>
              <w:left w:val="nil"/>
              <w:bottom w:val="single" w:sz="8" w:space="0" w:color="000000"/>
              <w:right w:val="nil"/>
            </w:tcBorders>
            <w:shd w:val="clear" w:color="auto" w:fill="auto"/>
            <w:tcMar>
              <w:top w:w="0" w:type="dxa"/>
              <w:left w:w="28" w:type="dxa"/>
              <w:bottom w:w="0" w:type="dxa"/>
              <w:right w:w="28" w:type="dxa"/>
            </w:tcMar>
            <w:hideMark/>
          </w:tcPr>
          <w:p w:rsidR="00282739" w:rsidRDefault="00282739" w:rsidP="003C6043">
            <w:pPr>
              <w:pStyle w:val="Tablehead1"/>
              <w:jc w:val="center"/>
            </w:pPr>
            <w:r>
              <w:t xml:space="preserve">Total </w:t>
            </w:r>
            <w:r>
              <w:br/>
              <w:t xml:space="preserve">number </w:t>
            </w:r>
            <w:r>
              <w:br/>
              <w:t>of students</w:t>
            </w:r>
          </w:p>
        </w:tc>
        <w:tc>
          <w:tcPr>
            <w:tcW w:w="693" w:type="pct"/>
            <w:tcBorders>
              <w:top w:val="single" w:sz="8" w:space="0" w:color="auto"/>
              <w:left w:val="nil"/>
              <w:bottom w:val="single" w:sz="8" w:space="0" w:color="000000"/>
              <w:right w:val="nil"/>
            </w:tcBorders>
            <w:shd w:val="clear" w:color="auto" w:fill="auto"/>
            <w:tcMar>
              <w:top w:w="0" w:type="dxa"/>
              <w:left w:w="28" w:type="dxa"/>
              <w:bottom w:w="0" w:type="dxa"/>
              <w:right w:w="28" w:type="dxa"/>
            </w:tcMar>
            <w:hideMark/>
          </w:tcPr>
          <w:p w:rsidR="00282739" w:rsidRDefault="00282739" w:rsidP="003C6043">
            <w:pPr>
              <w:pStyle w:val="Tablehead1"/>
              <w:jc w:val="center"/>
              <w:rPr>
                <w:i/>
                <w:iCs/>
              </w:rPr>
            </w:pPr>
            <w:r w:rsidRPr="009F7CD1">
              <w:rPr>
                <w:iCs/>
              </w:rPr>
              <w:t>Less</w:t>
            </w:r>
            <w:r w:rsidRPr="009F7CD1">
              <w:t xml:space="preserve"> </w:t>
            </w:r>
            <w:r>
              <w:br/>
              <w:t>number without a study score</w:t>
            </w:r>
          </w:p>
        </w:tc>
        <w:tc>
          <w:tcPr>
            <w:tcW w:w="693" w:type="pct"/>
            <w:tcBorders>
              <w:top w:val="single" w:sz="8" w:space="0" w:color="auto"/>
              <w:left w:val="nil"/>
              <w:bottom w:val="single" w:sz="8" w:space="0" w:color="000000"/>
              <w:right w:val="nil"/>
            </w:tcBorders>
            <w:shd w:val="clear" w:color="auto" w:fill="auto"/>
            <w:tcMar>
              <w:top w:w="0" w:type="dxa"/>
              <w:left w:w="28" w:type="dxa"/>
              <w:bottom w:w="0" w:type="dxa"/>
              <w:right w:w="28" w:type="dxa"/>
            </w:tcMar>
            <w:hideMark/>
          </w:tcPr>
          <w:p w:rsidR="00282739" w:rsidRDefault="00282739" w:rsidP="003C6043">
            <w:pPr>
              <w:pStyle w:val="Tablehead1"/>
              <w:jc w:val="center"/>
              <w:rPr>
                <w:i/>
                <w:iCs/>
              </w:rPr>
            </w:pPr>
            <w:r w:rsidRPr="009F7CD1">
              <w:rPr>
                <w:iCs/>
              </w:rPr>
              <w:t>Less</w:t>
            </w:r>
            <w:r>
              <w:t xml:space="preserve"> </w:t>
            </w:r>
            <w:r>
              <w:br/>
              <w:t xml:space="preserve">number without </w:t>
            </w:r>
            <w:r>
              <w:br/>
              <w:t>Year 9 NAPLAN</w:t>
            </w:r>
          </w:p>
        </w:tc>
        <w:tc>
          <w:tcPr>
            <w:tcW w:w="693" w:type="pct"/>
            <w:tcBorders>
              <w:top w:val="single" w:sz="8" w:space="0" w:color="auto"/>
              <w:left w:val="nil"/>
              <w:bottom w:val="single" w:sz="8" w:space="0" w:color="auto"/>
              <w:right w:val="nil"/>
            </w:tcBorders>
            <w:shd w:val="clear" w:color="auto" w:fill="auto"/>
            <w:tcMar>
              <w:top w:w="0" w:type="dxa"/>
              <w:left w:w="28" w:type="dxa"/>
              <w:bottom w:w="0" w:type="dxa"/>
              <w:right w:w="28" w:type="dxa"/>
            </w:tcMar>
            <w:hideMark/>
          </w:tcPr>
          <w:p w:rsidR="00282739" w:rsidRDefault="00282739" w:rsidP="003C6043">
            <w:pPr>
              <w:pStyle w:val="Tablehead1"/>
              <w:jc w:val="center"/>
              <w:rPr>
                <w:i/>
                <w:iCs/>
              </w:rPr>
            </w:pPr>
            <w:r w:rsidRPr="009F7CD1">
              <w:rPr>
                <w:iCs/>
              </w:rPr>
              <w:t>Less</w:t>
            </w:r>
            <w:r>
              <w:t xml:space="preserve"> number who don’t attain a study score for VET subject or take multiple VCE VET subjects</w:t>
            </w:r>
          </w:p>
        </w:tc>
        <w:tc>
          <w:tcPr>
            <w:tcW w:w="693" w:type="pct"/>
            <w:tcBorders>
              <w:top w:val="single" w:sz="8" w:space="0" w:color="auto"/>
              <w:left w:val="nil"/>
              <w:bottom w:val="single" w:sz="8" w:space="0" w:color="auto"/>
              <w:right w:val="nil"/>
            </w:tcBorders>
            <w:shd w:val="clear" w:color="auto" w:fill="auto"/>
            <w:tcMar>
              <w:top w:w="0" w:type="dxa"/>
              <w:left w:w="28" w:type="dxa"/>
              <w:bottom w:w="0" w:type="dxa"/>
              <w:right w:w="28" w:type="dxa"/>
            </w:tcMar>
            <w:hideMark/>
          </w:tcPr>
          <w:p w:rsidR="00282739" w:rsidRDefault="00282739" w:rsidP="003C6043">
            <w:pPr>
              <w:pStyle w:val="Tablehead1"/>
              <w:jc w:val="center"/>
            </w:pPr>
            <w:r w:rsidRPr="009F7CD1">
              <w:rPr>
                <w:iCs/>
              </w:rPr>
              <w:t xml:space="preserve">Less </w:t>
            </w:r>
            <w:r>
              <w:rPr>
                <w:iCs/>
              </w:rPr>
              <w:br/>
              <w:t xml:space="preserve">those who </w:t>
            </w:r>
            <w:r>
              <w:rPr>
                <w:iCs/>
              </w:rPr>
              <w:br/>
              <w:t>do not intend to go to university</w:t>
            </w:r>
          </w:p>
        </w:tc>
      </w:tr>
      <w:tr w:rsidR="00282739" w:rsidTr="003C6043">
        <w:tc>
          <w:tcPr>
            <w:tcW w:w="1534"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pPr>
            <w:r>
              <w:t>Business</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257</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244</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214</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210</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194</w:t>
            </w:r>
          </w:p>
        </w:tc>
      </w:tr>
      <w:tr w:rsidR="00282739" w:rsidTr="003C6043">
        <w:tc>
          <w:tcPr>
            <w:tcW w:w="1534" w:type="pct"/>
            <w:tcBorders>
              <w:top w:val="nil"/>
              <w:left w:val="nil"/>
              <w:bottom w:val="nil"/>
              <w:right w:val="nil"/>
            </w:tcBorders>
            <w:shd w:val="clear" w:color="auto" w:fill="auto"/>
            <w:noWrap/>
            <w:tcMar>
              <w:top w:w="0" w:type="dxa"/>
              <w:left w:w="113" w:type="dxa"/>
              <w:bottom w:w="0" w:type="dxa"/>
              <w:right w:w="113" w:type="dxa"/>
            </w:tcMar>
            <w:hideMark/>
          </w:tcPr>
          <w:p w:rsidR="00282739" w:rsidRDefault="00282739" w:rsidP="003C6043">
            <w:pPr>
              <w:pStyle w:val="Tabletext"/>
            </w:pPr>
            <w:r>
              <w:t>Community recreation</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572</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547</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497</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487</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361</w:t>
            </w:r>
          </w:p>
        </w:tc>
      </w:tr>
      <w:tr w:rsidR="00282739" w:rsidTr="003C6043">
        <w:tc>
          <w:tcPr>
            <w:tcW w:w="1534" w:type="pct"/>
            <w:tcBorders>
              <w:top w:val="nil"/>
              <w:left w:val="nil"/>
              <w:bottom w:val="nil"/>
              <w:right w:val="nil"/>
            </w:tcBorders>
            <w:shd w:val="clear" w:color="auto" w:fill="auto"/>
            <w:noWrap/>
            <w:tcMar>
              <w:top w:w="0" w:type="dxa"/>
              <w:left w:w="113" w:type="dxa"/>
              <w:bottom w:w="0" w:type="dxa"/>
              <w:right w:w="113" w:type="dxa"/>
            </w:tcMar>
            <w:hideMark/>
          </w:tcPr>
          <w:p w:rsidR="00282739" w:rsidRDefault="00282739" w:rsidP="003C6043">
            <w:pPr>
              <w:pStyle w:val="Tabletext"/>
            </w:pPr>
            <w:r>
              <w:t>Community services</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274</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251</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216</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209</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182</w:t>
            </w:r>
          </w:p>
        </w:tc>
      </w:tr>
      <w:tr w:rsidR="00282739" w:rsidTr="003C6043">
        <w:tc>
          <w:tcPr>
            <w:tcW w:w="1534" w:type="pct"/>
            <w:tcBorders>
              <w:top w:val="nil"/>
              <w:left w:val="nil"/>
              <w:bottom w:val="nil"/>
              <w:right w:val="nil"/>
            </w:tcBorders>
            <w:shd w:val="clear" w:color="auto" w:fill="auto"/>
            <w:noWrap/>
            <w:tcMar>
              <w:top w:w="0" w:type="dxa"/>
              <w:left w:w="113" w:type="dxa"/>
              <w:bottom w:w="0" w:type="dxa"/>
              <w:right w:w="113" w:type="dxa"/>
            </w:tcMar>
            <w:hideMark/>
          </w:tcPr>
          <w:p w:rsidR="00282739" w:rsidRDefault="00282739" w:rsidP="003C6043">
            <w:pPr>
              <w:pStyle w:val="Tabletext"/>
            </w:pPr>
            <w:r>
              <w:t>Dance</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90</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88</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72</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70</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54</w:t>
            </w:r>
          </w:p>
        </w:tc>
      </w:tr>
      <w:tr w:rsidR="00282739" w:rsidTr="003C6043">
        <w:tc>
          <w:tcPr>
            <w:tcW w:w="1534" w:type="pct"/>
            <w:tcBorders>
              <w:top w:val="nil"/>
              <w:left w:val="nil"/>
              <w:bottom w:val="nil"/>
              <w:right w:val="nil"/>
            </w:tcBorders>
            <w:shd w:val="clear" w:color="auto" w:fill="auto"/>
            <w:noWrap/>
            <w:tcMar>
              <w:top w:w="0" w:type="dxa"/>
              <w:left w:w="113" w:type="dxa"/>
              <w:bottom w:w="0" w:type="dxa"/>
              <w:right w:w="113" w:type="dxa"/>
            </w:tcMar>
            <w:hideMark/>
          </w:tcPr>
          <w:p w:rsidR="00282739" w:rsidRDefault="00282739" w:rsidP="003C6043">
            <w:pPr>
              <w:pStyle w:val="Tabletext"/>
            </w:pPr>
            <w:r>
              <w:t>Electrotechnology</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96</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84</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70</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66</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34</w:t>
            </w:r>
          </w:p>
        </w:tc>
      </w:tr>
      <w:tr w:rsidR="00282739" w:rsidTr="003C6043">
        <w:tc>
          <w:tcPr>
            <w:tcW w:w="1534" w:type="pct"/>
            <w:tcBorders>
              <w:top w:val="nil"/>
              <w:left w:val="nil"/>
              <w:bottom w:val="nil"/>
              <w:right w:val="nil"/>
            </w:tcBorders>
            <w:shd w:val="clear" w:color="auto" w:fill="auto"/>
            <w:noWrap/>
            <w:tcMar>
              <w:top w:w="0" w:type="dxa"/>
              <w:left w:w="113" w:type="dxa"/>
              <w:bottom w:w="0" w:type="dxa"/>
              <w:right w:w="113" w:type="dxa"/>
            </w:tcMar>
            <w:hideMark/>
          </w:tcPr>
          <w:p w:rsidR="00282739" w:rsidRDefault="00282739" w:rsidP="003C6043">
            <w:pPr>
              <w:pStyle w:val="Tabletext"/>
            </w:pPr>
            <w:r>
              <w:t>Engineering studies</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146</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135</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121</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116</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71</w:t>
            </w:r>
          </w:p>
        </w:tc>
      </w:tr>
      <w:tr w:rsidR="00282739" w:rsidTr="003C6043">
        <w:tc>
          <w:tcPr>
            <w:tcW w:w="1534" w:type="pct"/>
            <w:tcBorders>
              <w:top w:val="nil"/>
              <w:left w:val="nil"/>
              <w:bottom w:val="nil"/>
              <w:right w:val="nil"/>
            </w:tcBorders>
            <w:shd w:val="clear" w:color="auto" w:fill="auto"/>
            <w:noWrap/>
            <w:tcMar>
              <w:top w:w="0" w:type="dxa"/>
              <w:left w:w="113" w:type="dxa"/>
              <w:bottom w:w="0" w:type="dxa"/>
              <w:right w:w="113" w:type="dxa"/>
            </w:tcMar>
            <w:hideMark/>
          </w:tcPr>
          <w:p w:rsidR="00282739" w:rsidRDefault="00282739" w:rsidP="003C6043">
            <w:pPr>
              <w:pStyle w:val="Tabletext"/>
            </w:pPr>
            <w:r>
              <w:t>Equine industry</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49</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48</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44</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39</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26</w:t>
            </w:r>
          </w:p>
        </w:tc>
      </w:tr>
      <w:tr w:rsidR="00282739" w:rsidTr="003C6043">
        <w:tc>
          <w:tcPr>
            <w:tcW w:w="1534" w:type="pct"/>
            <w:tcBorders>
              <w:top w:val="nil"/>
              <w:left w:val="nil"/>
              <w:bottom w:val="nil"/>
              <w:right w:val="nil"/>
            </w:tcBorders>
            <w:shd w:val="clear" w:color="auto" w:fill="auto"/>
            <w:noWrap/>
            <w:tcMar>
              <w:top w:w="0" w:type="dxa"/>
              <w:left w:w="113" w:type="dxa"/>
              <w:bottom w:w="0" w:type="dxa"/>
              <w:right w:w="113" w:type="dxa"/>
            </w:tcMar>
            <w:hideMark/>
          </w:tcPr>
          <w:p w:rsidR="00282739" w:rsidRDefault="00282739" w:rsidP="003C6043">
            <w:pPr>
              <w:pStyle w:val="Tabletext"/>
            </w:pPr>
            <w:r>
              <w:t>Financial services</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8</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8</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6</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6</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5</w:t>
            </w:r>
          </w:p>
        </w:tc>
      </w:tr>
      <w:tr w:rsidR="00282739" w:rsidTr="003C6043">
        <w:tc>
          <w:tcPr>
            <w:tcW w:w="1534" w:type="pct"/>
            <w:tcBorders>
              <w:top w:val="nil"/>
              <w:left w:val="nil"/>
              <w:bottom w:val="nil"/>
              <w:right w:val="nil"/>
            </w:tcBorders>
            <w:shd w:val="clear" w:color="auto" w:fill="auto"/>
            <w:noWrap/>
            <w:tcMar>
              <w:top w:w="0" w:type="dxa"/>
              <w:left w:w="113" w:type="dxa"/>
              <w:bottom w:w="0" w:type="dxa"/>
              <w:right w:w="113" w:type="dxa"/>
            </w:tcMar>
          </w:tcPr>
          <w:p w:rsidR="00282739" w:rsidRDefault="00282739" w:rsidP="003C6043">
            <w:pPr>
              <w:pStyle w:val="Tabletext"/>
            </w:pPr>
            <w:r>
              <w:t>Furnishing</w:t>
            </w:r>
          </w:p>
        </w:tc>
        <w:tc>
          <w:tcPr>
            <w:tcW w:w="693" w:type="pct"/>
            <w:tcBorders>
              <w:top w:val="nil"/>
              <w:left w:val="nil"/>
              <w:bottom w:val="nil"/>
              <w:right w:val="nil"/>
            </w:tcBorders>
            <w:shd w:val="clear" w:color="auto" w:fill="auto"/>
            <w:noWrap/>
            <w:tcMar>
              <w:top w:w="13" w:type="dxa"/>
              <w:left w:w="113" w:type="dxa"/>
              <w:bottom w:w="0" w:type="dxa"/>
              <w:right w:w="113" w:type="dxa"/>
            </w:tcMar>
          </w:tcPr>
          <w:p w:rsidR="00282739" w:rsidRDefault="00282739" w:rsidP="003C6043">
            <w:pPr>
              <w:pStyle w:val="Tabletext"/>
              <w:tabs>
                <w:tab w:val="decimal" w:pos="624"/>
              </w:tabs>
            </w:pPr>
            <w:r>
              <w:t>102</w:t>
            </w:r>
          </w:p>
        </w:tc>
        <w:tc>
          <w:tcPr>
            <w:tcW w:w="693" w:type="pct"/>
            <w:tcBorders>
              <w:top w:val="nil"/>
              <w:left w:val="nil"/>
              <w:bottom w:val="nil"/>
              <w:right w:val="nil"/>
            </w:tcBorders>
            <w:shd w:val="clear" w:color="auto" w:fill="auto"/>
            <w:noWrap/>
            <w:tcMar>
              <w:top w:w="13" w:type="dxa"/>
              <w:left w:w="113" w:type="dxa"/>
              <w:bottom w:w="0" w:type="dxa"/>
              <w:right w:w="113" w:type="dxa"/>
            </w:tcMar>
          </w:tcPr>
          <w:p w:rsidR="00282739" w:rsidRDefault="00282739" w:rsidP="003C6043">
            <w:pPr>
              <w:pStyle w:val="Tabletext"/>
              <w:tabs>
                <w:tab w:val="decimal" w:pos="624"/>
              </w:tabs>
            </w:pPr>
            <w:r>
              <w:t>96</w:t>
            </w:r>
          </w:p>
        </w:tc>
        <w:tc>
          <w:tcPr>
            <w:tcW w:w="693" w:type="pct"/>
            <w:tcBorders>
              <w:top w:val="nil"/>
              <w:left w:val="nil"/>
              <w:bottom w:val="nil"/>
              <w:right w:val="nil"/>
            </w:tcBorders>
            <w:shd w:val="clear" w:color="auto" w:fill="auto"/>
            <w:noWrap/>
            <w:tcMar>
              <w:top w:w="13" w:type="dxa"/>
              <w:left w:w="113" w:type="dxa"/>
              <w:bottom w:w="0" w:type="dxa"/>
              <w:right w:w="113" w:type="dxa"/>
            </w:tcMar>
          </w:tcPr>
          <w:p w:rsidR="00282739" w:rsidRDefault="00282739" w:rsidP="003C6043">
            <w:pPr>
              <w:pStyle w:val="Tabletext"/>
              <w:tabs>
                <w:tab w:val="decimal" w:pos="624"/>
              </w:tabs>
            </w:pPr>
            <w:r>
              <w:t>85</w:t>
            </w:r>
          </w:p>
        </w:tc>
        <w:tc>
          <w:tcPr>
            <w:tcW w:w="693" w:type="pct"/>
            <w:tcBorders>
              <w:top w:val="nil"/>
              <w:left w:val="nil"/>
              <w:bottom w:val="nil"/>
              <w:right w:val="nil"/>
            </w:tcBorders>
            <w:shd w:val="clear" w:color="auto" w:fill="auto"/>
            <w:noWrap/>
            <w:tcMar>
              <w:top w:w="14" w:type="dxa"/>
              <w:left w:w="113" w:type="dxa"/>
              <w:bottom w:w="0" w:type="dxa"/>
              <w:right w:w="113" w:type="dxa"/>
            </w:tcMar>
          </w:tcPr>
          <w:p w:rsidR="00282739" w:rsidRDefault="00282739" w:rsidP="003C6043">
            <w:pPr>
              <w:pStyle w:val="Tabletext"/>
              <w:tabs>
                <w:tab w:val="decimal" w:pos="624"/>
              </w:tabs>
            </w:pPr>
            <w:r>
              <w:t>83</w:t>
            </w:r>
          </w:p>
        </w:tc>
        <w:tc>
          <w:tcPr>
            <w:tcW w:w="693" w:type="pct"/>
            <w:tcBorders>
              <w:top w:val="nil"/>
              <w:left w:val="nil"/>
              <w:bottom w:val="nil"/>
              <w:right w:val="nil"/>
            </w:tcBorders>
            <w:shd w:val="clear" w:color="auto" w:fill="auto"/>
            <w:noWrap/>
            <w:tcMar>
              <w:top w:w="14" w:type="dxa"/>
              <w:left w:w="113" w:type="dxa"/>
              <w:bottom w:w="0" w:type="dxa"/>
              <w:right w:w="113" w:type="dxa"/>
            </w:tcMar>
          </w:tcPr>
          <w:p w:rsidR="00282739" w:rsidRDefault="00282739" w:rsidP="003C6043">
            <w:pPr>
              <w:pStyle w:val="Tabletext"/>
              <w:tabs>
                <w:tab w:val="decimal" w:pos="624"/>
              </w:tabs>
            </w:pPr>
            <w:r>
              <w:t>43</w:t>
            </w:r>
          </w:p>
        </w:tc>
      </w:tr>
      <w:tr w:rsidR="00282739" w:rsidTr="003C6043">
        <w:tc>
          <w:tcPr>
            <w:tcW w:w="1534" w:type="pct"/>
            <w:tcBorders>
              <w:top w:val="nil"/>
              <w:left w:val="nil"/>
              <w:bottom w:val="nil"/>
              <w:right w:val="nil"/>
            </w:tcBorders>
            <w:shd w:val="clear" w:color="auto" w:fill="auto"/>
            <w:noWrap/>
            <w:tcMar>
              <w:top w:w="0" w:type="dxa"/>
              <w:left w:w="113" w:type="dxa"/>
              <w:bottom w:w="0" w:type="dxa"/>
              <w:right w:w="113" w:type="dxa"/>
            </w:tcMar>
            <w:hideMark/>
          </w:tcPr>
          <w:p w:rsidR="00282739" w:rsidRDefault="00282739" w:rsidP="003C6043">
            <w:pPr>
              <w:pStyle w:val="Tabletext"/>
            </w:pPr>
            <w:r>
              <w:t>Hospitality</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338</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327</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273</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269</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226</w:t>
            </w:r>
          </w:p>
        </w:tc>
      </w:tr>
      <w:tr w:rsidR="00282739" w:rsidTr="003C6043">
        <w:tc>
          <w:tcPr>
            <w:tcW w:w="1534" w:type="pct"/>
            <w:tcBorders>
              <w:top w:val="nil"/>
              <w:left w:val="nil"/>
              <w:bottom w:val="nil"/>
              <w:right w:val="nil"/>
            </w:tcBorders>
            <w:shd w:val="clear" w:color="auto" w:fill="auto"/>
            <w:noWrap/>
            <w:tcMar>
              <w:top w:w="0" w:type="dxa"/>
              <w:left w:w="113" w:type="dxa"/>
              <w:bottom w:w="0" w:type="dxa"/>
              <w:right w:w="113" w:type="dxa"/>
            </w:tcMar>
            <w:hideMark/>
          </w:tcPr>
          <w:p w:rsidR="00282739" w:rsidRDefault="00282739" w:rsidP="003C6043">
            <w:pPr>
              <w:pStyle w:val="Tabletext"/>
            </w:pPr>
            <w:r>
              <w:t>Hospitality (kitchen operations)</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297</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288</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246</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240</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183</w:t>
            </w:r>
          </w:p>
        </w:tc>
      </w:tr>
      <w:tr w:rsidR="00282739" w:rsidTr="003C6043">
        <w:tc>
          <w:tcPr>
            <w:tcW w:w="1534" w:type="pct"/>
            <w:tcBorders>
              <w:top w:val="nil"/>
              <w:left w:val="nil"/>
              <w:bottom w:val="nil"/>
              <w:right w:val="nil"/>
            </w:tcBorders>
            <w:shd w:val="clear" w:color="auto" w:fill="auto"/>
            <w:noWrap/>
            <w:tcMar>
              <w:top w:w="0" w:type="dxa"/>
              <w:left w:w="113" w:type="dxa"/>
              <w:bottom w:w="0" w:type="dxa"/>
              <w:right w:w="113" w:type="dxa"/>
            </w:tcMar>
            <w:hideMark/>
          </w:tcPr>
          <w:p w:rsidR="00282739" w:rsidRDefault="00282739" w:rsidP="003C6043">
            <w:pPr>
              <w:pStyle w:val="Tabletext"/>
            </w:pPr>
            <w:r>
              <w:t>Information technology</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241</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234</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203</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190</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156</w:t>
            </w:r>
          </w:p>
        </w:tc>
      </w:tr>
      <w:tr w:rsidR="00282739" w:rsidTr="003C6043">
        <w:tc>
          <w:tcPr>
            <w:tcW w:w="1534" w:type="pct"/>
            <w:tcBorders>
              <w:top w:val="nil"/>
              <w:left w:val="nil"/>
              <w:bottom w:val="nil"/>
              <w:right w:val="nil"/>
            </w:tcBorders>
            <w:shd w:val="clear" w:color="auto" w:fill="auto"/>
            <w:noWrap/>
            <w:tcMar>
              <w:top w:w="0" w:type="dxa"/>
              <w:left w:w="113" w:type="dxa"/>
              <w:bottom w:w="0" w:type="dxa"/>
              <w:right w:w="113" w:type="dxa"/>
            </w:tcMar>
          </w:tcPr>
          <w:p w:rsidR="00282739" w:rsidRDefault="00282739" w:rsidP="003C6043">
            <w:pPr>
              <w:pStyle w:val="Tabletext"/>
            </w:pPr>
            <w:r>
              <w:t>Interactive digital media</w:t>
            </w:r>
          </w:p>
        </w:tc>
        <w:tc>
          <w:tcPr>
            <w:tcW w:w="693" w:type="pct"/>
            <w:tcBorders>
              <w:top w:val="nil"/>
              <w:left w:val="nil"/>
              <w:bottom w:val="nil"/>
              <w:right w:val="nil"/>
            </w:tcBorders>
            <w:shd w:val="clear" w:color="auto" w:fill="auto"/>
            <w:noWrap/>
            <w:tcMar>
              <w:top w:w="13" w:type="dxa"/>
              <w:left w:w="113" w:type="dxa"/>
              <w:bottom w:w="0" w:type="dxa"/>
              <w:right w:w="113" w:type="dxa"/>
            </w:tcMar>
          </w:tcPr>
          <w:p w:rsidR="00282739" w:rsidRDefault="00282739" w:rsidP="003C6043">
            <w:pPr>
              <w:pStyle w:val="Tabletext"/>
              <w:tabs>
                <w:tab w:val="decimal" w:pos="624"/>
              </w:tabs>
            </w:pPr>
            <w:r>
              <w:t>660</w:t>
            </w:r>
          </w:p>
        </w:tc>
        <w:tc>
          <w:tcPr>
            <w:tcW w:w="693" w:type="pct"/>
            <w:tcBorders>
              <w:top w:val="nil"/>
              <w:left w:val="nil"/>
              <w:bottom w:val="nil"/>
              <w:right w:val="nil"/>
            </w:tcBorders>
            <w:shd w:val="clear" w:color="auto" w:fill="auto"/>
            <w:noWrap/>
            <w:tcMar>
              <w:top w:w="13" w:type="dxa"/>
              <w:left w:w="113" w:type="dxa"/>
              <w:bottom w:w="0" w:type="dxa"/>
              <w:right w:w="113" w:type="dxa"/>
            </w:tcMar>
          </w:tcPr>
          <w:p w:rsidR="00282739" w:rsidRDefault="00282739" w:rsidP="003C6043">
            <w:pPr>
              <w:pStyle w:val="Tabletext"/>
              <w:tabs>
                <w:tab w:val="decimal" w:pos="624"/>
              </w:tabs>
            </w:pPr>
            <w:r>
              <w:t>637</w:t>
            </w:r>
          </w:p>
        </w:tc>
        <w:tc>
          <w:tcPr>
            <w:tcW w:w="693" w:type="pct"/>
            <w:tcBorders>
              <w:top w:val="nil"/>
              <w:left w:val="nil"/>
              <w:bottom w:val="nil"/>
              <w:right w:val="nil"/>
            </w:tcBorders>
            <w:shd w:val="clear" w:color="auto" w:fill="auto"/>
            <w:noWrap/>
            <w:tcMar>
              <w:top w:w="13" w:type="dxa"/>
              <w:left w:w="113" w:type="dxa"/>
              <w:bottom w:w="0" w:type="dxa"/>
              <w:right w:w="113" w:type="dxa"/>
            </w:tcMar>
          </w:tcPr>
          <w:p w:rsidR="00282739" w:rsidRDefault="00282739" w:rsidP="003C6043">
            <w:pPr>
              <w:pStyle w:val="Tabletext"/>
              <w:tabs>
                <w:tab w:val="decimal" w:pos="624"/>
              </w:tabs>
            </w:pPr>
            <w:r>
              <w:t>566</w:t>
            </w:r>
          </w:p>
        </w:tc>
        <w:tc>
          <w:tcPr>
            <w:tcW w:w="693" w:type="pct"/>
            <w:tcBorders>
              <w:top w:val="nil"/>
              <w:left w:val="nil"/>
              <w:bottom w:val="nil"/>
              <w:right w:val="nil"/>
            </w:tcBorders>
            <w:shd w:val="clear" w:color="auto" w:fill="auto"/>
            <w:noWrap/>
            <w:tcMar>
              <w:top w:w="14" w:type="dxa"/>
              <w:left w:w="113" w:type="dxa"/>
              <w:bottom w:w="0" w:type="dxa"/>
              <w:right w:w="113" w:type="dxa"/>
            </w:tcMar>
          </w:tcPr>
          <w:p w:rsidR="00282739" w:rsidRDefault="00282739" w:rsidP="003C6043">
            <w:pPr>
              <w:pStyle w:val="Tabletext"/>
              <w:tabs>
                <w:tab w:val="decimal" w:pos="624"/>
              </w:tabs>
            </w:pPr>
            <w:r>
              <w:t>552</w:t>
            </w:r>
          </w:p>
        </w:tc>
        <w:tc>
          <w:tcPr>
            <w:tcW w:w="693" w:type="pct"/>
            <w:tcBorders>
              <w:top w:val="nil"/>
              <w:left w:val="nil"/>
              <w:bottom w:val="nil"/>
              <w:right w:val="nil"/>
            </w:tcBorders>
            <w:shd w:val="clear" w:color="auto" w:fill="auto"/>
            <w:noWrap/>
            <w:tcMar>
              <w:top w:w="14" w:type="dxa"/>
              <w:left w:w="113" w:type="dxa"/>
              <w:bottom w:w="0" w:type="dxa"/>
              <w:right w:w="113" w:type="dxa"/>
            </w:tcMar>
          </w:tcPr>
          <w:p w:rsidR="00282739" w:rsidRDefault="00282739" w:rsidP="003C6043">
            <w:pPr>
              <w:pStyle w:val="Tabletext"/>
              <w:tabs>
                <w:tab w:val="decimal" w:pos="624"/>
              </w:tabs>
            </w:pPr>
            <w:r>
              <w:t>480</w:t>
            </w:r>
          </w:p>
        </w:tc>
      </w:tr>
      <w:tr w:rsidR="00282739" w:rsidTr="003C6043">
        <w:tc>
          <w:tcPr>
            <w:tcW w:w="1534" w:type="pct"/>
            <w:tcBorders>
              <w:top w:val="nil"/>
              <w:left w:val="nil"/>
              <w:bottom w:val="nil"/>
              <w:right w:val="nil"/>
            </w:tcBorders>
            <w:shd w:val="clear" w:color="auto" w:fill="auto"/>
            <w:noWrap/>
            <w:tcMar>
              <w:top w:w="0" w:type="dxa"/>
              <w:left w:w="113" w:type="dxa"/>
              <w:bottom w:w="0" w:type="dxa"/>
              <w:right w:w="113" w:type="dxa"/>
            </w:tcMar>
            <w:hideMark/>
          </w:tcPr>
          <w:p w:rsidR="00282739" w:rsidRDefault="00282739" w:rsidP="003C6043">
            <w:pPr>
              <w:pStyle w:val="Tabletext"/>
            </w:pPr>
            <w:r>
              <w:t>Laboratory skills</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9</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8</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8</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8</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8</w:t>
            </w:r>
          </w:p>
        </w:tc>
      </w:tr>
      <w:tr w:rsidR="00282739" w:rsidTr="003C6043">
        <w:tc>
          <w:tcPr>
            <w:tcW w:w="1534" w:type="pct"/>
            <w:tcBorders>
              <w:top w:val="nil"/>
              <w:left w:val="nil"/>
              <w:bottom w:val="nil"/>
              <w:right w:val="nil"/>
            </w:tcBorders>
            <w:shd w:val="clear" w:color="auto" w:fill="auto"/>
            <w:noWrap/>
            <w:tcMar>
              <w:top w:w="0" w:type="dxa"/>
              <w:left w:w="113" w:type="dxa"/>
              <w:bottom w:w="0" w:type="dxa"/>
              <w:right w:w="113" w:type="dxa"/>
            </w:tcMar>
            <w:hideMark/>
          </w:tcPr>
          <w:p w:rsidR="00282739" w:rsidRDefault="00282739" w:rsidP="003C6043">
            <w:pPr>
              <w:pStyle w:val="Tabletext"/>
            </w:pPr>
            <w:r>
              <w:t>Music</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128</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127</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115</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112</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95</w:t>
            </w:r>
          </w:p>
        </w:tc>
      </w:tr>
      <w:tr w:rsidR="00282739" w:rsidTr="003C6043">
        <w:tc>
          <w:tcPr>
            <w:tcW w:w="1534" w:type="pct"/>
            <w:tcBorders>
              <w:top w:val="nil"/>
              <w:left w:val="nil"/>
              <w:bottom w:val="nil"/>
              <w:right w:val="nil"/>
            </w:tcBorders>
            <w:shd w:val="clear" w:color="auto" w:fill="auto"/>
            <w:noWrap/>
            <w:tcMar>
              <w:top w:w="0" w:type="dxa"/>
              <w:left w:w="113" w:type="dxa"/>
              <w:bottom w:w="0" w:type="dxa"/>
              <w:right w:w="113" w:type="dxa"/>
            </w:tcMar>
            <w:hideMark/>
          </w:tcPr>
          <w:p w:rsidR="00282739" w:rsidRDefault="00282739" w:rsidP="003C6043">
            <w:pPr>
              <w:pStyle w:val="Tabletext"/>
            </w:pPr>
            <w:r>
              <w:t>Music industry (technical production)</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253</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238</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218</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217</w:t>
            </w:r>
          </w:p>
        </w:tc>
        <w:tc>
          <w:tcPr>
            <w:tcW w:w="693" w:type="pct"/>
            <w:tcBorders>
              <w:top w:val="nil"/>
              <w:left w:val="nil"/>
              <w:bottom w:val="nil"/>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178</w:t>
            </w:r>
          </w:p>
        </w:tc>
      </w:tr>
      <w:tr w:rsidR="00282739" w:rsidTr="003C6043">
        <w:tc>
          <w:tcPr>
            <w:tcW w:w="1534" w:type="pct"/>
            <w:tcBorders>
              <w:top w:val="nil"/>
              <w:left w:val="nil"/>
              <w:bottom w:val="dashSmallGap" w:sz="4" w:space="0" w:color="auto"/>
              <w:right w:val="nil"/>
            </w:tcBorders>
            <w:shd w:val="clear" w:color="auto" w:fill="auto"/>
            <w:noWrap/>
            <w:tcMar>
              <w:top w:w="0" w:type="dxa"/>
              <w:left w:w="113" w:type="dxa"/>
              <w:bottom w:w="0" w:type="dxa"/>
              <w:right w:w="113" w:type="dxa"/>
            </w:tcMar>
            <w:hideMark/>
          </w:tcPr>
          <w:p w:rsidR="00282739" w:rsidRDefault="00282739" w:rsidP="003C6043">
            <w:pPr>
              <w:pStyle w:val="Tabletext"/>
            </w:pPr>
            <w:r>
              <w:t>Sports and outdoor recreation</w:t>
            </w:r>
          </w:p>
        </w:tc>
        <w:tc>
          <w:tcPr>
            <w:tcW w:w="693" w:type="pct"/>
            <w:tcBorders>
              <w:top w:val="nil"/>
              <w:left w:val="nil"/>
              <w:bottom w:val="dashSmallGap" w:sz="4" w:space="0" w:color="auto"/>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108</w:t>
            </w:r>
          </w:p>
        </w:tc>
        <w:tc>
          <w:tcPr>
            <w:tcW w:w="693" w:type="pct"/>
            <w:tcBorders>
              <w:top w:val="nil"/>
              <w:left w:val="nil"/>
              <w:bottom w:val="dashSmallGap" w:sz="4" w:space="0" w:color="auto"/>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104</w:t>
            </w:r>
          </w:p>
        </w:tc>
        <w:tc>
          <w:tcPr>
            <w:tcW w:w="693" w:type="pct"/>
            <w:tcBorders>
              <w:top w:val="nil"/>
              <w:left w:val="nil"/>
              <w:bottom w:val="dashSmallGap" w:sz="4" w:space="0" w:color="auto"/>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624"/>
              </w:tabs>
            </w:pPr>
            <w:r>
              <w:t>92</w:t>
            </w:r>
          </w:p>
        </w:tc>
        <w:tc>
          <w:tcPr>
            <w:tcW w:w="693" w:type="pct"/>
            <w:tcBorders>
              <w:top w:val="nil"/>
              <w:left w:val="nil"/>
              <w:bottom w:val="dashSmallGap" w:sz="4" w:space="0" w:color="auto"/>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86</w:t>
            </w:r>
          </w:p>
        </w:tc>
        <w:tc>
          <w:tcPr>
            <w:tcW w:w="693" w:type="pct"/>
            <w:tcBorders>
              <w:top w:val="nil"/>
              <w:left w:val="nil"/>
              <w:bottom w:val="dashSmallGap" w:sz="4" w:space="0" w:color="auto"/>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624"/>
              </w:tabs>
            </w:pPr>
            <w:r>
              <w:t>68</w:t>
            </w:r>
          </w:p>
        </w:tc>
      </w:tr>
      <w:tr w:rsidR="00282739" w:rsidTr="003C6043">
        <w:tc>
          <w:tcPr>
            <w:tcW w:w="1534" w:type="pct"/>
            <w:tcBorders>
              <w:top w:val="dashSmallGap" w:sz="4" w:space="0" w:color="auto"/>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pPr>
            <w:r>
              <w:t>Takes a VCE VET subject</w:t>
            </w:r>
          </w:p>
        </w:tc>
        <w:tc>
          <w:tcPr>
            <w:tcW w:w="693" w:type="pct"/>
            <w:tcBorders>
              <w:top w:val="dashSmallGap" w:sz="4" w:space="0" w:color="auto"/>
              <w:left w:val="nil"/>
              <w:bottom w:val="nil"/>
              <w:right w:val="nil"/>
            </w:tcBorders>
            <w:shd w:val="clear" w:color="auto" w:fill="auto"/>
            <w:noWrap/>
            <w:tcMar>
              <w:top w:w="17" w:type="dxa"/>
              <w:left w:w="113" w:type="dxa"/>
              <w:bottom w:w="0" w:type="dxa"/>
              <w:right w:w="113" w:type="dxa"/>
            </w:tcMar>
            <w:hideMark/>
          </w:tcPr>
          <w:p w:rsidR="00282739" w:rsidRDefault="00282739" w:rsidP="003C6043">
            <w:pPr>
              <w:pStyle w:val="Tabletext"/>
              <w:tabs>
                <w:tab w:val="decimal" w:pos="397"/>
              </w:tabs>
              <w:ind w:right="369"/>
              <w:jc w:val="right"/>
            </w:pPr>
            <w:r>
              <w:t>3 628</w:t>
            </w:r>
          </w:p>
        </w:tc>
        <w:tc>
          <w:tcPr>
            <w:tcW w:w="693" w:type="pct"/>
            <w:tcBorders>
              <w:top w:val="dashSmallGap" w:sz="4" w:space="0" w:color="auto"/>
              <w:left w:val="nil"/>
              <w:bottom w:val="nil"/>
              <w:right w:val="nil"/>
            </w:tcBorders>
            <w:shd w:val="clear" w:color="auto" w:fill="auto"/>
            <w:noWrap/>
            <w:tcMar>
              <w:top w:w="0" w:type="dxa"/>
              <w:left w:w="113" w:type="dxa"/>
              <w:bottom w:w="0" w:type="dxa"/>
              <w:right w:w="113" w:type="dxa"/>
            </w:tcMar>
          </w:tcPr>
          <w:p w:rsidR="00282739" w:rsidRDefault="00282739" w:rsidP="003C6043">
            <w:pPr>
              <w:pStyle w:val="Tabletext"/>
              <w:tabs>
                <w:tab w:val="decimal" w:pos="397"/>
              </w:tabs>
              <w:ind w:right="369"/>
              <w:jc w:val="right"/>
            </w:pPr>
            <w:r>
              <w:t>3 464</w:t>
            </w:r>
          </w:p>
        </w:tc>
        <w:tc>
          <w:tcPr>
            <w:tcW w:w="693" w:type="pct"/>
            <w:tcBorders>
              <w:top w:val="dashSmallGap" w:sz="4" w:space="0" w:color="auto"/>
              <w:left w:val="nil"/>
              <w:bottom w:val="nil"/>
              <w:right w:val="nil"/>
            </w:tcBorders>
            <w:shd w:val="clear" w:color="auto" w:fill="auto"/>
            <w:noWrap/>
            <w:tcMar>
              <w:top w:w="0" w:type="dxa"/>
              <w:left w:w="113" w:type="dxa"/>
              <w:bottom w:w="0" w:type="dxa"/>
              <w:right w:w="113" w:type="dxa"/>
            </w:tcMar>
          </w:tcPr>
          <w:p w:rsidR="00282739" w:rsidRDefault="00282739" w:rsidP="003C6043">
            <w:pPr>
              <w:pStyle w:val="Tabletext"/>
              <w:tabs>
                <w:tab w:val="decimal" w:pos="397"/>
              </w:tabs>
              <w:ind w:right="369"/>
              <w:jc w:val="right"/>
            </w:pPr>
            <w:r>
              <w:t>3 046</w:t>
            </w:r>
          </w:p>
        </w:tc>
        <w:tc>
          <w:tcPr>
            <w:tcW w:w="693" w:type="pct"/>
            <w:tcBorders>
              <w:top w:val="dashSmallGap" w:sz="4" w:space="0" w:color="auto"/>
              <w:left w:val="nil"/>
              <w:bottom w:val="nil"/>
              <w:right w:val="nil"/>
            </w:tcBorders>
            <w:shd w:val="clear" w:color="auto" w:fill="auto"/>
            <w:noWrap/>
            <w:tcMar>
              <w:top w:w="0" w:type="dxa"/>
              <w:left w:w="113" w:type="dxa"/>
              <w:bottom w:w="0" w:type="dxa"/>
              <w:right w:w="113" w:type="dxa"/>
            </w:tcMar>
          </w:tcPr>
          <w:p w:rsidR="00282739" w:rsidRDefault="00282739" w:rsidP="003C6043">
            <w:pPr>
              <w:pStyle w:val="Tabletext"/>
              <w:tabs>
                <w:tab w:val="decimal" w:pos="397"/>
              </w:tabs>
              <w:ind w:right="369"/>
              <w:jc w:val="right"/>
            </w:pPr>
            <w:r>
              <w:t>2 960</w:t>
            </w:r>
          </w:p>
        </w:tc>
        <w:tc>
          <w:tcPr>
            <w:tcW w:w="693" w:type="pct"/>
            <w:tcBorders>
              <w:top w:val="dashSmallGap" w:sz="4" w:space="0" w:color="auto"/>
              <w:left w:val="nil"/>
              <w:bottom w:val="nil"/>
              <w:right w:val="nil"/>
            </w:tcBorders>
            <w:shd w:val="clear" w:color="auto" w:fill="auto"/>
            <w:noWrap/>
            <w:tcMar>
              <w:top w:w="0" w:type="dxa"/>
              <w:left w:w="113" w:type="dxa"/>
              <w:bottom w:w="0" w:type="dxa"/>
              <w:right w:w="113" w:type="dxa"/>
            </w:tcMar>
          </w:tcPr>
          <w:p w:rsidR="00282739" w:rsidRDefault="00282739" w:rsidP="003C6043">
            <w:pPr>
              <w:pStyle w:val="Tabletext"/>
              <w:tabs>
                <w:tab w:val="decimal" w:pos="397"/>
              </w:tabs>
              <w:ind w:right="369"/>
              <w:jc w:val="right"/>
            </w:pPr>
            <w:r>
              <w:t>2 364</w:t>
            </w:r>
          </w:p>
        </w:tc>
      </w:tr>
      <w:tr w:rsidR="00282739" w:rsidTr="003C6043">
        <w:tc>
          <w:tcPr>
            <w:tcW w:w="1534" w:type="pct"/>
            <w:tcBorders>
              <w:top w:val="nil"/>
              <w:left w:val="nil"/>
              <w:bottom w:val="nil"/>
              <w:right w:val="nil"/>
            </w:tcBorders>
            <w:shd w:val="clear" w:color="auto" w:fill="auto"/>
            <w:noWrap/>
            <w:tcMar>
              <w:top w:w="0" w:type="dxa"/>
              <w:left w:w="113" w:type="dxa"/>
              <w:bottom w:w="0" w:type="dxa"/>
              <w:right w:w="113" w:type="dxa"/>
            </w:tcMar>
            <w:hideMark/>
          </w:tcPr>
          <w:p w:rsidR="00282739" w:rsidRDefault="00282739" w:rsidP="003C6043">
            <w:pPr>
              <w:pStyle w:val="Tabletext"/>
              <w:ind w:left="284"/>
              <w:rPr>
                <w:i/>
                <w:iCs/>
              </w:rPr>
            </w:pPr>
            <w:r w:rsidRPr="00C2204D">
              <w:rPr>
                <w:iCs/>
              </w:rPr>
              <w:t>%</w:t>
            </w:r>
            <w:r>
              <w:rPr>
                <w:i/>
                <w:iCs/>
              </w:rPr>
              <w:t xml:space="preserve"> </w:t>
            </w:r>
            <w:r w:rsidRPr="00840884">
              <w:rPr>
                <w:iCs/>
              </w:rPr>
              <w:t xml:space="preserve">Reduction </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397"/>
              </w:tabs>
              <w:ind w:right="369"/>
              <w:jc w:val="right"/>
              <w:rPr>
                <w:i/>
                <w:iCs/>
              </w:rPr>
            </w:pPr>
            <w:r>
              <w:rPr>
                <w:i/>
                <w:iCs/>
              </w:rPr>
              <w:t>0.00</w:t>
            </w:r>
          </w:p>
        </w:tc>
        <w:tc>
          <w:tcPr>
            <w:tcW w:w="693" w:type="pct"/>
            <w:tcBorders>
              <w:top w:val="nil"/>
              <w:left w:val="nil"/>
              <w:bottom w:val="nil"/>
              <w:right w:val="nil"/>
            </w:tcBorders>
            <w:shd w:val="clear" w:color="auto" w:fill="auto"/>
            <w:noWrap/>
            <w:tcMar>
              <w:top w:w="13" w:type="dxa"/>
              <w:left w:w="113" w:type="dxa"/>
              <w:bottom w:w="0" w:type="dxa"/>
              <w:right w:w="113" w:type="dxa"/>
            </w:tcMar>
          </w:tcPr>
          <w:p w:rsidR="00282739" w:rsidRDefault="00282739" w:rsidP="003C6043">
            <w:pPr>
              <w:pStyle w:val="Tabletext"/>
              <w:tabs>
                <w:tab w:val="decimal" w:pos="397"/>
              </w:tabs>
              <w:ind w:right="369"/>
              <w:jc w:val="right"/>
              <w:rPr>
                <w:i/>
                <w:iCs/>
              </w:rPr>
            </w:pPr>
            <w:r>
              <w:rPr>
                <w:i/>
                <w:iCs/>
              </w:rPr>
              <w:t>-4.52</w:t>
            </w:r>
          </w:p>
        </w:tc>
        <w:tc>
          <w:tcPr>
            <w:tcW w:w="693" w:type="pct"/>
            <w:tcBorders>
              <w:top w:val="nil"/>
              <w:left w:val="nil"/>
              <w:bottom w:val="nil"/>
              <w:right w:val="nil"/>
            </w:tcBorders>
            <w:shd w:val="clear" w:color="auto" w:fill="auto"/>
            <w:noWrap/>
            <w:tcMar>
              <w:top w:w="13" w:type="dxa"/>
              <w:left w:w="113" w:type="dxa"/>
              <w:bottom w:w="0" w:type="dxa"/>
              <w:right w:w="113" w:type="dxa"/>
            </w:tcMar>
          </w:tcPr>
          <w:p w:rsidR="00282739" w:rsidRDefault="00282739" w:rsidP="003C6043">
            <w:pPr>
              <w:pStyle w:val="Tabletext"/>
              <w:tabs>
                <w:tab w:val="decimal" w:pos="397"/>
              </w:tabs>
              <w:ind w:right="369"/>
              <w:jc w:val="right"/>
              <w:rPr>
                <w:i/>
                <w:iCs/>
              </w:rPr>
            </w:pPr>
            <w:r>
              <w:rPr>
                <w:i/>
                <w:iCs/>
              </w:rPr>
              <w:t>-12.07</w:t>
            </w:r>
          </w:p>
        </w:tc>
        <w:tc>
          <w:tcPr>
            <w:tcW w:w="693" w:type="pct"/>
            <w:tcBorders>
              <w:top w:val="nil"/>
              <w:left w:val="nil"/>
              <w:bottom w:val="nil"/>
              <w:right w:val="nil"/>
            </w:tcBorders>
            <w:shd w:val="clear" w:color="auto" w:fill="auto"/>
            <w:noWrap/>
            <w:tcMar>
              <w:top w:w="13" w:type="dxa"/>
              <w:left w:w="113" w:type="dxa"/>
              <w:bottom w:w="0" w:type="dxa"/>
              <w:right w:w="113" w:type="dxa"/>
            </w:tcMar>
          </w:tcPr>
          <w:p w:rsidR="00282739" w:rsidRDefault="00282739" w:rsidP="003C6043">
            <w:pPr>
              <w:pStyle w:val="Tabletext"/>
              <w:tabs>
                <w:tab w:val="decimal" w:pos="397"/>
              </w:tabs>
              <w:ind w:right="369"/>
              <w:jc w:val="right"/>
              <w:rPr>
                <w:i/>
                <w:iCs/>
              </w:rPr>
            </w:pPr>
            <w:r>
              <w:rPr>
                <w:i/>
                <w:iCs/>
              </w:rPr>
              <w:t>-2.82</w:t>
            </w:r>
          </w:p>
        </w:tc>
        <w:tc>
          <w:tcPr>
            <w:tcW w:w="693" w:type="pct"/>
            <w:tcBorders>
              <w:top w:val="nil"/>
              <w:left w:val="nil"/>
              <w:bottom w:val="nil"/>
              <w:right w:val="nil"/>
            </w:tcBorders>
            <w:shd w:val="clear" w:color="auto" w:fill="auto"/>
            <w:noWrap/>
            <w:tcMar>
              <w:top w:w="13" w:type="dxa"/>
              <w:left w:w="113" w:type="dxa"/>
              <w:bottom w:w="0" w:type="dxa"/>
              <w:right w:w="113" w:type="dxa"/>
            </w:tcMar>
          </w:tcPr>
          <w:p w:rsidR="00282739" w:rsidRDefault="00282739" w:rsidP="003C6043">
            <w:pPr>
              <w:pStyle w:val="Tabletext"/>
              <w:tabs>
                <w:tab w:val="decimal" w:pos="397"/>
              </w:tabs>
              <w:ind w:right="369"/>
              <w:jc w:val="right"/>
              <w:rPr>
                <w:i/>
                <w:iCs/>
              </w:rPr>
            </w:pPr>
            <w:r>
              <w:rPr>
                <w:i/>
                <w:iCs/>
              </w:rPr>
              <w:t>-20.01</w:t>
            </w:r>
          </w:p>
        </w:tc>
      </w:tr>
      <w:tr w:rsidR="00282739" w:rsidTr="003C6043">
        <w:tc>
          <w:tcPr>
            <w:tcW w:w="1534"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pPr>
            <w:r>
              <w:t>Doesn’t take a VCE VET subject</w:t>
            </w:r>
          </w:p>
        </w:tc>
        <w:tc>
          <w:tcPr>
            <w:tcW w:w="693" w:type="pct"/>
            <w:tcBorders>
              <w:top w:val="nil"/>
              <w:left w:val="nil"/>
              <w:bottom w:val="nil"/>
              <w:right w:val="nil"/>
            </w:tcBorders>
            <w:shd w:val="clear" w:color="auto" w:fill="auto"/>
            <w:noWrap/>
            <w:tcMar>
              <w:top w:w="13" w:type="dxa"/>
              <w:left w:w="113" w:type="dxa"/>
              <w:bottom w:w="0" w:type="dxa"/>
              <w:right w:w="113" w:type="dxa"/>
            </w:tcMar>
            <w:hideMark/>
          </w:tcPr>
          <w:p w:rsidR="00282739" w:rsidRDefault="00282739" w:rsidP="003C6043">
            <w:pPr>
              <w:pStyle w:val="Tabletext"/>
              <w:tabs>
                <w:tab w:val="decimal" w:pos="397"/>
              </w:tabs>
              <w:ind w:right="369"/>
              <w:jc w:val="right"/>
            </w:pPr>
            <w:r>
              <w:t>45 375</w:t>
            </w:r>
          </w:p>
        </w:tc>
        <w:tc>
          <w:tcPr>
            <w:tcW w:w="693" w:type="pct"/>
            <w:tcBorders>
              <w:top w:val="nil"/>
              <w:left w:val="nil"/>
              <w:bottom w:val="nil"/>
              <w:right w:val="nil"/>
            </w:tcBorders>
            <w:shd w:val="clear" w:color="auto" w:fill="auto"/>
            <w:tcMar>
              <w:top w:w="13" w:type="dxa"/>
              <w:left w:w="113" w:type="dxa"/>
              <w:bottom w:w="0" w:type="dxa"/>
              <w:right w:w="113" w:type="dxa"/>
            </w:tcMar>
            <w:hideMark/>
          </w:tcPr>
          <w:p w:rsidR="00282739" w:rsidRDefault="00282739" w:rsidP="003C6043">
            <w:pPr>
              <w:pStyle w:val="Tabletext"/>
              <w:tabs>
                <w:tab w:val="decimal" w:pos="397"/>
              </w:tabs>
              <w:ind w:right="369"/>
              <w:jc w:val="right"/>
            </w:pPr>
            <w:r>
              <w:t>43 700</w:t>
            </w:r>
          </w:p>
        </w:tc>
        <w:tc>
          <w:tcPr>
            <w:tcW w:w="693" w:type="pct"/>
            <w:tcBorders>
              <w:top w:val="nil"/>
              <w:left w:val="nil"/>
              <w:bottom w:val="nil"/>
              <w:right w:val="nil"/>
            </w:tcBorders>
            <w:shd w:val="clear" w:color="auto" w:fill="auto"/>
            <w:tcMar>
              <w:top w:w="13" w:type="dxa"/>
              <w:left w:w="113" w:type="dxa"/>
              <w:bottom w:w="0" w:type="dxa"/>
              <w:right w:w="113" w:type="dxa"/>
            </w:tcMar>
            <w:hideMark/>
          </w:tcPr>
          <w:p w:rsidR="00282739" w:rsidRDefault="00282739" w:rsidP="003C6043">
            <w:pPr>
              <w:pStyle w:val="Tabletext"/>
              <w:tabs>
                <w:tab w:val="decimal" w:pos="397"/>
              </w:tabs>
              <w:ind w:right="369"/>
              <w:jc w:val="right"/>
            </w:pPr>
            <w:r>
              <w:t>36 907</w:t>
            </w:r>
          </w:p>
        </w:tc>
        <w:tc>
          <w:tcPr>
            <w:tcW w:w="693" w:type="pct"/>
            <w:tcBorders>
              <w:top w:val="nil"/>
              <w:left w:val="nil"/>
              <w:bottom w:val="nil"/>
              <w:right w:val="nil"/>
            </w:tcBorders>
            <w:shd w:val="clear" w:color="auto" w:fill="auto"/>
            <w:tcMar>
              <w:top w:w="13" w:type="dxa"/>
              <w:left w:w="113" w:type="dxa"/>
              <w:bottom w:w="0" w:type="dxa"/>
              <w:right w:w="113" w:type="dxa"/>
            </w:tcMar>
            <w:hideMark/>
          </w:tcPr>
          <w:p w:rsidR="00282739" w:rsidRDefault="00282739" w:rsidP="003C6043">
            <w:pPr>
              <w:pStyle w:val="Tabletext"/>
              <w:tabs>
                <w:tab w:val="decimal" w:pos="397"/>
              </w:tabs>
              <w:ind w:right="369"/>
              <w:jc w:val="right"/>
            </w:pPr>
            <w:r>
              <w:t>36 457</w:t>
            </w:r>
          </w:p>
        </w:tc>
        <w:tc>
          <w:tcPr>
            <w:tcW w:w="693" w:type="pct"/>
            <w:tcBorders>
              <w:top w:val="nil"/>
              <w:left w:val="nil"/>
              <w:bottom w:val="nil"/>
              <w:right w:val="nil"/>
            </w:tcBorders>
            <w:shd w:val="clear" w:color="auto" w:fill="auto"/>
            <w:tcMar>
              <w:top w:w="13" w:type="dxa"/>
              <w:left w:w="113" w:type="dxa"/>
              <w:bottom w:w="0" w:type="dxa"/>
              <w:right w:w="113" w:type="dxa"/>
            </w:tcMar>
            <w:hideMark/>
          </w:tcPr>
          <w:p w:rsidR="00282739" w:rsidRDefault="00282739" w:rsidP="003C6043">
            <w:pPr>
              <w:pStyle w:val="Tabletext"/>
              <w:tabs>
                <w:tab w:val="decimal" w:pos="397"/>
              </w:tabs>
              <w:ind w:right="369"/>
              <w:jc w:val="right"/>
            </w:pPr>
            <w:r>
              <w:t>33 147</w:t>
            </w:r>
          </w:p>
        </w:tc>
      </w:tr>
      <w:tr w:rsidR="00282739" w:rsidTr="003C6043">
        <w:tc>
          <w:tcPr>
            <w:tcW w:w="1534" w:type="pct"/>
            <w:tcBorders>
              <w:top w:val="nil"/>
              <w:left w:val="nil"/>
              <w:bottom w:val="single" w:sz="8" w:space="0" w:color="auto"/>
              <w:right w:val="nil"/>
            </w:tcBorders>
            <w:shd w:val="clear" w:color="auto" w:fill="auto"/>
            <w:noWrap/>
            <w:tcMar>
              <w:top w:w="14" w:type="dxa"/>
              <w:left w:w="113" w:type="dxa"/>
              <w:bottom w:w="0" w:type="dxa"/>
              <w:right w:w="113" w:type="dxa"/>
            </w:tcMar>
            <w:hideMark/>
          </w:tcPr>
          <w:p w:rsidR="00282739" w:rsidRDefault="00282739" w:rsidP="003C6043">
            <w:pPr>
              <w:pStyle w:val="Tabletext"/>
              <w:ind w:left="284"/>
              <w:rPr>
                <w:i/>
                <w:iCs/>
              </w:rPr>
            </w:pPr>
            <w:r w:rsidRPr="00C2204D">
              <w:rPr>
                <w:iCs/>
              </w:rPr>
              <w:t>%</w:t>
            </w:r>
            <w:r>
              <w:rPr>
                <w:i/>
                <w:iCs/>
              </w:rPr>
              <w:t xml:space="preserve"> </w:t>
            </w:r>
            <w:r w:rsidRPr="00840884">
              <w:rPr>
                <w:iCs/>
              </w:rPr>
              <w:t xml:space="preserve">Reduction </w:t>
            </w:r>
          </w:p>
        </w:tc>
        <w:tc>
          <w:tcPr>
            <w:tcW w:w="693" w:type="pct"/>
            <w:tcBorders>
              <w:top w:val="nil"/>
              <w:left w:val="nil"/>
              <w:bottom w:val="single" w:sz="8" w:space="0" w:color="auto"/>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397"/>
              </w:tabs>
              <w:ind w:right="369"/>
              <w:jc w:val="right"/>
              <w:rPr>
                <w:i/>
                <w:iCs/>
              </w:rPr>
            </w:pPr>
            <w:r>
              <w:rPr>
                <w:i/>
                <w:iCs/>
              </w:rPr>
              <w:t>0.00</w:t>
            </w:r>
          </w:p>
        </w:tc>
        <w:tc>
          <w:tcPr>
            <w:tcW w:w="693" w:type="pct"/>
            <w:tcBorders>
              <w:top w:val="nil"/>
              <w:left w:val="nil"/>
              <w:bottom w:val="single" w:sz="8" w:space="0" w:color="auto"/>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397"/>
              </w:tabs>
              <w:ind w:right="369"/>
              <w:jc w:val="right"/>
              <w:rPr>
                <w:i/>
                <w:iCs/>
              </w:rPr>
            </w:pPr>
            <w:r>
              <w:rPr>
                <w:i/>
                <w:iCs/>
              </w:rPr>
              <w:t>-3.69</w:t>
            </w:r>
          </w:p>
        </w:tc>
        <w:tc>
          <w:tcPr>
            <w:tcW w:w="693" w:type="pct"/>
            <w:tcBorders>
              <w:top w:val="nil"/>
              <w:left w:val="nil"/>
              <w:bottom w:val="single" w:sz="8" w:space="0" w:color="auto"/>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397"/>
              </w:tabs>
              <w:ind w:right="369"/>
              <w:jc w:val="right"/>
              <w:rPr>
                <w:i/>
                <w:iCs/>
              </w:rPr>
            </w:pPr>
            <w:r>
              <w:rPr>
                <w:i/>
                <w:iCs/>
              </w:rPr>
              <w:t>-15.54</w:t>
            </w:r>
          </w:p>
        </w:tc>
        <w:tc>
          <w:tcPr>
            <w:tcW w:w="693" w:type="pct"/>
            <w:tcBorders>
              <w:top w:val="nil"/>
              <w:left w:val="nil"/>
              <w:bottom w:val="single" w:sz="8" w:space="0" w:color="auto"/>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397"/>
              </w:tabs>
              <w:ind w:right="369"/>
              <w:jc w:val="right"/>
              <w:rPr>
                <w:i/>
                <w:iCs/>
              </w:rPr>
            </w:pPr>
            <w:r>
              <w:rPr>
                <w:i/>
                <w:iCs/>
              </w:rPr>
              <w:t>-1.22</w:t>
            </w:r>
          </w:p>
        </w:tc>
        <w:tc>
          <w:tcPr>
            <w:tcW w:w="693" w:type="pct"/>
            <w:tcBorders>
              <w:top w:val="nil"/>
              <w:left w:val="nil"/>
              <w:bottom w:val="single" w:sz="8" w:space="0" w:color="auto"/>
              <w:right w:val="nil"/>
            </w:tcBorders>
            <w:shd w:val="clear" w:color="auto" w:fill="auto"/>
            <w:noWrap/>
            <w:tcMar>
              <w:top w:w="14" w:type="dxa"/>
              <w:left w:w="113" w:type="dxa"/>
              <w:bottom w:w="0" w:type="dxa"/>
              <w:right w:w="113" w:type="dxa"/>
            </w:tcMar>
            <w:hideMark/>
          </w:tcPr>
          <w:p w:rsidR="00282739" w:rsidRDefault="00282739" w:rsidP="003C6043">
            <w:pPr>
              <w:pStyle w:val="Tabletext"/>
              <w:tabs>
                <w:tab w:val="decimal" w:pos="397"/>
              </w:tabs>
              <w:ind w:right="369"/>
              <w:jc w:val="right"/>
              <w:rPr>
                <w:i/>
                <w:iCs/>
              </w:rPr>
            </w:pPr>
            <w:r>
              <w:rPr>
                <w:i/>
                <w:iCs/>
              </w:rPr>
              <w:t>-26.95</w:t>
            </w:r>
          </w:p>
        </w:tc>
      </w:tr>
    </w:tbl>
    <w:p w:rsidR="00282739" w:rsidRDefault="00282739" w:rsidP="00282739">
      <w:pPr>
        <w:pStyle w:val="Source"/>
      </w:pPr>
      <w:r>
        <w:t>Source:</w:t>
      </w:r>
      <w:r>
        <w:tab/>
        <w:t>VCAA student performance data.</w:t>
      </w:r>
    </w:p>
    <w:p w:rsidR="00282739" w:rsidRDefault="00282739" w:rsidP="00282739">
      <w:pPr>
        <w:pStyle w:val="Textmorebefore"/>
      </w:pPr>
      <w:r>
        <w:t>We remove from the sample those who do not lodge a first preference for a university course because we assume that these students have no intention of attending university and hence their chances of gaining entry to university are unaffected by whether or not they choose a VCE VET subject. Students lodge up to 12 post-school course preferences, with their first preference being the most preferred and the 12th being their least preferred, at any time between 1 April until just prior to Christmas.</w:t>
      </w:r>
      <w:r>
        <w:rPr>
          <w:rStyle w:val="FootnoteReference"/>
        </w:rPr>
        <w:footnoteReference w:id="12"/>
      </w:r>
      <w:r>
        <w:t xml:space="preserve"> The robustness of the result to this restriction is tested in the sensitivity analysis section (appendix E). </w:t>
      </w:r>
    </w:p>
    <w:p w:rsidR="00282739" w:rsidRDefault="00282739" w:rsidP="00282739">
      <w:pPr>
        <w:pStyle w:val="Heading2"/>
      </w:pPr>
      <w:bookmarkStart w:id="44" w:name="_Toc402794957"/>
      <w:r>
        <w:t>Outcomes of interest</w:t>
      </w:r>
      <w:bookmarkEnd w:id="44"/>
    </w:p>
    <w:p w:rsidR="00282739" w:rsidRPr="00DC76E8" w:rsidRDefault="00282739" w:rsidP="00282739">
      <w:pPr>
        <w:pStyle w:val="Text"/>
        <w:rPr>
          <w:lang w:val="en-GB"/>
        </w:rPr>
      </w:pPr>
      <w:r>
        <w:t>The main outcome of interest is students’ university entry score. University entry scores are derived by adding</w:t>
      </w:r>
      <w:r w:rsidRPr="0083551E">
        <w:t xml:space="preserve"> </w:t>
      </w:r>
      <w:r>
        <w:t xml:space="preserve">the highest English study score (from English, English as a second language or English literature) to </w:t>
      </w:r>
      <w:r w:rsidRPr="0083551E">
        <w:t xml:space="preserve">the </w:t>
      </w:r>
      <w:r>
        <w:t xml:space="preserve">remaining </w:t>
      </w:r>
      <w:r w:rsidRPr="0083551E">
        <w:t xml:space="preserve">best three </w:t>
      </w:r>
      <w:r>
        <w:t>scaled subject scores</w:t>
      </w:r>
      <w:r w:rsidRPr="0083551E">
        <w:t xml:space="preserve"> in the final year of study</w:t>
      </w:r>
      <w:r>
        <w:rPr>
          <w:lang w:val="en-GB"/>
        </w:rPr>
        <w:t xml:space="preserve"> (known as the primary four subjects) and adding 10% of the fifth-best scaled subject score. </w:t>
      </w:r>
      <w:r>
        <w:t xml:space="preserve">If a sixth subject is taken, which is not the norm, an additional 10% of a sixth subject is also included. The maximum university study score is 205 (or 210 if students undertake six subjects) and is used to derive the student’s rank within their year — their Australian Tertiary Admission Rank (ATAR). ATAR distributes </w:t>
      </w:r>
      <w:r>
        <w:lastRenderedPageBreak/>
        <w:t>the university entry score as evenly as possible on a scale of 0 to 100, according to the level of their university entry score and using an interval of 0.05. Therefore, the highest rank is 99.95, which means that the student’s entry score is in the top 0.05% of students who commenced secondary school in the same year.</w:t>
      </w:r>
    </w:p>
    <w:p w:rsidR="00282739" w:rsidRDefault="00282739" w:rsidP="00282739">
      <w:pPr>
        <w:pStyle w:val="Text"/>
      </w:pPr>
      <w:r w:rsidRPr="006B4312">
        <w:t xml:space="preserve">A limitation of using </w:t>
      </w:r>
      <w:r>
        <w:t>university entry scores as the outcome of interest is</w:t>
      </w:r>
      <w:r w:rsidRPr="006B4312">
        <w:t xml:space="preserve"> that it is unclear whether any effect</w:t>
      </w:r>
      <w:r>
        <w:t xml:space="preserve"> of taking a VCE VET subject</w:t>
      </w:r>
      <w:r w:rsidRPr="006B4312">
        <w:t xml:space="preserve"> translates into an impact on the chance of attaining access to university. </w:t>
      </w:r>
      <w:r>
        <w:t xml:space="preserve">For some university courses, entry is not solely based on entry scores, but on other criteria such as performance in an interview and work produced as part of a Year 12 portfolio. </w:t>
      </w:r>
      <w:r w:rsidRPr="006B4312">
        <w:t>To address this issue, we</w:t>
      </w:r>
      <w:r>
        <w:t xml:space="preserve"> use information on university offers from the On Track survey of 2011 school completers, which are linked via a unique student identifier (conducted in 2012). The 2012 On Track survey of school completers contains information from around 34 000 graduates at around six months after completing school (April—May 2012).</w:t>
      </w:r>
      <w:r>
        <w:rPr>
          <w:rStyle w:val="FootnoteReference"/>
        </w:rPr>
        <w:footnoteReference w:id="13"/>
      </w:r>
      <w:r>
        <w:t xml:space="preserve"> Receiving an offer is identified by whether graduates report either being enrolled in a university course, receiving an offer and deferring, or receiving an offer and declining the offer.</w:t>
      </w:r>
    </w:p>
    <w:p w:rsidR="00282739" w:rsidRDefault="00282739" w:rsidP="00282739">
      <w:pPr>
        <w:pStyle w:val="Text"/>
      </w:pPr>
      <w:r>
        <w:t>Not only may taking a VCE VET subject impact on the chances of attaining a university offer, but it may also affect the receipt of a more preferred course offer. To examine how taking a VCE VET subject may affect the attainment of a preferred offer, we compare the university entry cut-off scores (measured as ATARs) for each student’s university preferences with their realised scores. All else being equal, the higher their realised score relative to the cut-off scores of their preferred courses, the more likely they received an offer from a preferred course. We measure entry to a preferred course using three measures: a realised score that is higher than the cut-off for their first preference; a realised score that is higher than the cut-off for their third preference; and a realised score that is higher than the cut-off for their sixth preference. Cut-off scores are taken from the year prior (2011) because they are the only ones available to students at the time they lodge their preferences and may be considered as student target scores. However, these measures should be considered as only indicative of the receipt of a course offer: universities still offer places to students who did not attain the course cut-off score; for example, because of equity reasons. Also, in line with year-on-year changes in student demand, the cut-off scores in 2011 may vary from the cut-off scores in 2012.</w:t>
      </w:r>
      <w:r>
        <w:rPr>
          <w:rStyle w:val="FootnoteReference"/>
        </w:rPr>
        <w:footnoteReference w:id="14"/>
      </w:r>
      <w:r>
        <w:t xml:space="preserve"> </w:t>
      </w:r>
    </w:p>
    <w:p w:rsidR="00282739" w:rsidRDefault="00282739" w:rsidP="00282739">
      <w:pPr>
        <w:pStyle w:val="Heading2"/>
      </w:pPr>
      <w:bookmarkStart w:id="45" w:name="_Toc402794958"/>
      <w:r>
        <w:t>Descriptive statistics</w:t>
      </w:r>
      <w:bookmarkEnd w:id="45"/>
    </w:p>
    <w:p w:rsidR="00282739" w:rsidRDefault="00282739" w:rsidP="00282739">
      <w:pPr>
        <w:pStyle w:val="Text"/>
      </w:pPr>
      <w:r>
        <w:t>Key to estimating causal impacts is controlling for self-selection bias, which occurs because allocation to a VCE VET subject is not random. This means controlling for differences in the factors that may affect both the choice of a VCE VET subject and university entry scores, such as academic aspirations and academic ability. Failure to take into account self-selection bias may lead to the wrong conclusion about the impacts of taking a VCE VET subject. As discussed above, restricting the sample of analysis to those who intend to go to university controls for differences in aspirations to attend university, but there are other factors, such as academic ability, that need to be controlled for as well. We examine the differences in some of the other factors below.</w:t>
      </w:r>
    </w:p>
    <w:p w:rsidR="00282739" w:rsidRDefault="00282739" w:rsidP="00282739">
      <w:pPr>
        <w:pStyle w:val="Text"/>
      </w:pPr>
      <w:r>
        <w:lastRenderedPageBreak/>
        <w:t xml:space="preserve">On average, there are differences in the first-preference field of education (table 4) and associated cut-off scores (table 5) between students who take VCE VET subjects and those who do not. For VCE VET students, the lower required cut-off scores to attain their first preference suggest that they have lower aspirations and that, all else being equal, they may not require as high a university entry score to attain a university offer. In terms of differences in intended fields of study, VCE VET students are around seven percentage points less likely to want to study natural and physical sciences at university, five percentage points less likely to want to study health, but four percentage points more likely to want to study education, four percentage points more likely to want to study creative arts and three percentage points more likely to want to study management and commerce. </w:t>
      </w:r>
    </w:p>
    <w:p w:rsidR="00282739" w:rsidRDefault="00282739" w:rsidP="00282739">
      <w:pPr>
        <w:pStyle w:val="Text"/>
      </w:pPr>
      <w:r>
        <w:t>An additional observation from table 4 is that the field of education for the first preference is closely related to the VCE VET subject field of education. For example, 42% and 48% of VCE VET students who take electrotechnology and engineering, respectively, intend to study engineering and related fields at university. Similarly, 67% and 48% of VCE VET students enrolled in music industry and music students, respectively, intend to study creative arts at university. This suggests that the choice of VCE VET subject is closely related to students’ vocational interests, perhaps more closely related than for the general subjects taken by VCE VET students. Evidence presented in appendix B shows that students who choose VCE VET subjects often also choose courses from related fields. For example, 83% of students who choose community services also choose related courses in health and human development and psychology. However, there are marked differences across VCE VET courses, with only around 36% and 15% of students studying music and interactive digital media, respectively, choosing related general courses.</w:t>
      </w:r>
    </w:p>
    <w:p w:rsidR="00282739" w:rsidRPr="004B0139" w:rsidRDefault="00282739" w:rsidP="00282739">
      <w:pPr>
        <w:pStyle w:val="Text"/>
      </w:pPr>
      <w:r>
        <w:t xml:space="preserve">Other differences in the characteristics between students who do and who do not enrol in a VCE VET subject are differences in academic ability, in the types of schools attended and in parents’ education (table 5). On average, students who take a VCE VET subject have a 5% lower Year 9 NAPLAN reading score, are ten percentage points less likely to come from a government school and are around 12 percentage points </w:t>
      </w:r>
      <w:r w:rsidRPr="003A30B3">
        <w:t>less</w:t>
      </w:r>
      <w:r>
        <w:t xml:space="preserve"> likely to have a parent with bachelor degree. To the extent that these factors affect study scores, the failure to control for differences between students who do and do not take VCE VET scores will lead to self-selection bias.</w:t>
      </w:r>
    </w:p>
    <w:p w:rsidR="00282739" w:rsidRDefault="00282739" w:rsidP="00282739">
      <w:pPr>
        <w:pStyle w:val="Source"/>
        <w:rPr>
          <w:b/>
        </w:rPr>
      </w:pPr>
    </w:p>
    <w:p w:rsidR="00282739" w:rsidRDefault="00282739" w:rsidP="00282739">
      <w:pPr>
        <w:pStyle w:val="Source"/>
        <w:rPr>
          <w:b/>
        </w:rPr>
        <w:sectPr w:rsidR="00282739" w:rsidSect="005B37D9">
          <w:footerReference w:type="even" r:id="rId19"/>
          <w:footerReference w:type="default" r:id="rId20"/>
          <w:pgSz w:w="11907" w:h="16840" w:code="9"/>
          <w:pgMar w:top="1276" w:right="1701" w:bottom="1276" w:left="1418" w:header="709" w:footer="556" w:gutter="0"/>
          <w:cols w:space="708"/>
          <w:docGrid w:linePitch="360"/>
        </w:sectPr>
      </w:pPr>
    </w:p>
    <w:p w:rsidR="00282739" w:rsidRDefault="00282739" w:rsidP="00282739">
      <w:pPr>
        <w:pStyle w:val="tabletitle"/>
      </w:pPr>
      <w:bookmarkStart w:id="46" w:name="_Toc402794977"/>
      <w:r>
        <w:lastRenderedPageBreak/>
        <w:t>Table 4</w:t>
      </w:r>
      <w:r>
        <w:tab/>
        <w:t xml:space="preserve">Field of </w:t>
      </w:r>
      <w:r w:rsidRPr="008E2EBB">
        <w:t>education</w:t>
      </w:r>
      <w:r>
        <w:t xml:space="preserve"> (1-digit ASCED) of first preference among students who intend to go to university prior to sitting their final exams (</w:t>
      </w:r>
      <w:r w:rsidRPr="00AB63DD">
        <w:t>row</w:t>
      </w:r>
      <w:r>
        <w:t xml:space="preserve"> %)</w:t>
      </w:r>
      <w:bookmarkEnd w:id="46"/>
    </w:p>
    <w:tbl>
      <w:tblPr>
        <w:tblW w:w="14400" w:type="dxa"/>
        <w:tblLayout w:type="fixed"/>
        <w:tblCellMar>
          <w:left w:w="0" w:type="dxa"/>
          <w:right w:w="0" w:type="dxa"/>
        </w:tblCellMar>
        <w:tblLook w:val="04A0" w:firstRow="1" w:lastRow="0" w:firstColumn="1" w:lastColumn="0" w:noHBand="0" w:noVBand="1"/>
      </w:tblPr>
      <w:tblGrid>
        <w:gridCol w:w="2423"/>
        <w:gridCol w:w="1084"/>
        <w:gridCol w:w="1084"/>
        <w:gridCol w:w="1080"/>
        <w:gridCol w:w="1080"/>
        <w:gridCol w:w="1192"/>
        <w:gridCol w:w="1080"/>
        <w:gridCol w:w="1080"/>
        <w:gridCol w:w="1080"/>
        <w:gridCol w:w="1080"/>
        <w:gridCol w:w="1080"/>
        <w:gridCol w:w="1057"/>
      </w:tblGrid>
      <w:tr w:rsidR="00282739" w:rsidRPr="008E2EBB" w:rsidTr="003C6043">
        <w:tc>
          <w:tcPr>
            <w:tcW w:w="841" w:type="pct"/>
            <w:tcBorders>
              <w:top w:val="single" w:sz="4" w:space="0" w:color="auto"/>
              <w:left w:val="nil"/>
              <w:bottom w:val="single" w:sz="4" w:space="0" w:color="auto"/>
              <w:right w:val="nil"/>
            </w:tcBorders>
            <w:shd w:val="clear" w:color="auto" w:fill="auto"/>
            <w:noWrap/>
            <w:tcMar>
              <w:top w:w="13" w:type="dxa"/>
              <w:left w:w="13" w:type="dxa"/>
              <w:bottom w:w="0" w:type="dxa"/>
              <w:right w:w="13" w:type="dxa"/>
            </w:tcMar>
            <w:hideMark/>
          </w:tcPr>
          <w:p w:rsidR="00282739" w:rsidRPr="008E2EBB" w:rsidRDefault="00282739" w:rsidP="003C6043">
            <w:pPr>
              <w:pStyle w:val="Tablehead1"/>
            </w:pPr>
            <w:r w:rsidRPr="008E2EBB">
              <w:t>VCE VET subject</w:t>
            </w:r>
          </w:p>
        </w:tc>
        <w:tc>
          <w:tcPr>
            <w:tcW w:w="376" w:type="pct"/>
            <w:tcBorders>
              <w:top w:val="single" w:sz="4" w:space="0" w:color="auto"/>
              <w:left w:val="nil"/>
              <w:bottom w:val="single" w:sz="4" w:space="0" w:color="auto"/>
              <w:right w:val="nil"/>
            </w:tcBorders>
            <w:shd w:val="clear" w:color="auto" w:fill="auto"/>
            <w:tcMar>
              <w:top w:w="13" w:type="dxa"/>
              <w:left w:w="13" w:type="dxa"/>
              <w:bottom w:w="0" w:type="dxa"/>
              <w:right w:w="13" w:type="dxa"/>
            </w:tcMar>
            <w:hideMark/>
          </w:tcPr>
          <w:p w:rsidR="00282739" w:rsidRPr="008E2EBB" w:rsidRDefault="00282739" w:rsidP="003C6043">
            <w:pPr>
              <w:pStyle w:val="Tablehead1"/>
              <w:jc w:val="center"/>
            </w:pPr>
            <w:r w:rsidRPr="008E2EBB">
              <w:t xml:space="preserve">Natural </w:t>
            </w:r>
            <w:r>
              <w:br/>
            </w:r>
            <w:r w:rsidRPr="008E2EBB">
              <w:t xml:space="preserve">and </w:t>
            </w:r>
            <w:r>
              <w:br/>
            </w:r>
            <w:r w:rsidRPr="008E2EBB">
              <w:t>physical sciences</w:t>
            </w:r>
          </w:p>
        </w:tc>
        <w:tc>
          <w:tcPr>
            <w:tcW w:w="376" w:type="pct"/>
            <w:tcBorders>
              <w:top w:val="single" w:sz="4" w:space="0" w:color="auto"/>
              <w:left w:val="nil"/>
              <w:bottom w:val="single" w:sz="4" w:space="0" w:color="auto"/>
              <w:right w:val="nil"/>
            </w:tcBorders>
            <w:shd w:val="clear" w:color="auto" w:fill="auto"/>
            <w:tcMar>
              <w:top w:w="13" w:type="dxa"/>
              <w:left w:w="13" w:type="dxa"/>
              <w:bottom w:w="0" w:type="dxa"/>
              <w:right w:w="13" w:type="dxa"/>
            </w:tcMar>
            <w:hideMark/>
          </w:tcPr>
          <w:p w:rsidR="00282739" w:rsidRPr="008E2EBB" w:rsidRDefault="00282739" w:rsidP="003C6043">
            <w:pPr>
              <w:pStyle w:val="Tablehead1"/>
              <w:jc w:val="center"/>
            </w:pPr>
            <w:r w:rsidRPr="008E2EBB">
              <w:t>Information technology</w:t>
            </w:r>
          </w:p>
        </w:tc>
        <w:tc>
          <w:tcPr>
            <w:tcW w:w="375" w:type="pct"/>
            <w:tcBorders>
              <w:top w:val="single" w:sz="4" w:space="0" w:color="auto"/>
              <w:left w:val="nil"/>
              <w:bottom w:val="single" w:sz="4" w:space="0" w:color="auto"/>
              <w:right w:val="nil"/>
            </w:tcBorders>
            <w:shd w:val="clear" w:color="auto" w:fill="auto"/>
            <w:tcMar>
              <w:top w:w="13" w:type="dxa"/>
              <w:left w:w="13" w:type="dxa"/>
              <w:bottom w:w="0" w:type="dxa"/>
              <w:right w:w="13" w:type="dxa"/>
            </w:tcMar>
            <w:hideMark/>
          </w:tcPr>
          <w:p w:rsidR="00282739" w:rsidRPr="008E2EBB" w:rsidRDefault="00282739" w:rsidP="003C6043">
            <w:pPr>
              <w:pStyle w:val="Tablehead1"/>
              <w:jc w:val="center"/>
            </w:pPr>
            <w:r w:rsidRPr="008E2EBB">
              <w:t xml:space="preserve">Engineering and </w:t>
            </w:r>
            <w:r>
              <w:br/>
            </w:r>
            <w:r w:rsidRPr="008E2EBB">
              <w:t>related technologies</w:t>
            </w:r>
          </w:p>
        </w:tc>
        <w:tc>
          <w:tcPr>
            <w:tcW w:w="375" w:type="pct"/>
            <w:tcBorders>
              <w:top w:val="single" w:sz="4" w:space="0" w:color="auto"/>
              <w:left w:val="nil"/>
              <w:bottom w:val="single" w:sz="4" w:space="0" w:color="auto"/>
              <w:right w:val="nil"/>
            </w:tcBorders>
            <w:shd w:val="clear" w:color="auto" w:fill="auto"/>
            <w:tcMar>
              <w:top w:w="13" w:type="dxa"/>
              <w:left w:w="13" w:type="dxa"/>
              <w:bottom w:w="0" w:type="dxa"/>
              <w:right w:w="13" w:type="dxa"/>
            </w:tcMar>
            <w:hideMark/>
          </w:tcPr>
          <w:p w:rsidR="00282739" w:rsidRPr="008E2EBB" w:rsidRDefault="00282739" w:rsidP="003C6043">
            <w:pPr>
              <w:pStyle w:val="Tablehead1"/>
              <w:jc w:val="center"/>
            </w:pPr>
            <w:r w:rsidRPr="008E2EBB">
              <w:t xml:space="preserve">Architecture and </w:t>
            </w:r>
            <w:r>
              <w:br/>
            </w:r>
            <w:r w:rsidRPr="008E2EBB">
              <w:t>building</w:t>
            </w:r>
          </w:p>
        </w:tc>
        <w:tc>
          <w:tcPr>
            <w:tcW w:w="414" w:type="pct"/>
            <w:tcBorders>
              <w:top w:val="single" w:sz="4" w:space="0" w:color="auto"/>
              <w:left w:val="nil"/>
              <w:bottom w:val="single" w:sz="4" w:space="0" w:color="auto"/>
              <w:right w:val="nil"/>
            </w:tcBorders>
            <w:shd w:val="clear" w:color="auto" w:fill="auto"/>
            <w:tcMar>
              <w:top w:w="13" w:type="dxa"/>
              <w:left w:w="13" w:type="dxa"/>
              <w:bottom w:w="0" w:type="dxa"/>
              <w:right w:w="13" w:type="dxa"/>
            </w:tcMar>
            <w:hideMark/>
          </w:tcPr>
          <w:p w:rsidR="00282739" w:rsidRPr="008E2EBB" w:rsidRDefault="00282739" w:rsidP="003C6043">
            <w:pPr>
              <w:pStyle w:val="Tablehead1"/>
              <w:jc w:val="center"/>
            </w:pPr>
            <w:r w:rsidRPr="008E2EBB">
              <w:t>Agriculture, environmental and related studies</w:t>
            </w:r>
          </w:p>
        </w:tc>
        <w:tc>
          <w:tcPr>
            <w:tcW w:w="375" w:type="pct"/>
            <w:tcBorders>
              <w:top w:val="single" w:sz="4" w:space="0" w:color="auto"/>
              <w:left w:val="nil"/>
              <w:bottom w:val="single" w:sz="4" w:space="0" w:color="auto"/>
              <w:right w:val="nil"/>
            </w:tcBorders>
            <w:shd w:val="clear" w:color="auto" w:fill="auto"/>
            <w:tcMar>
              <w:top w:w="13" w:type="dxa"/>
              <w:left w:w="13" w:type="dxa"/>
              <w:bottom w:w="0" w:type="dxa"/>
              <w:right w:w="13" w:type="dxa"/>
            </w:tcMar>
            <w:hideMark/>
          </w:tcPr>
          <w:p w:rsidR="00282739" w:rsidRPr="008E2EBB" w:rsidRDefault="00282739" w:rsidP="003C6043">
            <w:pPr>
              <w:pStyle w:val="Tablehead1"/>
              <w:jc w:val="center"/>
            </w:pPr>
            <w:r w:rsidRPr="008E2EBB">
              <w:t>Health</w:t>
            </w:r>
          </w:p>
        </w:tc>
        <w:tc>
          <w:tcPr>
            <w:tcW w:w="375" w:type="pct"/>
            <w:tcBorders>
              <w:top w:val="single" w:sz="4" w:space="0" w:color="auto"/>
              <w:left w:val="nil"/>
              <w:bottom w:val="single" w:sz="4" w:space="0" w:color="auto"/>
              <w:right w:val="nil"/>
            </w:tcBorders>
            <w:shd w:val="clear" w:color="auto" w:fill="auto"/>
            <w:tcMar>
              <w:top w:w="13" w:type="dxa"/>
              <w:left w:w="13" w:type="dxa"/>
              <w:bottom w:w="0" w:type="dxa"/>
              <w:right w:w="13" w:type="dxa"/>
            </w:tcMar>
            <w:hideMark/>
          </w:tcPr>
          <w:p w:rsidR="00282739" w:rsidRPr="008E2EBB" w:rsidRDefault="00282739" w:rsidP="003C6043">
            <w:pPr>
              <w:pStyle w:val="Tablehead1"/>
              <w:jc w:val="center"/>
            </w:pPr>
            <w:r w:rsidRPr="008E2EBB">
              <w:t>Education</w:t>
            </w:r>
          </w:p>
        </w:tc>
        <w:tc>
          <w:tcPr>
            <w:tcW w:w="375" w:type="pct"/>
            <w:tcBorders>
              <w:top w:val="single" w:sz="4" w:space="0" w:color="auto"/>
              <w:left w:val="nil"/>
              <w:bottom w:val="single" w:sz="4" w:space="0" w:color="auto"/>
              <w:right w:val="nil"/>
            </w:tcBorders>
            <w:shd w:val="clear" w:color="auto" w:fill="auto"/>
            <w:tcMar>
              <w:top w:w="13" w:type="dxa"/>
              <w:left w:w="13" w:type="dxa"/>
              <w:bottom w:w="0" w:type="dxa"/>
              <w:right w:w="13" w:type="dxa"/>
            </w:tcMar>
            <w:hideMark/>
          </w:tcPr>
          <w:p w:rsidR="00282739" w:rsidRPr="008E2EBB" w:rsidRDefault="00282739" w:rsidP="003C6043">
            <w:pPr>
              <w:pStyle w:val="Tablehead1"/>
              <w:jc w:val="center"/>
            </w:pPr>
            <w:r w:rsidRPr="008E2EBB">
              <w:t>Management and commerce</w:t>
            </w:r>
          </w:p>
        </w:tc>
        <w:tc>
          <w:tcPr>
            <w:tcW w:w="375" w:type="pct"/>
            <w:tcBorders>
              <w:top w:val="single" w:sz="4" w:space="0" w:color="auto"/>
              <w:left w:val="nil"/>
              <w:bottom w:val="single" w:sz="4" w:space="0" w:color="auto"/>
              <w:right w:val="nil"/>
            </w:tcBorders>
            <w:shd w:val="clear" w:color="auto" w:fill="auto"/>
            <w:tcMar>
              <w:top w:w="13" w:type="dxa"/>
              <w:left w:w="13" w:type="dxa"/>
              <w:bottom w:w="0" w:type="dxa"/>
              <w:right w:w="13" w:type="dxa"/>
            </w:tcMar>
            <w:hideMark/>
          </w:tcPr>
          <w:p w:rsidR="00282739" w:rsidRPr="008E2EBB" w:rsidRDefault="00282739" w:rsidP="003C6043">
            <w:pPr>
              <w:pStyle w:val="Tablehead1"/>
              <w:jc w:val="center"/>
            </w:pPr>
            <w:r w:rsidRPr="008E2EBB">
              <w:t xml:space="preserve">Society </w:t>
            </w:r>
            <w:r>
              <w:br/>
            </w:r>
            <w:r w:rsidRPr="008E2EBB">
              <w:t xml:space="preserve">and </w:t>
            </w:r>
            <w:r>
              <w:br/>
            </w:r>
            <w:r w:rsidRPr="008E2EBB">
              <w:t>culture</w:t>
            </w:r>
          </w:p>
        </w:tc>
        <w:tc>
          <w:tcPr>
            <w:tcW w:w="375" w:type="pct"/>
            <w:tcBorders>
              <w:top w:val="single" w:sz="4" w:space="0" w:color="auto"/>
              <w:left w:val="nil"/>
              <w:bottom w:val="single" w:sz="4" w:space="0" w:color="auto"/>
              <w:right w:val="nil"/>
            </w:tcBorders>
            <w:shd w:val="clear" w:color="auto" w:fill="auto"/>
            <w:tcMar>
              <w:top w:w="13" w:type="dxa"/>
              <w:left w:w="13" w:type="dxa"/>
              <w:bottom w:w="0" w:type="dxa"/>
              <w:right w:w="13" w:type="dxa"/>
            </w:tcMar>
            <w:hideMark/>
          </w:tcPr>
          <w:p w:rsidR="00282739" w:rsidRPr="008E2EBB" w:rsidRDefault="00282739" w:rsidP="003C6043">
            <w:pPr>
              <w:pStyle w:val="Tablehead1"/>
              <w:jc w:val="center"/>
            </w:pPr>
            <w:r w:rsidRPr="008E2EBB">
              <w:t>Creative arts</w:t>
            </w:r>
          </w:p>
        </w:tc>
        <w:tc>
          <w:tcPr>
            <w:tcW w:w="367" w:type="pct"/>
            <w:tcBorders>
              <w:top w:val="single" w:sz="4" w:space="0" w:color="auto"/>
              <w:left w:val="nil"/>
              <w:bottom w:val="single" w:sz="4" w:space="0" w:color="auto"/>
              <w:right w:val="nil"/>
            </w:tcBorders>
            <w:shd w:val="clear" w:color="auto" w:fill="auto"/>
            <w:tcMar>
              <w:top w:w="13" w:type="dxa"/>
              <w:left w:w="13" w:type="dxa"/>
              <w:bottom w:w="0" w:type="dxa"/>
              <w:right w:w="13" w:type="dxa"/>
            </w:tcMar>
            <w:hideMark/>
          </w:tcPr>
          <w:p w:rsidR="00282739" w:rsidRPr="008E2EBB" w:rsidRDefault="00282739" w:rsidP="003C6043">
            <w:pPr>
              <w:pStyle w:val="Tablehead1"/>
              <w:jc w:val="center"/>
            </w:pPr>
            <w:r w:rsidRPr="008E2EBB">
              <w:t>Food, hospitality and personal services</w:t>
            </w:r>
          </w:p>
        </w:tc>
      </w:tr>
      <w:tr w:rsidR="00282739" w:rsidTr="003C6043">
        <w:tc>
          <w:tcPr>
            <w:tcW w:w="841"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spacing w:before="80" w:after="50"/>
            </w:pPr>
            <w:r w:rsidRPr="009814AC">
              <w:t>Business</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80" w:after="50"/>
            </w:pPr>
            <w:r w:rsidRPr="009814AC">
              <w:t>1.49</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80" w:after="50"/>
            </w:pPr>
            <w:r w:rsidRPr="009814AC">
              <w:t>2.49</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80" w:after="50"/>
            </w:pPr>
            <w:r w:rsidRPr="009814AC">
              <w:t>0</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80" w:after="50"/>
            </w:pPr>
            <w:r w:rsidRPr="009814AC">
              <w:t>3.98</w:t>
            </w:r>
          </w:p>
        </w:tc>
        <w:tc>
          <w:tcPr>
            <w:tcW w:w="414"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82"/>
              </w:tabs>
              <w:spacing w:before="80" w:after="50"/>
            </w:pPr>
            <w:r w:rsidRPr="009814AC">
              <w:t>1</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80" w:after="50"/>
            </w:pPr>
            <w:r w:rsidRPr="009814AC">
              <w:t>9.45</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80" w:after="50"/>
            </w:pPr>
            <w:r w:rsidRPr="009814AC">
              <w:t>7.46</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80" w:after="50"/>
            </w:pPr>
            <w:r w:rsidRPr="009814AC">
              <w:t>37.31</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80" w:after="50"/>
            </w:pPr>
            <w:r w:rsidRPr="009814AC">
              <w:t>21.89</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80" w:after="50"/>
            </w:pPr>
            <w:r w:rsidRPr="009814AC">
              <w:t>13.93</w:t>
            </w:r>
          </w:p>
        </w:tc>
        <w:tc>
          <w:tcPr>
            <w:tcW w:w="367"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80" w:after="50"/>
            </w:pPr>
            <w:r w:rsidRPr="009814AC">
              <w:t>1</w:t>
            </w:r>
            <w:r>
              <w:t>.00</w:t>
            </w:r>
          </w:p>
        </w:tc>
      </w:tr>
      <w:tr w:rsidR="00282739" w:rsidTr="003C6043">
        <w:tc>
          <w:tcPr>
            <w:tcW w:w="841"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spacing w:before="50" w:after="50"/>
            </w:pPr>
            <w:r w:rsidRPr="009814AC">
              <w:t>Community recreation</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1.93</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2.21</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1.1</w:t>
            </w:r>
            <w:r>
              <w:t>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6.08</w:t>
            </w:r>
          </w:p>
        </w:tc>
        <w:tc>
          <w:tcPr>
            <w:tcW w:w="414"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82"/>
              </w:tabs>
              <w:spacing w:before="50" w:after="50"/>
            </w:pPr>
            <w:r w:rsidRPr="009814AC">
              <w:t>1.66</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C81543" w:rsidRDefault="00282739" w:rsidP="003C6043">
            <w:pPr>
              <w:pStyle w:val="Tabletext"/>
              <w:tabs>
                <w:tab w:val="decimal" w:pos="454"/>
              </w:tabs>
              <w:spacing w:before="50" w:after="50"/>
            </w:pPr>
            <w:r w:rsidRPr="00C81543">
              <w:t>28.45</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14.64</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14.64</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24.31</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4.7</w:t>
            </w:r>
            <w:r>
              <w:t>0</w:t>
            </w:r>
          </w:p>
        </w:tc>
        <w:tc>
          <w:tcPr>
            <w:tcW w:w="367"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0.28</w:t>
            </w:r>
          </w:p>
        </w:tc>
      </w:tr>
      <w:tr w:rsidR="00282739" w:rsidTr="003C6043">
        <w:tc>
          <w:tcPr>
            <w:tcW w:w="841"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spacing w:before="50" w:after="50"/>
            </w:pPr>
            <w:r w:rsidRPr="009814AC">
              <w:t>Community services</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0.52</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0.52</w:t>
            </w:r>
          </w:p>
        </w:tc>
        <w:tc>
          <w:tcPr>
            <w:tcW w:w="414"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82"/>
              </w:tabs>
              <w:spacing w:before="50" w:after="50"/>
            </w:pPr>
            <w:r w:rsidRPr="009814AC">
              <w:t>0.52</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26.7</w:t>
            </w:r>
            <w:r>
              <w:t>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30.89</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6.28</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32.98</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0.52</w:t>
            </w:r>
          </w:p>
        </w:tc>
        <w:tc>
          <w:tcPr>
            <w:tcW w:w="367"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1.05</w:t>
            </w:r>
          </w:p>
        </w:tc>
      </w:tr>
      <w:tr w:rsidR="00282739" w:rsidTr="003C6043">
        <w:tc>
          <w:tcPr>
            <w:tcW w:w="841"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spacing w:before="50" w:after="50"/>
            </w:pPr>
            <w:r w:rsidRPr="009814AC">
              <w:t>Dance</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1.75</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3.51</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414"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82"/>
              </w:tabs>
              <w:spacing w:before="50" w:after="50"/>
            </w:pPr>
            <w:r w:rsidRPr="009814AC">
              <w:t>1.75</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19.3</w:t>
            </w:r>
            <w:r>
              <w:t>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12.28</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8.77</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12.28</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40.35</w:t>
            </w:r>
          </w:p>
        </w:tc>
        <w:tc>
          <w:tcPr>
            <w:tcW w:w="367"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r>
      <w:tr w:rsidR="00282739" w:rsidTr="003C6043">
        <w:tc>
          <w:tcPr>
            <w:tcW w:w="841"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spacing w:before="50" w:after="50"/>
            </w:pPr>
            <w:r w:rsidRPr="009814AC">
              <w:t>Electrotechnology</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5.26</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10.53</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42.11</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10.53</w:t>
            </w:r>
          </w:p>
        </w:tc>
        <w:tc>
          <w:tcPr>
            <w:tcW w:w="414"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82"/>
              </w:tabs>
              <w:spacing w:before="50" w:after="50"/>
            </w:pPr>
            <w:r w:rsidRPr="009814AC">
              <w:t>2.63</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2.63</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5.26</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10.53</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5.26</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5.26</w:t>
            </w:r>
          </w:p>
        </w:tc>
        <w:tc>
          <w:tcPr>
            <w:tcW w:w="367"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r>
      <w:tr w:rsidR="00282739" w:rsidTr="003C6043">
        <w:tc>
          <w:tcPr>
            <w:tcW w:w="841"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spacing w:before="50" w:after="50"/>
            </w:pPr>
            <w:r w:rsidRPr="009814AC">
              <w:t>Engineering studies</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4.23</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2.82</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47.89</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11.27</w:t>
            </w:r>
          </w:p>
        </w:tc>
        <w:tc>
          <w:tcPr>
            <w:tcW w:w="414"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82"/>
              </w:tabs>
              <w:spacing w:before="50" w:after="50"/>
            </w:pPr>
            <w:r w:rsidRPr="009814AC">
              <w:t>5.63</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5.63</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4.23</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9.86</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4.23</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4.23</w:t>
            </w:r>
          </w:p>
        </w:tc>
        <w:tc>
          <w:tcPr>
            <w:tcW w:w="367"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r>
      <w:tr w:rsidR="00282739" w:rsidTr="003C6043">
        <w:tc>
          <w:tcPr>
            <w:tcW w:w="841"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spacing w:before="50" w:after="50"/>
            </w:pPr>
            <w:r w:rsidRPr="009814AC">
              <w:t>Equine industry</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13.33</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414"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82"/>
              </w:tabs>
              <w:spacing w:before="50" w:after="50"/>
            </w:pPr>
            <w:r w:rsidRPr="009814AC">
              <w:t>16.67</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16.67</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6.67</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3.33</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36.67</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6.67</w:t>
            </w:r>
          </w:p>
        </w:tc>
        <w:tc>
          <w:tcPr>
            <w:tcW w:w="367"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r>
      <w:tr w:rsidR="00282739" w:rsidTr="003C6043">
        <w:tc>
          <w:tcPr>
            <w:tcW w:w="841"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spacing w:before="50" w:after="50"/>
            </w:pPr>
            <w:r w:rsidRPr="009814AC">
              <w:t>Financial services</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414"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82"/>
              </w:tabs>
              <w:spacing w:before="50" w:after="50"/>
            </w:pPr>
            <w:r w:rsidRPr="009814AC">
              <w:t>0</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80</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20</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367"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r>
      <w:tr w:rsidR="00282739" w:rsidTr="003C6043">
        <w:tc>
          <w:tcPr>
            <w:tcW w:w="841"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spacing w:before="50" w:after="50"/>
            </w:pPr>
            <w:r>
              <w:t>Furnishing</w:t>
            </w:r>
          </w:p>
        </w:tc>
        <w:tc>
          <w:tcPr>
            <w:tcW w:w="376"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54"/>
              </w:tabs>
              <w:spacing w:before="50" w:after="50"/>
            </w:pPr>
            <w:r>
              <w:t>0.00</w:t>
            </w:r>
          </w:p>
        </w:tc>
        <w:tc>
          <w:tcPr>
            <w:tcW w:w="376"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54"/>
              </w:tabs>
              <w:spacing w:before="50" w:after="50"/>
            </w:pPr>
            <w:r>
              <w:t>3.92</w:t>
            </w:r>
          </w:p>
        </w:tc>
        <w:tc>
          <w:tcPr>
            <w:tcW w:w="375"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54"/>
              </w:tabs>
              <w:spacing w:before="50" w:after="50"/>
            </w:pPr>
            <w:r>
              <w:t>13.73</w:t>
            </w:r>
          </w:p>
        </w:tc>
        <w:tc>
          <w:tcPr>
            <w:tcW w:w="375"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54"/>
              </w:tabs>
              <w:spacing w:before="50" w:after="50"/>
            </w:pPr>
            <w:r>
              <w:t>37.25</w:t>
            </w:r>
          </w:p>
        </w:tc>
        <w:tc>
          <w:tcPr>
            <w:tcW w:w="414"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82"/>
              </w:tabs>
              <w:spacing w:before="50" w:after="50"/>
            </w:pPr>
            <w:r>
              <w:t>3.92</w:t>
            </w:r>
          </w:p>
        </w:tc>
        <w:tc>
          <w:tcPr>
            <w:tcW w:w="375"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54"/>
              </w:tabs>
              <w:spacing w:before="50" w:after="50"/>
            </w:pPr>
            <w:r>
              <w:t>3.92</w:t>
            </w:r>
          </w:p>
        </w:tc>
        <w:tc>
          <w:tcPr>
            <w:tcW w:w="375"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54"/>
              </w:tabs>
              <w:spacing w:before="50" w:after="50"/>
            </w:pPr>
            <w:r>
              <w:t>7.84</w:t>
            </w:r>
          </w:p>
        </w:tc>
        <w:tc>
          <w:tcPr>
            <w:tcW w:w="375"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54"/>
              </w:tabs>
              <w:spacing w:before="50" w:after="50"/>
            </w:pPr>
            <w:r>
              <w:t>9.80</w:t>
            </w:r>
          </w:p>
        </w:tc>
        <w:tc>
          <w:tcPr>
            <w:tcW w:w="375"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54"/>
              </w:tabs>
              <w:spacing w:before="50" w:after="50"/>
            </w:pPr>
            <w:r>
              <w:t>11.76</w:t>
            </w:r>
          </w:p>
        </w:tc>
        <w:tc>
          <w:tcPr>
            <w:tcW w:w="375"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54"/>
              </w:tabs>
              <w:spacing w:before="50" w:after="50"/>
            </w:pPr>
            <w:r>
              <w:t>7.84</w:t>
            </w:r>
          </w:p>
        </w:tc>
        <w:tc>
          <w:tcPr>
            <w:tcW w:w="367"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54"/>
              </w:tabs>
              <w:spacing w:before="50" w:after="50"/>
            </w:pPr>
            <w:r>
              <w:t>0.00</w:t>
            </w:r>
          </w:p>
        </w:tc>
      </w:tr>
      <w:tr w:rsidR="00282739" w:rsidTr="003C6043">
        <w:tc>
          <w:tcPr>
            <w:tcW w:w="841"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spacing w:before="50" w:after="50"/>
            </w:pPr>
            <w:r w:rsidRPr="009814AC">
              <w:t>Hospitality</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2.5</w:t>
            </w:r>
            <w:r>
              <w:t>0</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1.67</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2.5</w:t>
            </w:r>
            <w:r>
              <w:t>0</w:t>
            </w:r>
          </w:p>
        </w:tc>
        <w:tc>
          <w:tcPr>
            <w:tcW w:w="414"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82"/>
              </w:tabs>
              <w:spacing w:before="50" w:after="50"/>
            </w:pPr>
            <w:r w:rsidRPr="009814AC">
              <w:t>2.08</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10</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7.92</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41.67</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15</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11.67</w:t>
            </w:r>
          </w:p>
        </w:tc>
        <w:tc>
          <w:tcPr>
            <w:tcW w:w="367"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5</w:t>
            </w:r>
            <w:r>
              <w:t>.00</w:t>
            </w:r>
          </w:p>
        </w:tc>
      </w:tr>
      <w:tr w:rsidR="00282739" w:rsidTr="003C6043">
        <w:tc>
          <w:tcPr>
            <w:tcW w:w="841"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spacing w:before="50" w:after="50"/>
            </w:pPr>
            <w:r w:rsidRPr="009814AC">
              <w:t>Hospitality (kitchen operations)</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7.77</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0.52</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3.63</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2.59</w:t>
            </w:r>
          </w:p>
        </w:tc>
        <w:tc>
          <w:tcPr>
            <w:tcW w:w="414"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82"/>
              </w:tabs>
              <w:spacing w:before="50" w:after="50"/>
            </w:pPr>
            <w:r w:rsidRPr="009814AC">
              <w:t>1.04</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10.36</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8.29</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30.05</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14.51</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9.33</w:t>
            </w:r>
          </w:p>
        </w:tc>
        <w:tc>
          <w:tcPr>
            <w:tcW w:w="367"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11.92</w:t>
            </w:r>
          </w:p>
        </w:tc>
      </w:tr>
      <w:tr w:rsidR="00282739" w:rsidTr="003C6043">
        <w:tc>
          <w:tcPr>
            <w:tcW w:w="841"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spacing w:before="50" w:after="50"/>
            </w:pPr>
            <w:r w:rsidRPr="009814AC">
              <w:t>Information technology</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4.12</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49.41</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5.88</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1.76</w:t>
            </w:r>
          </w:p>
        </w:tc>
        <w:tc>
          <w:tcPr>
            <w:tcW w:w="414"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82"/>
              </w:tabs>
              <w:spacing w:before="50" w:after="50"/>
            </w:pPr>
            <w:r w:rsidRPr="009814AC">
              <w:t>1.18</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2.94</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1.18</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8.82</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12.35</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12.35</w:t>
            </w:r>
          </w:p>
        </w:tc>
        <w:tc>
          <w:tcPr>
            <w:tcW w:w="367"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r>
      <w:tr w:rsidR="00282739" w:rsidTr="003C6043">
        <w:tc>
          <w:tcPr>
            <w:tcW w:w="841"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spacing w:before="50" w:after="50"/>
            </w:pPr>
            <w:r>
              <w:t>Interactive digital media</w:t>
            </w:r>
          </w:p>
        </w:tc>
        <w:tc>
          <w:tcPr>
            <w:tcW w:w="376"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54"/>
              </w:tabs>
              <w:spacing w:before="50" w:after="50"/>
            </w:pPr>
            <w:r>
              <w:t>2.85</w:t>
            </w:r>
          </w:p>
        </w:tc>
        <w:tc>
          <w:tcPr>
            <w:tcW w:w="376"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54"/>
              </w:tabs>
              <w:spacing w:before="50" w:after="50"/>
            </w:pPr>
            <w:r>
              <w:t>20.28</w:t>
            </w:r>
          </w:p>
        </w:tc>
        <w:tc>
          <w:tcPr>
            <w:tcW w:w="375"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54"/>
              </w:tabs>
              <w:spacing w:before="50" w:after="50"/>
            </w:pPr>
            <w:r>
              <w:t>3.74</w:t>
            </w:r>
          </w:p>
        </w:tc>
        <w:tc>
          <w:tcPr>
            <w:tcW w:w="375"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54"/>
              </w:tabs>
              <w:spacing w:before="50" w:after="50"/>
            </w:pPr>
            <w:r>
              <w:t>4.45</w:t>
            </w:r>
          </w:p>
        </w:tc>
        <w:tc>
          <w:tcPr>
            <w:tcW w:w="414"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82"/>
              </w:tabs>
              <w:spacing w:before="50" w:after="50"/>
            </w:pPr>
            <w:r>
              <w:t>1.60</w:t>
            </w:r>
          </w:p>
        </w:tc>
        <w:tc>
          <w:tcPr>
            <w:tcW w:w="375"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54"/>
              </w:tabs>
              <w:spacing w:before="50" w:after="50"/>
            </w:pPr>
            <w:r>
              <w:t>3.02</w:t>
            </w:r>
          </w:p>
        </w:tc>
        <w:tc>
          <w:tcPr>
            <w:tcW w:w="375"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54"/>
              </w:tabs>
              <w:spacing w:before="50" w:after="50"/>
            </w:pPr>
            <w:r>
              <w:t>3.56</w:t>
            </w:r>
          </w:p>
        </w:tc>
        <w:tc>
          <w:tcPr>
            <w:tcW w:w="375"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54"/>
              </w:tabs>
              <w:spacing w:before="50" w:after="50"/>
            </w:pPr>
            <w:r>
              <w:t>8.90</w:t>
            </w:r>
          </w:p>
        </w:tc>
        <w:tc>
          <w:tcPr>
            <w:tcW w:w="375"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54"/>
              </w:tabs>
              <w:spacing w:before="50" w:after="50"/>
            </w:pPr>
            <w:r>
              <w:t>10.32</w:t>
            </w:r>
          </w:p>
        </w:tc>
        <w:tc>
          <w:tcPr>
            <w:tcW w:w="375"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54"/>
              </w:tabs>
              <w:spacing w:before="50" w:after="50"/>
            </w:pPr>
            <w:r>
              <w:t>40.93</w:t>
            </w:r>
          </w:p>
        </w:tc>
        <w:tc>
          <w:tcPr>
            <w:tcW w:w="367" w:type="pct"/>
            <w:tcBorders>
              <w:top w:val="nil"/>
              <w:left w:val="nil"/>
              <w:bottom w:val="nil"/>
              <w:right w:val="nil"/>
            </w:tcBorders>
            <w:shd w:val="clear" w:color="auto" w:fill="auto"/>
            <w:noWrap/>
            <w:tcMar>
              <w:top w:w="13" w:type="dxa"/>
              <w:left w:w="13" w:type="dxa"/>
              <w:bottom w:w="0" w:type="dxa"/>
              <w:right w:w="13" w:type="dxa"/>
            </w:tcMar>
          </w:tcPr>
          <w:p w:rsidR="00282739" w:rsidRPr="009814AC" w:rsidRDefault="00282739" w:rsidP="003C6043">
            <w:pPr>
              <w:pStyle w:val="Tabletext"/>
              <w:tabs>
                <w:tab w:val="decimal" w:pos="454"/>
              </w:tabs>
              <w:spacing w:before="50" w:after="50"/>
            </w:pPr>
            <w:r>
              <w:t>0.36</w:t>
            </w:r>
          </w:p>
        </w:tc>
      </w:tr>
      <w:tr w:rsidR="00282739" w:rsidTr="003C6043">
        <w:tc>
          <w:tcPr>
            <w:tcW w:w="841"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spacing w:before="50" w:after="50"/>
            </w:pPr>
            <w:r w:rsidRPr="009814AC">
              <w:t>Laboratory skills</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62.5</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414"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82"/>
              </w:tabs>
              <w:spacing w:before="50" w:after="50"/>
            </w:pPr>
            <w:r w:rsidRPr="009814AC">
              <w:t>0</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25</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12.5</w:t>
            </w:r>
            <w:r>
              <w:t>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c>
          <w:tcPr>
            <w:tcW w:w="367"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r>
      <w:tr w:rsidR="00282739" w:rsidTr="003C6043">
        <w:tc>
          <w:tcPr>
            <w:tcW w:w="841"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spacing w:before="50" w:after="50"/>
            </w:pPr>
            <w:r w:rsidRPr="009814AC">
              <w:t>Music</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5</w:t>
            </w:r>
            <w:r>
              <w:t>.00</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8</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4</w:t>
            </w:r>
            <w:r>
              <w:t>.00</w:t>
            </w:r>
          </w:p>
        </w:tc>
        <w:tc>
          <w:tcPr>
            <w:tcW w:w="414"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82"/>
              </w:tabs>
              <w:spacing w:before="50" w:after="50"/>
            </w:pPr>
            <w:r w:rsidRPr="009814AC">
              <w:t>1</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5</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5</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7</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14</w:t>
            </w:r>
            <w:r>
              <w:t>.00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48</w:t>
            </w:r>
            <w:r>
              <w:t>.00</w:t>
            </w:r>
          </w:p>
        </w:tc>
        <w:tc>
          <w:tcPr>
            <w:tcW w:w="367"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w:t>
            </w:r>
            <w:r>
              <w:t>.00</w:t>
            </w:r>
          </w:p>
        </w:tc>
      </w:tr>
      <w:tr w:rsidR="00282739" w:rsidTr="003C6043">
        <w:tc>
          <w:tcPr>
            <w:tcW w:w="841"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spacing w:before="50" w:after="50"/>
            </w:pPr>
            <w:r w:rsidRPr="009814AC">
              <w:t>Music industry</w:t>
            </w:r>
            <w:r>
              <w:t xml:space="preserve"> (technical production)</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1.62</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2.7</w:t>
            </w:r>
            <w:r>
              <w:t>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3.78</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3.24</w:t>
            </w:r>
          </w:p>
        </w:tc>
        <w:tc>
          <w:tcPr>
            <w:tcW w:w="414"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82"/>
              </w:tabs>
              <w:spacing w:before="50" w:after="50"/>
            </w:pPr>
            <w:r w:rsidRPr="009814AC">
              <w:t>1.62</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2.16</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2.7</w:t>
            </w:r>
            <w:r>
              <w:t>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3.24</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12.43</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66.49</w:t>
            </w:r>
          </w:p>
        </w:tc>
        <w:tc>
          <w:tcPr>
            <w:tcW w:w="367"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r>
      <w:tr w:rsidR="00282739" w:rsidTr="003C6043">
        <w:tc>
          <w:tcPr>
            <w:tcW w:w="841"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spacing w:before="50" w:after="50"/>
            </w:pPr>
            <w:r>
              <w:t>Sport and o</w:t>
            </w:r>
            <w:r w:rsidRPr="009814AC">
              <w:t>utdoor recreation</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2.7</w:t>
            </w:r>
            <w:r>
              <w:t>0</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2.7</w:t>
            </w:r>
            <w:r>
              <w:t>0</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1.35</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4.05</w:t>
            </w:r>
          </w:p>
        </w:tc>
        <w:tc>
          <w:tcPr>
            <w:tcW w:w="414"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82"/>
              </w:tabs>
              <w:spacing w:before="50" w:after="50"/>
            </w:pPr>
            <w:r w:rsidRPr="009814AC">
              <w:t>4.05</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25.68</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21.62</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13.51</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17.57</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6.76</w:t>
            </w:r>
          </w:p>
        </w:tc>
        <w:tc>
          <w:tcPr>
            <w:tcW w:w="367"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w:t>
            </w:r>
            <w:r>
              <w:t>.00</w:t>
            </w:r>
          </w:p>
        </w:tc>
      </w:tr>
      <w:tr w:rsidR="00282739" w:rsidTr="003C6043">
        <w:tc>
          <w:tcPr>
            <w:tcW w:w="841" w:type="pct"/>
            <w:tcBorders>
              <w:top w:val="dashSmallGap" w:sz="4" w:space="0" w:color="auto"/>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spacing w:before="120" w:after="50"/>
            </w:pPr>
            <w:r w:rsidRPr="009814AC">
              <w:t xml:space="preserve">All VCE VET </w:t>
            </w:r>
            <w:r>
              <w:t>subject</w:t>
            </w:r>
            <w:r w:rsidRPr="009814AC">
              <w:t>s</w:t>
            </w:r>
          </w:p>
        </w:tc>
        <w:tc>
          <w:tcPr>
            <w:tcW w:w="376" w:type="pct"/>
            <w:tcBorders>
              <w:top w:val="dashSmallGap" w:sz="4" w:space="0" w:color="auto"/>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120" w:after="50"/>
            </w:pPr>
            <w:r w:rsidRPr="009814AC">
              <w:t>3.32</w:t>
            </w:r>
          </w:p>
        </w:tc>
        <w:tc>
          <w:tcPr>
            <w:tcW w:w="376" w:type="pct"/>
            <w:tcBorders>
              <w:top w:val="dashSmallGap" w:sz="4" w:space="0" w:color="auto"/>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120" w:after="50"/>
            </w:pPr>
            <w:r w:rsidRPr="009814AC">
              <w:t>5.82</w:t>
            </w:r>
          </w:p>
        </w:tc>
        <w:tc>
          <w:tcPr>
            <w:tcW w:w="375" w:type="pct"/>
            <w:tcBorders>
              <w:top w:val="dashSmallGap" w:sz="4" w:space="0" w:color="auto"/>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120" w:after="50"/>
            </w:pPr>
            <w:r w:rsidRPr="009814AC">
              <w:t>4.83</w:t>
            </w:r>
          </w:p>
        </w:tc>
        <w:tc>
          <w:tcPr>
            <w:tcW w:w="375" w:type="pct"/>
            <w:tcBorders>
              <w:top w:val="dashSmallGap" w:sz="4" w:space="0" w:color="auto"/>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120" w:after="50"/>
            </w:pPr>
            <w:r w:rsidRPr="009814AC">
              <w:t>3.64</w:t>
            </w:r>
          </w:p>
        </w:tc>
        <w:tc>
          <w:tcPr>
            <w:tcW w:w="414" w:type="pct"/>
            <w:tcBorders>
              <w:top w:val="dashSmallGap" w:sz="4" w:space="0" w:color="auto"/>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82"/>
              </w:tabs>
              <w:spacing w:before="120" w:after="50"/>
            </w:pPr>
            <w:r w:rsidRPr="009814AC">
              <w:t>1.87</w:t>
            </w:r>
          </w:p>
        </w:tc>
        <w:tc>
          <w:tcPr>
            <w:tcW w:w="375" w:type="pct"/>
            <w:tcBorders>
              <w:top w:val="dashSmallGap" w:sz="4" w:space="0" w:color="auto"/>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120" w:after="50"/>
            </w:pPr>
            <w:r w:rsidRPr="009814AC">
              <w:t>14.18</w:t>
            </w:r>
          </w:p>
        </w:tc>
        <w:tc>
          <w:tcPr>
            <w:tcW w:w="375" w:type="pct"/>
            <w:tcBorders>
              <w:top w:val="dashSmallGap" w:sz="4" w:space="0" w:color="auto"/>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120" w:after="50"/>
            </w:pPr>
            <w:r w:rsidRPr="009814AC">
              <w:t>10.6</w:t>
            </w:r>
            <w:r>
              <w:t>0</w:t>
            </w:r>
          </w:p>
        </w:tc>
        <w:tc>
          <w:tcPr>
            <w:tcW w:w="375" w:type="pct"/>
            <w:tcBorders>
              <w:top w:val="dashSmallGap" w:sz="4" w:space="0" w:color="auto"/>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120" w:after="50"/>
            </w:pPr>
            <w:r w:rsidRPr="009814AC">
              <w:t>18.55</w:t>
            </w:r>
          </w:p>
        </w:tc>
        <w:tc>
          <w:tcPr>
            <w:tcW w:w="375" w:type="pct"/>
            <w:tcBorders>
              <w:top w:val="dashSmallGap" w:sz="4" w:space="0" w:color="auto"/>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120" w:after="50"/>
            </w:pPr>
            <w:r w:rsidRPr="009814AC">
              <w:t>18.44</w:t>
            </w:r>
          </w:p>
        </w:tc>
        <w:tc>
          <w:tcPr>
            <w:tcW w:w="375" w:type="pct"/>
            <w:tcBorders>
              <w:top w:val="dashSmallGap" w:sz="4" w:space="0" w:color="auto"/>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120" w:after="50"/>
            </w:pPr>
            <w:r w:rsidRPr="009814AC">
              <w:t>16.57</w:t>
            </w:r>
          </w:p>
        </w:tc>
        <w:tc>
          <w:tcPr>
            <w:tcW w:w="367" w:type="pct"/>
            <w:tcBorders>
              <w:top w:val="dashSmallGap" w:sz="4" w:space="0" w:color="auto"/>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120" w:after="50"/>
            </w:pPr>
            <w:r w:rsidRPr="009814AC">
              <w:t>2.18</w:t>
            </w:r>
          </w:p>
        </w:tc>
      </w:tr>
      <w:tr w:rsidR="00282739" w:rsidTr="003C6043">
        <w:tc>
          <w:tcPr>
            <w:tcW w:w="841"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spacing w:before="50" w:after="50"/>
            </w:pPr>
            <w:r w:rsidRPr="009814AC">
              <w:t xml:space="preserve">No VCE VET </w:t>
            </w:r>
            <w:r>
              <w:t>subject</w:t>
            </w:r>
            <w:r w:rsidRPr="009814AC">
              <w:t>s</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9.9</w:t>
            </w:r>
            <w:r>
              <w:t>0</w:t>
            </w:r>
          </w:p>
        </w:tc>
        <w:tc>
          <w:tcPr>
            <w:tcW w:w="376"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2.97</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5.23</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3.61</w:t>
            </w:r>
          </w:p>
        </w:tc>
        <w:tc>
          <w:tcPr>
            <w:tcW w:w="414"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82"/>
              </w:tabs>
              <w:spacing w:before="50" w:after="50"/>
            </w:pPr>
            <w:r w:rsidRPr="009814AC">
              <w:t>2.39</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19.26</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6.48</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15.66</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21.83</w:t>
            </w:r>
          </w:p>
        </w:tc>
        <w:tc>
          <w:tcPr>
            <w:tcW w:w="375"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12.22</w:t>
            </w:r>
          </w:p>
        </w:tc>
        <w:tc>
          <w:tcPr>
            <w:tcW w:w="367" w:type="pct"/>
            <w:tcBorders>
              <w:top w:val="nil"/>
              <w:left w:val="nil"/>
              <w:bottom w:val="nil"/>
              <w:right w:val="nil"/>
            </w:tcBorders>
            <w:shd w:val="clear" w:color="auto" w:fill="auto"/>
            <w:noWrap/>
            <w:tcMar>
              <w:top w:w="13" w:type="dxa"/>
              <w:left w:w="13" w:type="dxa"/>
              <w:bottom w:w="0" w:type="dxa"/>
              <w:right w:w="13" w:type="dxa"/>
            </w:tcMar>
            <w:hideMark/>
          </w:tcPr>
          <w:p w:rsidR="00282739" w:rsidRPr="009814AC" w:rsidRDefault="00282739" w:rsidP="003C6043">
            <w:pPr>
              <w:pStyle w:val="Tabletext"/>
              <w:tabs>
                <w:tab w:val="decimal" w:pos="454"/>
              </w:tabs>
              <w:spacing w:before="50" w:after="50"/>
            </w:pPr>
            <w:r w:rsidRPr="009814AC">
              <w:t>0.44</w:t>
            </w:r>
          </w:p>
        </w:tc>
      </w:tr>
      <w:tr w:rsidR="00282739" w:rsidRPr="008E2EBB" w:rsidTr="003C6043">
        <w:tc>
          <w:tcPr>
            <w:tcW w:w="841" w:type="pct"/>
            <w:tcBorders>
              <w:top w:val="nil"/>
              <w:left w:val="nil"/>
              <w:bottom w:val="single" w:sz="4" w:space="0" w:color="auto"/>
              <w:right w:val="nil"/>
            </w:tcBorders>
            <w:shd w:val="clear" w:color="auto" w:fill="auto"/>
            <w:noWrap/>
            <w:tcMar>
              <w:top w:w="13" w:type="dxa"/>
              <w:left w:w="13" w:type="dxa"/>
              <w:bottom w:w="0" w:type="dxa"/>
              <w:right w:w="13" w:type="dxa"/>
            </w:tcMar>
            <w:hideMark/>
          </w:tcPr>
          <w:p w:rsidR="00282739" w:rsidRPr="008E2EBB" w:rsidRDefault="00282739" w:rsidP="003C6043">
            <w:pPr>
              <w:pStyle w:val="Tabletext"/>
              <w:spacing w:before="50" w:after="50"/>
              <w:rPr>
                <w:b/>
              </w:rPr>
            </w:pPr>
            <w:r w:rsidRPr="008E2EBB">
              <w:rPr>
                <w:b/>
              </w:rPr>
              <w:t>Total</w:t>
            </w:r>
          </w:p>
        </w:tc>
        <w:tc>
          <w:tcPr>
            <w:tcW w:w="376" w:type="pct"/>
            <w:tcBorders>
              <w:top w:val="nil"/>
              <w:left w:val="nil"/>
              <w:bottom w:val="single" w:sz="4" w:space="0" w:color="auto"/>
              <w:right w:val="nil"/>
            </w:tcBorders>
            <w:shd w:val="clear" w:color="auto" w:fill="auto"/>
            <w:noWrap/>
            <w:tcMar>
              <w:top w:w="13" w:type="dxa"/>
              <w:left w:w="13" w:type="dxa"/>
              <w:bottom w:w="0" w:type="dxa"/>
              <w:right w:w="13" w:type="dxa"/>
            </w:tcMar>
            <w:hideMark/>
          </w:tcPr>
          <w:p w:rsidR="00282739" w:rsidRPr="008E2EBB" w:rsidRDefault="00282739" w:rsidP="003C6043">
            <w:pPr>
              <w:pStyle w:val="Tabletext"/>
              <w:tabs>
                <w:tab w:val="decimal" w:pos="454"/>
              </w:tabs>
              <w:spacing w:before="50" w:after="50"/>
              <w:rPr>
                <w:b/>
              </w:rPr>
            </w:pPr>
            <w:r w:rsidRPr="008E2EBB">
              <w:rPr>
                <w:b/>
              </w:rPr>
              <w:t>9.56</w:t>
            </w:r>
          </w:p>
        </w:tc>
        <w:tc>
          <w:tcPr>
            <w:tcW w:w="376" w:type="pct"/>
            <w:tcBorders>
              <w:top w:val="nil"/>
              <w:left w:val="nil"/>
              <w:bottom w:val="single" w:sz="4" w:space="0" w:color="auto"/>
              <w:right w:val="nil"/>
            </w:tcBorders>
            <w:shd w:val="clear" w:color="auto" w:fill="auto"/>
            <w:noWrap/>
            <w:tcMar>
              <w:top w:w="13" w:type="dxa"/>
              <w:left w:w="13" w:type="dxa"/>
              <w:bottom w:w="0" w:type="dxa"/>
              <w:right w:w="13" w:type="dxa"/>
            </w:tcMar>
            <w:hideMark/>
          </w:tcPr>
          <w:p w:rsidR="00282739" w:rsidRPr="008E2EBB" w:rsidRDefault="00282739" w:rsidP="003C6043">
            <w:pPr>
              <w:pStyle w:val="Tabletext"/>
              <w:tabs>
                <w:tab w:val="decimal" w:pos="454"/>
              </w:tabs>
              <w:spacing w:before="50" w:after="50"/>
              <w:rPr>
                <w:b/>
              </w:rPr>
            </w:pPr>
            <w:r w:rsidRPr="008E2EBB">
              <w:rPr>
                <w:b/>
              </w:rPr>
              <w:t>3.12</w:t>
            </w:r>
          </w:p>
        </w:tc>
        <w:tc>
          <w:tcPr>
            <w:tcW w:w="375" w:type="pct"/>
            <w:tcBorders>
              <w:top w:val="nil"/>
              <w:left w:val="nil"/>
              <w:bottom w:val="single" w:sz="4" w:space="0" w:color="auto"/>
              <w:right w:val="nil"/>
            </w:tcBorders>
            <w:shd w:val="clear" w:color="auto" w:fill="auto"/>
            <w:noWrap/>
            <w:tcMar>
              <w:top w:w="13" w:type="dxa"/>
              <w:left w:w="13" w:type="dxa"/>
              <w:bottom w:w="0" w:type="dxa"/>
              <w:right w:w="13" w:type="dxa"/>
            </w:tcMar>
            <w:hideMark/>
          </w:tcPr>
          <w:p w:rsidR="00282739" w:rsidRPr="008E2EBB" w:rsidRDefault="00282739" w:rsidP="003C6043">
            <w:pPr>
              <w:pStyle w:val="Tabletext"/>
              <w:tabs>
                <w:tab w:val="decimal" w:pos="454"/>
              </w:tabs>
              <w:spacing w:before="50" w:after="50"/>
              <w:rPr>
                <w:b/>
              </w:rPr>
            </w:pPr>
            <w:r w:rsidRPr="008E2EBB">
              <w:rPr>
                <w:b/>
              </w:rPr>
              <w:t>5.21</w:t>
            </w:r>
          </w:p>
        </w:tc>
        <w:tc>
          <w:tcPr>
            <w:tcW w:w="375" w:type="pct"/>
            <w:tcBorders>
              <w:top w:val="nil"/>
              <w:left w:val="nil"/>
              <w:bottom w:val="single" w:sz="4" w:space="0" w:color="auto"/>
              <w:right w:val="nil"/>
            </w:tcBorders>
            <w:shd w:val="clear" w:color="auto" w:fill="auto"/>
            <w:noWrap/>
            <w:tcMar>
              <w:top w:w="13" w:type="dxa"/>
              <w:left w:w="13" w:type="dxa"/>
              <w:bottom w:w="0" w:type="dxa"/>
              <w:right w:w="13" w:type="dxa"/>
            </w:tcMar>
            <w:hideMark/>
          </w:tcPr>
          <w:p w:rsidR="00282739" w:rsidRPr="008E2EBB" w:rsidRDefault="00282739" w:rsidP="003C6043">
            <w:pPr>
              <w:pStyle w:val="Tabletext"/>
              <w:tabs>
                <w:tab w:val="decimal" w:pos="454"/>
              </w:tabs>
              <w:spacing w:before="50" w:after="50"/>
              <w:rPr>
                <w:b/>
              </w:rPr>
            </w:pPr>
            <w:r w:rsidRPr="008E2EBB">
              <w:rPr>
                <w:b/>
              </w:rPr>
              <w:t>3.61</w:t>
            </w:r>
          </w:p>
        </w:tc>
        <w:tc>
          <w:tcPr>
            <w:tcW w:w="414" w:type="pct"/>
            <w:tcBorders>
              <w:top w:val="nil"/>
              <w:left w:val="nil"/>
              <w:bottom w:val="single" w:sz="4" w:space="0" w:color="auto"/>
              <w:right w:val="nil"/>
            </w:tcBorders>
            <w:shd w:val="clear" w:color="auto" w:fill="auto"/>
            <w:noWrap/>
            <w:tcMar>
              <w:top w:w="13" w:type="dxa"/>
              <w:left w:w="13" w:type="dxa"/>
              <w:bottom w:w="0" w:type="dxa"/>
              <w:right w:w="13" w:type="dxa"/>
            </w:tcMar>
            <w:hideMark/>
          </w:tcPr>
          <w:p w:rsidR="00282739" w:rsidRPr="008E2EBB" w:rsidRDefault="00282739" w:rsidP="003C6043">
            <w:pPr>
              <w:pStyle w:val="Tabletext"/>
              <w:tabs>
                <w:tab w:val="decimal" w:pos="482"/>
              </w:tabs>
              <w:spacing w:before="50" w:after="50"/>
              <w:rPr>
                <w:b/>
              </w:rPr>
            </w:pPr>
            <w:r w:rsidRPr="008E2EBB">
              <w:rPr>
                <w:b/>
              </w:rPr>
              <w:t>2.36</w:t>
            </w:r>
          </w:p>
        </w:tc>
        <w:tc>
          <w:tcPr>
            <w:tcW w:w="375" w:type="pct"/>
            <w:tcBorders>
              <w:top w:val="nil"/>
              <w:left w:val="nil"/>
              <w:bottom w:val="single" w:sz="4" w:space="0" w:color="auto"/>
              <w:right w:val="nil"/>
            </w:tcBorders>
            <w:shd w:val="clear" w:color="auto" w:fill="auto"/>
            <w:noWrap/>
            <w:tcMar>
              <w:top w:w="13" w:type="dxa"/>
              <w:left w:w="13" w:type="dxa"/>
              <w:bottom w:w="0" w:type="dxa"/>
              <w:right w:w="13" w:type="dxa"/>
            </w:tcMar>
            <w:hideMark/>
          </w:tcPr>
          <w:p w:rsidR="00282739" w:rsidRPr="008E2EBB" w:rsidRDefault="00282739" w:rsidP="003C6043">
            <w:pPr>
              <w:pStyle w:val="Tabletext"/>
              <w:tabs>
                <w:tab w:val="decimal" w:pos="454"/>
              </w:tabs>
              <w:spacing w:before="50" w:after="50"/>
              <w:rPr>
                <w:b/>
              </w:rPr>
            </w:pPr>
            <w:r w:rsidRPr="008E2EBB">
              <w:rPr>
                <w:b/>
              </w:rPr>
              <w:t>19.00</w:t>
            </w:r>
          </w:p>
        </w:tc>
        <w:tc>
          <w:tcPr>
            <w:tcW w:w="375" w:type="pct"/>
            <w:tcBorders>
              <w:top w:val="nil"/>
              <w:left w:val="nil"/>
              <w:bottom w:val="single" w:sz="4" w:space="0" w:color="auto"/>
              <w:right w:val="nil"/>
            </w:tcBorders>
            <w:shd w:val="clear" w:color="auto" w:fill="auto"/>
            <w:noWrap/>
            <w:tcMar>
              <w:top w:w="13" w:type="dxa"/>
              <w:left w:w="13" w:type="dxa"/>
              <w:bottom w:w="0" w:type="dxa"/>
              <w:right w:w="13" w:type="dxa"/>
            </w:tcMar>
            <w:hideMark/>
          </w:tcPr>
          <w:p w:rsidR="00282739" w:rsidRPr="008E2EBB" w:rsidRDefault="00282739" w:rsidP="003C6043">
            <w:pPr>
              <w:pStyle w:val="Tabletext"/>
              <w:tabs>
                <w:tab w:val="decimal" w:pos="454"/>
              </w:tabs>
              <w:spacing w:before="50" w:after="50"/>
              <w:rPr>
                <w:b/>
              </w:rPr>
            </w:pPr>
            <w:r w:rsidRPr="008E2EBB">
              <w:rPr>
                <w:b/>
              </w:rPr>
              <w:t>6.70</w:t>
            </w:r>
          </w:p>
        </w:tc>
        <w:tc>
          <w:tcPr>
            <w:tcW w:w="375" w:type="pct"/>
            <w:tcBorders>
              <w:top w:val="nil"/>
              <w:left w:val="nil"/>
              <w:bottom w:val="single" w:sz="4" w:space="0" w:color="auto"/>
              <w:right w:val="nil"/>
            </w:tcBorders>
            <w:shd w:val="clear" w:color="auto" w:fill="auto"/>
            <w:noWrap/>
            <w:tcMar>
              <w:top w:w="13" w:type="dxa"/>
              <w:left w:w="13" w:type="dxa"/>
              <w:bottom w:w="0" w:type="dxa"/>
              <w:right w:w="13" w:type="dxa"/>
            </w:tcMar>
            <w:hideMark/>
          </w:tcPr>
          <w:p w:rsidR="00282739" w:rsidRPr="008E2EBB" w:rsidRDefault="00282739" w:rsidP="003C6043">
            <w:pPr>
              <w:pStyle w:val="Tabletext"/>
              <w:tabs>
                <w:tab w:val="decimal" w:pos="454"/>
              </w:tabs>
              <w:spacing w:before="50" w:after="50"/>
              <w:rPr>
                <w:b/>
              </w:rPr>
            </w:pPr>
            <w:r w:rsidRPr="008E2EBB">
              <w:rPr>
                <w:b/>
              </w:rPr>
              <w:t>15.80</w:t>
            </w:r>
          </w:p>
        </w:tc>
        <w:tc>
          <w:tcPr>
            <w:tcW w:w="375" w:type="pct"/>
            <w:tcBorders>
              <w:top w:val="nil"/>
              <w:left w:val="nil"/>
              <w:bottom w:val="single" w:sz="4" w:space="0" w:color="auto"/>
              <w:right w:val="nil"/>
            </w:tcBorders>
            <w:shd w:val="clear" w:color="auto" w:fill="auto"/>
            <w:noWrap/>
            <w:tcMar>
              <w:top w:w="13" w:type="dxa"/>
              <w:left w:w="13" w:type="dxa"/>
              <w:bottom w:w="0" w:type="dxa"/>
              <w:right w:w="13" w:type="dxa"/>
            </w:tcMar>
            <w:hideMark/>
          </w:tcPr>
          <w:p w:rsidR="00282739" w:rsidRPr="008E2EBB" w:rsidRDefault="00282739" w:rsidP="003C6043">
            <w:pPr>
              <w:pStyle w:val="Tabletext"/>
              <w:tabs>
                <w:tab w:val="decimal" w:pos="454"/>
              </w:tabs>
              <w:spacing w:before="50" w:after="50"/>
              <w:rPr>
                <w:b/>
              </w:rPr>
            </w:pPr>
            <w:r w:rsidRPr="008E2EBB">
              <w:rPr>
                <w:b/>
              </w:rPr>
              <w:t>21.65</w:t>
            </w:r>
          </w:p>
        </w:tc>
        <w:tc>
          <w:tcPr>
            <w:tcW w:w="375" w:type="pct"/>
            <w:tcBorders>
              <w:top w:val="nil"/>
              <w:left w:val="nil"/>
              <w:bottom w:val="single" w:sz="4" w:space="0" w:color="auto"/>
              <w:right w:val="nil"/>
            </w:tcBorders>
            <w:shd w:val="clear" w:color="auto" w:fill="auto"/>
            <w:noWrap/>
            <w:tcMar>
              <w:top w:w="13" w:type="dxa"/>
              <w:left w:w="13" w:type="dxa"/>
              <w:bottom w:w="0" w:type="dxa"/>
              <w:right w:w="13" w:type="dxa"/>
            </w:tcMar>
            <w:hideMark/>
          </w:tcPr>
          <w:p w:rsidR="00282739" w:rsidRPr="008E2EBB" w:rsidRDefault="00282739" w:rsidP="003C6043">
            <w:pPr>
              <w:pStyle w:val="Tabletext"/>
              <w:tabs>
                <w:tab w:val="decimal" w:pos="454"/>
              </w:tabs>
              <w:spacing w:before="50" w:after="50"/>
              <w:rPr>
                <w:b/>
              </w:rPr>
            </w:pPr>
            <w:r w:rsidRPr="008E2EBB">
              <w:rPr>
                <w:b/>
              </w:rPr>
              <w:t>12.46</w:t>
            </w:r>
          </w:p>
        </w:tc>
        <w:tc>
          <w:tcPr>
            <w:tcW w:w="367" w:type="pct"/>
            <w:tcBorders>
              <w:top w:val="nil"/>
              <w:left w:val="nil"/>
              <w:bottom w:val="single" w:sz="4" w:space="0" w:color="auto"/>
              <w:right w:val="nil"/>
            </w:tcBorders>
            <w:shd w:val="clear" w:color="auto" w:fill="auto"/>
            <w:noWrap/>
            <w:tcMar>
              <w:top w:w="13" w:type="dxa"/>
              <w:left w:w="13" w:type="dxa"/>
              <w:bottom w:w="0" w:type="dxa"/>
              <w:right w:w="13" w:type="dxa"/>
            </w:tcMar>
            <w:hideMark/>
          </w:tcPr>
          <w:p w:rsidR="00282739" w:rsidRPr="008E2EBB" w:rsidRDefault="00282739" w:rsidP="003C6043">
            <w:pPr>
              <w:pStyle w:val="Tabletext"/>
              <w:tabs>
                <w:tab w:val="decimal" w:pos="454"/>
              </w:tabs>
              <w:spacing w:before="50" w:after="50"/>
              <w:rPr>
                <w:b/>
              </w:rPr>
            </w:pPr>
            <w:r w:rsidRPr="008E2EBB">
              <w:rPr>
                <w:b/>
              </w:rPr>
              <w:t>0.52</w:t>
            </w:r>
          </w:p>
        </w:tc>
      </w:tr>
    </w:tbl>
    <w:p w:rsidR="00282739" w:rsidRDefault="00282739" w:rsidP="00282739">
      <w:pPr>
        <w:pStyle w:val="Source"/>
      </w:pPr>
      <w:r w:rsidRPr="009814AC">
        <w:t>Sources:</w:t>
      </w:r>
      <w:r>
        <w:tab/>
        <w:t xml:space="preserve">VCAA database; </w:t>
      </w:r>
      <w:r w:rsidRPr="009814AC">
        <w:t>VCE-VTAC data, ABS data</w:t>
      </w:r>
      <w:r>
        <w:t>.</w:t>
      </w:r>
    </w:p>
    <w:p w:rsidR="00282739" w:rsidRDefault="00282739" w:rsidP="00282739">
      <w:pPr>
        <w:spacing w:before="0" w:line="240" w:lineRule="auto"/>
        <w:rPr>
          <w:rFonts w:ascii="Arial" w:hAnsi="Arial"/>
          <w:sz w:val="15"/>
        </w:rPr>
      </w:pPr>
      <w:r>
        <w:br w:type="page"/>
      </w:r>
    </w:p>
    <w:p w:rsidR="00282739" w:rsidRDefault="00282739" w:rsidP="00282739">
      <w:pPr>
        <w:pStyle w:val="tabletitle"/>
      </w:pPr>
      <w:bookmarkStart w:id="47" w:name="_Toc402794978"/>
      <w:r>
        <w:rPr>
          <w:lang w:val="en-GB"/>
        </w:rPr>
        <w:lastRenderedPageBreak/>
        <w:t>Table 5</w:t>
      </w:r>
      <w:r>
        <w:rPr>
          <w:lang w:val="en-GB"/>
        </w:rPr>
        <w:tab/>
        <w:t>Mean values of selected student characteristics</w:t>
      </w:r>
      <w:bookmarkEnd w:id="47"/>
      <w:r>
        <w:rPr>
          <w:lang w:val="en-GB"/>
        </w:rPr>
        <w:t xml:space="preserve"> </w:t>
      </w:r>
    </w:p>
    <w:tbl>
      <w:tblPr>
        <w:tblW w:w="14288" w:type="dxa"/>
        <w:tblLayout w:type="fixed"/>
        <w:tblCellMar>
          <w:left w:w="0" w:type="dxa"/>
          <w:right w:w="0" w:type="dxa"/>
        </w:tblCellMar>
        <w:tblLook w:val="04A0" w:firstRow="1" w:lastRow="0" w:firstColumn="1" w:lastColumn="0" w:noHBand="0" w:noVBand="1"/>
      </w:tblPr>
      <w:tblGrid>
        <w:gridCol w:w="2853"/>
        <w:gridCol w:w="1430"/>
        <w:gridCol w:w="1430"/>
        <w:gridCol w:w="1430"/>
        <w:gridCol w:w="1429"/>
        <w:gridCol w:w="1429"/>
        <w:gridCol w:w="1429"/>
        <w:gridCol w:w="1429"/>
        <w:gridCol w:w="1429"/>
      </w:tblGrid>
      <w:tr w:rsidR="00282739" w:rsidRPr="00B76F6A" w:rsidTr="003C6043">
        <w:tc>
          <w:tcPr>
            <w:tcW w:w="997" w:type="pct"/>
            <w:tcBorders>
              <w:top w:val="single" w:sz="4" w:space="0" w:color="auto"/>
              <w:left w:val="nil"/>
              <w:bottom w:val="single" w:sz="8" w:space="0" w:color="auto"/>
              <w:right w:val="nil"/>
            </w:tcBorders>
            <w:shd w:val="clear" w:color="000000" w:fill="FFFFFF"/>
            <w:noWrap/>
            <w:tcMar>
              <w:top w:w="14" w:type="dxa"/>
              <w:left w:w="14" w:type="dxa"/>
              <w:bottom w:w="0" w:type="dxa"/>
              <w:right w:w="14" w:type="dxa"/>
            </w:tcMar>
            <w:hideMark/>
          </w:tcPr>
          <w:p w:rsidR="00282739" w:rsidRPr="00B76F6A" w:rsidRDefault="00282739" w:rsidP="003C6043">
            <w:pPr>
              <w:pStyle w:val="Tablehead1"/>
            </w:pPr>
            <w:r w:rsidRPr="00B76F6A">
              <w:t>Subjects</w:t>
            </w:r>
          </w:p>
        </w:tc>
        <w:tc>
          <w:tcPr>
            <w:tcW w:w="500" w:type="pct"/>
            <w:tcBorders>
              <w:top w:val="single" w:sz="4" w:space="0" w:color="auto"/>
              <w:left w:val="nil"/>
              <w:bottom w:val="single" w:sz="8" w:space="0" w:color="auto"/>
              <w:right w:val="nil"/>
            </w:tcBorders>
            <w:shd w:val="clear" w:color="000000" w:fill="FFFFFF"/>
            <w:tcMar>
              <w:top w:w="14" w:type="dxa"/>
              <w:left w:w="14" w:type="dxa"/>
              <w:bottom w:w="0" w:type="dxa"/>
              <w:right w:w="14" w:type="dxa"/>
            </w:tcMar>
            <w:hideMark/>
          </w:tcPr>
          <w:p w:rsidR="00282739" w:rsidRPr="00B76F6A" w:rsidRDefault="00282739" w:rsidP="003C6043">
            <w:pPr>
              <w:pStyle w:val="Tablehead1"/>
              <w:jc w:val="center"/>
            </w:pPr>
            <w:r w:rsidRPr="00B76F6A">
              <w:t>Males (%)</w:t>
            </w:r>
          </w:p>
        </w:tc>
        <w:tc>
          <w:tcPr>
            <w:tcW w:w="500" w:type="pct"/>
            <w:tcBorders>
              <w:top w:val="single" w:sz="4" w:space="0" w:color="auto"/>
              <w:left w:val="nil"/>
              <w:bottom w:val="single" w:sz="8" w:space="0" w:color="auto"/>
              <w:right w:val="nil"/>
            </w:tcBorders>
            <w:shd w:val="clear" w:color="000000" w:fill="FFFFFF"/>
            <w:tcMar>
              <w:top w:w="14" w:type="dxa"/>
              <w:left w:w="14" w:type="dxa"/>
              <w:bottom w:w="0" w:type="dxa"/>
              <w:right w:w="14" w:type="dxa"/>
            </w:tcMar>
            <w:hideMark/>
          </w:tcPr>
          <w:p w:rsidR="00282739" w:rsidRPr="00B76F6A" w:rsidRDefault="00282739" w:rsidP="003C6043">
            <w:pPr>
              <w:pStyle w:val="Tablehead1"/>
              <w:jc w:val="center"/>
            </w:pPr>
            <w:r w:rsidRPr="00B76F6A">
              <w:t>At least one parent with a bachelor degree (%)</w:t>
            </w:r>
          </w:p>
        </w:tc>
        <w:tc>
          <w:tcPr>
            <w:tcW w:w="500" w:type="pct"/>
            <w:tcBorders>
              <w:top w:val="single" w:sz="4" w:space="0" w:color="auto"/>
              <w:left w:val="nil"/>
              <w:bottom w:val="single" w:sz="8" w:space="0" w:color="auto"/>
              <w:right w:val="nil"/>
            </w:tcBorders>
            <w:shd w:val="clear" w:color="000000" w:fill="FFFFFF"/>
            <w:tcMar>
              <w:top w:w="14" w:type="dxa"/>
              <w:left w:w="14" w:type="dxa"/>
              <w:bottom w:w="0" w:type="dxa"/>
              <w:right w:w="14" w:type="dxa"/>
            </w:tcMar>
            <w:hideMark/>
          </w:tcPr>
          <w:p w:rsidR="00282739" w:rsidRPr="00B76F6A" w:rsidRDefault="00282739" w:rsidP="003C6043">
            <w:pPr>
              <w:pStyle w:val="Tablehead1"/>
              <w:jc w:val="center"/>
            </w:pPr>
            <w:r w:rsidRPr="00B76F6A">
              <w:t xml:space="preserve">NAPLAN </w:t>
            </w:r>
            <w:r>
              <w:br/>
            </w:r>
            <w:r w:rsidRPr="00B76F6A">
              <w:t xml:space="preserve">reading score </w:t>
            </w:r>
            <w:r>
              <w:br/>
            </w:r>
            <w:r w:rsidRPr="00B76F6A">
              <w:t>in Year 9</w:t>
            </w:r>
            <w:r>
              <w:br/>
            </w:r>
            <w:r w:rsidRPr="00B76F6A">
              <w:t>(out of 874)</w:t>
            </w:r>
          </w:p>
        </w:tc>
        <w:tc>
          <w:tcPr>
            <w:tcW w:w="500" w:type="pct"/>
            <w:tcBorders>
              <w:top w:val="single" w:sz="4" w:space="0" w:color="auto"/>
              <w:left w:val="nil"/>
              <w:bottom w:val="single" w:sz="8" w:space="0" w:color="auto"/>
              <w:right w:val="nil"/>
            </w:tcBorders>
            <w:shd w:val="clear" w:color="000000" w:fill="FFFFFF"/>
            <w:tcMar>
              <w:top w:w="14" w:type="dxa"/>
              <w:left w:w="14" w:type="dxa"/>
              <w:bottom w:w="0" w:type="dxa"/>
              <w:right w:w="14" w:type="dxa"/>
            </w:tcMar>
            <w:hideMark/>
          </w:tcPr>
          <w:p w:rsidR="00282739" w:rsidRPr="00B76F6A" w:rsidRDefault="00282739" w:rsidP="003C6043">
            <w:pPr>
              <w:pStyle w:val="Tablehead1"/>
              <w:jc w:val="center"/>
            </w:pPr>
            <w:r w:rsidRPr="00B76F6A">
              <w:t>Peer NAPLAN reading score</w:t>
            </w:r>
            <w:r>
              <w:br/>
            </w:r>
            <w:r w:rsidRPr="00B76F6A">
              <w:t>(out of 735)</w:t>
            </w:r>
          </w:p>
        </w:tc>
        <w:tc>
          <w:tcPr>
            <w:tcW w:w="500" w:type="pct"/>
            <w:tcBorders>
              <w:top w:val="single" w:sz="4" w:space="0" w:color="auto"/>
              <w:left w:val="nil"/>
              <w:bottom w:val="single" w:sz="8" w:space="0" w:color="auto"/>
              <w:right w:val="nil"/>
            </w:tcBorders>
            <w:shd w:val="clear" w:color="000000" w:fill="FFFFFF"/>
            <w:tcMar>
              <w:top w:w="14" w:type="dxa"/>
              <w:left w:w="14" w:type="dxa"/>
              <w:bottom w:w="0" w:type="dxa"/>
              <w:right w:w="14" w:type="dxa"/>
            </w:tcMar>
            <w:hideMark/>
          </w:tcPr>
          <w:p w:rsidR="00282739" w:rsidRPr="00B76F6A" w:rsidRDefault="00282739" w:rsidP="003C6043">
            <w:pPr>
              <w:pStyle w:val="Tablehead1"/>
              <w:jc w:val="center"/>
            </w:pPr>
            <w:r w:rsidRPr="00B76F6A">
              <w:t>Government school (%)</w:t>
            </w:r>
          </w:p>
        </w:tc>
        <w:tc>
          <w:tcPr>
            <w:tcW w:w="500" w:type="pct"/>
            <w:tcBorders>
              <w:top w:val="single" w:sz="4" w:space="0" w:color="auto"/>
              <w:left w:val="nil"/>
              <w:bottom w:val="single" w:sz="8" w:space="0" w:color="auto"/>
              <w:right w:val="nil"/>
            </w:tcBorders>
            <w:shd w:val="clear" w:color="000000" w:fill="FFFFFF"/>
            <w:tcMar>
              <w:top w:w="14" w:type="dxa"/>
              <w:left w:w="14" w:type="dxa"/>
              <w:bottom w:w="0" w:type="dxa"/>
              <w:right w:w="14" w:type="dxa"/>
            </w:tcMar>
            <w:hideMark/>
          </w:tcPr>
          <w:p w:rsidR="00282739" w:rsidRPr="00B76F6A" w:rsidRDefault="00282739" w:rsidP="003C6043">
            <w:pPr>
              <w:pStyle w:val="Tablehead1"/>
              <w:jc w:val="center"/>
            </w:pPr>
            <w:r w:rsidRPr="00B76F6A">
              <w:t>First</w:t>
            </w:r>
            <w:r>
              <w:br/>
            </w:r>
            <w:r w:rsidRPr="00B76F6A">
              <w:t xml:space="preserve">preference </w:t>
            </w:r>
            <w:r w:rsidRPr="00B76F6A">
              <w:br/>
              <w:t>2010 cut-off (ATAR)</w:t>
            </w:r>
          </w:p>
        </w:tc>
        <w:tc>
          <w:tcPr>
            <w:tcW w:w="500" w:type="pct"/>
            <w:tcBorders>
              <w:top w:val="single" w:sz="4" w:space="0" w:color="auto"/>
              <w:left w:val="nil"/>
              <w:bottom w:val="single" w:sz="8" w:space="0" w:color="auto"/>
              <w:right w:val="nil"/>
            </w:tcBorders>
            <w:shd w:val="clear" w:color="000000" w:fill="FFFFFF"/>
            <w:tcMar>
              <w:top w:w="14" w:type="dxa"/>
              <w:left w:w="14" w:type="dxa"/>
              <w:bottom w:w="0" w:type="dxa"/>
              <w:right w:w="14" w:type="dxa"/>
            </w:tcMar>
            <w:hideMark/>
          </w:tcPr>
          <w:p w:rsidR="00282739" w:rsidRPr="00B76F6A" w:rsidRDefault="00282739" w:rsidP="003C6043">
            <w:pPr>
              <w:pStyle w:val="Tablehead1"/>
              <w:jc w:val="center"/>
            </w:pPr>
            <w:r w:rsidRPr="00B76F6A">
              <w:t xml:space="preserve">Number of </w:t>
            </w:r>
            <w:r w:rsidRPr="00B76F6A">
              <w:br/>
              <w:t xml:space="preserve">Year 12 </w:t>
            </w:r>
            <w:r>
              <w:br/>
            </w:r>
            <w:r w:rsidRPr="00B76F6A">
              <w:t>students in school</w:t>
            </w:r>
          </w:p>
        </w:tc>
        <w:tc>
          <w:tcPr>
            <w:tcW w:w="500" w:type="pct"/>
            <w:tcBorders>
              <w:top w:val="single" w:sz="4" w:space="0" w:color="auto"/>
              <w:left w:val="nil"/>
              <w:bottom w:val="single" w:sz="8" w:space="0" w:color="auto"/>
              <w:right w:val="nil"/>
            </w:tcBorders>
            <w:shd w:val="clear" w:color="000000" w:fill="FFFFFF"/>
            <w:tcMar>
              <w:top w:w="14" w:type="dxa"/>
              <w:left w:w="14" w:type="dxa"/>
              <w:bottom w:w="0" w:type="dxa"/>
              <w:right w:w="14" w:type="dxa"/>
            </w:tcMar>
            <w:hideMark/>
          </w:tcPr>
          <w:p w:rsidR="00282739" w:rsidRPr="00B76F6A" w:rsidRDefault="00282739" w:rsidP="003C6043">
            <w:pPr>
              <w:pStyle w:val="Tablehead1"/>
              <w:jc w:val="center"/>
            </w:pPr>
            <w:r w:rsidRPr="00B76F6A">
              <w:t xml:space="preserve">Non-English speaking background </w:t>
            </w:r>
            <w:r>
              <w:br/>
            </w:r>
            <w:r w:rsidRPr="00B76F6A">
              <w:t>(%)</w:t>
            </w:r>
          </w:p>
        </w:tc>
      </w:tr>
      <w:tr w:rsidR="00282739" w:rsidTr="003C6043">
        <w:tc>
          <w:tcPr>
            <w:tcW w:w="997"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spacing w:before="70" w:after="70"/>
            </w:pPr>
            <w:r>
              <w:rPr>
                <w:lang w:val="en-US"/>
              </w:rPr>
              <w:t>Business</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11.90</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14.29</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556.28</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588.39</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Pr="00650EF3" w:rsidRDefault="00282739" w:rsidP="003C6043">
            <w:pPr>
              <w:pStyle w:val="Tabletext"/>
              <w:tabs>
                <w:tab w:val="decimal" w:pos="624"/>
              </w:tabs>
              <w:spacing w:before="70" w:after="70"/>
            </w:pPr>
            <w:r w:rsidRPr="00650EF3">
              <w:rPr>
                <w:lang w:val="en-US"/>
              </w:rPr>
              <w:t>52.38</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Pr="00650EF3" w:rsidRDefault="00282739" w:rsidP="003C6043">
            <w:pPr>
              <w:pStyle w:val="Tabletext"/>
              <w:tabs>
                <w:tab w:val="decimal" w:pos="624"/>
              </w:tabs>
              <w:spacing w:before="70" w:after="70"/>
            </w:pPr>
            <w:r w:rsidRPr="00650EF3">
              <w:rPr>
                <w:lang w:val="en-US"/>
              </w:rPr>
              <w:t>70.12</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851"/>
              </w:tabs>
              <w:spacing w:before="70" w:after="70"/>
            </w:pPr>
            <w:r>
              <w:rPr>
                <w:lang w:val="en-US"/>
              </w:rPr>
              <w:t>193</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39.52</w:t>
            </w:r>
          </w:p>
        </w:tc>
      </w:tr>
      <w:tr w:rsidR="00282739" w:rsidTr="003C6043">
        <w:tc>
          <w:tcPr>
            <w:tcW w:w="997"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spacing w:before="70" w:after="70"/>
            </w:pPr>
            <w:r>
              <w:rPr>
                <w:lang w:val="en-US"/>
              </w:rPr>
              <w:t>Community recreation</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67.56</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18.69</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569.22</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589.09</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Pr="00650EF3" w:rsidRDefault="00282739" w:rsidP="003C6043">
            <w:pPr>
              <w:pStyle w:val="Tabletext"/>
              <w:tabs>
                <w:tab w:val="decimal" w:pos="624"/>
              </w:tabs>
              <w:spacing w:before="70" w:after="70"/>
            </w:pPr>
            <w:r w:rsidRPr="00650EF3">
              <w:rPr>
                <w:lang w:val="en-US"/>
              </w:rPr>
              <w:t>43.94</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Pr="00650EF3" w:rsidRDefault="00282739" w:rsidP="003C6043">
            <w:pPr>
              <w:pStyle w:val="Tabletext"/>
              <w:tabs>
                <w:tab w:val="decimal" w:pos="624"/>
              </w:tabs>
              <w:spacing w:before="70" w:after="70"/>
            </w:pPr>
            <w:r w:rsidRPr="00650EF3">
              <w:rPr>
                <w:lang w:val="en-US"/>
              </w:rPr>
              <w:t>70.85</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851"/>
              </w:tabs>
              <w:spacing w:before="70" w:after="70"/>
            </w:pPr>
            <w:r>
              <w:rPr>
                <w:lang w:val="en-US"/>
              </w:rPr>
              <w:t>223</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25.46</w:t>
            </w:r>
          </w:p>
        </w:tc>
      </w:tr>
      <w:tr w:rsidR="00282739" w:rsidTr="003C6043">
        <w:tc>
          <w:tcPr>
            <w:tcW w:w="997"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spacing w:before="70" w:after="70"/>
            </w:pPr>
            <w:r>
              <w:rPr>
                <w:lang w:val="en-US"/>
              </w:rPr>
              <w:t>Community services</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4.31</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11.96</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558.81</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587.97</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Pr="00650EF3" w:rsidRDefault="00282739" w:rsidP="003C6043">
            <w:pPr>
              <w:pStyle w:val="Tabletext"/>
              <w:tabs>
                <w:tab w:val="decimal" w:pos="624"/>
              </w:tabs>
              <w:spacing w:before="70" w:after="70"/>
            </w:pPr>
            <w:r w:rsidRPr="00650EF3">
              <w:rPr>
                <w:lang w:val="en-US"/>
              </w:rPr>
              <w:t>26.79</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Pr="00650EF3" w:rsidRDefault="00282739" w:rsidP="003C6043">
            <w:pPr>
              <w:pStyle w:val="Tabletext"/>
              <w:tabs>
                <w:tab w:val="decimal" w:pos="624"/>
              </w:tabs>
              <w:spacing w:before="70" w:after="70"/>
            </w:pPr>
            <w:r w:rsidRPr="00650EF3">
              <w:rPr>
                <w:lang w:val="en-US"/>
              </w:rPr>
              <w:t>70.44</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851"/>
              </w:tabs>
              <w:spacing w:before="70" w:after="70"/>
            </w:pPr>
            <w:r>
              <w:rPr>
                <w:lang w:val="en-US"/>
              </w:rPr>
              <w:t>210</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12.92</w:t>
            </w:r>
          </w:p>
        </w:tc>
      </w:tr>
      <w:tr w:rsidR="00282739" w:rsidTr="003C6043">
        <w:tc>
          <w:tcPr>
            <w:tcW w:w="997"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spacing w:before="70" w:after="70"/>
            </w:pPr>
            <w:r>
              <w:rPr>
                <w:lang w:val="en-US"/>
              </w:rPr>
              <w:t>Dance</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20.00</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22.86</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593.96</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597.39</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Pr="00650EF3" w:rsidRDefault="00282739" w:rsidP="003C6043">
            <w:pPr>
              <w:pStyle w:val="Tabletext"/>
              <w:tabs>
                <w:tab w:val="decimal" w:pos="624"/>
              </w:tabs>
              <w:spacing w:before="70" w:after="70"/>
            </w:pPr>
            <w:r w:rsidRPr="00650EF3">
              <w:rPr>
                <w:lang w:val="en-US"/>
              </w:rPr>
              <w:t>22.86</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Pr="00650EF3" w:rsidRDefault="00282739" w:rsidP="003C6043">
            <w:pPr>
              <w:pStyle w:val="Tabletext"/>
              <w:tabs>
                <w:tab w:val="decimal" w:pos="624"/>
              </w:tabs>
              <w:spacing w:before="70" w:after="70"/>
            </w:pPr>
            <w:r w:rsidRPr="00650EF3">
              <w:rPr>
                <w:lang w:val="en-US"/>
              </w:rPr>
              <w:t>75.86</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851"/>
              </w:tabs>
              <w:spacing w:before="70" w:after="70"/>
            </w:pPr>
            <w:r>
              <w:rPr>
                <w:lang w:val="en-US"/>
              </w:rPr>
              <w:t>190</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15.71</w:t>
            </w:r>
          </w:p>
        </w:tc>
      </w:tr>
      <w:tr w:rsidR="00282739" w:rsidTr="003C6043">
        <w:tc>
          <w:tcPr>
            <w:tcW w:w="997"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spacing w:before="70" w:after="70"/>
            </w:pPr>
            <w:r>
              <w:rPr>
                <w:lang w:val="en-US"/>
              </w:rPr>
              <w:t>Electrotechnology</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96.97</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15.15</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574.18</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583.52</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Pr="00650EF3" w:rsidRDefault="00282739" w:rsidP="003C6043">
            <w:pPr>
              <w:pStyle w:val="Tabletext"/>
              <w:tabs>
                <w:tab w:val="decimal" w:pos="624"/>
              </w:tabs>
              <w:spacing w:before="70" w:after="70"/>
            </w:pPr>
            <w:r w:rsidRPr="00650EF3">
              <w:rPr>
                <w:lang w:val="en-US"/>
              </w:rPr>
              <w:t>24.24</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Pr="00650EF3" w:rsidRDefault="00282739" w:rsidP="003C6043">
            <w:pPr>
              <w:pStyle w:val="Tabletext"/>
              <w:tabs>
                <w:tab w:val="decimal" w:pos="624"/>
              </w:tabs>
              <w:spacing w:before="70" w:after="70"/>
            </w:pPr>
            <w:r w:rsidRPr="00650EF3">
              <w:rPr>
                <w:lang w:val="en-US"/>
              </w:rPr>
              <w:t>70.23</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851"/>
              </w:tabs>
              <w:spacing w:before="70" w:after="70"/>
            </w:pPr>
            <w:r>
              <w:rPr>
                <w:lang w:val="en-US"/>
              </w:rPr>
              <w:t>255</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33.33</w:t>
            </w:r>
          </w:p>
        </w:tc>
      </w:tr>
      <w:tr w:rsidR="00282739" w:rsidTr="003C6043">
        <w:tc>
          <w:tcPr>
            <w:tcW w:w="997"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spacing w:before="70" w:after="70"/>
            </w:pPr>
            <w:r>
              <w:rPr>
                <w:lang w:val="en-US"/>
              </w:rPr>
              <w:t>Engineering studies</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97.41</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16.38</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578.33</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594.09</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Pr="00650EF3" w:rsidRDefault="00282739" w:rsidP="003C6043">
            <w:pPr>
              <w:pStyle w:val="Tabletext"/>
              <w:tabs>
                <w:tab w:val="decimal" w:pos="624"/>
              </w:tabs>
              <w:spacing w:before="70" w:after="70"/>
            </w:pPr>
            <w:r w:rsidRPr="00650EF3">
              <w:rPr>
                <w:lang w:val="en-US"/>
              </w:rPr>
              <w:t>31.90</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Pr="00650EF3" w:rsidRDefault="00282739" w:rsidP="003C6043">
            <w:pPr>
              <w:pStyle w:val="Tabletext"/>
              <w:tabs>
                <w:tab w:val="decimal" w:pos="624"/>
              </w:tabs>
              <w:spacing w:before="70" w:after="70"/>
            </w:pPr>
            <w:r w:rsidRPr="00650EF3">
              <w:rPr>
                <w:lang w:val="en-US"/>
              </w:rPr>
              <w:t>77.77</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851"/>
              </w:tabs>
              <w:spacing w:before="70" w:after="70"/>
            </w:pPr>
            <w:r>
              <w:rPr>
                <w:lang w:val="en-US"/>
              </w:rPr>
              <w:t>197</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19.83</w:t>
            </w:r>
          </w:p>
        </w:tc>
      </w:tr>
      <w:tr w:rsidR="00282739" w:rsidTr="003C6043">
        <w:tc>
          <w:tcPr>
            <w:tcW w:w="997"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spacing w:before="70" w:after="70"/>
            </w:pPr>
            <w:r>
              <w:rPr>
                <w:lang w:val="en-US"/>
              </w:rPr>
              <w:t>Equine industry</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5.13</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25.64</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599.39</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600.79</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Pr="00650EF3" w:rsidRDefault="00282739" w:rsidP="003C6043">
            <w:pPr>
              <w:pStyle w:val="Tabletext"/>
              <w:tabs>
                <w:tab w:val="decimal" w:pos="624"/>
              </w:tabs>
              <w:spacing w:before="70" w:after="70"/>
            </w:pPr>
            <w:r w:rsidRPr="00650EF3">
              <w:rPr>
                <w:lang w:val="en-US"/>
              </w:rPr>
              <w:t>30.77</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Pr="00650EF3" w:rsidRDefault="00282739" w:rsidP="003C6043">
            <w:pPr>
              <w:pStyle w:val="Tabletext"/>
              <w:tabs>
                <w:tab w:val="decimal" w:pos="624"/>
              </w:tabs>
              <w:spacing w:before="70" w:after="70"/>
            </w:pPr>
            <w:r w:rsidRPr="00650EF3">
              <w:rPr>
                <w:lang w:val="en-US"/>
              </w:rPr>
              <w:t>73.87</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851"/>
              </w:tabs>
              <w:spacing w:before="70" w:after="70"/>
            </w:pPr>
            <w:r>
              <w:rPr>
                <w:lang w:val="en-US"/>
              </w:rPr>
              <w:t>188</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2.56</w:t>
            </w:r>
          </w:p>
        </w:tc>
      </w:tr>
      <w:tr w:rsidR="00282739" w:rsidTr="003C6043">
        <w:tc>
          <w:tcPr>
            <w:tcW w:w="997"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spacing w:before="70" w:after="70"/>
            </w:pPr>
            <w:r>
              <w:rPr>
                <w:lang w:val="en-US"/>
              </w:rPr>
              <w:t>Financial services</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16.67</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16.67</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533.43</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577.44</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Pr="00650EF3" w:rsidRDefault="00282739" w:rsidP="003C6043">
            <w:pPr>
              <w:pStyle w:val="Tabletext"/>
              <w:tabs>
                <w:tab w:val="decimal" w:pos="624"/>
              </w:tabs>
              <w:spacing w:before="70" w:after="70"/>
            </w:pPr>
            <w:r w:rsidRPr="00650EF3">
              <w:rPr>
                <w:lang w:val="en-US"/>
              </w:rPr>
              <w:t>16.67</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Pr="00650EF3" w:rsidRDefault="00282739" w:rsidP="003C6043">
            <w:pPr>
              <w:pStyle w:val="Tabletext"/>
              <w:tabs>
                <w:tab w:val="decimal" w:pos="624"/>
              </w:tabs>
              <w:spacing w:before="70" w:after="70"/>
            </w:pPr>
            <w:r w:rsidRPr="00650EF3">
              <w:rPr>
                <w:lang w:val="en-US"/>
              </w:rPr>
              <w:t>76.40</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851"/>
              </w:tabs>
              <w:spacing w:before="70" w:after="70"/>
            </w:pPr>
            <w:r>
              <w:rPr>
                <w:lang w:val="en-US"/>
              </w:rPr>
              <w:t>145</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50.00</w:t>
            </w:r>
          </w:p>
        </w:tc>
      </w:tr>
      <w:tr w:rsidR="00282739" w:rsidTr="003C6043">
        <w:tc>
          <w:tcPr>
            <w:tcW w:w="997" w:type="pct"/>
            <w:tcBorders>
              <w:top w:val="nil"/>
              <w:left w:val="nil"/>
              <w:bottom w:val="nil"/>
              <w:right w:val="nil"/>
            </w:tcBorders>
            <w:shd w:val="clear" w:color="auto" w:fill="auto"/>
            <w:noWrap/>
            <w:tcMar>
              <w:top w:w="13" w:type="dxa"/>
              <w:left w:w="14" w:type="dxa"/>
              <w:bottom w:w="0" w:type="dxa"/>
              <w:right w:w="14" w:type="dxa"/>
            </w:tcMar>
          </w:tcPr>
          <w:p w:rsidR="00282739" w:rsidRDefault="00282739" w:rsidP="003C6043">
            <w:pPr>
              <w:pStyle w:val="Tabletext"/>
              <w:spacing w:before="70" w:after="70"/>
              <w:rPr>
                <w:lang w:val="en-US"/>
              </w:rPr>
            </w:pPr>
            <w:r>
              <w:rPr>
                <w:lang w:val="en-US"/>
              </w:rPr>
              <w:t>Furnishing</w:t>
            </w:r>
          </w:p>
        </w:tc>
        <w:tc>
          <w:tcPr>
            <w:tcW w:w="500" w:type="pct"/>
            <w:tcBorders>
              <w:top w:val="nil"/>
              <w:left w:val="nil"/>
              <w:bottom w:val="nil"/>
              <w:right w:val="nil"/>
            </w:tcBorders>
            <w:shd w:val="clear" w:color="auto" w:fill="auto"/>
            <w:noWrap/>
            <w:tcMar>
              <w:top w:w="13" w:type="dxa"/>
              <w:left w:w="14" w:type="dxa"/>
              <w:bottom w:w="0" w:type="dxa"/>
              <w:right w:w="14" w:type="dxa"/>
            </w:tcMar>
          </w:tcPr>
          <w:p w:rsidR="00282739" w:rsidRDefault="00282739" w:rsidP="003C6043">
            <w:pPr>
              <w:pStyle w:val="Tabletext"/>
              <w:tabs>
                <w:tab w:val="decimal" w:pos="624"/>
              </w:tabs>
              <w:spacing w:before="70" w:after="70"/>
              <w:rPr>
                <w:lang w:val="en-US"/>
              </w:rPr>
            </w:pPr>
            <w:r>
              <w:rPr>
                <w:lang w:val="en-US"/>
              </w:rPr>
              <w:t>87.50</w:t>
            </w:r>
          </w:p>
        </w:tc>
        <w:tc>
          <w:tcPr>
            <w:tcW w:w="500" w:type="pct"/>
            <w:tcBorders>
              <w:top w:val="nil"/>
              <w:left w:val="nil"/>
              <w:bottom w:val="nil"/>
              <w:right w:val="nil"/>
            </w:tcBorders>
            <w:shd w:val="clear" w:color="auto" w:fill="auto"/>
            <w:noWrap/>
            <w:tcMar>
              <w:top w:w="13" w:type="dxa"/>
              <w:left w:w="14" w:type="dxa"/>
              <w:bottom w:w="0" w:type="dxa"/>
              <w:right w:w="14" w:type="dxa"/>
            </w:tcMar>
          </w:tcPr>
          <w:p w:rsidR="00282739" w:rsidRDefault="00282739" w:rsidP="003C6043">
            <w:pPr>
              <w:pStyle w:val="Tabletext"/>
              <w:tabs>
                <w:tab w:val="decimal" w:pos="624"/>
              </w:tabs>
              <w:spacing w:before="70" w:after="70"/>
              <w:rPr>
                <w:lang w:val="en-US"/>
              </w:rPr>
            </w:pPr>
            <w:r>
              <w:rPr>
                <w:lang w:val="en-US"/>
              </w:rPr>
              <w:t>6.67</w:t>
            </w:r>
          </w:p>
        </w:tc>
        <w:tc>
          <w:tcPr>
            <w:tcW w:w="500" w:type="pct"/>
            <w:tcBorders>
              <w:top w:val="nil"/>
              <w:left w:val="nil"/>
              <w:bottom w:val="nil"/>
              <w:right w:val="nil"/>
            </w:tcBorders>
            <w:shd w:val="clear" w:color="auto" w:fill="auto"/>
            <w:tcMar>
              <w:top w:w="0" w:type="dxa"/>
              <w:left w:w="14" w:type="dxa"/>
              <w:bottom w:w="0" w:type="dxa"/>
              <w:right w:w="14" w:type="dxa"/>
            </w:tcMar>
          </w:tcPr>
          <w:p w:rsidR="00282739" w:rsidRDefault="00282739" w:rsidP="003C6043">
            <w:pPr>
              <w:pStyle w:val="Tabletext"/>
              <w:tabs>
                <w:tab w:val="decimal" w:pos="680"/>
              </w:tabs>
              <w:spacing w:before="70" w:after="70"/>
              <w:rPr>
                <w:lang w:val="en-US"/>
              </w:rPr>
            </w:pPr>
            <w:r>
              <w:rPr>
                <w:lang w:val="en-US"/>
              </w:rPr>
              <w:t>562.34</w:t>
            </w:r>
          </w:p>
        </w:tc>
        <w:tc>
          <w:tcPr>
            <w:tcW w:w="500" w:type="pct"/>
            <w:tcBorders>
              <w:top w:val="nil"/>
              <w:left w:val="nil"/>
              <w:bottom w:val="nil"/>
              <w:right w:val="nil"/>
            </w:tcBorders>
            <w:shd w:val="clear" w:color="auto" w:fill="auto"/>
            <w:tcMar>
              <w:top w:w="0" w:type="dxa"/>
              <w:left w:w="14" w:type="dxa"/>
              <w:bottom w:w="0" w:type="dxa"/>
              <w:right w:w="14" w:type="dxa"/>
            </w:tcMar>
          </w:tcPr>
          <w:p w:rsidR="00282739" w:rsidRDefault="00282739" w:rsidP="003C6043">
            <w:pPr>
              <w:pStyle w:val="Tabletext"/>
              <w:tabs>
                <w:tab w:val="decimal" w:pos="680"/>
              </w:tabs>
              <w:spacing w:before="70" w:after="70"/>
              <w:rPr>
                <w:lang w:val="en-US"/>
              </w:rPr>
            </w:pPr>
            <w:r>
              <w:rPr>
                <w:lang w:val="en-US"/>
              </w:rPr>
              <w:t>585.60</w:t>
            </w:r>
          </w:p>
        </w:tc>
        <w:tc>
          <w:tcPr>
            <w:tcW w:w="500" w:type="pct"/>
            <w:tcBorders>
              <w:top w:val="nil"/>
              <w:left w:val="nil"/>
              <w:bottom w:val="nil"/>
              <w:right w:val="nil"/>
            </w:tcBorders>
            <w:shd w:val="clear" w:color="auto" w:fill="auto"/>
            <w:noWrap/>
            <w:tcMar>
              <w:top w:w="13" w:type="dxa"/>
              <w:left w:w="14" w:type="dxa"/>
              <w:bottom w:w="0" w:type="dxa"/>
              <w:right w:w="14" w:type="dxa"/>
            </w:tcMar>
          </w:tcPr>
          <w:p w:rsidR="00282739" w:rsidRPr="00650EF3" w:rsidRDefault="00282739" w:rsidP="003C6043">
            <w:pPr>
              <w:pStyle w:val="Tabletext"/>
              <w:tabs>
                <w:tab w:val="decimal" w:pos="624"/>
              </w:tabs>
              <w:spacing w:before="70" w:after="70"/>
              <w:rPr>
                <w:lang w:val="en-US"/>
              </w:rPr>
            </w:pPr>
            <w:r>
              <w:rPr>
                <w:lang w:val="en-US"/>
              </w:rPr>
              <w:t>93.75</w:t>
            </w:r>
          </w:p>
        </w:tc>
        <w:tc>
          <w:tcPr>
            <w:tcW w:w="500" w:type="pct"/>
            <w:tcBorders>
              <w:top w:val="nil"/>
              <w:left w:val="nil"/>
              <w:bottom w:val="nil"/>
              <w:right w:val="nil"/>
            </w:tcBorders>
            <w:shd w:val="clear" w:color="auto" w:fill="auto"/>
            <w:tcMar>
              <w:top w:w="0" w:type="dxa"/>
              <w:left w:w="14" w:type="dxa"/>
              <w:bottom w:w="0" w:type="dxa"/>
              <w:right w:w="14" w:type="dxa"/>
            </w:tcMar>
          </w:tcPr>
          <w:p w:rsidR="00282739" w:rsidRPr="00650EF3" w:rsidRDefault="00282739" w:rsidP="003C6043">
            <w:pPr>
              <w:pStyle w:val="Tabletext"/>
              <w:tabs>
                <w:tab w:val="decimal" w:pos="624"/>
              </w:tabs>
              <w:spacing w:before="70" w:after="70"/>
              <w:rPr>
                <w:lang w:val="en-US"/>
              </w:rPr>
            </w:pPr>
            <w:r>
              <w:rPr>
                <w:lang w:val="en-US"/>
              </w:rPr>
              <w:t>69.70</w:t>
            </w:r>
          </w:p>
        </w:tc>
        <w:tc>
          <w:tcPr>
            <w:tcW w:w="500" w:type="pct"/>
            <w:tcBorders>
              <w:top w:val="nil"/>
              <w:left w:val="nil"/>
              <w:bottom w:val="nil"/>
              <w:right w:val="nil"/>
            </w:tcBorders>
            <w:shd w:val="clear" w:color="auto" w:fill="auto"/>
            <w:tcMar>
              <w:top w:w="0" w:type="dxa"/>
              <w:left w:w="14" w:type="dxa"/>
              <w:bottom w:w="0" w:type="dxa"/>
              <w:right w:w="14" w:type="dxa"/>
            </w:tcMar>
          </w:tcPr>
          <w:p w:rsidR="00282739" w:rsidRDefault="00282739" w:rsidP="003C6043">
            <w:pPr>
              <w:pStyle w:val="Tabletext"/>
              <w:tabs>
                <w:tab w:val="decimal" w:pos="851"/>
              </w:tabs>
              <w:spacing w:before="70" w:after="70"/>
              <w:rPr>
                <w:lang w:val="en-US"/>
              </w:rPr>
            </w:pPr>
            <w:r>
              <w:rPr>
                <w:lang w:val="en-US"/>
              </w:rPr>
              <w:t>195</w:t>
            </w:r>
          </w:p>
        </w:tc>
        <w:tc>
          <w:tcPr>
            <w:tcW w:w="500" w:type="pct"/>
            <w:tcBorders>
              <w:top w:val="nil"/>
              <w:left w:val="nil"/>
              <w:bottom w:val="nil"/>
              <w:right w:val="nil"/>
            </w:tcBorders>
            <w:shd w:val="clear" w:color="auto" w:fill="auto"/>
            <w:noWrap/>
            <w:tcMar>
              <w:top w:w="13" w:type="dxa"/>
              <w:left w:w="14" w:type="dxa"/>
              <w:bottom w:w="0" w:type="dxa"/>
              <w:right w:w="14" w:type="dxa"/>
            </w:tcMar>
          </w:tcPr>
          <w:p w:rsidR="00282739" w:rsidRDefault="00282739" w:rsidP="003C6043">
            <w:pPr>
              <w:pStyle w:val="Tabletext"/>
              <w:tabs>
                <w:tab w:val="decimal" w:pos="624"/>
              </w:tabs>
              <w:spacing w:before="70" w:after="70"/>
              <w:rPr>
                <w:lang w:val="en-US"/>
              </w:rPr>
            </w:pPr>
            <w:r>
              <w:rPr>
                <w:lang w:val="en-US"/>
              </w:rPr>
              <w:t>16.67</w:t>
            </w:r>
          </w:p>
        </w:tc>
      </w:tr>
      <w:tr w:rsidR="00282739" w:rsidTr="003C6043">
        <w:tc>
          <w:tcPr>
            <w:tcW w:w="997"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spacing w:before="70" w:after="70"/>
            </w:pPr>
            <w:r>
              <w:rPr>
                <w:lang w:val="en-US"/>
              </w:rPr>
              <w:t>Hospitality</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27.88</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24.54</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570.01</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601.93</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62.08</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24"/>
              </w:tabs>
              <w:spacing w:before="70" w:after="70"/>
            </w:pPr>
            <w:r>
              <w:rPr>
                <w:lang w:val="en-US"/>
              </w:rPr>
              <w:t>73.74</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851"/>
              </w:tabs>
              <w:spacing w:before="70" w:after="70"/>
            </w:pPr>
            <w:r>
              <w:rPr>
                <w:lang w:val="en-US"/>
              </w:rPr>
              <w:t>193</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30.11</w:t>
            </w:r>
          </w:p>
        </w:tc>
      </w:tr>
      <w:tr w:rsidR="00282739" w:rsidTr="003C6043">
        <w:tc>
          <w:tcPr>
            <w:tcW w:w="997"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spacing w:before="70" w:after="70"/>
            </w:pPr>
            <w:r>
              <w:rPr>
                <w:lang w:val="en-US"/>
              </w:rPr>
              <w:t>Hospitaly (kitchen operations)</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38.33</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20.42</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576.21</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594.87</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40.83</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24"/>
              </w:tabs>
              <w:spacing w:before="70" w:after="70"/>
            </w:pPr>
            <w:r>
              <w:rPr>
                <w:lang w:val="en-US"/>
              </w:rPr>
              <w:t>72.21</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851"/>
              </w:tabs>
              <w:spacing w:before="70" w:after="70"/>
            </w:pPr>
            <w:r>
              <w:rPr>
                <w:lang w:val="en-US"/>
              </w:rPr>
              <w:t>201</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26.67</w:t>
            </w:r>
          </w:p>
        </w:tc>
      </w:tr>
      <w:tr w:rsidR="00282739" w:rsidTr="003C6043">
        <w:tc>
          <w:tcPr>
            <w:tcW w:w="997"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spacing w:before="70" w:after="70"/>
            </w:pPr>
            <w:r>
              <w:rPr>
                <w:lang w:val="en-US"/>
              </w:rPr>
              <w:t>Information technology</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92.11</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15.79</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582.79</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578.12</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17.37</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24"/>
              </w:tabs>
              <w:spacing w:before="70" w:after="70"/>
            </w:pPr>
            <w:r>
              <w:rPr>
                <w:lang w:val="en-US"/>
              </w:rPr>
              <w:t>68.24</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851"/>
              </w:tabs>
              <w:spacing w:before="70" w:after="70"/>
            </w:pPr>
            <w:r>
              <w:rPr>
                <w:lang w:val="en-US"/>
              </w:rPr>
              <w:t>217</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44.21</w:t>
            </w:r>
          </w:p>
        </w:tc>
      </w:tr>
      <w:tr w:rsidR="00282739" w:rsidTr="003C6043">
        <w:tc>
          <w:tcPr>
            <w:tcW w:w="997" w:type="pct"/>
            <w:tcBorders>
              <w:top w:val="nil"/>
              <w:left w:val="nil"/>
              <w:bottom w:val="nil"/>
              <w:right w:val="nil"/>
            </w:tcBorders>
            <w:shd w:val="clear" w:color="auto" w:fill="auto"/>
            <w:noWrap/>
            <w:tcMar>
              <w:top w:w="13" w:type="dxa"/>
              <w:left w:w="14" w:type="dxa"/>
              <w:bottom w:w="0" w:type="dxa"/>
              <w:right w:w="14" w:type="dxa"/>
            </w:tcMar>
          </w:tcPr>
          <w:p w:rsidR="00282739" w:rsidRDefault="00282739" w:rsidP="003C6043">
            <w:pPr>
              <w:pStyle w:val="Tabletext"/>
              <w:spacing w:before="70" w:after="70"/>
              <w:rPr>
                <w:lang w:val="en-US"/>
              </w:rPr>
            </w:pPr>
            <w:r>
              <w:rPr>
                <w:lang w:val="en-US"/>
              </w:rPr>
              <w:t>Interactive digital media</w:t>
            </w:r>
          </w:p>
        </w:tc>
        <w:tc>
          <w:tcPr>
            <w:tcW w:w="500" w:type="pct"/>
            <w:tcBorders>
              <w:top w:val="nil"/>
              <w:left w:val="nil"/>
              <w:bottom w:val="nil"/>
              <w:right w:val="nil"/>
            </w:tcBorders>
            <w:shd w:val="clear" w:color="auto" w:fill="auto"/>
            <w:noWrap/>
            <w:tcMar>
              <w:top w:w="13" w:type="dxa"/>
              <w:left w:w="14" w:type="dxa"/>
              <w:bottom w:w="0" w:type="dxa"/>
              <w:right w:w="14" w:type="dxa"/>
            </w:tcMar>
          </w:tcPr>
          <w:p w:rsidR="00282739" w:rsidRDefault="00282739" w:rsidP="003C6043">
            <w:pPr>
              <w:pStyle w:val="Tabletext"/>
              <w:tabs>
                <w:tab w:val="decimal" w:pos="624"/>
              </w:tabs>
              <w:spacing w:before="70" w:after="70"/>
              <w:rPr>
                <w:lang w:val="en-US"/>
              </w:rPr>
            </w:pPr>
            <w:r>
              <w:rPr>
                <w:lang w:val="en-US"/>
              </w:rPr>
              <w:t>65.99</w:t>
            </w:r>
          </w:p>
        </w:tc>
        <w:tc>
          <w:tcPr>
            <w:tcW w:w="500" w:type="pct"/>
            <w:tcBorders>
              <w:top w:val="nil"/>
              <w:left w:val="nil"/>
              <w:bottom w:val="nil"/>
              <w:right w:val="nil"/>
            </w:tcBorders>
            <w:shd w:val="clear" w:color="auto" w:fill="auto"/>
            <w:noWrap/>
            <w:tcMar>
              <w:top w:w="13" w:type="dxa"/>
              <w:left w:w="14" w:type="dxa"/>
              <w:bottom w:w="0" w:type="dxa"/>
              <w:right w:w="14" w:type="dxa"/>
            </w:tcMar>
          </w:tcPr>
          <w:p w:rsidR="00282739" w:rsidRDefault="00282739" w:rsidP="003C6043">
            <w:pPr>
              <w:pStyle w:val="Tabletext"/>
              <w:tabs>
                <w:tab w:val="decimal" w:pos="624"/>
              </w:tabs>
              <w:spacing w:before="70" w:after="70"/>
              <w:rPr>
                <w:lang w:val="en-US"/>
              </w:rPr>
            </w:pPr>
            <w:r>
              <w:rPr>
                <w:lang w:val="en-US"/>
              </w:rPr>
              <w:t>19.58</w:t>
            </w:r>
          </w:p>
        </w:tc>
        <w:tc>
          <w:tcPr>
            <w:tcW w:w="500" w:type="pct"/>
            <w:tcBorders>
              <w:top w:val="nil"/>
              <w:left w:val="nil"/>
              <w:bottom w:val="nil"/>
              <w:right w:val="nil"/>
            </w:tcBorders>
            <w:shd w:val="clear" w:color="auto" w:fill="auto"/>
            <w:tcMar>
              <w:top w:w="0" w:type="dxa"/>
              <w:left w:w="14" w:type="dxa"/>
              <w:bottom w:w="0" w:type="dxa"/>
              <w:right w:w="14" w:type="dxa"/>
            </w:tcMar>
          </w:tcPr>
          <w:p w:rsidR="00282739" w:rsidRDefault="00282739" w:rsidP="003C6043">
            <w:pPr>
              <w:pStyle w:val="Tabletext"/>
              <w:tabs>
                <w:tab w:val="decimal" w:pos="680"/>
              </w:tabs>
              <w:spacing w:before="70" w:after="70"/>
              <w:rPr>
                <w:lang w:val="en-US"/>
              </w:rPr>
            </w:pPr>
            <w:r>
              <w:rPr>
                <w:lang w:val="en-US"/>
              </w:rPr>
              <w:t>595.30</w:t>
            </w:r>
          </w:p>
        </w:tc>
        <w:tc>
          <w:tcPr>
            <w:tcW w:w="500" w:type="pct"/>
            <w:tcBorders>
              <w:top w:val="nil"/>
              <w:left w:val="nil"/>
              <w:bottom w:val="nil"/>
              <w:right w:val="nil"/>
            </w:tcBorders>
            <w:shd w:val="clear" w:color="auto" w:fill="auto"/>
            <w:tcMar>
              <w:top w:w="0" w:type="dxa"/>
              <w:left w:w="14" w:type="dxa"/>
              <w:bottom w:w="0" w:type="dxa"/>
              <w:right w:w="14" w:type="dxa"/>
            </w:tcMar>
          </w:tcPr>
          <w:p w:rsidR="00282739" w:rsidRDefault="00282739" w:rsidP="003C6043">
            <w:pPr>
              <w:pStyle w:val="Tabletext"/>
              <w:tabs>
                <w:tab w:val="decimal" w:pos="680"/>
              </w:tabs>
              <w:spacing w:before="70" w:after="70"/>
              <w:rPr>
                <w:lang w:val="en-US"/>
              </w:rPr>
            </w:pPr>
            <w:r>
              <w:rPr>
                <w:lang w:val="en-US"/>
              </w:rPr>
              <w:t>593.10</w:t>
            </w:r>
          </w:p>
        </w:tc>
        <w:tc>
          <w:tcPr>
            <w:tcW w:w="500" w:type="pct"/>
            <w:tcBorders>
              <w:top w:val="nil"/>
              <w:left w:val="nil"/>
              <w:bottom w:val="nil"/>
              <w:right w:val="nil"/>
            </w:tcBorders>
            <w:shd w:val="clear" w:color="auto" w:fill="auto"/>
            <w:noWrap/>
            <w:tcMar>
              <w:top w:w="13" w:type="dxa"/>
              <w:left w:w="14" w:type="dxa"/>
              <w:bottom w:w="0" w:type="dxa"/>
              <w:right w:w="14" w:type="dxa"/>
            </w:tcMar>
          </w:tcPr>
          <w:p w:rsidR="00282739" w:rsidRDefault="00282739" w:rsidP="003C6043">
            <w:pPr>
              <w:pStyle w:val="Tabletext"/>
              <w:tabs>
                <w:tab w:val="decimal" w:pos="624"/>
              </w:tabs>
              <w:spacing w:before="70" w:after="70"/>
              <w:rPr>
                <w:lang w:val="en-US"/>
              </w:rPr>
            </w:pPr>
            <w:r>
              <w:rPr>
                <w:lang w:val="en-US"/>
              </w:rPr>
              <w:t>47.65</w:t>
            </w:r>
          </w:p>
        </w:tc>
        <w:tc>
          <w:tcPr>
            <w:tcW w:w="500" w:type="pct"/>
            <w:tcBorders>
              <w:top w:val="nil"/>
              <w:left w:val="nil"/>
              <w:bottom w:val="nil"/>
              <w:right w:val="nil"/>
            </w:tcBorders>
            <w:shd w:val="clear" w:color="auto" w:fill="auto"/>
            <w:tcMar>
              <w:top w:w="0" w:type="dxa"/>
              <w:left w:w="14" w:type="dxa"/>
              <w:bottom w:w="0" w:type="dxa"/>
              <w:right w:w="14" w:type="dxa"/>
            </w:tcMar>
          </w:tcPr>
          <w:p w:rsidR="00282739" w:rsidRDefault="00282739" w:rsidP="003C6043">
            <w:pPr>
              <w:pStyle w:val="Tabletext"/>
              <w:tabs>
                <w:tab w:val="decimal" w:pos="624"/>
              </w:tabs>
              <w:spacing w:before="70" w:after="70"/>
              <w:rPr>
                <w:lang w:val="en-US"/>
              </w:rPr>
            </w:pPr>
            <w:r>
              <w:rPr>
                <w:lang w:val="en-US"/>
              </w:rPr>
              <w:t>72.81</w:t>
            </w:r>
          </w:p>
        </w:tc>
        <w:tc>
          <w:tcPr>
            <w:tcW w:w="500" w:type="pct"/>
            <w:tcBorders>
              <w:top w:val="nil"/>
              <w:left w:val="nil"/>
              <w:bottom w:val="nil"/>
              <w:right w:val="nil"/>
            </w:tcBorders>
            <w:shd w:val="clear" w:color="auto" w:fill="auto"/>
            <w:tcMar>
              <w:top w:w="0" w:type="dxa"/>
              <w:left w:w="14" w:type="dxa"/>
              <w:bottom w:w="0" w:type="dxa"/>
              <w:right w:w="14" w:type="dxa"/>
            </w:tcMar>
          </w:tcPr>
          <w:p w:rsidR="00282739" w:rsidRDefault="00282739" w:rsidP="003C6043">
            <w:pPr>
              <w:pStyle w:val="Tabletext"/>
              <w:tabs>
                <w:tab w:val="decimal" w:pos="851"/>
              </w:tabs>
              <w:spacing w:before="70" w:after="70"/>
              <w:rPr>
                <w:lang w:val="en-US"/>
              </w:rPr>
            </w:pPr>
            <w:r>
              <w:rPr>
                <w:lang w:val="en-US"/>
              </w:rPr>
              <w:t>198</w:t>
            </w:r>
          </w:p>
        </w:tc>
        <w:tc>
          <w:tcPr>
            <w:tcW w:w="500" w:type="pct"/>
            <w:tcBorders>
              <w:top w:val="nil"/>
              <w:left w:val="nil"/>
              <w:bottom w:val="nil"/>
              <w:right w:val="nil"/>
            </w:tcBorders>
            <w:shd w:val="clear" w:color="auto" w:fill="auto"/>
            <w:noWrap/>
            <w:tcMar>
              <w:top w:w="13" w:type="dxa"/>
              <w:left w:w="14" w:type="dxa"/>
              <w:bottom w:w="0" w:type="dxa"/>
              <w:right w:w="14" w:type="dxa"/>
            </w:tcMar>
          </w:tcPr>
          <w:p w:rsidR="00282739" w:rsidRDefault="00282739" w:rsidP="003C6043">
            <w:pPr>
              <w:pStyle w:val="Tabletext"/>
              <w:tabs>
                <w:tab w:val="decimal" w:pos="624"/>
              </w:tabs>
              <w:spacing w:before="70" w:after="70"/>
              <w:rPr>
                <w:lang w:val="en-US"/>
              </w:rPr>
            </w:pPr>
            <w:r>
              <w:rPr>
                <w:lang w:val="en-US"/>
              </w:rPr>
              <w:t>24.92</w:t>
            </w:r>
          </w:p>
        </w:tc>
      </w:tr>
      <w:tr w:rsidR="00282739" w:rsidTr="003C6043">
        <w:tc>
          <w:tcPr>
            <w:tcW w:w="997"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spacing w:before="70" w:after="70"/>
            </w:pPr>
            <w:r>
              <w:rPr>
                <w:lang w:val="en-US"/>
              </w:rPr>
              <w:t>Laboratory skills</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25.00</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0.00</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604.46</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583.83</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25.00</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24"/>
              </w:tabs>
              <w:spacing w:before="70" w:after="70"/>
            </w:pPr>
            <w:r>
              <w:rPr>
                <w:lang w:val="en-US"/>
              </w:rPr>
              <w:t>80.16</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851"/>
              </w:tabs>
              <w:spacing w:before="70" w:after="70"/>
            </w:pPr>
            <w:r>
              <w:rPr>
                <w:lang w:val="en-US"/>
              </w:rPr>
              <w:t>188</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25.00</w:t>
            </w:r>
          </w:p>
        </w:tc>
      </w:tr>
      <w:tr w:rsidR="00282739" w:rsidTr="003C6043">
        <w:tc>
          <w:tcPr>
            <w:tcW w:w="997"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spacing w:before="70" w:after="70"/>
            </w:pPr>
            <w:r>
              <w:rPr>
                <w:lang w:val="en-US"/>
              </w:rPr>
              <w:t>Music</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59.82</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25.00</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600.32</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593.45</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48.21</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24"/>
              </w:tabs>
              <w:spacing w:before="70" w:after="70"/>
            </w:pPr>
            <w:r>
              <w:rPr>
                <w:lang w:val="en-US"/>
              </w:rPr>
              <w:t>77.33</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851"/>
              </w:tabs>
              <w:spacing w:before="70" w:after="70"/>
            </w:pPr>
            <w:r>
              <w:rPr>
                <w:lang w:val="en-US"/>
              </w:rPr>
              <w:t>188</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26.79</w:t>
            </w:r>
          </w:p>
        </w:tc>
      </w:tr>
      <w:tr w:rsidR="00282739" w:rsidTr="003C6043">
        <w:tc>
          <w:tcPr>
            <w:tcW w:w="997"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spacing w:before="70" w:after="70"/>
            </w:pPr>
            <w:r>
              <w:rPr>
                <w:lang w:val="en-US"/>
              </w:rPr>
              <w:t>Music industry</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79.26</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35.02</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615.81</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600.12</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39.17</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24"/>
              </w:tabs>
              <w:spacing w:before="70" w:after="70"/>
            </w:pPr>
            <w:r>
              <w:rPr>
                <w:lang w:val="en-US"/>
              </w:rPr>
              <w:t>77.93</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851"/>
              </w:tabs>
              <w:spacing w:before="70" w:after="70"/>
            </w:pPr>
            <w:r>
              <w:rPr>
                <w:lang w:val="en-US"/>
              </w:rPr>
              <w:t>222</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18.43</w:t>
            </w:r>
          </w:p>
        </w:tc>
      </w:tr>
      <w:tr w:rsidR="00282739" w:rsidTr="003C6043">
        <w:tc>
          <w:tcPr>
            <w:tcW w:w="997"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spacing w:before="70" w:after="70"/>
            </w:pPr>
            <w:r>
              <w:rPr>
                <w:lang w:val="en-US"/>
              </w:rPr>
              <w:t>Outdoor recreation</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61.63</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13.95</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576.68</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70" w:after="70"/>
            </w:pPr>
            <w:r>
              <w:rPr>
                <w:lang w:val="en-US"/>
              </w:rPr>
              <w:t>584.76</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27.91</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24"/>
              </w:tabs>
              <w:spacing w:before="70" w:after="70"/>
            </w:pPr>
            <w:r>
              <w:rPr>
                <w:lang w:val="en-US"/>
              </w:rPr>
              <w:t>70.81</w:t>
            </w:r>
          </w:p>
        </w:tc>
        <w:tc>
          <w:tcPr>
            <w:tcW w:w="500" w:type="pct"/>
            <w:tcBorders>
              <w:top w:val="nil"/>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851"/>
              </w:tabs>
              <w:spacing w:before="70" w:after="70"/>
            </w:pPr>
            <w:r>
              <w:rPr>
                <w:lang w:val="en-US"/>
              </w:rPr>
              <w:t>198</w:t>
            </w:r>
          </w:p>
        </w:tc>
        <w:tc>
          <w:tcPr>
            <w:tcW w:w="500" w:type="pct"/>
            <w:tcBorders>
              <w:top w:val="nil"/>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70" w:after="70"/>
            </w:pPr>
            <w:r>
              <w:rPr>
                <w:lang w:val="en-US"/>
              </w:rPr>
              <w:t>15.12</w:t>
            </w:r>
          </w:p>
        </w:tc>
      </w:tr>
      <w:tr w:rsidR="00282739" w:rsidTr="003C6043">
        <w:tc>
          <w:tcPr>
            <w:tcW w:w="997" w:type="pct"/>
            <w:tcBorders>
              <w:top w:val="dashSmallGap" w:sz="4" w:space="0" w:color="auto"/>
              <w:left w:val="nil"/>
              <w:bottom w:val="nil"/>
              <w:right w:val="nil"/>
            </w:tcBorders>
            <w:shd w:val="clear" w:color="auto" w:fill="auto"/>
            <w:noWrap/>
            <w:tcMar>
              <w:top w:w="17" w:type="dxa"/>
              <w:left w:w="14" w:type="dxa"/>
              <w:bottom w:w="0" w:type="dxa"/>
              <w:right w:w="14" w:type="dxa"/>
            </w:tcMar>
            <w:hideMark/>
          </w:tcPr>
          <w:p w:rsidR="00282739" w:rsidRPr="005B3FEE" w:rsidRDefault="00282739" w:rsidP="003C6043">
            <w:pPr>
              <w:pStyle w:val="Tabletext"/>
              <w:spacing w:before="120" w:after="70"/>
            </w:pPr>
            <w:r w:rsidRPr="005B3FEE">
              <w:rPr>
                <w:lang w:val="en-US"/>
              </w:rPr>
              <w:t>Takes a VCE VET subject</w:t>
            </w:r>
          </w:p>
        </w:tc>
        <w:tc>
          <w:tcPr>
            <w:tcW w:w="500" w:type="pct"/>
            <w:tcBorders>
              <w:top w:val="dashSmallGap" w:sz="4" w:space="0" w:color="auto"/>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120" w:after="70"/>
            </w:pPr>
            <w:r>
              <w:rPr>
                <w:lang w:val="en-US"/>
              </w:rPr>
              <w:t>51.31</w:t>
            </w:r>
          </w:p>
        </w:tc>
        <w:tc>
          <w:tcPr>
            <w:tcW w:w="500" w:type="pct"/>
            <w:tcBorders>
              <w:top w:val="dashSmallGap" w:sz="4" w:space="0" w:color="auto"/>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120" w:after="70"/>
            </w:pPr>
            <w:r>
              <w:rPr>
                <w:lang w:val="en-US"/>
              </w:rPr>
              <w:t>19.91</w:t>
            </w:r>
          </w:p>
        </w:tc>
        <w:tc>
          <w:tcPr>
            <w:tcW w:w="500" w:type="pct"/>
            <w:tcBorders>
              <w:top w:val="dashSmallGap" w:sz="4" w:space="0" w:color="auto"/>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120" w:after="70"/>
            </w:pPr>
            <w:r>
              <w:rPr>
                <w:lang w:val="en-US"/>
              </w:rPr>
              <w:t>577.04</w:t>
            </w:r>
          </w:p>
        </w:tc>
        <w:tc>
          <w:tcPr>
            <w:tcW w:w="500" w:type="pct"/>
            <w:tcBorders>
              <w:top w:val="dashSmallGap" w:sz="4" w:space="0" w:color="auto"/>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80"/>
              </w:tabs>
              <w:spacing w:before="120" w:after="70"/>
            </w:pPr>
            <w:r>
              <w:rPr>
                <w:lang w:val="en-US"/>
              </w:rPr>
              <w:t>591.68</w:t>
            </w:r>
          </w:p>
        </w:tc>
        <w:tc>
          <w:tcPr>
            <w:tcW w:w="500" w:type="pct"/>
            <w:tcBorders>
              <w:top w:val="dashSmallGap" w:sz="4" w:space="0" w:color="auto"/>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120" w:after="70"/>
            </w:pPr>
            <w:r>
              <w:rPr>
                <w:lang w:val="en-US"/>
              </w:rPr>
              <w:t>39.78</w:t>
            </w:r>
          </w:p>
        </w:tc>
        <w:tc>
          <w:tcPr>
            <w:tcW w:w="500" w:type="pct"/>
            <w:tcBorders>
              <w:top w:val="dashSmallGap" w:sz="4" w:space="0" w:color="auto"/>
              <w:left w:val="nil"/>
              <w:bottom w:val="nil"/>
              <w:right w:val="nil"/>
            </w:tcBorders>
            <w:shd w:val="clear" w:color="auto" w:fill="auto"/>
            <w:tcMar>
              <w:top w:w="0" w:type="dxa"/>
              <w:left w:w="14" w:type="dxa"/>
              <w:bottom w:w="0" w:type="dxa"/>
              <w:right w:w="14" w:type="dxa"/>
            </w:tcMar>
            <w:hideMark/>
          </w:tcPr>
          <w:p w:rsidR="00282739" w:rsidRDefault="00282739" w:rsidP="003C6043">
            <w:pPr>
              <w:pStyle w:val="Tabletext"/>
              <w:tabs>
                <w:tab w:val="decimal" w:pos="624"/>
              </w:tabs>
              <w:spacing w:before="120" w:after="70"/>
            </w:pPr>
            <w:r>
              <w:rPr>
                <w:lang w:val="en-US"/>
              </w:rPr>
              <w:t>72.08</w:t>
            </w:r>
          </w:p>
        </w:tc>
        <w:tc>
          <w:tcPr>
            <w:tcW w:w="500" w:type="pct"/>
            <w:tcBorders>
              <w:top w:val="dashSmallGap" w:sz="4" w:space="0" w:color="auto"/>
              <w:left w:val="nil"/>
              <w:bottom w:val="nil"/>
              <w:right w:val="nil"/>
            </w:tcBorders>
            <w:shd w:val="clear" w:color="auto" w:fill="auto"/>
            <w:tcMar>
              <w:top w:w="13" w:type="dxa"/>
              <w:left w:w="14" w:type="dxa"/>
              <w:bottom w:w="0" w:type="dxa"/>
              <w:right w:w="14" w:type="dxa"/>
            </w:tcMar>
            <w:hideMark/>
          </w:tcPr>
          <w:p w:rsidR="00282739" w:rsidRDefault="00282739" w:rsidP="003C6043">
            <w:pPr>
              <w:pStyle w:val="Tabletext"/>
              <w:tabs>
                <w:tab w:val="decimal" w:pos="851"/>
              </w:tabs>
              <w:spacing w:before="120" w:after="70"/>
            </w:pPr>
            <w:r>
              <w:rPr>
                <w:lang w:val="en-US"/>
              </w:rPr>
              <w:t>208</w:t>
            </w:r>
          </w:p>
        </w:tc>
        <w:tc>
          <w:tcPr>
            <w:tcW w:w="500" w:type="pct"/>
            <w:tcBorders>
              <w:top w:val="dashSmallGap" w:sz="4" w:space="0" w:color="auto"/>
              <w:left w:val="nil"/>
              <w:bottom w:val="nil"/>
              <w:right w:val="nil"/>
            </w:tcBorders>
            <w:shd w:val="clear" w:color="auto" w:fill="auto"/>
            <w:noWrap/>
            <w:tcMar>
              <w:top w:w="13" w:type="dxa"/>
              <w:left w:w="14" w:type="dxa"/>
              <w:bottom w:w="0" w:type="dxa"/>
              <w:right w:w="14" w:type="dxa"/>
            </w:tcMar>
            <w:hideMark/>
          </w:tcPr>
          <w:p w:rsidR="00282739" w:rsidRDefault="00282739" w:rsidP="003C6043">
            <w:pPr>
              <w:pStyle w:val="Tabletext"/>
              <w:tabs>
                <w:tab w:val="decimal" w:pos="624"/>
              </w:tabs>
              <w:spacing w:before="120" w:after="70"/>
            </w:pPr>
            <w:r>
              <w:rPr>
                <w:lang w:val="en-US"/>
              </w:rPr>
              <w:t>26.15</w:t>
            </w:r>
          </w:p>
        </w:tc>
      </w:tr>
      <w:tr w:rsidR="00282739" w:rsidTr="003C6043">
        <w:tc>
          <w:tcPr>
            <w:tcW w:w="997" w:type="pct"/>
            <w:tcBorders>
              <w:top w:val="nil"/>
              <w:left w:val="nil"/>
              <w:bottom w:val="single" w:sz="8" w:space="0" w:color="auto"/>
              <w:right w:val="nil"/>
            </w:tcBorders>
            <w:shd w:val="clear" w:color="auto" w:fill="auto"/>
            <w:noWrap/>
            <w:tcMar>
              <w:top w:w="14" w:type="dxa"/>
              <w:left w:w="14" w:type="dxa"/>
              <w:bottom w:w="0" w:type="dxa"/>
              <w:right w:w="14" w:type="dxa"/>
            </w:tcMar>
            <w:hideMark/>
          </w:tcPr>
          <w:p w:rsidR="00282739" w:rsidRPr="005B3FEE" w:rsidRDefault="00282739" w:rsidP="003C6043">
            <w:pPr>
              <w:pStyle w:val="Tabletext"/>
              <w:spacing w:before="70" w:after="70"/>
            </w:pPr>
            <w:r w:rsidRPr="005B3FEE">
              <w:rPr>
                <w:lang w:val="en-US"/>
              </w:rPr>
              <w:t>Doesn’t take a VCE VET subject</w:t>
            </w:r>
          </w:p>
        </w:tc>
        <w:tc>
          <w:tcPr>
            <w:tcW w:w="500" w:type="pct"/>
            <w:tcBorders>
              <w:top w:val="nil"/>
              <w:left w:val="nil"/>
              <w:bottom w:val="single" w:sz="8" w:space="0" w:color="auto"/>
              <w:right w:val="nil"/>
            </w:tcBorders>
            <w:shd w:val="clear" w:color="auto" w:fill="auto"/>
            <w:noWrap/>
            <w:tcMar>
              <w:top w:w="14" w:type="dxa"/>
              <w:left w:w="14" w:type="dxa"/>
              <w:bottom w:w="0" w:type="dxa"/>
              <w:right w:w="14" w:type="dxa"/>
            </w:tcMar>
            <w:hideMark/>
          </w:tcPr>
          <w:p w:rsidR="00282739" w:rsidRDefault="00282739" w:rsidP="003C6043">
            <w:pPr>
              <w:pStyle w:val="Tabletext"/>
              <w:tabs>
                <w:tab w:val="decimal" w:pos="624"/>
              </w:tabs>
              <w:spacing w:before="70" w:after="70"/>
            </w:pPr>
            <w:r>
              <w:rPr>
                <w:lang w:val="en-US"/>
              </w:rPr>
              <w:t>45.65</w:t>
            </w:r>
          </w:p>
        </w:tc>
        <w:tc>
          <w:tcPr>
            <w:tcW w:w="500" w:type="pct"/>
            <w:tcBorders>
              <w:top w:val="nil"/>
              <w:left w:val="nil"/>
              <w:bottom w:val="single" w:sz="8" w:space="0" w:color="auto"/>
              <w:right w:val="nil"/>
            </w:tcBorders>
            <w:shd w:val="clear" w:color="auto" w:fill="auto"/>
            <w:tcMar>
              <w:top w:w="14" w:type="dxa"/>
              <w:left w:w="14" w:type="dxa"/>
              <w:bottom w:w="0" w:type="dxa"/>
              <w:right w:w="14" w:type="dxa"/>
            </w:tcMar>
            <w:hideMark/>
          </w:tcPr>
          <w:p w:rsidR="00282739" w:rsidRDefault="00282739" w:rsidP="003C6043">
            <w:pPr>
              <w:pStyle w:val="Tabletext"/>
              <w:tabs>
                <w:tab w:val="decimal" w:pos="624"/>
              </w:tabs>
              <w:spacing w:before="70" w:after="70"/>
            </w:pPr>
            <w:r>
              <w:rPr>
                <w:lang w:val="en-US"/>
              </w:rPr>
              <w:t>31.64</w:t>
            </w:r>
          </w:p>
        </w:tc>
        <w:tc>
          <w:tcPr>
            <w:tcW w:w="500" w:type="pct"/>
            <w:tcBorders>
              <w:top w:val="nil"/>
              <w:left w:val="nil"/>
              <w:bottom w:val="single" w:sz="8" w:space="0" w:color="auto"/>
              <w:right w:val="nil"/>
            </w:tcBorders>
            <w:shd w:val="clear" w:color="auto" w:fill="auto"/>
            <w:tcMar>
              <w:top w:w="14" w:type="dxa"/>
              <w:left w:w="14" w:type="dxa"/>
              <w:bottom w:w="0" w:type="dxa"/>
              <w:right w:w="14" w:type="dxa"/>
            </w:tcMar>
            <w:hideMark/>
          </w:tcPr>
          <w:p w:rsidR="00282739" w:rsidRDefault="00282739" w:rsidP="003C6043">
            <w:pPr>
              <w:pStyle w:val="Tabletext"/>
              <w:tabs>
                <w:tab w:val="decimal" w:pos="680"/>
              </w:tabs>
              <w:spacing w:before="70" w:after="70"/>
            </w:pPr>
            <w:r>
              <w:rPr>
                <w:lang w:val="en-US"/>
              </w:rPr>
              <w:t>607.74</w:t>
            </w:r>
          </w:p>
        </w:tc>
        <w:tc>
          <w:tcPr>
            <w:tcW w:w="500" w:type="pct"/>
            <w:tcBorders>
              <w:top w:val="nil"/>
              <w:left w:val="nil"/>
              <w:bottom w:val="single" w:sz="8" w:space="0" w:color="auto"/>
              <w:right w:val="nil"/>
            </w:tcBorders>
            <w:shd w:val="clear" w:color="auto" w:fill="auto"/>
            <w:tcMar>
              <w:top w:w="14" w:type="dxa"/>
              <w:left w:w="14" w:type="dxa"/>
              <w:bottom w:w="0" w:type="dxa"/>
              <w:right w:w="14" w:type="dxa"/>
            </w:tcMar>
            <w:hideMark/>
          </w:tcPr>
          <w:p w:rsidR="00282739" w:rsidRDefault="00282739" w:rsidP="003C6043">
            <w:pPr>
              <w:pStyle w:val="Tabletext"/>
              <w:tabs>
                <w:tab w:val="decimal" w:pos="680"/>
              </w:tabs>
              <w:spacing w:before="70" w:after="70"/>
            </w:pPr>
            <w:r>
              <w:rPr>
                <w:lang w:val="en-US"/>
              </w:rPr>
              <w:t>602.65</w:t>
            </w:r>
          </w:p>
        </w:tc>
        <w:tc>
          <w:tcPr>
            <w:tcW w:w="500" w:type="pct"/>
            <w:tcBorders>
              <w:top w:val="nil"/>
              <w:left w:val="nil"/>
              <w:bottom w:val="single" w:sz="8" w:space="0" w:color="auto"/>
              <w:right w:val="nil"/>
            </w:tcBorders>
            <w:shd w:val="clear" w:color="auto" w:fill="auto"/>
            <w:tcMar>
              <w:top w:w="14" w:type="dxa"/>
              <w:left w:w="14" w:type="dxa"/>
              <w:bottom w:w="0" w:type="dxa"/>
              <w:right w:w="14" w:type="dxa"/>
            </w:tcMar>
            <w:hideMark/>
          </w:tcPr>
          <w:p w:rsidR="00282739" w:rsidRDefault="00282739" w:rsidP="003C6043">
            <w:pPr>
              <w:pStyle w:val="Tabletext"/>
              <w:tabs>
                <w:tab w:val="decimal" w:pos="624"/>
              </w:tabs>
              <w:spacing w:before="70" w:after="70"/>
            </w:pPr>
            <w:r>
              <w:rPr>
                <w:lang w:val="en-US"/>
              </w:rPr>
              <w:t>49.93</w:t>
            </w:r>
          </w:p>
        </w:tc>
        <w:tc>
          <w:tcPr>
            <w:tcW w:w="500" w:type="pct"/>
            <w:tcBorders>
              <w:top w:val="nil"/>
              <w:left w:val="nil"/>
              <w:bottom w:val="single" w:sz="8" w:space="0" w:color="auto"/>
              <w:right w:val="nil"/>
            </w:tcBorders>
            <w:shd w:val="clear" w:color="auto" w:fill="auto"/>
            <w:tcMar>
              <w:top w:w="14" w:type="dxa"/>
              <w:left w:w="14" w:type="dxa"/>
              <w:bottom w:w="0" w:type="dxa"/>
              <w:right w:w="14" w:type="dxa"/>
            </w:tcMar>
            <w:hideMark/>
          </w:tcPr>
          <w:p w:rsidR="00282739" w:rsidRDefault="00282739" w:rsidP="003C6043">
            <w:pPr>
              <w:pStyle w:val="Tabletext"/>
              <w:tabs>
                <w:tab w:val="decimal" w:pos="624"/>
              </w:tabs>
              <w:spacing w:before="70" w:after="70"/>
            </w:pPr>
            <w:r>
              <w:rPr>
                <w:lang w:val="en-US"/>
              </w:rPr>
              <w:t>79.80</w:t>
            </w:r>
          </w:p>
        </w:tc>
        <w:tc>
          <w:tcPr>
            <w:tcW w:w="500" w:type="pct"/>
            <w:tcBorders>
              <w:top w:val="nil"/>
              <w:left w:val="nil"/>
              <w:bottom w:val="single" w:sz="8" w:space="0" w:color="auto"/>
              <w:right w:val="nil"/>
            </w:tcBorders>
            <w:shd w:val="clear" w:color="auto" w:fill="auto"/>
            <w:tcMar>
              <w:top w:w="14" w:type="dxa"/>
              <w:left w:w="14" w:type="dxa"/>
              <w:bottom w:w="0" w:type="dxa"/>
              <w:right w:w="14" w:type="dxa"/>
            </w:tcMar>
            <w:hideMark/>
          </w:tcPr>
          <w:p w:rsidR="00282739" w:rsidRDefault="00282739" w:rsidP="003C6043">
            <w:pPr>
              <w:pStyle w:val="Tabletext"/>
              <w:tabs>
                <w:tab w:val="decimal" w:pos="851"/>
              </w:tabs>
              <w:spacing w:before="70" w:after="70"/>
            </w:pPr>
            <w:r>
              <w:rPr>
                <w:lang w:val="en-US"/>
              </w:rPr>
              <w:t>190</w:t>
            </w:r>
          </w:p>
        </w:tc>
        <w:tc>
          <w:tcPr>
            <w:tcW w:w="500" w:type="pct"/>
            <w:tcBorders>
              <w:top w:val="nil"/>
              <w:left w:val="nil"/>
              <w:bottom w:val="single" w:sz="8" w:space="0" w:color="auto"/>
              <w:right w:val="nil"/>
            </w:tcBorders>
            <w:shd w:val="clear" w:color="auto" w:fill="auto"/>
            <w:tcMar>
              <w:top w:w="14" w:type="dxa"/>
              <w:left w:w="14" w:type="dxa"/>
              <w:bottom w:w="0" w:type="dxa"/>
              <w:right w:w="14" w:type="dxa"/>
            </w:tcMar>
            <w:hideMark/>
          </w:tcPr>
          <w:p w:rsidR="00282739" w:rsidRDefault="00282739" w:rsidP="003C6043">
            <w:pPr>
              <w:pStyle w:val="Tabletext"/>
              <w:tabs>
                <w:tab w:val="decimal" w:pos="624"/>
              </w:tabs>
              <w:spacing w:before="70" w:after="70"/>
            </w:pPr>
            <w:r>
              <w:rPr>
                <w:lang w:val="en-US"/>
              </w:rPr>
              <w:t>28.67</w:t>
            </w:r>
          </w:p>
        </w:tc>
      </w:tr>
    </w:tbl>
    <w:p w:rsidR="00282739" w:rsidRDefault="00282739" w:rsidP="00282739">
      <w:pPr>
        <w:pStyle w:val="Source"/>
        <w:rPr>
          <w:lang w:val="en-US"/>
        </w:rPr>
      </w:pPr>
      <w:r>
        <w:rPr>
          <w:lang w:val="en-US"/>
        </w:rPr>
        <w:t>Note:</w:t>
      </w:r>
      <w:r>
        <w:rPr>
          <w:lang w:val="en-US"/>
        </w:rPr>
        <w:tab/>
        <w:t xml:space="preserve">The sample is restricted to those who take at least one VET subject. In 97% of the cases, this is one subject only. Cut-off scores from 2010 are not available for all first-preference courses in 2011. </w:t>
      </w:r>
    </w:p>
    <w:p w:rsidR="00282739" w:rsidRDefault="00282739" w:rsidP="00282739">
      <w:pPr>
        <w:pStyle w:val="Source"/>
        <w:ind w:left="426" w:hanging="426"/>
        <w:rPr>
          <w:lang w:val="en-US"/>
        </w:rPr>
      </w:pPr>
    </w:p>
    <w:p w:rsidR="00282739" w:rsidRDefault="00282739" w:rsidP="00282739">
      <w:pPr>
        <w:pStyle w:val="Heading1"/>
        <w:sectPr w:rsidR="00282739" w:rsidSect="008E2EBB">
          <w:footerReference w:type="even" r:id="rId21"/>
          <w:footerReference w:type="default" r:id="rId22"/>
          <w:pgSz w:w="16840" w:h="11907" w:orient="landscape" w:code="9"/>
          <w:pgMar w:top="1418" w:right="1276" w:bottom="567" w:left="1276" w:header="709" w:footer="556" w:gutter="0"/>
          <w:cols w:space="708"/>
          <w:docGrid w:linePitch="360"/>
        </w:sectPr>
      </w:pPr>
    </w:p>
    <w:p w:rsidR="00282739" w:rsidRDefault="00282739" w:rsidP="00282739">
      <w:pPr>
        <w:pStyle w:val="Heading1"/>
      </w:pPr>
      <w:bookmarkStart w:id="48" w:name="_Toc402794959"/>
      <w:r>
        <w:lastRenderedPageBreak/>
        <w:t>Methodology</w:t>
      </w:r>
      <w:bookmarkEnd w:id="48"/>
    </w:p>
    <w:p w:rsidR="00282739" w:rsidRDefault="00282739" w:rsidP="00282739">
      <w:pPr>
        <w:pStyle w:val="Text"/>
        <w:ind w:right="-143"/>
      </w:pPr>
      <w:r>
        <w:t xml:space="preserve">As mentioned earlier, </w:t>
      </w:r>
      <w:r w:rsidRPr="00163107">
        <w:t>the key methodological issue</w:t>
      </w:r>
      <w:r>
        <w:t xml:space="preserve"> in this study</w:t>
      </w:r>
      <w:r w:rsidRPr="00163107">
        <w:t xml:space="preserve"> is de</w:t>
      </w:r>
      <w:r>
        <w:t xml:space="preserve">aling with self-selection bias, </w:t>
      </w:r>
      <w:r w:rsidRPr="00163107">
        <w:t xml:space="preserve">which arises </w:t>
      </w:r>
      <w:r>
        <w:t>because of</w:t>
      </w:r>
      <w:r w:rsidRPr="00163107">
        <w:t xml:space="preserve"> </w:t>
      </w:r>
      <w:r>
        <w:t xml:space="preserve">the </w:t>
      </w:r>
      <w:r w:rsidRPr="00163107">
        <w:t>differences</w:t>
      </w:r>
      <w:r>
        <w:t xml:space="preserve">, such as academic ability, </w:t>
      </w:r>
      <w:r w:rsidRPr="00163107">
        <w:t xml:space="preserve">between students </w:t>
      </w:r>
      <w:r>
        <w:t>who take VCE VET</w:t>
      </w:r>
      <w:r w:rsidRPr="00163107">
        <w:t xml:space="preserve"> </w:t>
      </w:r>
      <w:r>
        <w:t>subject</w:t>
      </w:r>
      <w:r w:rsidRPr="00163107">
        <w:t xml:space="preserve">s and </w:t>
      </w:r>
      <w:r>
        <w:t xml:space="preserve">those </w:t>
      </w:r>
      <w:r w:rsidRPr="00163107">
        <w:t>who d</w:t>
      </w:r>
      <w:r>
        <w:t xml:space="preserve">o not, that potentially also affect university entry scores. To deal with self-selection bias, we rely on the richness of the controls in our data and propensity score matching (PSM). PSM deals with self-selection by </w:t>
      </w:r>
      <w:r w:rsidRPr="00163107">
        <w:t>construct</w:t>
      </w:r>
      <w:r>
        <w:t xml:space="preserve">ing a ‘like’ or ‘matched’ control group (from </w:t>
      </w:r>
      <w:r w:rsidRPr="00163107">
        <w:t xml:space="preserve">students </w:t>
      </w:r>
      <w:r>
        <w:t>who do not take a scored VCE VET</w:t>
      </w:r>
      <w:r w:rsidRPr="00163107">
        <w:t xml:space="preserve"> </w:t>
      </w:r>
      <w:r>
        <w:t>subject) against which the outcomes from the treatment group (those who take a scored VCE VET</w:t>
      </w:r>
      <w:r w:rsidRPr="00163107">
        <w:t xml:space="preserve"> </w:t>
      </w:r>
      <w:r>
        <w:t xml:space="preserve">subject) </w:t>
      </w:r>
      <w:r w:rsidRPr="00163107">
        <w:t>can be compared to isolate the ef</w:t>
      </w:r>
      <w:r>
        <w:t xml:space="preserve">fects of the treatment (those who take a scored VCE VET subject). Propensity score matching is generally preferred to standard regression techniques in dealing with self-selection bias because it ensures common support; that is, overlap </w:t>
      </w:r>
      <w:r w:rsidRPr="00F968FB">
        <w:t>in the distribution of characteristics between those who do and those who do not receive a treatment (Blundell &amp; Costa Dias 2008). Standard regression techniques do not ensure common support, which means that the estimated effects of treatment may be ba</w:t>
      </w:r>
      <w:r>
        <w:t>sed on extrapolation, which makes them difficult to interpret. A feature of propensity score matching in relation to other approaches used to deal with self-selection, such as instrumental variables, is that it does not rely on a valid exclusion restriction, which in practice, is often difficult to find (Blundell &amp; Costa Dias 2008).</w:t>
      </w:r>
      <w:r>
        <w:rPr>
          <w:rStyle w:val="FootnoteReference"/>
        </w:rPr>
        <w:footnoteReference w:id="15"/>
      </w:r>
      <w:r>
        <w:t xml:space="preserve"> However, a limitation of PSM is its heavy reliance on rich data to create large control groups to control for differences in all the factors that affect both selection and outcomes (conditional independence assumption). </w:t>
      </w:r>
    </w:p>
    <w:p w:rsidR="00282739" w:rsidRDefault="00282739" w:rsidP="00282739">
      <w:pPr>
        <w:pStyle w:val="Text"/>
      </w:pPr>
      <w:r>
        <w:t>Ideally, to ensure that the conditional independence assumption holds, we would restrict the matched control group to individuals who took the same subjects as those of the treatment group, except for one, the VCE VET subject. However, given that students have great flexibility in choosing from around 60 VCE subjects, such an approach would impose a tight constraint on the matching, and any estimates would be arbitrarily based on choosing a specific general subject as an alternative to taking a VCE VET subject. In this study, we do not impose such a tight restriction on the matching, but instead assume that the outcome from taking an alternative general subject instead of a VCE VET subject is equal to the outcome from the matched control group, even though the general courses taken by the two groups may be different. This is not likely to be a limiting assumption because after selecting a matched control group, we find that there are only minor differences between the two groups in the general subjects chosen (table D2 in appendix D).</w:t>
      </w:r>
    </w:p>
    <w:p w:rsidR="00282739" w:rsidRDefault="00282739" w:rsidP="00282739">
      <w:pPr>
        <w:pStyle w:val="Heading2"/>
      </w:pPr>
      <w:bookmarkStart w:id="49" w:name="_Toc402794960"/>
      <w:r>
        <w:t>Propensity score matching methods used</w:t>
      </w:r>
      <w:bookmarkEnd w:id="49"/>
    </w:p>
    <w:p w:rsidR="00282739" w:rsidRDefault="00282739" w:rsidP="00282739">
      <w:pPr>
        <w:pStyle w:val="Text"/>
      </w:pPr>
      <w:r>
        <w:t>Constructing a matched counterfactual group using propensity score matching involves using a function (usually predicted probabilities of treatment from a probit model) to choose individuals who are estimated to have the same, within some range, propensity for treatment, but who did not receive a treatment. In this study, two standard and common PSM approaches are used to construct a matched control group — Nearest Neighbour and Kernell.</w:t>
      </w:r>
    </w:p>
    <w:p w:rsidR="00282739" w:rsidRDefault="00282739" w:rsidP="00282739">
      <w:pPr>
        <w:pStyle w:val="Text"/>
      </w:pPr>
      <w:r>
        <w:t xml:space="preserve">Nearest Neighbour involves using a propensity score to select, for each treated individual, the individual from the control group with the closest propensity of treatment. A limitation of Nearest Neighbour is that it only uses information from one control group observation per treated individual and ignores information from control group members who may have similar predicted probabilities of </w:t>
      </w:r>
      <w:r>
        <w:lastRenderedPageBreak/>
        <w:t xml:space="preserve">treatment. To better utilise the available information, we also use ‘closest-5’ Nearest Neighbour estimation and Kernell matching. The closest-5 Nearest Neighbour chooses five control group members with the closest predicted probabilities; the outcomes from each of the five are given equal weight in constructing the counterfactual. In contrast, Kernell matching selects all control group members within a certain range of the treated individual’s propensity score and takes a weighted average of the selected control group outcomes. The weights depend on the distance between the control and </w:t>
      </w:r>
      <w:r w:rsidRPr="00EC73B9">
        <w:t>the treated propensity score.</w:t>
      </w:r>
      <w:r w:rsidRPr="00EC73B9">
        <w:rPr>
          <w:rStyle w:val="FootnoteReference"/>
        </w:rPr>
        <w:footnoteReference w:id="16"/>
      </w:r>
      <w:r w:rsidRPr="00EC73B9">
        <w:t xml:space="preserve"> In small samples there is generally a trade-off between bias and efficiency (Smith &amp; Todd 2005). N</w:t>
      </w:r>
      <w:r>
        <w:t>otably, Nearest Neighbour estimators are less biased, while Kernell are more efficient. Because we have a large control group, our default choice is estimation using one-to-one Nearest Neighbour. Estimates usin</w:t>
      </w:r>
      <w:r w:rsidRPr="00EC73B9">
        <w:t xml:space="preserve">g closest-5 </w:t>
      </w:r>
      <w:r>
        <w:t>Nearest Neighbour and Kernell matching are also generated for the sake of robustness. When examining impacts by subject area when the use of small samples is involved, Kernell matching is used because it produces more precise estimates.</w:t>
      </w:r>
    </w:p>
    <w:p w:rsidR="00282739" w:rsidRDefault="00282739" w:rsidP="00282739">
      <w:pPr>
        <w:pStyle w:val="Text"/>
      </w:pPr>
      <w:r>
        <w:t>Because of the small sample sizes, we cannot precisely estimate impacts for individual subjects. Instead, we estimate impacts across similar groups of subjects. The subject groups used are:</w:t>
      </w:r>
    </w:p>
    <w:p w:rsidR="00282739" w:rsidRDefault="00282739" w:rsidP="00282739">
      <w:pPr>
        <w:pStyle w:val="Dotpoint1"/>
      </w:pPr>
      <w:r>
        <w:t>business and finance: business and financial services</w:t>
      </w:r>
    </w:p>
    <w:p w:rsidR="00282739" w:rsidRDefault="00282739" w:rsidP="00282739">
      <w:pPr>
        <w:pStyle w:val="Dotpoint1"/>
      </w:pPr>
      <w:r>
        <w:t xml:space="preserve">community, outdoor and recreation: community services; community recreation; and sport and outdoor recreation </w:t>
      </w:r>
    </w:p>
    <w:p w:rsidR="00282739" w:rsidRDefault="00282739" w:rsidP="00282739">
      <w:pPr>
        <w:pStyle w:val="Dotpoint1"/>
      </w:pPr>
      <w:r>
        <w:t>dance and music: dance; music; and music industry (technical production)</w:t>
      </w:r>
    </w:p>
    <w:p w:rsidR="00282739" w:rsidRDefault="00282739" w:rsidP="00282739">
      <w:pPr>
        <w:pStyle w:val="Dotpoint1"/>
      </w:pPr>
      <w:r>
        <w:t>engineering and technology: engineering studies; and electrotechnology</w:t>
      </w:r>
    </w:p>
    <w:p w:rsidR="00282739" w:rsidRDefault="00282739" w:rsidP="00282739">
      <w:pPr>
        <w:pStyle w:val="Dotpoint1"/>
      </w:pPr>
      <w:r>
        <w:t>information technology: information technology; and interactive digital media</w:t>
      </w:r>
    </w:p>
    <w:p w:rsidR="00282739" w:rsidRDefault="00282739" w:rsidP="00282739">
      <w:pPr>
        <w:pStyle w:val="Dotpoint1"/>
      </w:pPr>
      <w:r>
        <w:t>hospitality: hospitality; and hospitality (kitchen operations)</w:t>
      </w:r>
    </w:p>
    <w:p w:rsidR="00282739" w:rsidRDefault="00282739" w:rsidP="00282739">
      <w:pPr>
        <w:pStyle w:val="Dotpoint1"/>
      </w:pPr>
      <w:r>
        <w:t>equine industry.</w:t>
      </w:r>
    </w:p>
    <w:p w:rsidR="00282739" w:rsidRDefault="00282739" w:rsidP="00282739">
      <w:pPr>
        <w:pStyle w:val="Text"/>
      </w:pPr>
      <w:r>
        <w:t xml:space="preserve">We do not estimate the impacts for students who take laboratory skills and furnishing because there are too few observations with respect to scaled scores for robust estimation. </w:t>
      </w:r>
    </w:p>
    <w:p w:rsidR="00282739" w:rsidRDefault="00282739" w:rsidP="00282739">
      <w:pPr>
        <w:pStyle w:val="Text"/>
      </w:pPr>
      <w:r>
        <w:t>A feature of this study is the derivation of a decomposition method that attempts to explain any gap in university entry scores between those who do and those do not take VCE VET subjects. The details of this method are presented in appendix C.</w:t>
      </w:r>
    </w:p>
    <w:p w:rsidR="00282739" w:rsidRDefault="00282739" w:rsidP="00282739">
      <w:pPr>
        <w:pStyle w:val="Heading2"/>
      </w:pPr>
      <w:bookmarkStart w:id="50" w:name="_Toc402794961"/>
      <w:r>
        <w:t>Specification of the propensity score function</w:t>
      </w:r>
      <w:bookmarkEnd w:id="50"/>
    </w:p>
    <w:p w:rsidR="00282739" w:rsidRDefault="00282739" w:rsidP="00282739">
      <w:pPr>
        <w:pStyle w:val="Text"/>
      </w:pPr>
      <w:r>
        <w:t>As mentioned above, for propensity score matching to deal with self-selection bias, the conditional independence assumption must hold; that is, we must control for differences in all factors that affect both the choice of VCE VET and the outcomes of interest. The key differences are likely to be in past academic performance and ability; in school-level factors, such as school resourcing; in peer characteristics; and in post-school study aspirations. The richness of our data allows us to control for all of these differences by including them in our binary probit model of selection into a VCE VET subject. See table D1 for a list of all the variables used in the selection equation and the selection equation results.</w:t>
      </w:r>
    </w:p>
    <w:p w:rsidR="00282739" w:rsidRDefault="00282739" w:rsidP="00282739">
      <w:pPr>
        <w:pStyle w:val="Text"/>
      </w:pPr>
      <w:r>
        <w:t xml:space="preserve">To control for differences in school factors, we include peer information (information on other Year 12 students in 2011 at the same school) and other school information in the selection equation. </w:t>
      </w:r>
      <w:r>
        <w:lastRenderedPageBreak/>
        <w:t>For each student in the sample, peer information is the average of their Year 12 peer NAPLAN scores from Year 9 (in 2008), their Year 12 peer participation rate in VCE VET subjects and the number of Year 12 peers. Peer participation in vocational education and training and peer enrolments provide information on the possible quality and range of VCE VET options. Other school information includes an indicator of whether the school is a government school, which may also be related to the availability of school resources.</w:t>
      </w:r>
    </w:p>
    <w:p w:rsidR="00282739" w:rsidRDefault="00282739" w:rsidP="00282739">
      <w:pPr>
        <w:pStyle w:val="Text"/>
      </w:pPr>
      <w:r>
        <w:t xml:space="preserve">There is a strong body of literature that shows parents’ education and occupational preferences are important in influencing students’ academic performance and occupational preferences (see for example Polidano, Hanel &amp; Buddelmeyer 2013). To control for this source of self-selection, we include information on the highest education level (Australian Standard Classification of Education [ASCED] </w:t>
      </w:r>
      <w:r>
        <w:br/>
        <w:t xml:space="preserve">1-digit) and the occupation skill level (Australian Standard Classification of Occupations [ASCO] </w:t>
      </w:r>
      <w:r>
        <w:br/>
        <w:t xml:space="preserve">1-digit) of either parent in the binary probit model of VCE VET. </w:t>
      </w:r>
    </w:p>
    <w:p w:rsidR="00282739" w:rsidRDefault="00282739" w:rsidP="00282739">
      <w:pPr>
        <w:pStyle w:val="Text"/>
      </w:pPr>
      <w:r>
        <w:t>We control for a range of individual-level factors, the most important being differences in past academic performance and ability, where we use NAPLAN numeracy and reading results in Year 9 (2008 data). Using past test scores in a multivariate model of academic performance to control for differences in academic ability and the effects of historical investments in education is known as a ‘value-added’ model. Value-added models are commonly used to estimate the influence of changes to academic inputs; for example, the effects of teachers (Hanushek 1979; Todd &amp; Wolpin 2003). Other individual-level information used in the matching is gender, age, Indigenous status, whether the individual is from a non-English speaking background, remoteness of region, number of VCE subjects chosen and a measure of regional disadvantage. We control for differences in the availability of VCE VET subjects by local economic opportunities by using information on local (statistical local area) unemployment rates from the Australian Bureau of Statistics (ABS). These were found to explain more of the variation in selection into VCE VET courses than the SEIFA indices of socio-economic disadvantage (ABS 2006), but overall regional economic factors were not important in explaining selection (see table D1).</w:t>
      </w:r>
    </w:p>
    <w:p w:rsidR="00282739" w:rsidRDefault="00282739" w:rsidP="00282739">
      <w:pPr>
        <w:pStyle w:val="Text"/>
      </w:pPr>
      <w:r>
        <w:t>Besides restricting the sample of analysis to those who apply for university entry prior to sitting their final exams, in the propensity score matching we also control for differences in intended field of education at university. As discussed above, it is possible that students who do and those who do not choose VCE VET subjects aspire to different university courses, so that there are also differences in the general subjects taken between the two groups that may affect outcomes. We control for the differences in field of education by including dummy variables for 25 fields of university study (2-digit ASCED) in the standard propensity score matching. In the standard estimation, we do not control explicitly for the level of aspiration, measured by the cut-off score of the first preference, because this contains large numbers of missing observations, which may affect the analysis. We test whether the inclusion of first-preference cut-off scores affects the standard estimates in the sensitivity analysis (appendix E).</w:t>
      </w:r>
    </w:p>
    <w:p w:rsidR="00282739" w:rsidRDefault="00282739" w:rsidP="00282739">
      <w:pPr>
        <w:spacing w:before="0" w:line="240" w:lineRule="auto"/>
        <w:rPr>
          <w:rFonts w:ascii="Tahoma" w:hAnsi="Tahoma" w:cs="Tahoma"/>
          <w:color w:val="000000"/>
          <w:kern w:val="28"/>
          <w:sz w:val="56"/>
          <w:szCs w:val="56"/>
        </w:rPr>
      </w:pPr>
      <w:r>
        <w:br w:type="page"/>
      </w:r>
    </w:p>
    <w:p w:rsidR="00282739" w:rsidRDefault="00282739" w:rsidP="00282739">
      <w:pPr>
        <w:pStyle w:val="Heading1"/>
      </w:pPr>
      <w:bookmarkStart w:id="51" w:name="_Toc402794962"/>
      <w:r>
        <w:lastRenderedPageBreak/>
        <w:t>Results</w:t>
      </w:r>
      <w:bookmarkEnd w:id="51"/>
    </w:p>
    <w:p w:rsidR="00282739" w:rsidRDefault="00282739" w:rsidP="00282739">
      <w:pPr>
        <w:pStyle w:val="Text"/>
        <w:ind w:right="-143"/>
      </w:pPr>
      <w:r>
        <w:t xml:space="preserve">The effects of taking a scored VCE VET subject are presented in tables below as average treatment effects on the treated (ATET). It is important to note that ATET applies only to those who are observed to take a VCE VET subject and cannot be interpreted </w:t>
      </w:r>
      <w:r w:rsidRPr="00DF7A0F">
        <w:t>as the effect of extending the coverage of the program</w:t>
      </w:r>
      <w:r>
        <w:t xml:space="preserve">; that is, the results can’t be interpreted as potential effects from an increase in the number of people who take scored VET in Schools subjects. They are only the estimated effects for those who are observed to take scored VET courses. The tables also include the average outcome values for both the treatment (enrolled in a VCE VET subject) and matched control groups (did not enrol in a VCE VET subject). The standard errors reflect the average error associated with the estimates. Generally speaking, the larger the relative size of the estimate’s standard error, the greater the imprecision of the estimate. Whether the average treatment effects on the treated are significantly different from zero is indicated by asterisks. More asterisks mean more confidence that the estimates are significantly different from zero. </w:t>
      </w:r>
    </w:p>
    <w:p w:rsidR="00282739" w:rsidRDefault="00282739" w:rsidP="00282739">
      <w:pPr>
        <w:pStyle w:val="Text"/>
      </w:pPr>
      <w:r>
        <w:t xml:space="preserve">Except for the results by subject grouping (table 8), all the results are generated using one-to-one Nearest Neighbour matching. Because the results for subject groups are derived using smaller samples, we use Kernell matching to help improve the precision of the estimates. We find no evidence to suggest that any of the results given below are sensitive to the choice of matching method (see tables D3 and D4 in appendix D). All the results generated pass balancing tests, which means that after matching, except for their treatment status, there are no statistical differences in the characteristics of those who do and those who do not choose a VCE VET subject. (The results are presented in tables D1 and D2 in appendix D.) </w:t>
      </w:r>
    </w:p>
    <w:p w:rsidR="00282739" w:rsidRDefault="00282739" w:rsidP="00282739">
      <w:pPr>
        <w:pStyle w:val="Heading2"/>
      </w:pPr>
      <w:bookmarkStart w:id="52" w:name="_Toc402794963"/>
      <w:r>
        <w:t>Overall impacts on university entry scores</w:t>
      </w:r>
      <w:bookmarkEnd w:id="52"/>
    </w:p>
    <w:p w:rsidR="00282739" w:rsidRDefault="00282739" w:rsidP="00282739">
      <w:pPr>
        <w:pStyle w:val="tabletitle"/>
      </w:pPr>
      <w:bookmarkStart w:id="53" w:name="_Toc402794979"/>
      <w:r>
        <w:t>Table 6</w:t>
      </w:r>
      <w:r>
        <w:tab/>
        <w:t>Estimated impacts from taking a VCE VET subject on university entry scores (out of a maximum of 205) among those who intend to go to university</w:t>
      </w:r>
      <w:bookmarkEnd w:id="53"/>
      <w:r>
        <w:t xml:space="preserve"> </w:t>
      </w:r>
    </w:p>
    <w:tbl>
      <w:tblPr>
        <w:tblW w:w="8789" w:type="dxa"/>
        <w:tblInd w:w="93" w:type="dxa"/>
        <w:tblLayout w:type="fixed"/>
        <w:tblLook w:val="04A0" w:firstRow="1" w:lastRow="0" w:firstColumn="1" w:lastColumn="0" w:noHBand="0" w:noVBand="1"/>
      </w:tblPr>
      <w:tblGrid>
        <w:gridCol w:w="1716"/>
        <w:gridCol w:w="968"/>
        <w:gridCol w:w="969"/>
        <w:gridCol w:w="969"/>
        <w:gridCol w:w="968"/>
        <w:gridCol w:w="969"/>
        <w:gridCol w:w="969"/>
        <w:gridCol w:w="1261"/>
      </w:tblGrid>
      <w:tr w:rsidR="00282739" w:rsidRPr="003B265C" w:rsidTr="003C6043">
        <w:tc>
          <w:tcPr>
            <w:tcW w:w="1716" w:type="dxa"/>
            <w:tcBorders>
              <w:top w:val="single" w:sz="4" w:space="0" w:color="auto"/>
              <w:left w:val="nil"/>
              <w:right w:val="nil"/>
            </w:tcBorders>
            <w:shd w:val="clear" w:color="000000" w:fill="FFFFFF"/>
            <w:noWrap/>
            <w:hideMark/>
          </w:tcPr>
          <w:p w:rsidR="00282739" w:rsidRPr="003B265C" w:rsidRDefault="00282739" w:rsidP="003C6043">
            <w:pPr>
              <w:pStyle w:val="Tablehead1"/>
              <w:rPr>
                <w:rFonts w:ascii="Calibri" w:hAnsi="Calibri"/>
                <w:sz w:val="22"/>
                <w:szCs w:val="22"/>
                <w:lang w:eastAsia="en-AU"/>
              </w:rPr>
            </w:pPr>
          </w:p>
        </w:tc>
        <w:tc>
          <w:tcPr>
            <w:tcW w:w="1937" w:type="dxa"/>
            <w:gridSpan w:val="2"/>
            <w:tcBorders>
              <w:top w:val="single" w:sz="4" w:space="0" w:color="auto"/>
              <w:left w:val="nil"/>
              <w:right w:val="nil"/>
            </w:tcBorders>
            <w:shd w:val="clear" w:color="000000" w:fill="FFFFFF"/>
            <w:hideMark/>
          </w:tcPr>
          <w:p w:rsidR="00282739" w:rsidRPr="003B265C" w:rsidRDefault="00282739" w:rsidP="003C6043">
            <w:pPr>
              <w:pStyle w:val="Tablehead1"/>
              <w:jc w:val="center"/>
              <w:rPr>
                <w:bCs/>
                <w:szCs w:val="17"/>
                <w:lang w:eastAsia="en-AU"/>
              </w:rPr>
            </w:pPr>
            <w:r w:rsidRPr="003B265C">
              <w:rPr>
                <w:bCs/>
                <w:szCs w:val="17"/>
                <w:lang w:eastAsia="en-AU"/>
              </w:rPr>
              <w:t xml:space="preserve">Enrolled in a VCE VET </w:t>
            </w:r>
            <w:r>
              <w:rPr>
                <w:bCs/>
                <w:szCs w:val="17"/>
                <w:lang w:eastAsia="en-AU"/>
              </w:rPr>
              <w:t>subject</w:t>
            </w:r>
          </w:p>
        </w:tc>
        <w:tc>
          <w:tcPr>
            <w:tcW w:w="1937" w:type="dxa"/>
            <w:gridSpan w:val="2"/>
            <w:tcBorders>
              <w:top w:val="single" w:sz="4" w:space="0" w:color="auto"/>
              <w:left w:val="nil"/>
              <w:right w:val="nil"/>
            </w:tcBorders>
            <w:shd w:val="clear" w:color="000000" w:fill="FFFFFF"/>
            <w:hideMark/>
          </w:tcPr>
          <w:p w:rsidR="00282739" w:rsidRPr="003B265C" w:rsidRDefault="00282739" w:rsidP="003C6043">
            <w:pPr>
              <w:pStyle w:val="Tablehead1"/>
              <w:jc w:val="center"/>
              <w:rPr>
                <w:bCs/>
                <w:szCs w:val="17"/>
                <w:lang w:eastAsia="en-AU"/>
              </w:rPr>
            </w:pPr>
            <w:r w:rsidRPr="003B265C">
              <w:rPr>
                <w:bCs/>
                <w:szCs w:val="17"/>
                <w:lang w:eastAsia="en-AU"/>
              </w:rPr>
              <w:t xml:space="preserve">Did not enrol in a VCE VET </w:t>
            </w:r>
            <w:r>
              <w:rPr>
                <w:bCs/>
                <w:szCs w:val="17"/>
                <w:lang w:eastAsia="en-AU"/>
              </w:rPr>
              <w:t>subject</w:t>
            </w:r>
          </w:p>
        </w:tc>
        <w:tc>
          <w:tcPr>
            <w:tcW w:w="1938" w:type="dxa"/>
            <w:gridSpan w:val="2"/>
            <w:tcBorders>
              <w:top w:val="single" w:sz="4" w:space="0" w:color="auto"/>
              <w:left w:val="nil"/>
              <w:right w:val="nil"/>
            </w:tcBorders>
            <w:shd w:val="clear" w:color="000000" w:fill="FFFFFF"/>
            <w:hideMark/>
          </w:tcPr>
          <w:p w:rsidR="00282739" w:rsidRPr="003B265C" w:rsidRDefault="00282739" w:rsidP="003C6043">
            <w:pPr>
              <w:pStyle w:val="Tablehead1"/>
              <w:jc w:val="center"/>
              <w:rPr>
                <w:bCs/>
                <w:szCs w:val="17"/>
                <w:lang w:eastAsia="en-AU"/>
              </w:rPr>
            </w:pPr>
            <w:r w:rsidRPr="003B265C">
              <w:rPr>
                <w:bCs/>
                <w:szCs w:val="17"/>
                <w:lang w:eastAsia="en-AU"/>
              </w:rPr>
              <w:t>Difference (ATET)</w:t>
            </w:r>
          </w:p>
        </w:tc>
        <w:tc>
          <w:tcPr>
            <w:tcW w:w="1261" w:type="dxa"/>
            <w:tcBorders>
              <w:top w:val="single" w:sz="4" w:space="0" w:color="auto"/>
              <w:left w:val="nil"/>
              <w:right w:val="nil"/>
            </w:tcBorders>
            <w:shd w:val="clear" w:color="auto" w:fill="auto"/>
            <w:hideMark/>
          </w:tcPr>
          <w:p w:rsidR="00282739" w:rsidRPr="003B265C" w:rsidRDefault="00282739" w:rsidP="003C6043">
            <w:pPr>
              <w:pStyle w:val="Tablehead1"/>
              <w:jc w:val="center"/>
              <w:rPr>
                <w:bCs/>
                <w:szCs w:val="17"/>
                <w:lang w:eastAsia="en-AU"/>
              </w:rPr>
            </w:pPr>
            <w:r w:rsidRPr="003B265C">
              <w:rPr>
                <w:bCs/>
                <w:szCs w:val="17"/>
                <w:lang w:eastAsia="en-AU"/>
              </w:rPr>
              <w:t xml:space="preserve">Number </w:t>
            </w:r>
            <w:r>
              <w:rPr>
                <w:bCs/>
                <w:szCs w:val="17"/>
                <w:lang w:eastAsia="en-AU"/>
              </w:rPr>
              <w:br/>
            </w:r>
            <w:r w:rsidRPr="003B265C">
              <w:rPr>
                <w:bCs/>
                <w:szCs w:val="17"/>
                <w:lang w:eastAsia="en-AU"/>
              </w:rPr>
              <w:t>of obs</w:t>
            </w:r>
          </w:p>
        </w:tc>
      </w:tr>
      <w:tr w:rsidR="00282739" w:rsidRPr="00277061" w:rsidTr="003C6043">
        <w:tc>
          <w:tcPr>
            <w:tcW w:w="1716" w:type="dxa"/>
            <w:tcBorders>
              <w:left w:val="nil"/>
              <w:bottom w:val="single" w:sz="4" w:space="0" w:color="auto"/>
              <w:right w:val="nil"/>
            </w:tcBorders>
            <w:shd w:val="clear" w:color="000000" w:fill="FFFFFF"/>
            <w:noWrap/>
            <w:hideMark/>
          </w:tcPr>
          <w:p w:rsidR="00282739" w:rsidRPr="00277061" w:rsidRDefault="00282739" w:rsidP="003C6043">
            <w:pPr>
              <w:pStyle w:val="Tablehead2"/>
            </w:pPr>
          </w:p>
        </w:tc>
        <w:tc>
          <w:tcPr>
            <w:tcW w:w="968" w:type="dxa"/>
            <w:tcBorders>
              <w:left w:val="nil"/>
              <w:bottom w:val="single" w:sz="4" w:space="0" w:color="auto"/>
              <w:right w:val="nil"/>
            </w:tcBorders>
            <w:shd w:val="clear" w:color="000000" w:fill="FFFFFF"/>
            <w:hideMark/>
          </w:tcPr>
          <w:p w:rsidR="00282739" w:rsidRPr="00277061" w:rsidRDefault="00282739" w:rsidP="003C6043">
            <w:pPr>
              <w:pStyle w:val="Tablehead2"/>
              <w:jc w:val="center"/>
            </w:pPr>
            <w:r w:rsidRPr="00277061">
              <w:t>Avg. entry score</w:t>
            </w:r>
          </w:p>
        </w:tc>
        <w:tc>
          <w:tcPr>
            <w:tcW w:w="969" w:type="dxa"/>
            <w:tcBorders>
              <w:left w:val="nil"/>
              <w:bottom w:val="single" w:sz="4" w:space="0" w:color="auto"/>
              <w:right w:val="nil"/>
            </w:tcBorders>
            <w:shd w:val="clear" w:color="000000" w:fill="FFFFFF"/>
            <w:hideMark/>
          </w:tcPr>
          <w:p w:rsidR="00282739" w:rsidRPr="00277061" w:rsidRDefault="00282739" w:rsidP="003C6043">
            <w:pPr>
              <w:pStyle w:val="Tablehead2"/>
              <w:jc w:val="center"/>
            </w:pPr>
            <w:r w:rsidRPr="00277061">
              <w:t>s.e.</w:t>
            </w:r>
          </w:p>
        </w:tc>
        <w:tc>
          <w:tcPr>
            <w:tcW w:w="969" w:type="dxa"/>
            <w:tcBorders>
              <w:left w:val="nil"/>
              <w:bottom w:val="single" w:sz="4" w:space="0" w:color="auto"/>
              <w:right w:val="nil"/>
            </w:tcBorders>
            <w:shd w:val="clear" w:color="000000" w:fill="FFFFFF"/>
            <w:hideMark/>
          </w:tcPr>
          <w:p w:rsidR="00282739" w:rsidRPr="00277061" w:rsidRDefault="00282739" w:rsidP="003C6043">
            <w:pPr>
              <w:pStyle w:val="Tablehead2"/>
              <w:jc w:val="center"/>
            </w:pPr>
            <w:r w:rsidRPr="00277061">
              <w:t>Avg. entry score</w:t>
            </w:r>
          </w:p>
        </w:tc>
        <w:tc>
          <w:tcPr>
            <w:tcW w:w="968" w:type="dxa"/>
            <w:tcBorders>
              <w:left w:val="nil"/>
              <w:bottom w:val="single" w:sz="4" w:space="0" w:color="auto"/>
              <w:right w:val="nil"/>
            </w:tcBorders>
            <w:shd w:val="clear" w:color="000000" w:fill="FFFFFF"/>
            <w:hideMark/>
          </w:tcPr>
          <w:p w:rsidR="00282739" w:rsidRPr="00277061" w:rsidRDefault="00282739" w:rsidP="003C6043">
            <w:pPr>
              <w:pStyle w:val="Tablehead2"/>
              <w:jc w:val="center"/>
            </w:pPr>
            <w:r w:rsidRPr="00277061">
              <w:t>s.e.</w:t>
            </w:r>
          </w:p>
        </w:tc>
        <w:tc>
          <w:tcPr>
            <w:tcW w:w="969" w:type="dxa"/>
            <w:tcBorders>
              <w:left w:val="nil"/>
              <w:bottom w:val="single" w:sz="4" w:space="0" w:color="auto"/>
              <w:right w:val="nil"/>
            </w:tcBorders>
            <w:shd w:val="clear" w:color="000000" w:fill="FFFFFF"/>
            <w:hideMark/>
          </w:tcPr>
          <w:p w:rsidR="00282739" w:rsidRPr="00277061" w:rsidRDefault="00282739" w:rsidP="003C6043">
            <w:pPr>
              <w:pStyle w:val="Tablehead2"/>
              <w:jc w:val="center"/>
            </w:pPr>
            <w:r w:rsidRPr="00277061">
              <w:t>Avg. entry score</w:t>
            </w:r>
          </w:p>
        </w:tc>
        <w:tc>
          <w:tcPr>
            <w:tcW w:w="969" w:type="dxa"/>
            <w:tcBorders>
              <w:left w:val="nil"/>
              <w:bottom w:val="single" w:sz="4" w:space="0" w:color="auto"/>
              <w:right w:val="nil"/>
            </w:tcBorders>
            <w:shd w:val="clear" w:color="000000" w:fill="FFFFFF"/>
            <w:hideMark/>
          </w:tcPr>
          <w:p w:rsidR="00282739" w:rsidRPr="00277061" w:rsidRDefault="00282739" w:rsidP="003C6043">
            <w:pPr>
              <w:pStyle w:val="Tablehead2"/>
              <w:jc w:val="center"/>
            </w:pPr>
            <w:r w:rsidRPr="00277061">
              <w:t>s.e.</w:t>
            </w:r>
          </w:p>
        </w:tc>
        <w:tc>
          <w:tcPr>
            <w:tcW w:w="1261" w:type="dxa"/>
            <w:tcBorders>
              <w:left w:val="nil"/>
              <w:bottom w:val="single" w:sz="4" w:space="0" w:color="auto"/>
              <w:right w:val="nil"/>
            </w:tcBorders>
            <w:shd w:val="clear" w:color="000000" w:fill="FFFFFF"/>
            <w:noWrap/>
            <w:hideMark/>
          </w:tcPr>
          <w:p w:rsidR="00282739" w:rsidRPr="00277061" w:rsidRDefault="00282739" w:rsidP="003C6043">
            <w:pPr>
              <w:pStyle w:val="Tablehead2"/>
              <w:jc w:val="center"/>
            </w:pPr>
          </w:p>
        </w:tc>
      </w:tr>
      <w:tr w:rsidR="00282739" w:rsidRPr="005B3FEE" w:rsidTr="003C6043">
        <w:tc>
          <w:tcPr>
            <w:tcW w:w="1716" w:type="dxa"/>
            <w:tcBorders>
              <w:top w:val="single" w:sz="4" w:space="0" w:color="auto"/>
              <w:left w:val="nil"/>
              <w:bottom w:val="nil"/>
              <w:right w:val="nil"/>
            </w:tcBorders>
            <w:shd w:val="clear" w:color="000000" w:fill="FFFFFF"/>
            <w:noWrap/>
            <w:hideMark/>
          </w:tcPr>
          <w:p w:rsidR="00282739" w:rsidRPr="005B3FEE" w:rsidRDefault="00282739" w:rsidP="003C6043">
            <w:pPr>
              <w:pStyle w:val="Tabletext"/>
            </w:pPr>
            <w:r w:rsidRPr="005B3FEE">
              <w:t>Unmatched </w:t>
            </w:r>
          </w:p>
        </w:tc>
        <w:tc>
          <w:tcPr>
            <w:tcW w:w="968" w:type="dxa"/>
            <w:tcBorders>
              <w:top w:val="single" w:sz="4" w:space="0" w:color="auto"/>
              <w:left w:val="nil"/>
              <w:bottom w:val="nil"/>
              <w:right w:val="nil"/>
            </w:tcBorders>
            <w:shd w:val="clear" w:color="000000" w:fill="FFFFFF"/>
            <w:noWrap/>
            <w:hideMark/>
          </w:tcPr>
          <w:p w:rsidR="00282739" w:rsidRPr="005B3FEE" w:rsidRDefault="00282739" w:rsidP="003C6043">
            <w:pPr>
              <w:pStyle w:val="Tabletext"/>
              <w:tabs>
                <w:tab w:val="decimal" w:pos="411"/>
              </w:tabs>
            </w:pPr>
            <w:r w:rsidRPr="005B3FEE">
              <w:t>111.32</w:t>
            </w:r>
          </w:p>
        </w:tc>
        <w:tc>
          <w:tcPr>
            <w:tcW w:w="969" w:type="dxa"/>
            <w:tcBorders>
              <w:top w:val="single" w:sz="4" w:space="0" w:color="auto"/>
              <w:left w:val="nil"/>
              <w:bottom w:val="nil"/>
              <w:right w:val="nil"/>
            </w:tcBorders>
            <w:shd w:val="clear" w:color="000000" w:fill="FFFFFF"/>
            <w:hideMark/>
          </w:tcPr>
          <w:p w:rsidR="00282739" w:rsidRPr="005B3FEE" w:rsidRDefault="00282739" w:rsidP="003C6043">
            <w:pPr>
              <w:pStyle w:val="Tabletext"/>
              <w:tabs>
                <w:tab w:val="decimal" w:pos="268"/>
              </w:tabs>
            </w:pPr>
            <w:r w:rsidRPr="005B3FEE">
              <w:t>23.186</w:t>
            </w:r>
          </w:p>
        </w:tc>
        <w:tc>
          <w:tcPr>
            <w:tcW w:w="969" w:type="dxa"/>
            <w:tcBorders>
              <w:top w:val="single" w:sz="4" w:space="0" w:color="auto"/>
              <w:left w:val="nil"/>
              <w:bottom w:val="nil"/>
              <w:right w:val="nil"/>
            </w:tcBorders>
            <w:shd w:val="clear" w:color="000000" w:fill="FFFFFF"/>
            <w:hideMark/>
          </w:tcPr>
          <w:p w:rsidR="00282739" w:rsidRPr="005B3FEE" w:rsidRDefault="00282739" w:rsidP="003C6043">
            <w:pPr>
              <w:pStyle w:val="Tabletext"/>
              <w:ind w:right="104"/>
              <w:jc w:val="right"/>
            </w:pPr>
            <w:r w:rsidRPr="005B3FEE">
              <w:t>128.578</w:t>
            </w:r>
          </w:p>
        </w:tc>
        <w:tc>
          <w:tcPr>
            <w:tcW w:w="968" w:type="dxa"/>
            <w:tcBorders>
              <w:top w:val="single" w:sz="4" w:space="0" w:color="auto"/>
              <w:left w:val="nil"/>
              <w:bottom w:val="nil"/>
              <w:right w:val="nil"/>
            </w:tcBorders>
            <w:shd w:val="clear" w:color="000000" w:fill="FFFFFF"/>
            <w:hideMark/>
          </w:tcPr>
          <w:p w:rsidR="00282739" w:rsidRPr="005B3FEE" w:rsidRDefault="00282739" w:rsidP="003C6043">
            <w:pPr>
              <w:pStyle w:val="Tabletext"/>
              <w:tabs>
                <w:tab w:val="decimal" w:pos="310"/>
              </w:tabs>
            </w:pPr>
            <w:r w:rsidRPr="005B3FEE">
              <w:t>27.123</w:t>
            </w:r>
          </w:p>
        </w:tc>
        <w:tc>
          <w:tcPr>
            <w:tcW w:w="969" w:type="dxa"/>
            <w:tcBorders>
              <w:top w:val="single" w:sz="4" w:space="0" w:color="auto"/>
              <w:left w:val="nil"/>
              <w:bottom w:val="nil"/>
              <w:right w:val="nil"/>
            </w:tcBorders>
            <w:shd w:val="clear" w:color="000000" w:fill="FFFFFF"/>
            <w:hideMark/>
          </w:tcPr>
          <w:p w:rsidR="00282739" w:rsidRPr="005B3FEE" w:rsidRDefault="00282739" w:rsidP="003C6043">
            <w:pPr>
              <w:pStyle w:val="Tabletext"/>
              <w:tabs>
                <w:tab w:val="decimal" w:pos="257"/>
              </w:tabs>
            </w:pPr>
            <w:r w:rsidRPr="005B3FEE">
              <w:t>-17.257***</w:t>
            </w:r>
          </w:p>
        </w:tc>
        <w:tc>
          <w:tcPr>
            <w:tcW w:w="969" w:type="dxa"/>
            <w:tcBorders>
              <w:top w:val="single" w:sz="4" w:space="0" w:color="auto"/>
              <w:left w:val="nil"/>
              <w:bottom w:val="nil"/>
              <w:right w:val="nil"/>
            </w:tcBorders>
            <w:shd w:val="clear" w:color="000000" w:fill="FFFFFF"/>
            <w:hideMark/>
          </w:tcPr>
          <w:p w:rsidR="00282739" w:rsidRPr="005B3FEE" w:rsidRDefault="00282739" w:rsidP="003C6043">
            <w:pPr>
              <w:pStyle w:val="Tabletext"/>
              <w:tabs>
                <w:tab w:val="decimal" w:pos="248"/>
              </w:tabs>
            </w:pPr>
            <w:r w:rsidRPr="005B3FEE">
              <w:t>0.714</w:t>
            </w:r>
          </w:p>
        </w:tc>
        <w:tc>
          <w:tcPr>
            <w:tcW w:w="1261" w:type="dxa"/>
            <w:tcBorders>
              <w:top w:val="single" w:sz="4" w:space="0" w:color="auto"/>
              <w:left w:val="nil"/>
              <w:bottom w:val="nil"/>
              <w:right w:val="nil"/>
            </w:tcBorders>
            <w:shd w:val="clear" w:color="000000" w:fill="FFFFFF"/>
            <w:noWrap/>
            <w:hideMark/>
          </w:tcPr>
          <w:p w:rsidR="00282739" w:rsidRPr="005B3FEE" w:rsidRDefault="00282739" w:rsidP="003C6043">
            <w:pPr>
              <w:pStyle w:val="Tabletext"/>
              <w:ind w:right="284"/>
              <w:jc w:val="right"/>
            </w:pPr>
            <w:r w:rsidRPr="005B3FEE">
              <w:t>27 437</w:t>
            </w:r>
          </w:p>
        </w:tc>
      </w:tr>
      <w:tr w:rsidR="00282739" w:rsidRPr="005B3FEE" w:rsidTr="003C6043">
        <w:tc>
          <w:tcPr>
            <w:tcW w:w="1716" w:type="dxa"/>
            <w:tcBorders>
              <w:top w:val="nil"/>
              <w:left w:val="nil"/>
              <w:bottom w:val="single" w:sz="8" w:space="0" w:color="auto"/>
              <w:right w:val="nil"/>
            </w:tcBorders>
            <w:shd w:val="clear" w:color="000000" w:fill="FFFFFF"/>
            <w:noWrap/>
            <w:hideMark/>
          </w:tcPr>
          <w:p w:rsidR="00282739" w:rsidRPr="005B3FEE" w:rsidRDefault="00282739" w:rsidP="003C6043">
            <w:pPr>
              <w:pStyle w:val="Tabletext"/>
            </w:pPr>
            <w:r w:rsidRPr="005B3FEE">
              <w:t>Matched</w:t>
            </w:r>
          </w:p>
        </w:tc>
        <w:tc>
          <w:tcPr>
            <w:tcW w:w="968" w:type="dxa"/>
            <w:tcBorders>
              <w:top w:val="nil"/>
              <w:left w:val="nil"/>
              <w:bottom w:val="single" w:sz="8" w:space="0" w:color="auto"/>
              <w:right w:val="nil"/>
            </w:tcBorders>
            <w:shd w:val="clear" w:color="000000" w:fill="FFFFFF"/>
            <w:noWrap/>
            <w:hideMark/>
          </w:tcPr>
          <w:p w:rsidR="00282739" w:rsidRPr="005B3FEE" w:rsidRDefault="00282739" w:rsidP="003C6043">
            <w:pPr>
              <w:pStyle w:val="Tabletext"/>
              <w:tabs>
                <w:tab w:val="decimal" w:pos="411"/>
              </w:tabs>
            </w:pPr>
            <w:r w:rsidRPr="005B3FEE">
              <w:t>111.32</w:t>
            </w:r>
          </w:p>
        </w:tc>
        <w:tc>
          <w:tcPr>
            <w:tcW w:w="969" w:type="dxa"/>
            <w:tcBorders>
              <w:top w:val="nil"/>
              <w:left w:val="nil"/>
              <w:bottom w:val="single" w:sz="8" w:space="0" w:color="auto"/>
              <w:right w:val="nil"/>
            </w:tcBorders>
            <w:shd w:val="clear" w:color="000000" w:fill="FFFFFF"/>
            <w:hideMark/>
          </w:tcPr>
          <w:p w:rsidR="00282739" w:rsidRPr="005B3FEE" w:rsidRDefault="00282739" w:rsidP="003C6043">
            <w:pPr>
              <w:pStyle w:val="Tabletext"/>
              <w:tabs>
                <w:tab w:val="decimal" w:pos="268"/>
              </w:tabs>
            </w:pPr>
            <w:r w:rsidRPr="005B3FEE">
              <w:t>23.186</w:t>
            </w:r>
          </w:p>
        </w:tc>
        <w:tc>
          <w:tcPr>
            <w:tcW w:w="969" w:type="dxa"/>
            <w:tcBorders>
              <w:top w:val="nil"/>
              <w:left w:val="nil"/>
              <w:bottom w:val="single" w:sz="8" w:space="0" w:color="auto"/>
              <w:right w:val="nil"/>
            </w:tcBorders>
            <w:shd w:val="clear" w:color="000000" w:fill="FFFFFF"/>
            <w:hideMark/>
          </w:tcPr>
          <w:p w:rsidR="00282739" w:rsidRPr="005B3FEE" w:rsidRDefault="00282739" w:rsidP="003C6043">
            <w:pPr>
              <w:pStyle w:val="Tabletext"/>
              <w:ind w:right="104"/>
              <w:jc w:val="right"/>
            </w:pPr>
            <w:r w:rsidRPr="005B3FEE">
              <w:t>116.939</w:t>
            </w:r>
          </w:p>
        </w:tc>
        <w:tc>
          <w:tcPr>
            <w:tcW w:w="968" w:type="dxa"/>
            <w:tcBorders>
              <w:top w:val="nil"/>
              <w:left w:val="nil"/>
              <w:bottom w:val="single" w:sz="8" w:space="0" w:color="auto"/>
              <w:right w:val="nil"/>
            </w:tcBorders>
            <w:shd w:val="clear" w:color="000000" w:fill="FFFFFF"/>
            <w:hideMark/>
          </w:tcPr>
          <w:p w:rsidR="00282739" w:rsidRPr="005B3FEE" w:rsidRDefault="00282739" w:rsidP="003C6043">
            <w:pPr>
              <w:pStyle w:val="Tabletext"/>
              <w:tabs>
                <w:tab w:val="decimal" w:pos="310"/>
              </w:tabs>
            </w:pPr>
            <w:r w:rsidRPr="005B3FEE">
              <w:t>24.058</w:t>
            </w:r>
          </w:p>
        </w:tc>
        <w:tc>
          <w:tcPr>
            <w:tcW w:w="969" w:type="dxa"/>
            <w:tcBorders>
              <w:top w:val="nil"/>
              <w:left w:val="nil"/>
              <w:bottom w:val="single" w:sz="8" w:space="0" w:color="auto"/>
              <w:right w:val="nil"/>
            </w:tcBorders>
            <w:shd w:val="clear" w:color="000000" w:fill="FFFFFF"/>
            <w:hideMark/>
          </w:tcPr>
          <w:p w:rsidR="00282739" w:rsidRPr="005B3FEE" w:rsidRDefault="00282739" w:rsidP="003C6043">
            <w:pPr>
              <w:pStyle w:val="Tabletext"/>
              <w:tabs>
                <w:tab w:val="decimal" w:pos="257"/>
              </w:tabs>
            </w:pPr>
            <w:r w:rsidRPr="005B3FEE">
              <w:t>-5.618***</w:t>
            </w:r>
          </w:p>
        </w:tc>
        <w:tc>
          <w:tcPr>
            <w:tcW w:w="969" w:type="dxa"/>
            <w:tcBorders>
              <w:top w:val="nil"/>
              <w:left w:val="nil"/>
              <w:bottom w:val="single" w:sz="8" w:space="0" w:color="auto"/>
              <w:right w:val="nil"/>
            </w:tcBorders>
            <w:shd w:val="clear" w:color="000000" w:fill="FFFFFF"/>
            <w:hideMark/>
          </w:tcPr>
          <w:p w:rsidR="00282739" w:rsidRPr="005B3FEE" w:rsidRDefault="00282739" w:rsidP="003C6043">
            <w:pPr>
              <w:pStyle w:val="Tabletext"/>
              <w:tabs>
                <w:tab w:val="decimal" w:pos="248"/>
              </w:tabs>
            </w:pPr>
            <w:r w:rsidRPr="005B3FEE">
              <w:t>1.149</w:t>
            </w:r>
          </w:p>
        </w:tc>
        <w:tc>
          <w:tcPr>
            <w:tcW w:w="1261" w:type="dxa"/>
            <w:tcBorders>
              <w:top w:val="nil"/>
              <w:left w:val="nil"/>
              <w:bottom w:val="single" w:sz="8" w:space="0" w:color="auto"/>
              <w:right w:val="nil"/>
            </w:tcBorders>
            <w:shd w:val="clear" w:color="000000" w:fill="FFFFFF"/>
            <w:noWrap/>
            <w:hideMark/>
          </w:tcPr>
          <w:p w:rsidR="00282739" w:rsidRPr="005B3FEE" w:rsidRDefault="00282739" w:rsidP="003C6043">
            <w:pPr>
              <w:pStyle w:val="Tabletext"/>
              <w:ind w:right="284"/>
              <w:jc w:val="right"/>
            </w:pPr>
            <w:r w:rsidRPr="005B3FEE">
              <w:t>27 437</w:t>
            </w:r>
          </w:p>
        </w:tc>
      </w:tr>
    </w:tbl>
    <w:p w:rsidR="00282739" w:rsidRDefault="00282739" w:rsidP="00282739">
      <w:pPr>
        <w:pStyle w:val="Source"/>
        <w:rPr>
          <w:i/>
          <w:iCs/>
        </w:rPr>
      </w:pPr>
      <w:r>
        <w:t>Note:</w:t>
      </w:r>
      <w:r>
        <w:tab/>
        <w:t>***Significant at 1%.</w:t>
      </w:r>
    </w:p>
    <w:p w:rsidR="00282739" w:rsidRDefault="00282739" w:rsidP="00282739">
      <w:pPr>
        <w:pStyle w:val="Textmorebefore"/>
        <w:ind w:right="-143"/>
      </w:pPr>
      <w:r>
        <w:t xml:space="preserve">The results presented in table 6 are average effects across our sample of VCE VET students who intend to go to university. It is clear from table 6 that controlling for non-random selection into VCE VET subjects is important. In particular, before the matching there is a 17-point gap in the average university entry scores between those who take a VCE VET subject and those who do not. After matching, the gap shrinks to around six points. This suggests that most of the unmatched gap (12-point gap) is due to non-random selection into VET and is not causally linked to the impacts of taking a VCE VET course. The remaining six-point gap after matching can be interpreted as the reduction in the average university entry score associated with taking a VCE VET subject. To put this into context, taking a VCE VET subject is associated with a reduction in the average university entry score for VCE VET students from 117 to 111, out of a possible 205. This represents around a 5% reduction in entry </w:t>
      </w:r>
      <w:r>
        <w:lastRenderedPageBreak/>
        <w:t>scores, on average. This estimate is robust to the range of alternative key assumptions that underpin the analysis. (See the sensitivity analysis in appendix E for details.)</w:t>
      </w:r>
    </w:p>
    <w:p w:rsidR="00282739" w:rsidRDefault="00282739" w:rsidP="00282739">
      <w:pPr>
        <w:pStyle w:val="Heading3"/>
      </w:pPr>
      <w:r>
        <w:t>Decomposition of entry score results</w:t>
      </w:r>
      <w:r w:rsidRPr="00F962C5">
        <w:t xml:space="preserve"> </w:t>
      </w:r>
    </w:p>
    <w:p w:rsidR="00282739" w:rsidRDefault="00282739" w:rsidP="00282739">
      <w:pPr>
        <w:pStyle w:val="Textlessbefore"/>
      </w:pPr>
      <w:r>
        <w:t>A major innovation of this study is the derivation of a decomposition method that breaks the total effects presented in table 6 into direct effects and indirect effects. All else being equal, the direct effect is the change</w:t>
      </w:r>
      <w:r w:rsidRPr="008C054E">
        <w:t xml:space="preserve"> </w:t>
      </w:r>
      <w:r>
        <w:t>in the university entry score associated with taking a</w:t>
      </w:r>
      <w:r w:rsidRPr="008C054E">
        <w:t xml:space="preserve"> VCE VET </w:t>
      </w:r>
      <w:r>
        <w:t>subject</w:t>
      </w:r>
      <w:r w:rsidRPr="008C054E">
        <w:t xml:space="preserve"> </w:t>
      </w:r>
      <w:r>
        <w:t xml:space="preserve">instead of a </w:t>
      </w:r>
      <w:r w:rsidRPr="008C054E">
        <w:t xml:space="preserve">general </w:t>
      </w:r>
      <w:r>
        <w:t xml:space="preserve">subject; </w:t>
      </w:r>
      <w:r w:rsidRPr="008C054E">
        <w:t xml:space="preserve">the indirect effect is the change in the </w:t>
      </w:r>
      <w:r>
        <w:t>university entry score in all</w:t>
      </w:r>
      <w:r w:rsidRPr="008C054E">
        <w:t xml:space="preserve"> general </w:t>
      </w:r>
      <w:r>
        <w:t>subjects associated with a substitution of a</w:t>
      </w:r>
      <w:r w:rsidRPr="008C054E">
        <w:t xml:space="preserve"> VCE VET </w:t>
      </w:r>
      <w:r>
        <w:t>subject</w:t>
      </w:r>
      <w:r w:rsidRPr="008C054E">
        <w:t xml:space="preserve"> </w:t>
      </w:r>
      <w:r>
        <w:t xml:space="preserve">for </w:t>
      </w:r>
      <w:r w:rsidRPr="008C054E">
        <w:t>a</w:t>
      </w:r>
      <w:r>
        <w:t xml:space="preserve"> </w:t>
      </w:r>
      <w:r w:rsidRPr="008C054E">
        <w:t xml:space="preserve">general </w:t>
      </w:r>
      <w:r>
        <w:t>subject</w:t>
      </w:r>
      <w:r w:rsidRPr="008C054E">
        <w:t>.</w:t>
      </w:r>
      <w:r>
        <w:t xml:space="preserve"> </w:t>
      </w:r>
    </w:p>
    <w:p w:rsidR="00282739" w:rsidRDefault="00282739" w:rsidP="00282739">
      <w:pPr>
        <w:pStyle w:val="tabletitle"/>
      </w:pPr>
      <w:bookmarkStart w:id="54" w:name="_Toc402794980"/>
      <w:r>
        <w:t>Table 7</w:t>
      </w:r>
      <w:r>
        <w:tab/>
        <w:t xml:space="preserve">Estimated total, direct and indirect impacts of taking a </w:t>
      </w:r>
      <w:r w:rsidRPr="00D30E85">
        <w:t>VCE</w:t>
      </w:r>
      <w:r>
        <w:t xml:space="preserve"> VET subject on university entry scores (out of a maximum of 205) among those who intend to go to university</w:t>
      </w:r>
      <w:bookmarkEnd w:id="54"/>
      <w:r>
        <w:t xml:space="preserve"> </w:t>
      </w:r>
    </w:p>
    <w:tbl>
      <w:tblPr>
        <w:tblW w:w="8789" w:type="dxa"/>
        <w:tblInd w:w="108" w:type="dxa"/>
        <w:tblLayout w:type="fixed"/>
        <w:tblLook w:val="04A0" w:firstRow="1" w:lastRow="0" w:firstColumn="1" w:lastColumn="0" w:noHBand="0" w:noVBand="1"/>
      </w:tblPr>
      <w:tblGrid>
        <w:gridCol w:w="3546"/>
        <w:gridCol w:w="1748"/>
        <w:gridCol w:w="1748"/>
        <w:gridCol w:w="1747"/>
      </w:tblGrid>
      <w:tr w:rsidR="00282739" w:rsidRPr="00A03E1A" w:rsidTr="003C6043">
        <w:trPr>
          <w:trHeight w:val="300"/>
        </w:trPr>
        <w:tc>
          <w:tcPr>
            <w:tcW w:w="2017" w:type="pct"/>
            <w:tcBorders>
              <w:top w:val="single" w:sz="4" w:space="0" w:color="auto"/>
              <w:left w:val="nil"/>
              <w:bottom w:val="single" w:sz="4" w:space="0" w:color="auto"/>
              <w:right w:val="nil"/>
            </w:tcBorders>
            <w:shd w:val="clear" w:color="auto" w:fill="auto"/>
            <w:noWrap/>
            <w:hideMark/>
          </w:tcPr>
          <w:p w:rsidR="00282739" w:rsidRPr="00093E2B" w:rsidRDefault="00282739" w:rsidP="003C6043">
            <w:pPr>
              <w:pStyle w:val="Tablehead1"/>
              <w:rPr>
                <w:lang w:eastAsia="en-AU"/>
              </w:rPr>
            </w:pPr>
            <w:r w:rsidRPr="00093E2B">
              <w:rPr>
                <w:lang w:eastAsia="en-AU"/>
              </w:rPr>
              <w:t>VCE VET status</w:t>
            </w:r>
          </w:p>
        </w:tc>
        <w:tc>
          <w:tcPr>
            <w:tcW w:w="994" w:type="pct"/>
            <w:tcBorders>
              <w:top w:val="single" w:sz="4" w:space="0" w:color="auto"/>
              <w:left w:val="nil"/>
              <w:bottom w:val="single" w:sz="4" w:space="0" w:color="auto"/>
              <w:right w:val="nil"/>
            </w:tcBorders>
            <w:shd w:val="clear" w:color="auto" w:fill="auto"/>
            <w:noWrap/>
            <w:hideMark/>
          </w:tcPr>
          <w:p w:rsidR="00282739" w:rsidRPr="00093E2B" w:rsidRDefault="00282739" w:rsidP="003C6043">
            <w:pPr>
              <w:pStyle w:val="Tablehead1"/>
              <w:jc w:val="center"/>
              <w:rPr>
                <w:lang w:eastAsia="en-AU"/>
              </w:rPr>
            </w:pPr>
            <w:r w:rsidRPr="00093E2B">
              <w:rPr>
                <w:lang w:eastAsia="en-AU"/>
              </w:rPr>
              <w:t>Total</w:t>
            </w:r>
          </w:p>
        </w:tc>
        <w:tc>
          <w:tcPr>
            <w:tcW w:w="994" w:type="pct"/>
            <w:tcBorders>
              <w:top w:val="single" w:sz="4" w:space="0" w:color="auto"/>
              <w:left w:val="nil"/>
              <w:bottom w:val="single" w:sz="4" w:space="0" w:color="auto"/>
              <w:right w:val="nil"/>
            </w:tcBorders>
            <w:shd w:val="clear" w:color="auto" w:fill="auto"/>
            <w:noWrap/>
            <w:hideMark/>
          </w:tcPr>
          <w:p w:rsidR="00282739" w:rsidRPr="00093E2B" w:rsidRDefault="00282739" w:rsidP="003C6043">
            <w:pPr>
              <w:pStyle w:val="Tablehead1"/>
              <w:jc w:val="center"/>
              <w:rPr>
                <w:lang w:eastAsia="en-AU"/>
              </w:rPr>
            </w:pPr>
            <w:r>
              <w:rPr>
                <w:lang w:eastAsia="en-AU"/>
              </w:rPr>
              <w:t>Direct e</w:t>
            </w:r>
            <w:r w:rsidRPr="00093E2B">
              <w:rPr>
                <w:lang w:eastAsia="en-AU"/>
              </w:rPr>
              <w:t>ffect</w:t>
            </w:r>
          </w:p>
        </w:tc>
        <w:tc>
          <w:tcPr>
            <w:tcW w:w="994" w:type="pct"/>
            <w:tcBorders>
              <w:top w:val="single" w:sz="4" w:space="0" w:color="auto"/>
              <w:left w:val="nil"/>
              <w:bottom w:val="single" w:sz="4" w:space="0" w:color="auto"/>
              <w:right w:val="nil"/>
            </w:tcBorders>
            <w:shd w:val="clear" w:color="auto" w:fill="auto"/>
            <w:noWrap/>
            <w:hideMark/>
          </w:tcPr>
          <w:p w:rsidR="00282739" w:rsidRPr="00093E2B" w:rsidRDefault="00282739" w:rsidP="003C6043">
            <w:pPr>
              <w:pStyle w:val="Tablehead1"/>
              <w:jc w:val="center"/>
              <w:rPr>
                <w:lang w:eastAsia="en-AU"/>
              </w:rPr>
            </w:pPr>
            <w:r>
              <w:rPr>
                <w:lang w:eastAsia="en-AU"/>
              </w:rPr>
              <w:t>Indirect e</w:t>
            </w:r>
            <w:r w:rsidRPr="00093E2B">
              <w:rPr>
                <w:lang w:eastAsia="en-AU"/>
              </w:rPr>
              <w:t>ffect</w:t>
            </w:r>
          </w:p>
        </w:tc>
      </w:tr>
      <w:tr w:rsidR="00282739" w:rsidRPr="00A03E1A" w:rsidTr="003C6043">
        <w:trPr>
          <w:trHeight w:val="300"/>
        </w:trPr>
        <w:tc>
          <w:tcPr>
            <w:tcW w:w="2017" w:type="pct"/>
            <w:tcBorders>
              <w:top w:val="nil"/>
              <w:left w:val="nil"/>
              <w:bottom w:val="nil"/>
              <w:right w:val="nil"/>
            </w:tcBorders>
            <w:shd w:val="clear" w:color="auto" w:fill="auto"/>
            <w:noWrap/>
            <w:hideMark/>
          </w:tcPr>
          <w:p w:rsidR="00282739" w:rsidRPr="00093E2B" w:rsidRDefault="00282739" w:rsidP="003C6043">
            <w:pPr>
              <w:pStyle w:val="Tabletext"/>
              <w:rPr>
                <w:lang w:eastAsia="en-AU"/>
              </w:rPr>
            </w:pPr>
            <w:r w:rsidRPr="00093E2B">
              <w:rPr>
                <w:lang w:eastAsia="en-AU"/>
              </w:rPr>
              <w:t>Enrolled in a VCE VET subject</w:t>
            </w:r>
          </w:p>
        </w:tc>
        <w:tc>
          <w:tcPr>
            <w:tcW w:w="994" w:type="pct"/>
            <w:tcBorders>
              <w:top w:val="nil"/>
              <w:left w:val="nil"/>
              <w:bottom w:val="nil"/>
              <w:right w:val="nil"/>
            </w:tcBorders>
            <w:shd w:val="clear" w:color="auto" w:fill="auto"/>
            <w:noWrap/>
            <w:hideMark/>
          </w:tcPr>
          <w:p w:rsidR="00282739" w:rsidRPr="00A03E1A" w:rsidRDefault="00282739" w:rsidP="003C6043">
            <w:pPr>
              <w:pStyle w:val="Tabletext"/>
              <w:tabs>
                <w:tab w:val="decimal" w:pos="737"/>
              </w:tabs>
              <w:rPr>
                <w:lang w:eastAsia="en-AU"/>
              </w:rPr>
            </w:pPr>
            <w:r w:rsidRPr="00A03E1A">
              <w:rPr>
                <w:lang w:eastAsia="en-AU"/>
              </w:rPr>
              <w:t>111.32</w:t>
            </w:r>
            <w:r>
              <w:rPr>
                <w:lang w:eastAsia="en-AU"/>
              </w:rPr>
              <w:t>0</w:t>
            </w:r>
          </w:p>
        </w:tc>
        <w:tc>
          <w:tcPr>
            <w:tcW w:w="994" w:type="pct"/>
            <w:tcBorders>
              <w:top w:val="nil"/>
              <w:left w:val="nil"/>
              <w:bottom w:val="nil"/>
              <w:right w:val="nil"/>
            </w:tcBorders>
            <w:shd w:val="clear" w:color="auto" w:fill="auto"/>
            <w:noWrap/>
            <w:hideMark/>
          </w:tcPr>
          <w:p w:rsidR="00282739" w:rsidRPr="00A03E1A" w:rsidRDefault="00282739" w:rsidP="003C6043">
            <w:pPr>
              <w:pStyle w:val="Tabletext"/>
              <w:tabs>
                <w:tab w:val="decimal" w:pos="709"/>
              </w:tabs>
              <w:rPr>
                <w:lang w:eastAsia="en-AU"/>
              </w:rPr>
            </w:pPr>
            <w:r w:rsidRPr="00A03E1A">
              <w:rPr>
                <w:lang w:eastAsia="en-AU"/>
              </w:rPr>
              <w:t>19.311</w:t>
            </w:r>
          </w:p>
        </w:tc>
        <w:tc>
          <w:tcPr>
            <w:tcW w:w="994" w:type="pct"/>
            <w:tcBorders>
              <w:top w:val="nil"/>
              <w:left w:val="nil"/>
              <w:bottom w:val="nil"/>
              <w:right w:val="nil"/>
            </w:tcBorders>
            <w:shd w:val="clear" w:color="auto" w:fill="auto"/>
            <w:noWrap/>
            <w:hideMark/>
          </w:tcPr>
          <w:p w:rsidR="00282739" w:rsidRPr="00A03E1A" w:rsidRDefault="00282739" w:rsidP="003C6043">
            <w:pPr>
              <w:pStyle w:val="Tabletext"/>
              <w:tabs>
                <w:tab w:val="decimal" w:pos="709"/>
              </w:tabs>
              <w:rPr>
                <w:lang w:eastAsia="en-AU"/>
              </w:rPr>
            </w:pPr>
            <w:r w:rsidRPr="00A03E1A">
              <w:rPr>
                <w:lang w:eastAsia="en-AU"/>
              </w:rPr>
              <w:t>92.008</w:t>
            </w:r>
          </w:p>
        </w:tc>
      </w:tr>
      <w:tr w:rsidR="00282739" w:rsidRPr="00A03E1A" w:rsidTr="003C6043">
        <w:trPr>
          <w:trHeight w:val="315"/>
        </w:trPr>
        <w:tc>
          <w:tcPr>
            <w:tcW w:w="2017" w:type="pct"/>
            <w:tcBorders>
              <w:top w:val="nil"/>
              <w:left w:val="nil"/>
              <w:bottom w:val="dashSmallGap" w:sz="4" w:space="0" w:color="auto"/>
              <w:right w:val="nil"/>
            </w:tcBorders>
            <w:shd w:val="clear" w:color="auto" w:fill="auto"/>
            <w:hideMark/>
          </w:tcPr>
          <w:p w:rsidR="00282739" w:rsidRPr="00093E2B" w:rsidRDefault="00282739" w:rsidP="003C6043">
            <w:pPr>
              <w:pStyle w:val="Tabletext"/>
              <w:rPr>
                <w:lang w:eastAsia="en-AU"/>
              </w:rPr>
            </w:pPr>
            <w:r w:rsidRPr="00093E2B">
              <w:rPr>
                <w:lang w:eastAsia="en-AU"/>
              </w:rPr>
              <w:t>Did not enrol in a VCE VET subject</w:t>
            </w:r>
          </w:p>
        </w:tc>
        <w:tc>
          <w:tcPr>
            <w:tcW w:w="994" w:type="pct"/>
            <w:tcBorders>
              <w:top w:val="nil"/>
              <w:left w:val="nil"/>
              <w:bottom w:val="dashSmallGap" w:sz="4" w:space="0" w:color="auto"/>
              <w:right w:val="nil"/>
            </w:tcBorders>
            <w:shd w:val="clear" w:color="auto" w:fill="auto"/>
            <w:hideMark/>
          </w:tcPr>
          <w:p w:rsidR="00282739" w:rsidRPr="00A03E1A" w:rsidRDefault="00282739" w:rsidP="003C6043">
            <w:pPr>
              <w:pStyle w:val="Tabletext"/>
              <w:tabs>
                <w:tab w:val="decimal" w:pos="737"/>
              </w:tabs>
              <w:rPr>
                <w:lang w:eastAsia="en-AU"/>
              </w:rPr>
            </w:pPr>
            <w:r w:rsidRPr="00A03E1A">
              <w:rPr>
                <w:lang w:eastAsia="en-AU"/>
              </w:rPr>
              <w:t>116.939</w:t>
            </w:r>
          </w:p>
        </w:tc>
        <w:tc>
          <w:tcPr>
            <w:tcW w:w="994" w:type="pct"/>
            <w:tcBorders>
              <w:top w:val="nil"/>
              <w:left w:val="nil"/>
              <w:bottom w:val="dashSmallGap" w:sz="4" w:space="0" w:color="auto"/>
              <w:right w:val="nil"/>
            </w:tcBorders>
            <w:shd w:val="clear" w:color="auto" w:fill="auto"/>
            <w:noWrap/>
            <w:hideMark/>
          </w:tcPr>
          <w:p w:rsidR="00282739" w:rsidRPr="00A03E1A" w:rsidRDefault="00282739" w:rsidP="003C6043">
            <w:pPr>
              <w:pStyle w:val="Tabletext"/>
              <w:tabs>
                <w:tab w:val="decimal" w:pos="709"/>
              </w:tabs>
              <w:rPr>
                <w:lang w:eastAsia="en-AU"/>
              </w:rPr>
            </w:pPr>
            <w:r w:rsidRPr="00A03E1A">
              <w:rPr>
                <w:lang w:eastAsia="en-AU"/>
              </w:rPr>
              <w:t>23.297</w:t>
            </w:r>
          </w:p>
        </w:tc>
        <w:tc>
          <w:tcPr>
            <w:tcW w:w="994" w:type="pct"/>
            <w:tcBorders>
              <w:top w:val="nil"/>
              <w:left w:val="nil"/>
              <w:bottom w:val="dashSmallGap" w:sz="4" w:space="0" w:color="auto"/>
              <w:right w:val="nil"/>
            </w:tcBorders>
            <w:shd w:val="clear" w:color="auto" w:fill="auto"/>
            <w:noWrap/>
            <w:hideMark/>
          </w:tcPr>
          <w:p w:rsidR="00282739" w:rsidRPr="00A03E1A" w:rsidRDefault="00282739" w:rsidP="003C6043">
            <w:pPr>
              <w:pStyle w:val="Tabletext"/>
              <w:tabs>
                <w:tab w:val="decimal" w:pos="709"/>
              </w:tabs>
              <w:rPr>
                <w:lang w:eastAsia="en-AU"/>
              </w:rPr>
            </w:pPr>
            <w:r w:rsidRPr="00A03E1A">
              <w:rPr>
                <w:lang w:eastAsia="en-AU"/>
              </w:rPr>
              <w:t>93.641</w:t>
            </w:r>
          </w:p>
        </w:tc>
      </w:tr>
      <w:tr w:rsidR="00282739" w:rsidRPr="004F51CD" w:rsidTr="003C6043">
        <w:trPr>
          <w:trHeight w:val="315"/>
        </w:trPr>
        <w:tc>
          <w:tcPr>
            <w:tcW w:w="2017" w:type="pct"/>
            <w:tcBorders>
              <w:top w:val="dashSmallGap" w:sz="4" w:space="0" w:color="auto"/>
              <w:left w:val="nil"/>
              <w:bottom w:val="single" w:sz="4" w:space="0" w:color="auto"/>
              <w:right w:val="nil"/>
            </w:tcBorders>
            <w:shd w:val="clear" w:color="auto" w:fill="auto"/>
            <w:hideMark/>
          </w:tcPr>
          <w:p w:rsidR="00282739" w:rsidRPr="004F51CD" w:rsidRDefault="00282739" w:rsidP="003C6043">
            <w:pPr>
              <w:pStyle w:val="Tabletext"/>
              <w:rPr>
                <w:i/>
                <w:lang w:eastAsia="en-AU"/>
              </w:rPr>
            </w:pPr>
            <w:r w:rsidRPr="004F51CD">
              <w:rPr>
                <w:i/>
                <w:lang w:eastAsia="en-AU"/>
              </w:rPr>
              <w:t>Difference (ATET)</w:t>
            </w:r>
          </w:p>
        </w:tc>
        <w:tc>
          <w:tcPr>
            <w:tcW w:w="994" w:type="pct"/>
            <w:tcBorders>
              <w:top w:val="dashSmallGap" w:sz="4" w:space="0" w:color="auto"/>
              <w:left w:val="nil"/>
              <w:bottom w:val="single" w:sz="4" w:space="0" w:color="auto"/>
              <w:right w:val="nil"/>
            </w:tcBorders>
            <w:shd w:val="clear" w:color="auto" w:fill="auto"/>
            <w:hideMark/>
          </w:tcPr>
          <w:p w:rsidR="00282739" w:rsidRPr="004F51CD" w:rsidRDefault="00282739" w:rsidP="003C6043">
            <w:pPr>
              <w:pStyle w:val="Tabletext"/>
              <w:tabs>
                <w:tab w:val="decimal" w:pos="737"/>
              </w:tabs>
              <w:rPr>
                <w:i/>
                <w:lang w:eastAsia="en-AU"/>
              </w:rPr>
            </w:pPr>
            <w:r w:rsidRPr="004F51CD">
              <w:rPr>
                <w:i/>
                <w:lang w:eastAsia="en-AU"/>
              </w:rPr>
              <w:t>-5.618***</w:t>
            </w:r>
          </w:p>
        </w:tc>
        <w:tc>
          <w:tcPr>
            <w:tcW w:w="994" w:type="pct"/>
            <w:tcBorders>
              <w:top w:val="dashSmallGap" w:sz="4" w:space="0" w:color="auto"/>
              <w:left w:val="nil"/>
              <w:bottom w:val="single" w:sz="4" w:space="0" w:color="auto"/>
              <w:right w:val="nil"/>
            </w:tcBorders>
            <w:shd w:val="clear" w:color="auto" w:fill="auto"/>
            <w:noWrap/>
            <w:hideMark/>
          </w:tcPr>
          <w:p w:rsidR="00282739" w:rsidRPr="004F51CD" w:rsidRDefault="00282739" w:rsidP="003C6043">
            <w:pPr>
              <w:pStyle w:val="Tabletext"/>
              <w:tabs>
                <w:tab w:val="decimal" w:pos="709"/>
              </w:tabs>
              <w:rPr>
                <w:i/>
                <w:lang w:eastAsia="en-AU"/>
              </w:rPr>
            </w:pPr>
            <w:r w:rsidRPr="004F51CD">
              <w:rPr>
                <w:i/>
                <w:lang w:eastAsia="en-AU"/>
              </w:rPr>
              <w:t>-3.985***</w:t>
            </w:r>
          </w:p>
        </w:tc>
        <w:tc>
          <w:tcPr>
            <w:tcW w:w="994" w:type="pct"/>
            <w:tcBorders>
              <w:top w:val="dashSmallGap" w:sz="4" w:space="0" w:color="auto"/>
              <w:left w:val="nil"/>
              <w:bottom w:val="single" w:sz="4" w:space="0" w:color="auto"/>
              <w:right w:val="nil"/>
            </w:tcBorders>
            <w:shd w:val="clear" w:color="auto" w:fill="auto"/>
            <w:noWrap/>
            <w:hideMark/>
          </w:tcPr>
          <w:p w:rsidR="00282739" w:rsidRPr="004F51CD" w:rsidRDefault="00282739" w:rsidP="003C6043">
            <w:pPr>
              <w:pStyle w:val="Tabletext"/>
              <w:tabs>
                <w:tab w:val="decimal" w:pos="709"/>
              </w:tabs>
              <w:rPr>
                <w:i/>
                <w:lang w:eastAsia="en-AU"/>
              </w:rPr>
            </w:pPr>
            <w:r w:rsidRPr="004F51CD">
              <w:rPr>
                <w:i/>
                <w:lang w:eastAsia="en-AU"/>
              </w:rPr>
              <w:t>-1.632***</w:t>
            </w:r>
          </w:p>
        </w:tc>
      </w:tr>
    </w:tbl>
    <w:p w:rsidR="00282739" w:rsidRDefault="00282739" w:rsidP="00282739">
      <w:pPr>
        <w:pStyle w:val="Source"/>
        <w:rPr>
          <w:i/>
          <w:iCs/>
        </w:rPr>
      </w:pPr>
      <w:r>
        <w:t>Note:</w:t>
      </w:r>
      <w:r>
        <w:tab/>
        <w:t>***Significant at 1%.</w:t>
      </w:r>
    </w:p>
    <w:p w:rsidR="00282739" w:rsidRDefault="00282739" w:rsidP="00282739">
      <w:pPr>
        <w:pStyle w:val="Textmorebefore"/>
      </w:pPr>
      <w:r>
        <w:t>It is clear from the results in table 7 that most of the gap in test scores arises because of low scores in VCE VET. For students who take a VCE VET subject, on average, their VET subject contributes 19 points out of a maximum 50 to their university entry score, compared with an average of around 23 points in all of their other subjects (92.008 divided by four). The average subject contribution of 23 points in subjects apart from VET is only marginally smaller than the per-subject contribution for students who do not take VCE VET subjects (23.41). It is important to note that these scores are average contributions to the university entry score and not average scores: they take into account the different weighting given to subjects in making up individual entry scores.</w:t>
      </w:r>
      <w:r>
        <w:rPr>
          <w:rStyle w:val="FootnoteReference"/>
        </w:rPr>
        <w:footnoteReference w:id="17"/>
      </w:r>
      <w:r>
        <w:t xml:space="preserve"> </w:t>
      </w:r>
    </w:p>
    <w:p w:rsidR="00282739" w:rsidRDefault="00282739" w:rsidP="00282739">
      <w:pPr>
        <w:pStyle w:val="Text"/>
      </w:pPr>
      <w:r>
        <w:t>Overall, we can conclude that of the six-point reduction in university entry scores associated with taking a VCE VET subject (table 6), around four points (or 70%) can be attributed to the direct effect and the remainder due to indirect effects. We cannot be sure of the origin of the direct and indirect effects and there may be a number of different explanations. The negative direct effect includes: excessive down-scaling of VCE VET subjects; the onerous training commitments associated with VET qualifications; and/or because students who intend to go to university are not well suited to these subjects. A possible explanation for the negative indirect effect is that performance in other subjects is affected by onerous off-campus training commitments. While schools try to minimise any disruptive impact that off-campus training has on academic achievement, we cannot rule out this possibility</w:t>
      </w:r>
      <w:r w:rsidRPr="00A25FFC">
        <w:t xml:space="preserve"> </w:t>
      </w:r>
      <w:r>
        <w:t>because no data are available on the time spent in off-campus training.</w:t>
      </w:r>
    </w:p>
    <w:p w:rsidR="00282739" w:rsidRDefault="00282739" w:rsidP="00282739">
      <w:pPr>
        <w:pStyle w:val="Text"/>
      </w:pPr>
      <w:r>
        <w:t>The decomposition results tell us something about the contribution of uncontrolled-for factors in explaining our results. In this study, we cannot rule out the possibility that the lower average entry score for VCE VET students is due to differences in factors that are not controlled for and which affect entry scores. That said, the dominance of the direct effect suggests that this is unlikely</w:t>
      </w:r>
      <w:r w:rsidRPr="00F4529D">
        <w:t xml:space="preserve">. If there are uncontrolled differences in factors that lead to lower entry scores for VCE VET students, then to explain the entire gap, they must have a disproportionately </w:t>
      </w:r>
      <w:r w:rsidRPr="00F4529D">
        <w:rPr>
          <w:i/>
        </w:rPr>
        <w:t xml:space="preserve">negative </w:t>
      </w:r>
      <w:r w:rsidRPr="00F4529D">
        <w:t xml:space="preserve">effect on scores in VCE VET </w:t>
      </w:r>
      <w:r w:rsidRPr="00F4529D">
        <w:lastRenderedPageBreak/>
        <w:t xml:space="preserve">subjects compared with scores in other subjects. The difference in preferences is an example of an uncontrolled-for factor that may disproportionately affect performance in VCE VET. However, differences in preferences are likely to disproportionately </w:t>
      </w:r>
      <w:r w:rsidRPr="00F4529D">
        <w:rPr>
          <w:i/>
        </w:rPr>
        <w:t xml:space="preserve">increase </w:t>
      </w:r>
      <w:r w:rsidRPr="00F4529D">
        <w:t>performance in VCE VET subjects. At the most, if we assume that all of the indirect effect can be explained by uncontrolled-for differences between the two groups and that uncontrolled-for factors impact on scores in all subjects equally, then uncontrolled-for factors would only account for around a third of the estimated gap in university entry scores</w:t>
      </w:r>
      <w:r>
        <w:t>.</w:t>
      </w:r>
      <w:r>
        <w:rPr>
          <w:rStyle w:val="FootnoteReference"/>
        </w:rPr>
        <w:footnoteReference w:id="18"/>
      </w:r>
    </w:p>
    <w:p w:rsidR="00282739" w:rsidRDefault="00282739" w:rsidP="00282739">
      <w:pPr>
        <w:pStyle w:val="Heading2"/>
        <w:rPr>
          <w:rFonts w:ascii="Arial" w:hAnsi="Arial" w:cs="Arial"/>
          <w:b/>
          <w:bCs/>
          <w:sz w:val="16"/>
          <w:szCs w:val="16"/>
        </w:rPr>
      </w:pPr>
      <w:bookmarkStart w:id="55" w:name="_Toc402794964"/>
      <w:r w:rsidRPr="00323D0E">
        <w:t xml:space="preserve">Results by VCE VET </w:t>
      </w:r>
      <w:r>
        <w:t>subject group</w:t>
      </w:r>
      <w:bookmarkEnd w:id="55"/>
    </w:p>
    <w:p w:rsidR="00282739" w:rsidRDefault="00282739" w:rsidP="00282739">
      <w:pPr>
        <w:pStyle w:val="Text"/>
      </w:pPr>
      <w:r>
        <w:t>The results in table 8 show the estimated relationships between enrolling in different subject groupings (presented in the methodology section) and university entry scores for students who intend to go to university. A point of note when interpreting the results in table 8 is that the small number of observations by subject group means that the results are estimated with less precision than in tables 6 and 7. Overall, the results by subject group are either insignificant or significant and negative. Consistent with the aggregate results presented in table 6, the negative results are driven more by negative direct than indirect effects. The largest negative relationships are from taking VCE VET subjects in engineering and technology; community; outdoor and recreation; and hospitality, which are associated with seven-point, six-point and six-point lower university entry scores respectively. Wh</w:t>
      </w:r>
      <w:r w:rsidRPr="00EC73B9">
        <w:t>ile these impacts are driven mostly by direct effects, there is variation in the indirect effects that explain some of the differences in impacts across subjects. Of note, we find some evidence of positive, albeit insignificant, indirect effects in dance and music and information technology that suggest that the skills developed in these subjects may benefit learning in other general subjects. For example, taking the VCE VET subject music may help in the learning of music performance, a general course that it is comm</w:t>
      </w:r>
      <w:r>
        <w:t xml:space="preserve">only combined with studio arts (table B5 in appendix B).  </w:t>
      </w:r>
    </w:p>
    <w:p w:rsidR="00282739" w:rsidRDefault="00282739" w:rsidP="00282739">
      <w:pPr>
        <w:spacing w:before="0" w:line="240" w:lineRule="auto"/>
        <w:rPr>
          <w:rFonts w:ascii="Tahoma" w:hAnsi="Tahoma"/>
          <w:b/>
          <w:sz w:val="17"/>
        </w:rPr>
      </w:pPr>
      <w:r>
        <w:br w:type="page"/>
      </w:r>
    </w:p>
    <w:p w:rsidR="00282739" w:rsidRDefault="00282739" w:rsidP="00282739">
      <w:pPr>
        <w:pStyle w:val="tabletitle"/>
      </w:pPr>
      <w:bookmarkStart w:id="56" w:name="_Toc402794981"/>
      <w:r>
        <w:lastRenderedPageBreak/>
        <w:t>Table 8</w:t>
      </w:r>
      <w:r>
        <w:tab/>
        <w:t xml:space="preserve">Estimated impacts from taking individual VCE VET subjects on university entry scores (out of a </w:t>
      </w:r>
      <w:r w:rsidRPr="00FB4833">
        <w:t>maximum</w:t>
      </w:r>
      <w:r>
        <w:t xml:space="preserve"> of 205) of those who intend to go to university, Kernell matching</w:t>
      </w:r>
      <w:bookmarkEnd w:id="56"/>
    </w:p>
    <w:tbl>
      <w:tblPr>
        <w:tblW w:w="8789" w:type="dxa"/>
        <w:tblInd w:w="108" w:type="dxa"/>
        <w:tblLayout w:type="fixed"/>
        <w:tblLook w:val="04A0" w:firstRow="1" w:lastRow="0" w:firstColumn="1" w:lastColumn="0" w:noHBand="0" w:noVBand="1"/>
      </w:tblPr>
      <w:tblGrid>
        <w:gridCol w:w="3970"/>
        <w:gridCol w:w="1607"/>
        <w:gridCol w:w="1607"/>
        <w:gridCol w:w="1605"/>
      </w:tblGrid>
      <w:tr w:rsidR="00282739" w:rsidRPr="000A0FA8" w:rsidTr="003C6043">
        <w:tc>
          <w:tcPr>
            <w:tcW w:w="2259" w:type="pct"/>
            <w:tcBorders>
              <w:top w:val="single" w:sz="4" w:space="0" w:color="auto"/>
              <w:left w:val="nil"/>
              <w:bottom w:val="single" w:sz="4" w:space="0" w:color="auto"/>
              <w:right w:val="nil"/>
            </w:tcBorders>
            <w:shd w:val="clear" w:color="auto" w:fill="auto"/>
            <w:noWrap/>
            <w:hideMark/>
          </w:tcPr>
          <w:p w:rsidR="00282739" w:rsidRPr="000A0FA8" w:rsidRDefault="00282739" w:rsidP="003C6043">
            <w:pPr>
              <w:pStyle w:val="Tablehead1"/>
              <w:rPr>
                <w:lang w:eastAsia="en-AU"/>
              </w:rPr>
            </w:pPr>
            <w:r w:rsidRPr="000A0FA8">
              <w:rPr>
                <w:lang w:eastAsia="en-AU"/>
              </w:rPr>
              <w:t>VCE VET status</w:t>
            </w:r>
          </w:p>
        </w:tc>
        <w:tc>
          <w:tcPr>
            <w:tcW w:w="914" w:type="pct"/>
            <w:tcBorders>
              <w:top w:val="single" w:sz="4" w:space="0" w:color="auto"/>
              <w:left w:val="nil"/>
              <w:bottom w:val="single" w:sz="4" w:space="0" w:color="auto"/>
              <w:right w:val="nil"/>
            </w:tcBorders>
            <w:shd w:val="clear" w:color="auto" w:fill="auto"/>
            <w:noWrap/>
            <w:hideMark/>
          </w:tcPr>
          <w:p w:rsidR="00282739" w:rsidRPr="000A0FA8" w:rsidRDefault="00282739" w:rsidP="003C6043">
            <w:pPr>
              <w:pStyle w:val="Tablehead1"/>
              <w:jc w:val="center"/>
              <w:rPr>
                <w:lang w:eastAsia="en-AU"/>
              </w:rPr>
            </w:pPr>
            <w:r w:rsidRPr="000A0FA8">
              <w:rPr>
                <w:lang w:eastAsia="en-AU"/>
              </w:rPr>
              <w:t>Total</w:t>
            </w:r>
          </w:p>
        </w:tc>
        <w:tc>
          <w:tcPr>
            <w:tcW w:w="914" w:type="pct"/>
            <w:tcBorders>
              <w:top w:val="single" w:sz="4" w:space="0" w:color="auto"/>
              <w:left w:val="nil"/>
              <w:bottom w:val="single" w:sz="4" w:space="0" w:color="auto"/>
              <w:right w:val="nil"/>
            </w:tcBorders>
            <w:shd w:val="clear" w:color="auto" w:fill="auto"/>
            <w:noWrap/>
            <w:hideMark/>
          </w:tcPr>
          <w:p w:rsidR="00282739" w:rsidRPr="000A0FA8" w:rsidRDefault="00282739" w:rsidP="003C6043">
            <w:pPr>
              <w:pStyle w:val="Tablehead1"/>
              <w:jc w:val="center"/>
              <w:rPr>
                <w:lang w:eastAsia="en-AU"/>
              </w:rPr>
            </w:pPr>
            <w:r>
              <w:rPr>
                <w:lang w:eastAsia="en-AU"/>
              </w:rPr>
              <w:t>Direct e</w:t>
            </w:r>
            <w:r w:rsidRPr="000A0FA8">
              <w:rPr>
                <w:lang w:eastAsia="en-AU"/>
              </w:rPr>
              <w:t>ffect</w:t>
            </w:r>
          </w:p>
        </w:tc>
        <w:tc>
          <w:tcPr>
            <w:tcW w:w="914" w:type="pct"/>
            <w:tcBorders>
              <w:top w:val="single" w:sz="4" w:space="0" w:color="auto"/>
              <w:left w:val="nil"/>
              <w:bottom w:val="single" w:sz="4" w:space="0" w:color="auto"/>
              <w:right w:val="nil"/>
            </w:tcBorders>
            <w:shd w:val="clear" w:color="auto" w:fill="auto"/>
            <w:noWrap/>
            <w:hideMark/>
          </w:tcPr>
          <w:p w:rsidR="00282739" w:rsidRPr="000A0FA8" w:rsidRDefault="00282739" w:rsidP="003C6043">
            <w:pPr>
              <w:pStyle w:val="Tablehead1"/>
              <w:jc w:val="center"/>
              <w:rPr>
                <w:lang w:eastAsia="en-AU"/>
              </w:rPr>
            </w:pPr>
            <w:r>
              <w:rPr>
                <w:lang w:eastAsia="en-AU"/>
              </w:rPr>
              <w:t>Indirect e</w:t>
            </w:r>
            <w:r w:rsidRPr="000A0FA8">
              <w:rPr>
                <w:lang w:eastAsia="en-AU"/>
              </w:rPr>
              <w:t>ffect</w:t>
            </w:r>
          </w:p>
        </w:tc>
      </w:tr>
      <w:tr w:rsidR="00282739" w:rsidRPr="0052331C" w:rsidTr="003C6043">
        <w:tc>
          <w:tcPr>
            <w:tcW w:w="2259" w:type="pct"/>
            <w:tcBorders>
              <w:top w:val="nil"/>
              <w:left w:val="nil"/>
              <w:bottom w:val="nil"/>
              <w:right w:val="nil"/>
            </w:tcBorders>
            <w:shd w:val="clear" w:color="auto" w:fill="auto"/>
            <w:noWrap/>
            <w:hideMark/>
          </w:tcPr>
          <w:p w:rsidR="00282739" w:rsidRPr="0052331C" w:rsidRDefault="00282739" w:rsidP="003C6043">
            <w:pPr>
              <w:pStyle w:val="Tabletext"/>
              <w:spacing w:before="80"/>
              <w:rPr>
                <w:b/>
              </w:rPr>
            </w:pPr>
            <w:r w:rsidRPr="0052331C">
              <w:rPr>
                <w:b/>
              </w:rPr>
              <w:t>Business and finance</w:t>
            </w:r>
          </w:p>
        </w:tc>
        <w:tc>
          <w:tcPr>
            <w:tcW w:w="914" w:type="pct"/>
            <w:tcBorders>
              <w:top w:val="nil"/>
              <w:left w:val="nil"/>
              <w:bottom w:val="nil"/>
              <w:right w:val="nil"/>
            </w:tcBorders>
            <w:shd w:val="clear" w:color="auto" w:fill="auto"/>
            <w:noWrap/>
            <w:hideMark/>
          </w:tcPr>
          <w:p w:rsidR="00282739" w:rsidRPr="0052331C" w:rsidRDefault="00282739" w:rsidP="003C6043">
            <w:pPr>
              <w:pStyle w:val="Tabletext"/>
              <w:spacing w:before="80"/>
            </w:pPr>
          </w:p>
        </w:tc>
        <w:tc>
          <w:tcPr>
            <w:tcW w:w="914" w:type="pct"/>
            <w:tcBorders>
              <w:top w:val="nil"/>
              <w:left w:val="nil"/>
              <w:bottom w:val="nil"/>
              <w:right w:val="nil"/>
            </w:tcBorders>
            <w:shd w:val="clear" w:color="auto" w:fill="auto"/>
            <w:noWrap/>
            <w:hideMark/>
          </w:tcPr>
          <w:p w:rsidR="00282739" w:rsidRPr="0052331C" w:rsidRDefault="00282739" w:rsidP="003C6043">
            <w:pPr>
              <w:pStyle w:val="Tabletext"/>
              <w:spacing w:before="80"/>
            </w:pPr>
          </w:p>
        </w:tc>
        <w:tc>
          <w:tcPr>
            <w:tcW w:w="914" w:type="pct"/>
            <w:tcBorders>
              <w:top w:val="nil"/>
              <w:left w:val="nil"/>
              <w:bottom w:val="nil"/>
              <w:right w:val="nil"/>
            </w:tcBorders>
            <w:shd w:val="clear" w:color="auto" w:fill="auto"/>
            <w:noWrap/>
            <w:hideMark/>
          </w:tcPr>
          <w:p w:rsidR="00282739" w:rsidRPr="0052331C" w:rsidRDefault="00282739" w:rsidP="003C6043">
            <w:pPr>
              <w:pStyle w:val="Tabletext"/>
              <w:spacing w:before="80"/>
            </w:pPr>
          </w:p>
        </w:tc>
      </w:tr>
      <w:tr w:rsidR="00282739" w:rsidRPr="000A0FA8" w:rsidTr="003C6043">
        <w:tc>
          <w:tcPr>
            <w:tcW w:w="2259" w:type="pct"/>
            <w:tcBorders>
              <w:top w:val="nil"/>
              <w:left w:val="nil"/>
              <w:bottom w:val="nil"/>
              <w:right w:val="nil"/>
            </w:tcBorders>
            <w:shd w:val="clear" w:color="auto" w:fill="auto"/>
            <w:noWrap/>
            <w:hideMark/>
          </w:tcPr>
          <w:p w:rsidR="00282739" w:rsidRPr="000A0FA8" w:rsidRDefault="00282739" w:rsidP="003C6043">
            <w:pPr>
              <w:pStyle w:val="Tabletext"/>
              <w:rPr>
                <w:lang w:eastAsia="en-AU"/>
              </w:rPr>
            </w:pPr>
            <w:r w:rsidRPr="000A0FA8">
              <w:rPr>
                <w:lang w:eastAsia="en-AU"/>
              </w:rPr>
              <w:t xml:space="preserve">Enrolled in a VCE VET </w:t>
            </w:r>
            <w:r>
              <w:rPr>
                <w:lang w:eastAsia="en-AU"/>
              </w:rPr>
              <w:t>subject</w:t>
            </w:r>
            <w:r w:rsidRPr="000A0FA8">
              <w:rPr>
                <w:vertAlign w:val="superscript"/>
                <w:lang w:eastAsia="en-AU"/>
              </w:rPr>
              <w:t>a</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108.16</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20.762</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87.398</w:t>
            </w:r>
          </w:p>
        </w:tc>
      </w:tr>
      <w:tr w:rsidR="00282739" w:rsidRPr="000A0FA8" w:rsidTr="003C6043">
        <w:tc>
          <w:tcPr>
            <w:tcW w:w="2259" w:type="pct"/>
            <w:tcBorders>
              <w:top w:val="nil"/>
              <w:left w:val="nil"/>
              <w:bottom w:val="nil"/>
              <w:right w:val="nil"/>
            </w:tcBorders>
            <w:shd w:val="clear" w:color="auto" w:fill="auto"/>
            <w:noWrap/>
            <w:hideMark/>
          </w:tcPr>
          <w:p w:rsidR="00282739" w:rsidRPr="000A0FA8" w:rsidRDefault="00282739" w:rsidP="003C6043">
            <w:pPr>
              <w:pStyle w:val="Tabletext"/>
              <w:rPr>
                <w:lang w:eastAsia="en-AU"/>
              </w:rPr>
            </w:pPr>
            <w:r w:rsidRPr="000A0FA8">
              <w:rPr>
                <w:lang w:eastAsia="en-AU"/>
              </w:rPr>
              <w:t xml:space="preserve">Did not enrol in a VCE VET </w:t>
            </w:r>
            <w:r>
              <w:rPr>
                <w:lang w:eastAsia="en-AU"/>
              </w:rPr>
              <w:t>subject</w:t>
            </w:r>
          </w:p>
        </w:tc>
        <w:tc>
          <w:tcPr>
            <w:tcW w:w="914" w:type="pct"/>
            <w:tcBorders>
              <w:top w:val="nil"/>
              <w:left w:val="nil"/>
              <w:bottom w:val="nil"/>
              <w:right w:val="nil"/>
            </w:tcBorders>
            <w:shd w:val="clear" w:color="auto" w:fill="auto"/>
            <w:hideMark/>
          </w:tcPr>
          <w:p w:rsidR="00282739" w:rsidRPr="000A0FA8" w:rsidRDefault="00282739" w:rsidP="003C6043">
            <w:pPr>
              <w:pStyle w:val="Tabletext"/>
              <w:tabs>
                <w:tab w:val="decimal" w:pos="624"/>
              </w:tabs>
              <w:rPr>
                <w:lang w:eastAsia="en-AU"/>
              </w:rPr>
            </w:pPr>
            <w:r w:rsidRPr="000A0FA8">
              <w:rPr>
                <w:lang w:eastAsia="en-AU"/>
              </w:rPr>
              <w:t>111.664</w:t>
            </w:r>
          </w:p>
        </w:tc>
        <w:tc>
          <w:tcPr>
            <w:tcW w:w="914" w:type="pct"/>
            <w:tcBorders>
              <w:top w:val="nil"/>
              <w:left w:val="nil"/>
              <w:bottom w:val="nil"/>
              <w:right w:val="nil"/>
            </w:tcBorders>
            <w:shd w:val="clear" w:color="auto" w:fill="auto"/>
            <w:hideMark/>
          </w:tcPr>
          <w:p w:rsidR="00282739" w:rsidRPr="000A0FA8" w:rsidRDefault="00282739" w:rsidP="003C6043">
            <w:pPr>
              <w:pStyle w:val="Tabletext"/>
              <w:tabs>
                <w:tab w:val="decimal" w:pos="624"/>
              </w:tabs>
              <w:rPr>
                <w:lang w:eastAsia="en-AU"/>
              </w:rPr>
            </w:pPr>
            <w:r w:rsidRPr="000A0FA8">
              <w:rPr>
                <w:lang w:eastAsia="en-AU"/>
              </w:rPr>
              <w:t>22.195</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89.469</w:t>
            </w:r>
          </w:p>
        </w:tc>
      </w:tr>
      <w:tr w:rsidR="00282739" w:rsidRPr="0052331C" w:rsidTr="003C6043">
        <w:tc>
          <w:tcPr>
            <w:tcW w:w="2259" w:type="pct"/>
            <w:tcBorders>
              <w:top w:val="nil"/>
              <w:left w:val="nil"/>
              <w:bottom w:val="nil"/>
              <w:right w:val="nil"/>
            </w:tcBorders>
            <w:shd w:val="clear" w:color="auto" w:fill="auto"/>
            <w:noWrap/>
            <w:hideMark/>
          </w:tcPr>
          <w:p w:rsidR="00282739" w:rsidRPr="0052331C" w:rsidRDefault="00282739" w:rsidP="003C6043">
            <w:pPr>
              <w:pStyle w:val="Tabletext"/>
              <w:rPr>
                <w:i/>
              </w:rPr>
            </w:pPr>
            <w:r w:rsidRPr="0052331C">
              <w:rPr>
                <w:i/>
              </w:rPr>
              <w:t>Difference (ATET)</w:t>
            </w:r>
          </w:p>
        </w:tc>
        <w:tc>
          <w:tcPr>
            <w:tcW w:w="914" w:type="pct"/>
            <w:tcBorders>
              <w:top w:val="nil"/>
              <w:left w:val="nil"/>
              <w:bottom w:val="nil"/>
              <w:right w:val="nil"/>
            </w:tcBorders>
            <w:shd w:val="clear" w:color="auto" w:fill="auto"/>
            <w:hideMark/>
          </w:tcPr>
          <w:p w:rsidR="00282739" w:rsidRPr="0052331C" w:rsidRDefault="00282739" w:rsidP="003C6043">
            <w:pPr>
              <w:pStyle w:val="Tabletext"/>
              <w:tabs>
                <w:tab w:val="decimal" w:pos="624"/>
              </w:tabs>
              <w:rPr>
                <w:i/>
              </w:rPr>
            </w:pPr>
            <w:r w:rsidRPr="0052331C">
              <w:rPr>
                <w:i/>
              </w:rPr>
              <w:t>-3.503</w:t>
            </w:r>
          </w:p>
        </w:tc>
        <w:tc>
          <w:tcPr>
            <w:tcW w:w="914" w:type="pct"/>
            <w:tcBorders>
              <w:top w:val="nil"/>
              <w:left w:val="nil"/>
              <w:bottom w:val="nil"/>
              <w:right w:val="nil"/>
            </w:tcBorders>
            <w:shd w:val="clear" w:color="auto" w:fill="auto"/>
            <w:hideMark/>
          </w:tcPr>
          <w:p w:rsidR="00282739" w:rsidRPr="0052331C" w:rsidRDefault="00282739" w:rsidP="003C6043">
            <w:pPr>
              <w:pStyle w:val="Tabletext"/>
              <w:tabs>
                <w:tab w:val="decimal" w:pos="624"/>
              </w:tabs>
              <w:rPr>
                <w:i/>
              </w:rPr>
            </w:pPr>
            <w:r w:rsidRPr="0052331C">
              <w:rPr>
                <w:i/>
              </w:rPr>
              <w:t>-1.432</w:t>
            </w:r>
          </w:p>
        </w:tc>
        <w:tc>
          <w:tcPr>
            <w:tcW w:w="914" w:type="pct"/>
            <w:tcBorders>
              <w:top w:val="nil"/>
              <w:left w:val="nil"/>
              <w:bottom w:val="nil"/>
              <w:right w:val="nil"/>
            </w:tcBorders>
            <w:shd w:val="clear" w:color="auto" w:fill="auto"/>
            <w:noWrap/>
            <w:hideMark/>
          </w:tcPr>
          <w:p w:rsidR="00282739" w:rsidRPr="0052331C" w:rsidRDefault="00282739" w:rsidP="003C6043">
            <w:pPr>
              <w:pStyle w:val="Tabletext"/>
              <w:tabs>
                <w:tab w:val="decimal" w:pos="624"/>
              </w:tabs>
              <w:rPr>
                <w:i/>
              </w:rPr>
            </w:pPr>
            <w:r w:rsidRPr="0052331C">
              <w:rPr>
                <w:i/>
              </w:rPr>
              <w:t>-2.071</w:t>
            </w:r>
          </w:p>
        </w:tc>
      </w:tr>
      <w:tr w:rsidR="00282739" w:rsidRPr="0052331C" w:rsidTr="003C6043">
        <w:tc>
          <w:tcPr>
            <w:tcW w:w="2259" w:type="pct"/>
            <w:tcBorders>
              <w:top w:val="nil"/>
              <w:left w:val="nil"/>
              <w:bottom w:val="nil"/>
              <w:right w:val="nil"/>
            </w:tcBorders>
            <w:shd w:val="clear" w:color="auto" w:fill="auto"/>
            <w:noWrap/>
            <w:hideMark/>
          </w:tcPr>
          <w:p w:rsidR="00282739" w:rsidRPr="0052331C" w:rsidRDefault="00282739" w:rsidP="003C6043">
            <w:pPr>
              <w:pStyle w:val="Tabletext"/>
              <w:spacing w:before="120"/>
              <w:rPr>
                <w:b/>
              </w:rPr>
            </w:pPr>
            <w:r w:rsidRPr="0052331C">
              <w:rPr>
                <w:b/>
              </w:rPr>
              <w:t>Community, outdoor and recreation</w:t>
            </w:r>
          </w:p>
        </w:tc>
        <w:tc>
          <w:tcPr>
            <w:tcW w:w="914" w:type="pct"/>
            <w:tcBorders>
              <w:top w:val="nil"/>
              <w:left w:val="nil"/>
              <w:bottom w:val="nil"/>
              <w:right w:val="nil"/>
            </w:tcBorders>
            <w:shd w:val="clear" w:color="auto" w:fill="auto"/>
          </w:tcPr>
          <w:p w:rsidR="00282739" w:rsidRPr="0052331C" w:rsidRDefault="00282739" w:rsidP="003C6043">
            <w:pPr>
              <w:pStyle w:val="Tabletext"/>
              <w:tabs>
                <w:tab w:val="decimal" w:pos="624"/>
              </w:tabs>
              <w:spacing w:before="120"/>
              <w:rPr>
                <w:b/>
              </w:rPr>
            </w:pPr>
          </w:p>
        </w:tc>
        <w:tc>
          <w:tcPr>
            <w:tcW w:w="914" w:type="pct"/>
            <w:tcBorders>
              <w:top w:val="nil"/>
              <w:left w:val="nil"/>
              <w:bottom w:val="nil"/>
              <w:right w:val="nil"/>
            </w:tcBorders>
            <w:shd w:val="clear" w:color="auto" w:fill="auto"/>
            <w:noWrap/>
            <w:hideMark/>
          </w:tcPr>
          <w:p w:rsidR="00282739" w:rsidRPr="0052331C" w:rsidRDefault="00282739" w:rsidP="003C6043">
            <w:pPr>
              <w:pStyle w:val="Tabletext"/>
              <w:tabs>
                <w:tab w:val="decimal" w:pos="624"/>
              </w:tabs>
              <w:spacing w:before="120"/>
            </w:pPr>
          </w:p>
        </w:tc>
        <w:tc>
          <w:tcPr>
            <w:tcW w:w="914" w:type="pct"/>
            <w:tcBorders>
              <w:top w:val="nil"/>
              <w:left w:val="nil"/>
              <w:bottom w:val="nil"/>
              <w:right w:val="nil"/>
            </w:tcBorders>
            <w:shd w:val="clear" w:color="auto" w:fill="auto"/>
            <w:noWrap/>
            <w:hideMark/>
          </w:tcPr>
          <w:p w:rsidR="00282739" w:rsidRPr="0052331C" w:rsidRDefault="00282739" w:rsidP="003C6043">
            <w:pPr>
              <w:pStyle w:val="Tabletext"/>
              <w:tabs>
                <w:tab w:val="decimal" w:pos="624"/>
              </w:tabs>
              <w:spacing w:before="120"/>
            </w:pPr>
          </w:p>
        </w:tc>
      </w:tr>
      <w:tr w:rsidR="00282739" w:rsidRPr="000A0FA8" w:rsidTr="003C6043">
        <w:tc>
          <w:tcPr>
            <w:tcW w:w="2259" w:type="pct"/>
            <w:tcBorders>
              <w:top w:val="nil"/>
              <w:left w:val="nil"/>
              <w:bottom w:val="nil"/>
              <w:right w:val="nil"/>
            </w:tcBorders>
            <w:shd w:val="clear" w:color="auto" w:fill="auto"/>
            <w:noWrap/>
            <w:hideMark/>
          </w:tcPr>
          <w:p w:rsidR="00282739" w:rsidRPr="000A0FA8" w:rsidRDefault="00282739" w:rsidP="003C6043">
            <w:pPr>
              <w:pStyle w:val="Tabletext"/>
              <w:rPr>
                <w:lang w:eastAsia="en-AU"/>
              </w:rPr>
            </w:pPr>
            <w:r w:rsidRPr="000A0FA8">
              <w:rPr>
                <w:lang w:eastAsia="en-AU"/>
              </w:rPr>
              <w:t xml:space="preserve">Enrolled in a VCE VET </w:t>
            </w:r>
            <w:r>
              <w:rPr>
                <w:lang w:eastAsia="en-AU"/>
              </w:rPr>
              <w:t>subject</w:t>
            </w:r>
            <w:r w:rsidRPr="000A0FA8">
              <w:rPr>
                <w:vertAlign w:val="superscript"/>
                <w:lang w:eastAsia="en-AU"/>
              </w:rPr>
              <w:t>a</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105.033</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18.626</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86.407</w:t>
            </w:r>
          </w:p>
        </w:tc>
      </w:tr>
      <w:tr w:rsidR="00282739" w:rsidRPr="000A0FA8" w:rsidTr="003C6043">
        <w:tc>
          <w:tcPr>
            <w:tcW w:w="2259" w:type="pct"/>
            <w:tcBorders>
              <w:top w:val="nil"/>
              <w:left w:val="nil"/>
              <w:bottom w:val="nil"/>
              <w:right w:val="nil"/>
            </w:tcBorders>
            <w:shd w:val="clear" w:color="auto" w:fill="auto"/>
            <w:noWrap/>
            <w:hideMark/>
          </w:tcPr>
          <w:p w:rsidR="00282739" w:rsidRPr="000A0FA8" w:rsidRDefault="00282739" w:rsidP="003C6043">
            <w:pPr>
              <w:pStyle w:val="Tabletext"/>
              <w:rPr>
                <w:lang w:eastAsia="en-AU"/>
              </w:rPr>
            </w:pPr>
            <w:r w:rsidRPr="000A0FA8">
              <w:rPr>
                <w:lang w:eastAsia="en-AU"/>
              </w:rPr>
              <w:t xml:space="preserve">Did not enrol in a VCE VET </w:t>
            </w:r>
            <w:r>
              <w:rPr>
                <w:lang w:eastAsia="en-AU"/>
              </w:rPr>
              <w:t>subject</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111.529</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22.279</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89.249</w:t>
            </w:r>
          </w:p>
        </w:tc>
      </w:tr>
      <w:tr w:rsidR="00282739" w:rsidRPr="000A0FA8" w:rsidTr="003C6043">
        <w:tc>
          <w:tcPr>
            <w:tcW w:w="2259" w:type="pct"/>
            <w:tcBorders>
              <w:top w:val="nil"/>
              <w:left w:val="nil"/>
              <w:bottom w:val="nil"/>
              <w:right w:val="nil"/>
            </w:tcBorders>
            <w:shd w:val="clear" w:color="auto" w:fill="auto"/>
            <w:noWrap/>
            <w:hideMark/>
          </w:tcPr>
          <w:p w:rsidR="00282739" w:rsidRPr="000A0FA8" w:rsidRDefault="00282739" w:rsidP="003C6043">
            <w:pPr>
              <w:pStyle w:val="Tabletext"/>
              <w:rPr>
                <w:i/>
                <w:iCs/>
                <w:lang w:eastAsia="en-AU"/>
              </w:rPr>
            </w:pPr>
            <w:r w:rsidRPr="000A0FA8">
              <w:rPr>
                <w:i/>
                <w:iCs/>
                <w:lang w:eastAsia="en-AU"/>
              </w:rPr>
              <w:t>Difference (ATET)</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i/>
                <w:iCs/>
                <w:lang w:eastAsia="en-AU"/>
              </w:rPr>
            </w:pPr>
            <w:r w:rsidRPr="000A0FA8">
              <w:rPr>
                <w:i/>
                <w:iCs/>
                <w:lang w:eastAsia="en-AU"/>
              </w:rPr>
              <w:t>-6.495***</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i/>
                <w:iCs/>
                <w:lang w:eastAsia="en-AU"/>
              </w:rPr>
            </w:pPr>
            <w:r w:rsidRPr="000A0FA8">
              <w:rPr>
                <w:i/>
                <w:iCs/>
                <w:lang w:eastAsia="en-AU"/>
              </w:rPr>
              <w:t>-3.653***</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i/>
                <w:iCs/>
                <w:lang w:eastAsia="en-AU"/>
              </w:rPr>
            </w:pPr>
            <w:r w:rsidRPr="000A0FA8">
              <w:rPr>
                <w:i/>
                <w:iCs/>
                <w:lang w:eastAsia="en-AU"/>
              </w:rPr>
              <w:t>-2.841**</w:t>
            </w:r>
          </w:p>
        </w:tc>
      </w:tr>
      <w:tr w:rsidR="00282739" w:rsidRPr="0052331C" w:rsidTr="003C6043">
        <w:tc>
          <w:tcPr>
            <w:tcW w:w="2259" w:type="pct"/>
            <w:tcBorders>
              <w:top w:val="nil"/>
              <w:left w:val="nil"/>
              <w:bottom w:val="nil"/>
              <w:right w:val="nil"/>
            </w:tcBorders>
            <w:shd w:val="clear" w:color="auto" w:fill="auto"/>
            <w:noWrap/>
            <w:hideMark/>
          </w:tcPr>
          <w:p w:rsidR="00282739" w:rsidRPr="0052331C" w:rsidRDefault="00282739" w:rsidP="003C6043">
            <w:pPr>
              <w:pStyle w:val="Tabletext"/>
              <w:spacing w:before="120"/>
              <w:rPr>
                <w:b/>
              </w:rPr>
            </w:pPr>
            <w:r w:rsidRPr="0052331C">
              <w:rPr>
                <w:b/>
              </w:rPr>
              <w:t>Dance and music</w:t>
            </w:r>
          </w:p>
        </w:tc>
        <w:tc>
          <w:tcPr>
            <w:tcW w:w="914" w:type="pct"/>
            <w:tcBorders>
              <w:top w:val="nil"/>
              <w:left w:val="nil"/>
              <w:bottom w:val="nil"/>
              <w:right w:val="nil"/>
            </w:tcBorders>
            <w:shd w:val="clear" w:color="auto" w:fill="auto"/>
            <w:noWrap/>
            <w:hideMark/>
          </w:tcPr>
          <w:p w:rsidR="00282739" w:rsidRPr="0052331C" w:rsidRDefault="00282739" w:rsidP="003C6043">
            <w:pPr>
              <w:pStyle w:val="Tabletext"/>
              <w:tabs>
                <w:tab w:val="decimal" w:pos="624"/>
              </w:tabs>
              <w:spacing w:before="120"/>
            </w:pPr>
          </w:p>
        </w:tc>
        <w:tc>
          <w:tcPr>
            <w:tcW w:w="914" w:type="pct"/>
            <w:tcBorders>
              <w:top w:val="nil"/>
              <w:left w:val="nil"/>
              <w:bottom w:val="nil"/>
              <w:right w:val="nil"/>
            </w:tcBorders>
            <w:shd w:val="clear" w:color="auto" w:fill="auto"/>
            <w:noWrap/>
            <w:hideMark/>
          </w:tcPr>
          <w:p w:rsidR="00282739" w:rsidRPr="0052331C" w:rsidRDefault="00282739" w:rsidP="003C6043">
            <w:pPr>
              <w:pStyle w:val="Tabletext"/>
              <w:tabs>
                <w:tab w:val="decimal" w:pos="624"/>
              </w:tabs>
              <w:spacing w:before="120"/>
            </w:pPr>
          </w:p>
        </w:tc>
        <w:tc>
          <w:tcPr>
            <w:tcW w:w="914" w:type="pct"/>
            <w:tcBorders>
              <w:top w:val="nil"/>
              <w:left w:val="nil"/>
              <w:bottom w:val="nil"/>
              <w:right w:val="nil"/>
            </w:tcBorders>
            <w:shd w:val="clear" w:color="auto" w:fill="auto"/>
            <w:noWrap/>
            <w:hideMark/>
          </w:tcPr>
          <w:p w:rsidR="00282739" w:rsidRPr="0052331C" w:rsidRDefault="00282739" w:rsidP="003C6043">
            <w:pPr>
              <w:pStyle w:val="Tabletext"/>
              <w:tabs>
                <w:tab w:val="decimal" w:pos="624"/>
              </w:tabs>
              <w:spacing w:before="120"/>
            </w:pPr>
          </w:p>
        </w:tc>
      </w:tr>
      <w:tr w:rsidR="00282739" w:rsidRPr="000A0FA8" w:rsidTr="003C6043">
        <w:tc>
          <w:tcPr>
            <w:tcW w:w="2259" w:type="pct"/>
            <w:tcBorders>
              <w:top w:val="nil"/>
              <w:left w:val="nil"/>
              <w:bottom w:val="nil"/>
              <w:right w:val="nil"/>
            </w:tcBorders>
            <w:shd w:val="clear" w:color="auto" w:fill="auto"/>
            <w:noWrap/>
            <w:hideMark/>
          </w:tcPr>
          <w:p w:rsidR="00282739" w:rsidRPr="000A0FA8" w:rsidRDefault="00282739" w:rsidP="003C6043">
            <w:pPr>
              <w:pStyle w:val="Tabletext"/>
              <w:rPr>
                <w:lang w:eastAsia="en-AU"/>
              </w:rPr>
            </w:pPr>
            <w:r w:rsidRPr="000A0FA8">
              <w:rPr>
                <w:lang w:eastAsia="en-AU"/>
              </w:rPr>
              <w:t xml:space="preserve">Enrolled in a VCE VET </w:t>
            </w:r>
            <w:r>
              <w:rPr>
                <w:lang w:eastAsia="en-AU"/>
              </w:rPr>
              <w:t>subject</w:t>
            </w:r>
            <w:r w:rsidRPr="000A0FA8">
              <w:rPr>
                <w:vertAlign w:val="superscript"/>
                <w:lang w:eastAsia="en-AU"/>
              </w:rPr>
              <w:t>a</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118.496</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20.671</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97.825</w:t>
            </w:r>
          </w:p>
        </w:tc>
      </w:tr>
      <w:tr w:rsidR="00282739" w:rsidRPr="000A0FA8" w:rsidTr="003C6043">
        <w:tc>
          <w:tcPr>
            <w:tcW w:w="2259" w:type="pct"/>
            <w:tcBorders>
              <w:top w:val="nil"/>
              <w:left w:val="nil"/>
              <w:bottom w:val="nil"/>
              <w:right w:val="nil"/>
            </w:tcBorders>
            <w:shd w:val="clear" w:color="auto" w:fill="auto"/>
            <w:noWrap/>
            <w:hideMark/>
          </w:tcPr>
          <w:p w:rsidR="00282739" w:rsidRPr="000A0FA8" w:rsidRDefault="00282739" w:rsidP="003C6043">
            <w:pPr>
              <w:pStyle w:val="Tabletext"/>
              <w:rPr>
                <w:lang w:eastAsia="en-AU"/>
              </w:rPr>
            </w:pPr>
            <w:r w:rsidRPr="000A0FA8">
              <w:rPr>
                <w:lang w:eastAsia="en-AU"/>
              </w:rPr>
              <w:t xml:space="preserve">Did not enrol in a VCE VET </w:t>
            </w:r>
            <w:r>
              <w:rPr>
                <w:lang w:eastAsia="en-AU"/>
              </w:rPr>
              <w:t>subject</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119.713</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23.831</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95.881</w:t>
            </w:r>
          </w:p>
        </w:tc>
      </w:tr>
      <w:tr w:rsidR="00282739" w:rsidRPr="000A0FA8" w:rsidTr="003C6043">
        <w:tc>
          <w:tcPr>
            <w:tcW w:w="2259" w:type="pct"/>
            <w:tcBorders>
              <w:top w:val="nil"/>
              <w:left w:val="nil"/>
              <w:bottom w:val="nil"/>
              <w:right w:val="nil"/>
            </w:tcBorders>
            <w:shd w:val="clear" w:color="auto" w:fill="auto"/>
            <w:noWrap/>
            <w:hideMark/>
          </w:tcPr>
          <w:p w:rsidR="00282739" w:rsidRPr="000A0FA8" w:rsidRDefault="00282739" w:rsidP="003C6043">
            <w:pPr>
              <w:pStyle w:val="Tabletext"/>
              <w:rPr>
                <w:i/>
                <w:iCs/>
                <w:lang w:eastAsia="en-AU"/>
              </w:rPr>
            </w:pPr>
            <w:r w:rsidRPr="000A0FA8">
              <w:rPr>
                <w:i/>
                <w:iCs/>
                <w:lang w:eastAsia="en-AU"/>
              </w:rPr>
              <w:t>Difference (ATET)</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i/>
                <w:iCs/>
                <w:lang w:eastAsia="en-AU"/>
              </w:rPr>
            </w:pPr>
            <w:r w:rsidRPr="000A0FA8">
              <w:rPr>
                <w:i/>
                <w:iCs/>
                <w:lang w:eastAsia="en-AU"/>
              </w:rPr>
              <w:t>-1.216</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i/>
                <w:iCs/>
                <w:lang w:eastAsia="en-AU"/>
              </w:rPr>
            </w:pPr>
            <w:r w:rsidRPr="000A0FA8">
              <w:rPr>
                <w:i/>
                <w:iCs/>
                <w:lang w:eastAsia="en-AU"/>
              </w:rPr>
              <w:t>-3.160***</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i/>
                <w:iCs/>
                <w:lang w:eastAsia="en-AU"/>
              </w:rPr>
            </w:pPr>
            <w:r w:rsidRPr="000A0FA8">
              <w:rPr>
                <w:i/>
                <w:iCs/>
                <w:lang w:eastAsia="en-AU"/>
              </w:rPr>
              <w:t>1.943</w:t>
            </w:r>
          </w:p>
        </w:tc>
      </w:tr>
      <w:tr w:rsidR="00282739" w:rsidRPr="0052331C" w:rsidTr="003C6043">
        <w:tc>
          <w:tcPr>
            <w:tcW w:w="2259" w:type="pct"/>
            <w:tcBorders>
              <w:top w:val="nil"/>
              <w:left w:val="nil"/>
              <w:bottom w:val="nil"/>
              <w:right w:val="nil"/>
            </w:tcBorders>
            <w:shd w:val="clear" w:color="auto" w:fill="auto"/>
            <w:noWrap/>
            <w:hideMark/>
          </w:tcPr>
          <w:p w:rsidR="00282739" w:rsidRPr="0052331C" w:rsidRDefault="00282739" w:rsidP="003C6043">
            <w:pPr>
              <w:pStyle w:val="Tabletext"/>
              <w:spacing w:before="120"/>
              <w:rPr>
                <w:b/>
              </w:rPr>
            </w:pPr>
            <w:r w:rsidRPr="0052331C">
              <w:rPr>
                <w:b/>
              </w:rPr>
              <w:t>Engineering and technology</w:t>
            </w:r>
          </w:p>
        </w:tc>
        <w:tc>
          <w:tcPr>
            <w:tcW w:w="914" w:type="pct"/>
            <w:tcBorders>
              <w:top w:val="nil"/>
              <w:left w:val="nil"/>
              <w:bottom w:val="nil"/>
              <w:right w:val="nil"/>
            </w:tcBorders>
            <w:shd w:val="clear" w:color="auto" w:fill="auto"/>
            <w:noWrap/>
            <w:hideMark/>
          </w:tcPr>
          <w:p w:rsidR="00282739" w:rsidRPr="0052331C" w:rsidRDefault="00282739" w:rsidP="003C6043">
            <w:pPr>
              <w:pStyle w:val="Tabletext"/>
              <w:tabs>
                <w:tab w:val="decimal" w:pos="624"/>
              </w:tabs>
              <w:spacing w:before="120"/>
            </w:pPr>
          </w:p>
        </w:tc>
        <w:tc>
          <w:tcPr>
            <w:tcW w:w="914" w:type="pct"/>
            <w:tcBorders>
              <w:top w:val="nil"/>
              <w:left w:val="nil"/>
              <w:bottom w:val="nil"/>
              <w:right w:val="nil"/>
            </w:tcBorders>
            <w:shd w:val="clear" w:color="auto" w:fill="auto"/>
            <w:noWrap/>
            <w:hideMark/>
          </w:tcPr>
          <w:p w:rsidR="00282739" w:rsidRPr="0052331C" w:rsidRDefault="00282739" w:rsidP="003C6043">
            <w:pPr>
              <w:pStyle w:val="Tabletext"/>
              <w:tabs>
                <w:tab w:val="decimal" w:pos="624"/>
              </w:tabs>
              <w:spacing w:before="120"/>
            </w:pPr>
          </w:p>
        </w:tc>
        <w:tc>
          <w:tcPr>
            <w:tcW w:w="914" w:type="pct"/>
            <w:tcBorders>
              <w:top w:val="nil"/>
              <w:left w:val="nil"/>
              <w:bottom w:val="nil"/>
              <w:right w:val="nil"/>
            </w:tcBorders>
            <w:shd w:val="clear" w:color="auto" w:fill="auto"/>
            <w:noWrap/>
            <w:hideMark/>
          </w:tcPr>
          <w:p w:rsidR="00282739" w:rsidRPr="0052331C" w:rsidRDefault="00282739" w:rsidP="003C6043">
            <w:pPr>
              <w:pStyle w:val="Tabletext"/>
              <w:tabs>
                <w:tab w:val="decimal" w:pos="624"/>
              </w:tabs>
              <w:spacing w:before="120"/>
            </w:pPr>
          </w:p>
        </w:tc>
      </w:tr>
      <w:tr w:rsidR="00282739" w:rsidRPr="000A0FA8" w:rsidTr="003C6043">
        <w:tc>
          <w:tcPr>
            <w:tcW w:w="2259" w:type="pct"/>
            <w:tcBorders>
              <w:top w:val="nil"/>
              <w:left w:val="nil"/>
              <w:bottom w:val="nil"/>
              <w:right w:val="nil"/>
            </w:tcBorders>
            <w:shd w:val="clear" w:color="auto" w:fill="auto"/>
            <w:noWrap/>
            <w:hideMark/>
          </w:tcPr>
          <w:p w:rsidR="00282739" w:rsidRPr="000A0FA8" w:rsidRDefault="00282739" w:rsidP="003C6043">
            <w:pPr>
              <w:pStyle w:val="Tabletext"/>
              <w:rPr>
                <w:lang w:eastAsia="en-AU"/>
              </w:rPr>
            </w:pPr>
            <w:r w:rsidRPr="000A0FA8">
              <w:rPr>
                <w:lang w:eastAsia="en-AU"/>
              </w:rPr>
              <w:t xml:space="preserve">Enrolled in a VCE VET </w:t>
            </w:r>
            <w:r>
              <w:rPr>
                <w:lang w:eastAsia="en-AU"/>
              </w:rPr>
              <w:t>subject</w:t>
            </w:r>
            <w:r w:rsidRPr="000A0FA8">
              <w:rPr>
                <w:vertAlign w:val="superscript"/>
                <w:lang w:eastAsia="en-AU"/>
              </w:rPr>
              <w:t>a</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111.982</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18.47</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93.512</w:t>
            </w:r>
          </w:p>
        </w:tc>
      </w:tr>
      <w:tr w:rsidR="00282739" w:rsidRPr="000A0FA8" w:rsidTr="003C6043">
        <w:tc>
          <w:tcPr>
            <w:tcW w:w="2259" w:type="pct"/>
            <w:tcBorders>
              <w:top w:val="nil"/>
              <w:left w:val="nil"/>
              <w:bottom w:val="nil"/>
              <w:right w:val="nil"/>
            </w:tcBorders>
            <w:shd w:val="clear" w:color="auto" w:fill="auto"/>
            <w:noWrap/>
            <w:hideMark/>
          </w:tcPr>
          <w:p w:rsidR="00282739" w:rsidRPr="000A0FA8" w:rsidRDefault="00282739" w:rsidP="003C6043">
            <w:pPr>
              <w:pStyle w:val="Tabletext"/>
              <w:rPr>
                <w:lang w:eastAsia="en-AU"/>
              </w:rPr>
            </w:pPr>
            <w:r w:rsidRPr="000A0FA8">
              <w:rPr>
                <w:lang w:eastAsia="en-AU"/>
              </w:rPr>
              <w:t xml:space="preserve">Did not enrol in a VCE VET </w:t>
            </w:r>
            <w:r>
              <w:rPr>
                <w:lang w:eastAsia="en-AU"/>
              </w:rPr>
              <w:t>subject</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119.024</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23.615</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95.409</w:t>
            </w:r>
          </w:p>
        </w:tc>
      </w:tr>
      <w:tr w:rsidR="00282739" w:rsidRPr="000A0FA8" w:rsidTr="003C6043">
        <w:tc>
          <w:tcPr>
            <w:tcW w:w="2259" w:type="pct"/>
            <w:tcBorders>
              <w:top w:val="nil"/>
              <w:left w:val="nil"/>
              <w:bottom w:val="nil"/>
              <w:right w:val="nil"/>
            </w:tcBorders>
            <w:shd w:val="clear" w:color="auto" w:fill="auto"/>
            <w:noWrap/>
            <w:hideMark/>
          </w:tcPr>
          <w:p w:rsidR="00282739" w:rsidRPr="000A0FA8" w:rsidRDefault="00282739" w:rsidP="003C6043">
            <w:pPr>
              <w:pStyle w:val="Tabletext"/>
              <w:rPr>
                <w:i/>
                <w:iCs/>
                <w:lang w:eastAsia="en-AU"/>
              </w:rPr>
            </w:pPr>
            <w:r w:rsidRPr="000A0FA8">
              <w:rPr>
                <w:i/>
                <w:iCs/>
                <w:lang w:eastAsia="en-AU"/>
              </w:rPr>
              <w:t>Difference (ATET)</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i/>
                <w:iCs/>
                <w:lang w:eastAsia="en-AU"/>
              </w:rPr>
            </w:pPr>
            <w:r w:rsidRPr="000A0FA8">
              <w:rPr>
                <w:i/>
                <w:iCs/>
                <w:lang w:eastAsia="en-AU"/>
              </w:rPr>
              <w:t>-7.042*</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i/>
                <w:iCs/>
                <w:lang w:eastAsia="en-AU"/>
              </w:rPr>
            </w:pPr>
            <w:r w:rsidRPr="000A0FA8">
              <w:rPr>
                <w:i/>
                <w:iCs/>
                <w:lang w:eastAsia="en-AU"/>
              </w:rPr>
              <w:t>-5.144***</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i/>
                <w:iCs/>
                <w:lang w:eastAsia="en-AU"/>
              </w:rPr>
            </w:pPr>
            <w:r w:rsidRPr="000A0FA8">
              <w:rPr>
                <w:i/>
                <w:iCs/>
                <w:lang w:eastAsia="en-AU"/>
              </w:rPr>
              <w:t>-1.897</w:t>
            </w:r>
          </w:p>
        </w:tc>
      </w:tr>
      <w:tr w:rsidR="00282739" w:rsidRPr="000A0FA8" w:rsidTr="003C6043">
        <w:tc>
          <w:tcPr>
            <w:tcW w:w="2259" w:type="pct"/>
            <w:tcBorders>
              <w:top w:val="nil"/>
              <w:left w:val="nil"/>
              <w:bottom w:val="nil"/>
              <w:right w:val="nil"/>
            </w:tcBorders>
            <w:shd w:val="clear" w:color="auto" w:fill="auto"/>
            <w:noWrap/>
            <w:hideMark/>
          </w:tcPr>
          <w:p w:rsidR="00282739" w:rsidRPr="0052331C" w:rsidRDefault="00282739" w:rsidP="003C6043">
            <w:pPr>
              <w:pStyle w:val="Tabletext"/>
              <w:spacing w:before="120"/>
              <w:rPr>
                <w:b/>
                <w:lang w:eastAsia="en-AU"/>
              </w:rPr>
            </w:pPr>
            <w:r w:rsidRPr="0052331C">
              <w:rPr>
                <w:b/>
                <w:lang w:eastAsia="en-AU"/>
              </w:rPr>
              <w:t>Information technology</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spacing w:before="120"/>
              <w:rPr>
                <w:lang w:eastAsia="en-AU"/>
              </w:rPr>
            </w:pP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spacing w:before="120"/>
              <w:rPr>
                <w:lang w:eastAsia="en-AU"/>
              </w:rPr>
            </w:pP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spacing w:before="120"/>
              <w:rPr>
                <w:lang w:eastAsia="en-AU"/>
              </w:rPr>
            </w:pPr>
          </w:p>
        </w:tc>
      </w:tr>
      <w:tr w:rsidR="00282739" w:rsidRPr="000A0FA8" w:rsidTr="003C6043">
        <w:tc>
          <w:tcPr>
            <w:tcW w:w="2259" w:type="pct"/>
            <w:tcBorders>
              <w:top w:val="nil"/>
              <w:left w:val="nil"/>
              <w:bottom w:val="nil"/>
              <w:right w:val="nil"/>
            </w:tcBorders>
            <w:shd w:val="clear" w:color="auto" w:fill="auto"/>
            <w:noWrap/>
            <w:hideMark/>
          </w:tcPr>
          <w:p w:rsidR="00282739" w:rsidRPr="000A0FA8" w:rsidRDefault="00282739" w:rsidP="003C6043">
            <w:pPr>
              <w:pStyle w:val="Tabletext"/>
              <w:rPr>
                <w:lang w:eastAsia="en-AU"/>
              </w:rPr>
            </w:pPr>
            <w:r w:rsidRPr="000A0FA8">
              <w:rPr>
                <w:lang w:eastAsia="en-AU"/>
              </w:rPr>
              <w:t xml:space="preserve">Enrolled in a VCE VET </w:t>
            </w:r>
            <w:r>
              <w:rPr>
                <w:lang w:eastAsia="en-AU"/>
              </w:rPr>
              <w:t>subject</w:t>
            </w:r>
            <w:r w:rsidRPr="000A0FA8">
              <w:rPr>
                <w:vertAlign w:val="superscript"/>
                <w:lang w:eastAsia="en-AU"/>
              </w:rPr>
              <w:t>a</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113.974</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18.991</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94.983</w:t>
            </w:r>
          </w:p>
        </w:tc>
      </w:tr>
      <w:tr w:rsidR="00282739" w:rsidRPr="000A0FA8" w:rsidTr="003C6043">
        <w:tc>
          <w:tcPr>
            <w:tcW w:w="2259" w:type="pct"/>
            <w:tcBorders>
              <w:top w:val="nil"/>
              <w:left w:val="nil"/>
              <w:bottom w:val="nil"/>
              <w:right w:val="nil"/>
            </w:tcBorders>
            <w:shd w:val="clear" w:color="auto" w:fill="auto"/>
            <w:noWrap/>
            <w:hideMark/>
          </w:tcPr>
          <w:p w:rsidR="00282739" w:rsidRPr="000A0FA8" w:rsidRDefault="00282739" w:rsidP="003C6043">
            <w:pPr>
              <w:pStyle w:val="Tabletext"/>
              <w:rPr>
                <w:lang w:eastAsia="en-AU"/>
              </w:rPr>
            </w:pPr>
            <w:r w:rsidRPr="000A0FA8">
              <w:rPr>
                <w:lang w:eastAsia="en-AU"/>
              </w:rPr>
              <w:t xml:space="preserve">Did not enrol in a VCE VET </w:t>
            </w:r>
            <w:r>
              <w:rPr>
                <w:lang w:eastAsia="en-AU"/>
              </w:rPr>
              <w:t>subject</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117.5</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23.417</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94.083</w:t>
            </w:r>
          </w:p>
        </w:tc>
      </w:tr>
      <w:tr w:rsidR="00282739" w:rsidRPr="000A0FA8" w:rsidTr="003C6043">
        <w:tc>
          <w:tcPr>
            <w:tcW w:w="2259" w:type="pct"/>
            <w:tcBorders>
              <w:top w:val="nil"/>
              <w:left w:val="nil"/>
              <w:bottom w:val="nil"/>
              <w:right w:val="nil"/>
            </w:tcBorders>
            <w:shd w:val="clear" w:color="auto" w:fill="auto"/>
            <w:noWrap/>
            <w:hideMark/>
          </w:tcPr>
          <w:p w:rsidR="00282739" w:rsidRPr="000A0FA8" w:rsidRDefault="00282739" w:rsidP="003C6043">
            <w:pPr>
              <w:pStyle w:val="Tabletext"/>
              <w:rPr>
                <w:i/>
                <w:iCs/>
                <w:lang w:eastAsia="en-AU"/>
              </w:rPr>
            </w:pPr>
            <w:r w:rsidRPr="000A0FA8">
              <w:rPr>
                <w:i/>
                <w:iCs/>
                <w:lang w:eastAsia="en-AU"/>
              </w:rPr>
              <w:t>Difference (ATET)</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i/>
                <w:iCs/>
                <w:lang w:eastAsia="en-AU"/>
              </w:rPr>
            </w:pPr>
            <w:r w:rsidRPr="000A0FA8">
              <w:rPr>
                <w:i/>
                <w:iCs/>
                <w:lang w:eastAsia="en-AU"/>
              </w:rPr>
              <w:t>-3.525**</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i/>
                <w:iCs/>
                <w:lang w:eastAsia="en-AU"/>
              </w:rPr>
            </w:pPr>
            <w:r w:rsidRPr="000A0FA8">
              <w:rPr>
                <w:i/>
                <w:iCs/>
                <w:lang w:eastAsia="en-AU"/>
              </w:rPr>
              <w:t>-4.425***</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i/>
                <w:iCs/>
                <w:lang w:eastAsia="en-AU"/>
              </w:rPr>
            </w:pPr>
            <w:r w:rsidRPr="000A0FA8">
              <w:rPr>
                <w:i/>
                <w:iCs/>
                <w:lang w:eastAsia="en-AU"/>
              </w:rPr>
              <w:t>0.899</w:t>
            </w:r>
          </w:p>
        </w:tc>
      </w:tr>
      <w:tr w:rsidR="00282739" w:rsidRPr="000A0FA8" w:rsidTr="003C6043">
        <w:tc>
          <w:tcPr>
            <w:tcW w:w="2259" w:type="pct"/>
            <w:tcBorders>
              <w:top w:val="nil"/>
              <w:left w:val="nil"/>
              <w:bottom w:val="nil"/>
              <w:right w:val="nil"/>
            </w:tcBorders>
            <w:shd w:val="clear" w:color="auto" w:fill="auto"/>
            <w:noWrap/>
            <w:hideMark/>
          </w:tcPr>
          <w:p w:rsidR="00282739" w:rsidRPr="0052331C" w:rsidRDefault="00282739" w:rsidP="003C6043">
            <w:pPr>
              <w:pStyle w:val="Tabletext"/>
              <w:spacing w:before="120"/>
              <w:rPr>
                <w:b/>
                <w:lang w:eastAsia="en-AU"/>
              </w:rPr>
            </w:pPr>
            <w:r w:rsidRPr="0052331C">
              <w:rPr>
                <w:b/>
                <w:lang w:eastAsia="en-AU"/>
              </w:rPr>
              <w:t>Hospitality</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spacing w:before="120"/>
              <w:rPr>
                <w:lang w:eastAsia="en-AU"/>
              </w:rPr>
            </w:pP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spacing w:before="120"/>
              <w:rPr>
                <w:lang w:eastAsia="en-AU"/>
              </w:rPr>
            </w:pP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spacing w:before="120"/>
              <w:rPr>
                <w:lang w:eastAsia="en-AU"/>
              </w:rPr>
            </w:pPr>
          </w:p>
        </w:tc>
      </w:tr>
      <w:tr w:rsidR="00282739" w:rsidRPr="000A0FA8" w:rsidTr="003C6043">
        <w:tc>
          <w:tcPr>
            <w:tcW w:w="2259" w:type="pct"/>
            <w:tcBorders>
              <w:top w:val="nil"/>
              <w:left w:val="nil"/>
              <w:bottom w:val="nil"/>
              <w:right w:val="nil"/>
            </w:tcBorders>
            <w:shd w:val="clear" w:color="auto" w:fill="auto"/>
            <w:noWrap/>
            <w:hideMark/>
          </w:tcPr>
          <w:p w:rsidR="00282739" w:rsidRPr="000A0FA8" w:rsidRDefault="00282739" w:rsidP="003C6043">
            <w:pPr>
              <w:pStyle w:val="Tabletext"/>
              <w:rPr>
                <w:lang w:eastAsia="en-AU"/>
              </w:rPr>
            </w:pPr>
            <w:r w:rsidRPr="000A0FA8">
              <w:rPr>
                <w:lang w:eastAsia="en-AU"/>
              </w:rPr>
              <w:t xml:space="preserve">Enrolled in a VCE VET </w:t>
            </w:r>
            <w:r>
              <w:rPr>
                <w:lang w:eastAsia="en-AU"/>
              </w:rPr>
              <w:t>subject</w:t>
            </w:r>
            <w:r w:rsidRPr="000A0FA8">
              <w:rPr>
                <w:vertAlign w:val="superscript"/>
                <w:lang w:eastAsia="en-AU"/>
              </w:rPr>
              <w:t>a</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113.105</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18.983</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94.122</w:t>
            </w:r>
          </w:p>
        </w:tc>
      </w:tr>
      <w:tr w:rsidR="00282739" w:rsidRPr="000A0FA8" w:rsidTr="003C6043">
        <w:tc>
          <w:tcPr>
            <w:tcW w:w="2259" w:type="pct"/>
            <w:tcBorders>
              <w:top w:val="nil"/>
              <w:left w:val="nil"/>
              <w:bottom w:val="nil"/>
              <w:right w:val="nil"/>
            </w:tcBorders>
            <w:shd w:val="clear" w:color="auto" w:fill="auto"/>
            <w:noWrap/>
            <w:hideMark/>
          </w:tcPr>
          <w:p w:rsidR="00282739" w:rsidRPr="000A0FA8" w:rsidRDefault="00282739" w:rsidP="003C6043">
            <w:pPr>
              <w:pStyle w:val="Tabletext"/>
              <w:rPr>
                <w:lang w:eastAsia="en-AU"/>
              </w:rPr>
            </w:pPr>
            <w:r w:rsidRPr="000A0FA8">
              <w:rPr>
                <w:lang w:eastAsia="en-AU"/>
              </w:rPr>
              <w:t xml:space="preserve">Did not enrol in a VCE VET </w:t>
            </w:r>
            <w:r>
              <w:rPr>
                <w:lang w:eastAsia="en-AU"/>
              </w:rPr>
              <w:t>subject</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118.607</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23.599</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95.008</w:t>
            </w:r>
          </w:p>
        </w:tc>
      </w:tr>
      <w:tr w:rsidR="00282739" w:rsidRPr="000A0FA8" w:rsidTr="003C6043">
        <w:tc>
          <w:tcPr>
            <w:tcW w:w="2259" w:type="pct"/>
            <w:tcBorders>
              <w:top w:val="nil"/>
              <w:left w:val="nil"/>
              <w:bottom w:val="nil"/>
              <w:right w:val="nil"/>
            </w:tcBorders>
            <w:shd w:val="clear" w:color="auto" w:fill="auto"/>
            <w:noWrap/>
            <w:hideMark/>
          </w:tcPr>
          <w:p w:rsidR="00282739" w:rsidRPr="000A0FA8" w:rsidRDefault="00282739" w:rsidP="003C6043">
            <w:pPr>
              <w:pStyle w:val="Tabletext"/>
              <w:rPr>
                <w:i/>
                <w:iCs/>
                <w:lang w:eastAsia="en-AU"/>
              </w:rPr>
            </w:pPr>
            <w:r w:rsidRPr="000A0FA8">
              <w:rPr>
                <w:i/>
                <w:iCs/>
                <w:lang w:eastAsia="en-AU"/>
              </w:rPr>
              <w:t>Difference (ATET)</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i/>
                <w:iCs/>
                <w:lang w:eastAsia="en-AU"/>
              </w:rPr>
            </w:pPr>
            <w:r w:rsidRPr="000A0FA8">
              <w:rPr>
                <w:i/>
                <w:iCs/>
                <w:lang w:eastAsia="en-AU"/>
              </w:rPr>
              <w:t>-5.502***</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i/>
                <w:iCs/>
                <w:lang w:eastAsia="en-AU"/>
              </w:rPr>
            </w:pPr>
            <w:r w:rsidRPr="000A0FA8">
              <w:rPr>
                <w:i/>
                <w:iCs/>
                <w:lang w:eastAsia="en-AU"/>
              </w:rPr>
              <w:t>-4.616**</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i/>
                <w:iCs/>
                <w:lang w:eastAsia="en-AU"/>
              </w:rPr>
            </w:pPr>
            <w:r w:rsidRPr="000A0FA8">
              <w:rPr>
                <w:i/>
                <w:iCs/>
                <w:lang w:eastAsia="en-AU"/>
              </w:rPr>
              <w:t>-0.885</w:t>
            </w:r>
          </w:p>
        </w:tc>
      </w:tr>
      <w:tr w:rsidR="00282739" w:rsidRPr="0052331C" w:rsidTr="003C6043">
        <w:tc>
          <w:tcPr>
            <w:tcW w:w="2259" w:type="pct"/>
            <w:tcBorders>
              <w:top w:val="nil"/>
              <w:left w:val="nil"/>
              <w:bottom w:val="nil"/>
              <w:right w:val="nil"/>
            </w:tcBorders>
            <w:shd w:val="clear" w:color="auto" w:fill="auto"/>
            <w:noWrap/>
            <w:hideMark/>
          </w:tcPr>
          <w:p w:rsidR="00282739" w:rsidRPr="0052331C" w:rsidRDefault="00282739" w:rsidP="003C6043">
            <w:pPr>
              <w:pStyle w:val="Tabletext"/>
              <w:spacing w:before="120"/>
              <w:rPr>
                <w:b/>
              </w:rPr>
            </w:pPr>
            <w:r w:rsidRPr="0052331C">
              <w:rPr>
                <w:b/>
              </w:rPr>
              <w:t>Equine industry</w:t>
            </w:r>
          </w:p>
        </w:tc>
        <w:tc>
          <w:tcPr>
            <w:tcW w:w="914" w:type="pct"/>
            <w:tcBorders>
              <w:top w:val="nil"/>
              <w:left w:val="nil"/>
              <w:bottom w:val="nil"/>
              <w:right w:val="nil"/>
            </w:tcBorders>
            <w:shd w:val="clear" w:color="auto" w:fill="auto"/>
            <w:noWrap/>
            <w:hideMark/>
          </w:tcPr>
          <w:p w:rsidR="00282739" w:rsidRPr="0052331C" w:rsidRDefault="00282739" w:rsidP="003C6043">
            <w:pPr>
              <w:pStyle w:val="Tabletext"/>
              <w:tabs>
                <w:tab w:val="decimal" w:pos="624"/>
              </w:tabs>
              <w:spacing w:before="120"/>
            </w:pPr>
          </w:p>
        </w:tc>
        <w:tc>
          <w:tcPr>
            <w:tcW w:w="914" w:type="pct"/>
            <w:tcBorders>
              <w:top w:val="nil"/>
              <w:left w:val="nil"/>
              <w:bottom w:val="nil"/>
              <w:right w:val="nil"/>
            </w:tcBorders>
            <w:shd w:val="clear" w:color="auto" w:fill="auto"/>
            <w:noWrap/>
            <w:hideMark/>
          </w:tcPr>
          <w:p w:rsidR="00282739" w:rsidRPr="0052331C" w:rsidRDefault="00282739" w:rsidP="003C6043">
            <w:pPr>
              <w:pStyle w:val="Tabletext"/>
              <w:tabs>
                <w:tab w:val="decimal" w:pos="624"/>
              </w:tabs>
              <w:spacing w:before="120"/>
            </w:pPr>
          </w:p>
        </w:tc>
        <w:tc>
          <w:tcPr>
            <w:tcW w:w="914" w:type="pct"/>
            <w:tcBorders>
              <w:top w:val="nil"/>
              <w:left w:val="nil"/>
              <w:bottom w:val="nil"/>
              <w:right w:val="nil"/>
            </w:tcBorders>
            <w:shd w:val="clear" w:color="auto" w:fill="auto"/>
            <w:noWrap/>
            <w:hideMark/>
          </w:tcPr>
          <w:p w:rsidR="00282739" w:rsidRPr="0052331C" w:rsidRDefault="00282739" w:rsidP="003C6043">
            <w:pPr>
              <w:pStyle w:val="Tabletext"/>
              <w:tabs>
                <w:tab w:val="decimal" w:pos="624"/>
              </w:tabs>
              <w:spacing w:before="120"/>
            </w:pPr>
          </w:p>
        </w:tc>
      </w:tr>
      <w:tr w:rsidR="00282739" w:rsidRPr="000A0FA8" w:rsidTr="003C6043">
        <w:tc>
          <w:tcPr>
            <w:tcW w:w="2259" w:type="pct"/>
            <w:tcBorders>
              <w:top w:val="nil"/>
              <w:left w:val="nil"/>
              <w:bottom w:val="nil"/>
              <w:right w:val="nil"/>
            </w:tcBorders>
            <w:shd w:val="clear" w:color="auto" w:fill="auto"/>
            <w:noWrap/>
            <w:hideMark/>
          </w:tcPr>
          <w:p w:rsidR="00282739" w:rsidRPr="000A0FA8" w:rsidRDefault="00282739" w:rsidP="003C6043">
            <w:pPr>
              <w:pStyle w:val="Tabletext"/>
              <w:rPr>
                <w:lang w:eastAsia="en-AU"/>
              </w:rPr>
            </w:pPr>
            <w:r w:rsidRPr="000A0FA8">
              <w:rPr>
                <w:lang w:eastAsia="en-AU"/>
              </w:rPr>
              <w:t xml:space="preserve">Enrolled in a VCE VET </w:t>
            </w:r>
            <w:r>
              <w:rPr>
                <w:lang w:eastAsia="en-AU"/>
              </w:rPr>
              <w:t>subject</w:t>
            </w:r>
            <w:r w:rsidRPr="000A0FA8">
              <w:rPr>
                <w:vertAlign w:val="superscript"/>
                <w:lang w:eastAsia="en-AU"/>
              </w:rPr>
              <w:t>a</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116.308</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20.402</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95.905</w:t>
            </w:r>
          </w:p>
        </w:tc>
      </w:tr>
      <w:tr w:rsidR="00282739" w:rsidRPr="000A0FA8" w:rsidTr="003C6043">
        <w:tc>
          <w:tcPr>
            <w:tcW w:w="2259" w:type="pct"/>
            <w:tcBorders>
              <w:top w:val="nil"/>
              <w:left w:val="nil"/>
              <w:bottom w:val="nil"/>
              <w:right w:val="nil"/>
            </w:tcBorders>
            <w:shd w:val="clear" w:color="auto" w:fill="auto"/>
            <w:noWrap/>
            <w:hideMark/>
          </w:tcPr>
          <w:p w:rsidR="00282739" w:rsidRPr="000A0FA8" w:rsidRDefault="00282739" w:rsidP="003C6043">
            <w:pPr>
              <w:pStyle w:val="Tabletext"/>
              <w:rPr>
                <w:lang w:eastAsia="en-AU"/>
              </w:rPr>
            </w:pPr>
            <w:r w:rsidRPr="000A0FA8">
              <w:rPr>
                <w:lang w:eastAsia="en-AU"/>
              </w:rPr>
              <w:t xml:space="preserve">Did not enrol in a VCE VET </w:t>
            </w:r>
            <w:r>
              <w:rPr>
                <w:lang w:eastAsia="en-AU"/>
              </w:rPr>
              <w:t>subject</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122.719</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24.47</w:t>
            </w:r>
          </w:p>
        </w:tc>
        <w:tc>
          <w:tcPr>
            <w:tcW w:w="914" w:type="pct"/>
            <w:tcBorders>
              <w:top w:val="nil"/>
              <w:left w:val="nil"/>
              <w:bottom w:val="nil"/>
              <w:right w:val="nil"/>
            </w:tcBorders>
            <w:shd w:val="clear" w:color="auto" w:fill="auto"/>
            <w:noWrap/>
            <w:hideMark/>
          </w:tcPr>
          <w:p w:rsidR="00282739" w:rsidRPr="000A0FA8" w:rsidRDefault="00282739" w:rsidP="003C6043">
            <w:pPr>
              <w:pStyle w:val="Tabletext"/>
              <w:tabs>
                <w:tab w:val="decimal" w:pos="624"/>
              </w:tabs>
              <w:rPr>
                <w:lang w:eastAsia="en-AU"/>
              </w:rPr>
            </w:pPr>
            <w:r w:rsidRPr="000A0FA8">
              <w:rPr>
                <w:lang w:eastAsia="en-AU"/>
              </w:rPr>
              <w:t>98.249</w:t>
            </w:r>
          </w:p>
        </w:tc>
      </w:tr>
      <w:tr w:rsidR="00282739" w:rsidRPr="000A0FA8" w:rsidTr="003C6043">
        <w:tc>
          <w:tcPr>
            <w:tcW w:w="2259" w:type="pct"/>
            <w:tcBorders>
              <w:top w:val="nil"/>
              <w:left w:val="nil"/>
              <w:bottom w:val="single" w:sz="4" w:space="0" w:color="auto"/>
              <w:right w:val="nil"/>
            </w:tcBorders>
            <w:shd w:val="clear" w:color="auto" w:fill="auto"/>
            <w:noWrap/>
            <w:hideMark/>
          </w:tcPr>
          <w:p w:rsidR="00282739" w:rsidRPr="000A0FA8" w:rsidRDefault="00282739" w:rsidP="003C6043">
            <w:pPr>
              <w:pStyle w:val="Tabletext"/>
              <w:rPr>
                <w:i/>
                <w:iCs/>
                <w:lang w:eastAsia="en-AU"/>
              </w:rPr>
            </w:pPr>
            <w:r w:rsidRPr="000A0FA8">
              <w:rPr>
                <w:i/>
                <w:iCs/>
                <w:lang w:eastAsia="en-AU"/>
              </w:rPr>
              <w:t>Difference (ATET)</w:t>
            </w:r>
          </w:p>
        </w:tc>
        <w:tc>
          <w:tcPr>
            <w:tcW w:w="914" w:type="pct"/>
            <w:tcBorders>
              <w:top w:val="nil"/>
              <w:left w:val="nil"/>
              <w:bottom w:val="single" w:sz="4" w:space="0" w:color="auto"/>
              <w:right w:val="nil"/>
            </w:tcBorders>
            <w:shd w:val="clear" w:color="auto" w:fill="auto"/>
            <w:noWrap/>
            <w:hideMark/>
          </w:tcPr>
          <w:p w:rsidR="00282739" w:rsidRPr="000A0FA8" w:rsidRDefault="00282739" w:rsidP="003C6043">
            <w:pPr>
              <w:pStyle w:val="Tabletext"/>
              <w:tabs>
                <w:tab w:val="decimal" w:pos="624"/>
              </w:tabs>
              <w:rPr>
                <w:i/>
                <w:iCs/>
                <w:lang w:eastAsia="en-AU"/>
              </w:rPr>
            </w:pPr>
            <w:r w:rsidRPr="000A0FA8">
              <w:rPr>
                <w:i/>
                <w:iCs/>
                <w:lang w:eastAsia="en-AU"/>
              </w:rPr>
              <w:t>-6.411</w:t>
            </w:r>
          </w:p>
        </w:tc>
        <w:tc>
          <w:tcPr>
            <w:tcW w:w="914" w:type="pct"/>
            <w:tcBorders>
              <w:top w:val="nil"/>
              <w:left w:val="nil"/>
              <w:bottom w:val="single" w:sz="4" w:space="0" w:color="auto"/>
              <w:right w:val="nil"/>
            </w:tcBorders>
            <w:shd w:val="clear" w:color="auto" w:fill="auto"/>
            <w:noWrap/>
            <w:hideMark/>
          </w:tcPr>
          <w:p w:rsidR="00282739" w:rsidRPr="000A0FA8" w:rsidRDefault="00282739" w:rsidP="003C6043">
            <w:pPr>
              <w:pStyle w:val="Tabletext"/>
              <w:tabs>
                <w:tab w:val="decimal" w:pos="624"/>
              </w:tabs>
              <w:rPr>
                <w:i/>
                <w:iCs/>
                <w:lang w:eastAsia="en-AU"/>
              </w:rPr>
            </w:pPr>
            <w:r w:rsidRPr="000A0FA8">
              <w:rPr>
                <w:i/>
                <w:iCs/>
                <w:lang w:eastAsia="en-AU"/>
              </w:rPr>
              <w:t>-4.068</w:t>
            </w:r>
          </w:p>
        </w:tc>
        <w:tc>
          <w:tcPr>
            <w:tcW w:w="914" w:type="pct"/>
            <w:tcBorders>
              <w:top w:val="nil"/>
              <w:left w:val="nil"/>
              <w:bottom w:val="single" w:sz="4" w:space="0" w:color="auto"/>
              <w:right w:val="nil"/>
            </w:tcBorders>
            <w:shd w:val="clear" w:color="auto" w:fill="auto"/>
            <w:noWrap/>
            <w:hideMark/>
          </w:tcPr>
          <w:p w:rsidR="00282739" w:rsidRPr="000A0FA8" w:rsidRDefault="00282739" w:rsidP="003C6043">
            <w:pPr>
              <w:pStyle w:val="Tabletext"/>
              <w:tabs>
                <w:tab w:val="decimal" w:pos="624"/>
              </w:tabs>
              <w:rPr>
                <w:i/>
                <w:iCs/>
                <w:lang w:eastAsia="en-AU"/>
              </w:rPr>
            </w:pPr>
            <w:r w:rsidRPr="000A0FA8">
              <w:rPr>
                <w:i/>
                <w:iCs/>
                <w:lang w:eastAsia="en-AU"/>
              </w:rPr>
              <w:t>-2.343</w:t>
            </w:r>
          </w:p>
        </w:tc>
      </w:tr>
    </w:tbl>
    <w:p w:rsidR="00282739" w:rsidRDefault="00282739" w:rsidP="00282739">
      <w:pPr>
        <w:pStyle w:val="Source"/>
      </w:pPr>
      <w:r>
        <w:t>Notes:</w:t>
      </w:r>
      <w:r>
        <w:tab/>
        <w:t xml:space="preserve">***Significant at 1%, ** significant at 5%, *significant at 10%. </w:t>
      </w:r>
      <w:r>
        <w:rPr>
          <w:vertAlign w:val="superscript"/>
        </w:rPr>
        <w:t xml:space="preserve">a </w:t>
      </w:r>
      <w:r>
        <w:t>Using a bandwidth of 0.02.</w:t>
      </w:r>
    </w:p>
    <w:p w:rsidR="00282739" w:rsidRPr="006D350F" w:rsidRDefault="00282739" w:rsidP="00282739">
      <w:pPr>
        <w:pStyle w:val="Heading2"/>
      </w:pPr>
      <w:bookmarkStart w:id="57" w:name="_Toc402794965"/>
      <w:r>
        <w:t>Impacts on university access</w:t>
      </w:r>
      <w:bookmarkEnd w:id="57"/>
    </w:p>
    <w:p w:rsidR="00282739" w:rsidRDefault="00282739" w:rsidP="00282739">
      <w:pPr>
        <w:pStyle w:val="Text"/>
      </w:pPr>
      <w:r>
        <w:t>A key question is the extent to which the six-point lower average university entry score associated with taking a VCE VET course affects access to university and the gaining of a preferred university offer. On face value, a six-point gap in entry scores does not seem to be a large effect and, given that VCE VET students apply to courses with lower required cut-off scores than students who do not take VCE VET subjects (table 5), we might expect only small or insignificant impacts. However, the results in table 9 present a different picture. We estimate that taking a VCE VET subject is associated with a 12-percentage-point reduction in the reported chance of receiving a university offer. More specifically, on average, taking a VCE VET subject is associated with a reduction in the reported chances of receiving a university offer from 79% to 67%. This result suggests that a six-point reduction in university entry scores translates into a large effect on the receipt of a university offer.</w:t>
      </w:r>
    </w:p>
    <w:p w:rsidR="00282739" w:rsidRDefault="00282739" w:rsidP="00282739">
      <w:pPr>
        <w:spacing w:before="0" w:line="240" w:lineRule="auto"/>
        <w:rPr>
          <w:rFonts w:ascii="Tahoma" w:hAnsi="Tahoma"/>
          <w:b/>
          <w:sz w:val="17"/>
        </w:rPr>
      </w:pPr>
      <w:r>
        <w:br w:type="page"/>
      </w:r>
    </w:p>
    <w:p w:rsidR="00282739" w:rsidRDefault="00282739" w:rsidP="00282739">
      <w:pPr>
        <w:pStyle w:val="tabletitle"/>
      </w:pPr>
      <w:bookmarkStart w:id="58" w:name="_Toc402794982"/>
      <w:r>
        <w:lastRenderedPageBreak/>
        <w:t>Table 9</w:t>
      </w:r>
      <w:r>
        <w:tab/>
        <w:t>Estimated impacts from taking a VCE VET subject on the chances of attaining entry to a university course</w:t>
      </w:r>
      <w:bookmarkEnd w:id="58"/>
    </w:p>
    <w:tbl>
      <w:tblPr>
        <w:tblW w:w="8789" w:type="dxa"/>
        <w:tblInd w:w="108" w:type="dxa"/>
        <w:tblLayout w:type="fixed"/>
        <w:tblLook w:val="04A0" w:firstRow="1" w:lastRow="0" w:firstColumn="1" w:lastColumn="0" w:noHBand="0" w:noVBand="1"/>
      </w:tblPr>
      <w:tblGrid>
        <w:gridCol w:w="2460"/>
        <w:gridCol w:w="890"/>
        <w:gridCol w:w="889"/>
        <w:gridCol w:w="889"/>
        <w:gridCol w:w="889"/>
        <w:gridCol w:w="889"/>
        <w:gridCol w:w="893"/>
        <w:gridCol w:w="990"/>
      </w:tblGrid>
      <w:tr w:rsidR="00282739" w:rsidTr="003C6043">
        <w:tc>
          <w:tcPr>
            <w:tcW w:w="1399" w:type="pct"/>
            <w:tcBorders>
              <w:top w:val="single" w:sz="8" w:space="0" w:color="auto"/>
              <w:left w:val="nil"/>
              <w:right w:val="nil"/>
            </w:tcBorders>
            <w:shd w:val="clear" w:color="auto" w:fill="auto"/>
            <w:noWrap/>
            <w:tcMar>
              <w:top w:w="15" w:type="dxa"/>
              <w:left w:w="108" w:type="dxa"/>
              <w:bottom w:w="0" w:type="dxa"/>
              <w:right w:w="108" w:type="dxa"/>
            </w:tcMar>
            <w:hideMark/>
          </w:tcPr>
          <w:p w:rsidR="00282739" w:rsidRDefault="00282739" w:rsidP="003C6043">
            <w:pPr>
              <w:pStyle w:val="Tablehead1"/>
            </w:pPr>
            <w:r>
              <w:t> </w:t>
            </w:r>
          </w:p>
        </w:tc>
        <w:tc>
          <w:tcPr>
            <w:tcW w:w="1012" w:type="pct"/>
            <w:gridSpan w:val="2"/>
            <w:tcBorders>
              <w:top w:val="single" w:sz="8" w:space="0" w:color="auto"/>
              <w:left w:val="nil"/>
              <w:right w:val="nil"/>
            </w:tcBorders>
            <w:shd w:val="clear" w:color="000000" w:fill="FFFFFF"/>
            <w:tcMar>
              <w:top w:w="15" w:type="dxa"/>
              <w:left w:w="0" w:type="dxa"/>
              <w:bottom w:w="0" w:type="dxa"/>
              <w:right w:w="0" w:type="dxa"/>
            </w:tcMar>
            <w:hideMark/>
          </w:tcPr>
          <w:p w:rsidR="00282739" w:rsidRDefault="00282739" w:rsidP="003C6043">
            <w:pPr>
              <w:pStyle w:val="Tablehead1"/>
              <w:jc w:val="center"/>
              <w:rPr>
                <w:bCs/>
              </w:rPr>
            </w:pPr>
            <w:r>
              <w:rPr>
                <w:bCs/>
              </w:rPr>
              <w:t>Enrolled in a VCE VET subject</w:t>
            </w:r>
            <w:r>
              <w:rPr>
                <w:bCs/>
                <w:vertAlign w:val="superscript"/>
              </w:rPr>
              <w:t>a</w:t>
            </w:r>
          </w:p>
        </w:tc>
        <w:tc>
          <w:tcPr>
            <w:tcW w:w="1011" w:type="pct"/>
            <w:gridSpan w:val="2"/>
            <w:tcBorders>
              <w:top w:val="single" w:sz="8" w:space="0" w:color="auto"/>
              <w:left w:val="nil"/>
              <w:right w:val="nil"/>
            </w:tcBorders>
            <w:shd w:val="clear" w:color="000000" w:fill="FFFFFF"/>
            <w:tcMar>
              <w:top w:w="15" w:type="dxa"/>
              <w:left w:w="0" w:type="dxa"/>
              <w:bottom w:w="0" w:type="dxa"/>
              <w:right w:w="0" w:type="dxa"/>
            </w:tcMar>
            <w:hideMark/>
          </w:tcPr>
          <w:p w:rsidR="00282739" w:rsidRDefault="00282739" w:rsidP="003C6043">
            <w:pPr>
              <w:pStyle w:val="Tablehead1"/>
              <w:jc w:val="center"/>
              <w:rPr>
                <w:rFonts w:cs="Arial"/>
                <w:bCs/>
                <w:color w:val="000000"/>
                <w:sz w:val="16"/>
                <w:szCs w:val="16"/>
              </w:rPr>
            </w:pPr>
            <w:r>
              <w:rPr>
                <w:rFonts w:cs="Arial"/>
                <w:bCs/>
                <w:color w:val="000000"/>
                <w:sz w:val="16"/>
                <w:szCs w:val="16"/>
              </w:rPr>
              <w:t xml:space="preserve">Did not enrol in a </w:t>
            </w:r>
            <w:r>
              <w:rPr>
                <w:rFonts w:cs="Arial"/>
                <w:bCs/>
                <w:color w:val="000000"/>
                <w:sz w:val="16"/>
                <w:szCs w:val="16"/>
              </w:rPr>
              <w:br/>
              <w:t>VCE VET subject</w:t>
            </w:r>
          </w:p>
        </w:tc>
        <w:tc>
          <w:tcPr>
            <w:tcW w:w="1014" w:type="pct"/>
            <w:gridSpan w:val="2"/>
            <w:tcBorders>
              <w:top w:val="single" w:sz="8" w:space="0" w:color="auto"/>
              <w:left w:val="nil"/>
              <w:right w:val="nil"/>
            </w:tcBorders>
            <w:shd w:val="clear" w:color="000000" w:fill="FFFFFF"/>
            <w:tcMar>
              <w:top w:w="15" w:type="dxa"/>
              <w:left w:w="0" w:type="dxa"/>
              <w:bottom w:w="0" w:type="dxa"/>
              <w:right w:w="0" w:type="dxa"/>
            </w:tcMar>
            <w:hideMark/>
          </w:tcPr>
          <w:p w:rsidR="00282739" w:rsidRDefault="00282739" w:rsidP="003C6043">
            <w:pPr>
              <w:pStyle w:val="Tablehead1"/>
              <w:jc w:val="center"/>
              <w:rPr>
                <w:rFonts w:cs="Arial"/>
                <w:bCs/>
                <w:color w:val="000000"/>
                <w:sz w:val="16"/>
                <w:szCs w:val="16"/>
              </w:rPr>
            </w:pPr>
            <w:r>
              <w:rPr>
                <w:rFonts w:cs="Arial"/>
                <w:bCs/>
                <w:color w:val="000000"/>
                <w:sz w:val="16"/>
                <w:szCs w:val="16"/>
              </w:rPr>
              <w:t>Difference (ATET)</w:t>
            </w:r>
          </w:p>
        </w:tc>
        <w:tc>
          <w:tcPr>
            <w:tcW w:w="563" w:type="pct"/>
            <w:tcBorders>
              <w:top w:val="single" w:sz="8" w:space="0" w:color="auto"/>
              <w:left w:val="nil"/>
              <w:right w:val="nil"/>
            </w:tcBorders>
            <w:shd w:val="clear" w:color="000000" w:fill="FFFFFF"/>
            <w:tcMar>
              <w:left w:w="0" w:type="dxa"/>
              <w:right w:w="0" w:type="dxa"/>
            </w:tcMar>
          </w:tcPr>
          <w:p w:rsidR="00282739" w:rsidRDefault="00282739" w:rsidP="003C6043">
            <w:pPr>
              <w:pStyle w:val="Tablehead1"/>
              <w:jc w:val="center"/>
              <w:rPr>
                <w:rFonts w:cs="Arial"/>
                <w:bCs/>
                <w:color w:val="000000"/>
                <w:sz w:val="16"/>
                <w:szCs w:val="16"/>
              </w:rPr>
            </w:pPr>
            <w:r>
              <w:t xml:space="preserve">Number </w:t>
            </w:r>
            <w:r>
              <w:br/>
              <w:t>of obs</w:t>
            </w:r>
            <w:r w:rsidRPr="00975759">
              <w:rPr>
                <w:vertAlign w:val="superscript"/>
              </w:rPr>
              <w:t>a</w:t>
            </w:r>
          </w:p>
        </w:tc>
      </w:tr>
      <w:tr w:rsidR="00282739" w:rsidTr="003C6043">
        <w:tc>
          <w:tcPr>
            <w:tcW w:w="1399" w:type="pct"/>
            <w:tcBorders>
              <w:left w:val="nil"/>
              <w:bottom w:val="single" w:sz="4" w:space="0" w:color="auto"/>
              <w:right w:val="nil"/>
            </w:tcBorders>
            <w:shd w:val="clear" w:color="auto" w:fill="auto"/>
            <w:noWrap/>
            <w:tcMar>
              <w:top w:w="15" w:type="dxa"/>
              <w:left w:w="108" w:type="dxa"/>
              <w:bottom w:w="0" w:type="dxa"/>
              <w:right w:w="108" w:type="dxa"/>
            </w:tcMar>
            <w:hideMark/>
          </w:tcPr>
          <w:p w:rsidR="00282739" w:rsidRDefault="00282739" w:rsidP="003C6043">
            <w:pPr>
              <w:pStyle w:val="Tablehead2"/>
            </w:pPr>
          </w:p>
        </w:tc>
        <w:tc>
          <w:tcPr>
            <w:tcW w:w="506" w:type="pct"/>
            <w:tcBorders>
              <w:left w:val="nil"/>
              <w:bottom w:val="single" w:sz="4" w:space="0" w:color="auto"/>
              <w:right w:val="nil"/>
            </w:tcBorders>
            <w:shd w:val="clear" w:color="000000" w:fill="FFFFFF"/>
            <w:noWrap/>
            <w:tcMar>
              <w:top w:w="15" w:type="dxa"/>
              <w:left w:w="0" w:type="dxa"/>
              <w:bottom w:w="0" w:type="dxa"/>
              <w:right w:w="0" w:type="dxa"/>
            </w:tcMar>
            <w:hideMark/>
          </w:tcPr>
          <w:p w:rsidR="00282739" w:rsidRDefault="00282739" w:rsidP="003C6043">
            <w:pPr>
              <w:pStyle w:val="Tablehead2"/>
              <w:jc w:val="center"/>
            </w:pPr>
            <w:r>
              <w:t>Predicted probability</w:t>
            </w:r>
          </w:p>
        </w:tc>
        <w:tc>
          <w:tcPr>
            <w:tcW w:w="506" w:type="pct"/>
            <w:tcBorders>
              <w:left w:val="nil"/>
              <w:bottom w:val="single" w:sz="4" w:space="0" w:color="auto"/>
              <w:right w:val="nil"/>
            </w:tcBorders>
            <w:shd w:val="clear" w:color="000000" w:fill="FFFFFF"/>
            <w:tcMar>
              <w:top w:w="15" w:type="dxa"/>
              <w:left w:w="0" w:type="dxa"/>
              <w:bottom w:w="0" w:type="dxa"/>
              <w:right w:w="0" w:type="dxa"/>
            </w:tcMar>
            <w:hideMark/>
          </w:tcPr>
          <w:p w:rsidR="00282739" w:rsidRDefault="00282739" w:rsidP="003C6043">
            <w:pPr>
              <w:pStyle w:val="Tablehead2"/>
              <w:jc w:val="center"/>
            </w:pPr>
            <w:r>
              <w:t>s.e.</w:t>
            </w:r>
          </w:p>
        </w:tc>
        <w:tc>
          <w:tcPr>
            <w:tcW w:w="506" w:type="pct"/>
            <w:tcBorders>
              <w:left w:val="nil"/>
              <w:bottom w:val="single" w:sz="4" w:space="0" w:color="auto"/>
              <w:right w:val="nil"/>
            </w:tcBorders>
            <w:shd w:val="clear" w:color="000000" w:fill="FFFFFF"/>
            <w:tcMar>
              <w:top w:w="15" w:type="dxa"/>
              <w:left w:w="0" w:type="dxa"/>
              <w:bottom w:w="0" w:type="dxa"/>
              <w:right w:w="0" w:type="dxa"/>
            </w:tcMar>
            <w:hideMark/>
          </w:tcPr>
          <w:p w:rsidR="00282739" w:rsidRDefault="00282739" w:rsidP="003C6043">
            <w:pPr>
              <w:pStyle w:val="Tablehead2"/>
              <w:jc w:val="center"/>
            </w:pPr>
            <w:r>
              <w:t>Predicted probability</w:t>
            </w:r>
          </w:p>
        </w:tc>
        <w:tc>
          <w:tcPr>
            <w:tcW w:w="506" w:type="pct"/>
            <w:tcBorders>
              <w:left w:val="nil"/>
              <w:bottom w:val="single" w:sz="4" w:space="0" w:color="auto"/>
              <w:right w:val="nil"/>
            </w:tcBorders>
            <w:shd w:val="clear" w:color="000000" w:fill="FFFFFF"/>
            <w:tcMar>
              <w:top w:w="15" w:type="dxa"/>
              <w:left w:w="0" w:type="dxa"/>
              <w:bottom w:w="0" w:type="dxa"/>
              <w:right w:w="0" w:type="dxa"/>
            </w:tcMar>
            <w:hideMark/>
          </w:tcPr>
          <w:p w:rsidR="00282739" w:rsidRDefault="00282739" w:rsidP="003C6043">
            <w:pPr>
              <w:pStyle w:val="Tablehead2"/>
              <w:jc w:val="center"/>
            </w:pPr>
            <w:r>
              <w:t>s.e.</w:t>
            </w:r>
          </w:p>
        </w:tc>
        <w:tc>
          <w:tcPr>
            <w:tcW w:w="506" w:type="pct"/>
            <w:tcBorders>
              <w:left w:val="nil"/>
              <w:bottom w:val="single" w:sz="4" w:space="0" w:color="auto"/>
              <w:right w:val="nil"/>
            </w:tcBorders>
            <w:shd w:val="clear" w:color="000000" w:fill="FFFFFF"/>
            <w:tcMar>
              <w:top w:w="15" w:type="dxa"/>
              <w:left w:w="0" w:type="dxa"/>
              <w:bottom w:w="0" w:type="dxa"/>
              <w:right w:w="0" w:type="dxa"/>
            </w:tcMar>
            <w:hideMark/>
          </w:tcPr>
          <w:p w:rsidR="00282739" w:rsidRDefault="00282739" w:rsidP="003C6043">
            <w:pPr>
              <w:pStyle w:val="Tablehead2"/>
              <w:jc w:val="center"/>
            </w:pPr>
            <w:r>
              <w:t>Predicted probability</w:t>
            </w:r>
          </w:p>
        </w:tc>
        <w:tc>
          <w:tcPr>
            <w:tcW w:w="508" w:type="pct"/>
            <w:tcBorders>
              <w:left w:val="nil"/>
              <w:bottom w:val="single" w:sz="4" w:space="0" w:color="auto"/>
              <w:right w:val="nil"/>
            </w:tcBorders>
            <w:shd w:val="clear" w:color="000000" w:fill="FFFFFF"/>
            <w:tcMar>
              <w:top w:w="15" w:type="dxa"/>
              <w:left w:w="0" w:type="dxa"/>
              <w:bottom w:w="0" w:type="dxa"/>
              <w:right w:w="0" w:type="dxa"/>
            </w:tcMar>
            <w:hideMark/>
          </w:tcPr>
          <w:p w:rsidR="00282739" w:rsidRDefault="00282739" w:rsidP="003C6043">
            <w:pPr>
              <w:pStyle w:val="Tablehead2"/>
              <w:jc w:val="center"/>
            </w:pPr>
            <w:r>
              <w:t>s.e.</w:t>
            </w:r>
          </w:p>
        </w:tc>
        <w:tc>
          <w:tcPr>
            <w:tcW w:w="563" w:type="pct"/>
            <w:tcBorders>
              <w:left w:val="nil"/>
              <w:bottom w:val="single" w:sz="4" w:space="0" w:color="auto"/>
              <w:right w:val="nil"/>
            </w:tcBorders>
            <w:shd w:val="clear" w:color="000000" w:fill="FFFFFF"/>
            <w:tcMar>
              <w:left w:w="0" w:type="dxa"/>
              <w:right w:w="0" w:type="dxa"/>
            </w:tcMar>
          </w:tcPr>
          <w:p w:rsidR="00282739" w:rsidRDefault="00282739" w:rsidP="003C6043">
            <w:pPr>
              <w:pStyle w:val="Tablehead2"/>
              <w:jc w:val="center"/>
            </w:pPr>
          </w:p>
        </w:tc>
      </w:tr>
      <w:tr w:rsidR="00282739" w:rsidTr="003C6043">
        <w:tc>
          <w:tcPr>
            <w:tcW w:w="1399" w:type="pct"/>
            <w:tcBorders>
              <w:top w:val="single" w:sz="4" w:space="0" w:color="auto"/>
              <w:left w:val="nil"/>
              <w:bottom w:val="nil"/>
              <w:right w:val="nil"/>
            </w:tcBorders>
            <w:shd w:val="clear" w:color="000000" w:fill="FFFFFF"/>
            <w:noWrap/>
            <w:tcMar>
              <w:top w:w="15" w:type="dxa"/>
              <w:left w:w="108" w:type="dxa"/>
              <w:bottom w:w="0" w:type="dxa"/>
              <w:right w:w="108" w:type="dxa"/>
            </w:tcMar>
            <w:hideMark/>
          </w:tcPr>
          <w:p w:rsidR="00282739" w:rsidRPr="00520296" w:rsidRDefault="00282739" w:rsidP="003C6043">
            <w:pPr>
              <w:pStyle w:val="Tabletext"/>
              <w:spacing w:before="80"/>
              <w:rPr>
                <w:i/>
              </w:rPr>
            </w:pPr>
            <w:r w:rsidRPr="00520296">
              <w:rPr>
                <w:i/>
              </w:rPr>
              <w:t xml:space="preserve">Offered a university place </w:t>
            </w:r>
          </w:p>
        </w:tc>
        <w:tc>
          <w:tcPr>
            <w:tcW w:w="506" w:type="pct"/>
            <w:tcBorders>
              <w:top w:val="single" w:sz="4" w:space="0" w:color="auto"/>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spacing w:before="80"/>
              <w:rPr>
                <w:lang w:val="en-US"/>
              </w:rPr>
            </w:pPr>
          </w:p>
        </w:tc>
        <w:tc>
          <w:tcPr>
            <w:tcW w:w="506" w:type="pct"/>
            <w:tcBorders>
              <w:top w:val="single" w:sz="4" w:space="0" w:color="auto"/>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spacing w:before="80"/>
              <w:rPr>
                <w:lang w:val="en-US"/>
              </w:rPr>
            </w:pPr>
          </w:p>
        </w:tc>
        <w:tc>
          <w:tcPr>
            <w:tcW w:w="506" w:type="pct"/>
            <w:tcBorders>
              <w:top w:val="single" w:sz="4" w:space="0" w:color="auto"/>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spacing w:before="80"/>
              <w:rPr>
                <w:lang w:val="en-US"/>
              </w:rPr>
            </w:pPr>
          </w:p>
        </w:tc>
        <w:tc>
          <w:tcPr>
            <w:tcW w:w="506" w:type="pct"/>
            <w:tcBorders>
              <w:top w:val="single" w:sz="4" w:space="0" w:color="auto"/>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spacing w:before="80"/>
              <w:rPr>
                <w:lang w:val="en-US"/>
              </w:rPr>
            </w:pPr>
          </w:p>
        </w:tc>
        <w:tc>
          <w:tcPr>
            <w:tcW w:w="506" w:type="pct"/>
            <w:tcBorders>
              <w:top w:val="single" w:sz="4" w:space="0" w:color="auto"/>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spacing w:before="80"/>
              <w:rPr>
                <w:lang w:val="en-US"/>
              </w:rPr>
            </w:pPr>
          </w:p>
        </w:tc>
        <w:tc>
          <w:tcPr>
            <w:tcW w:w="508" w:type="pct"/>
            <w:tcBorders>
              <w:top w:val="single" w:sz="4" w:space="0" w:color="auto"/>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spacing w:before="80"/>
              <w:rPr>
                <w:lang w:val="en-US"/>
              </w:rPr>
            </w:pPr>
          </w:p>
        </w:tc>
        <w:tc>
          <w:tcPr>
            <w:tcW w:w="563" w:type="pct"/>
            <w:tcBorders>
              <w:top w:val="single" w:sz="4" w:space="0" w:color="auto"/>
              <w:left w:val="nil"/>
              <w:bottom w:val="nil"/>
              <w:right w:val="nil"/>
            </w:tcBorders>
            <w:shd w:val="clear" w:color="000000" w:fill="FFFFFF"/>
            <w:tcMar>
              <w:left w:w="108" w:type="dxa"/>
              <w:right w:w="108" w:type="dxa"/>
            </w:tcMar>
          </w:tcPr>
          <w:p w:rsidR="00282739" w:rsidRPr="00B04CF4" w:rsidRDefault="00282739" w:rsidP="003C6043">
            <w:pPr>
              <w:pStyle w:val="Tabletext"/>
              <w:spacing w:before="80"/>
              <w:rPr>
                <w:szCs w:val="16"/>
              </w:rPr>
            </w:pPr>
          </w:p>
        </w:tc>
      </w:tr>
      <w:tr w:rsidR="00282739" w:rsidTr="003C6043">
        <w:tc>
          <w:tcPr>
            <w:tcW w:w="1399"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pPr>
            <w:r>
              <w:t>Unmatched</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0.674</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0.468</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0.864</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0.342</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pPr>
            <w:r>
              <w:rPr>
                <w:lang w:val="en-US"/>
              </w:rPr>
              <w:t>-0.189***</w:t>
            </w:r>
          </w:p>
        </w:tc>
        <w:tc>
          <w:tcPr>
            <w:tcW w:w="508"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0.012</w:t>
            </w:r>
          </w:p>
        </w:tc>
        <w:tc>
          <w:tcPr>
            <w:tcW w:w="563" w:type="pct"/>
            <w:tcBorders>
              <w:top w:val="nil"/>
              <w:left w:val="nil"/>
              <w:bottom w:val="nil"/>
              <w:right w:val="nil"/>
            </w:tcBorders>
            <w:shd w:val="clear" w:color="000000" w:fill="FFFFFF"/>
            <w:tcMar>
              <w:left w:w="108" w:type="dxa"/>
              <w:right w:w="108" w:type="dxa"/>
            </w:tcMar>
          </w:tcPr>
          <w:p w:rsidR="00282739" w:rsidRPr="00B04CF4" w:rsidRDefault="00282739" w:rsidP="003C6043">
            <w:pPr>
              <w:pStyle w:val="Tabletext"/>
              <w:tabs>
                <w:tab w:val="decimal" w:pos="312"/>
              </w:tabs>
              <w:rPr>
                <w:szCs w:val="16"/>
              </w:rPr>
            </w:pPr>
            <w:r w:rsidRPr="00B04CF4">
              <w:rPr>
                <w:szCs w:val="16"/>
              </w:rPr>
              <w:t>16 923</w:t>
            </w:r>
          </w:p>
        </w:tc>
      </w:tr>
      <w:tr w:rsidR="00282739" w:rsidTr="003C6043">
        <w:tc>
          <w:tcPr>
            <w:tcW w:w="1399"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pPr>
            <w:r>
              <w:t>Matched</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0.674</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0.468</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t>0.792</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t>0.405</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pPr>
            <w:r>
              <w:rPr>
                <w:lang w:val="en-US"/>
              </w:rPr>
              <w:t>-0.118***</w:t>
            </w:r>
          </w:p>
        </w:tc>
        <w:tc>
          <w:tcPr>
            <w:tcW w:w="508"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0.027</w:t>
            </w:r>
          </w:p>
        </w:tc>
        <w:tc>
          <w:tcPr>
            <w:tcW w:w="563" w:type="pct"/>
            <w:tcBorders>
              <w:top w:val="nil"/>
              <w:left w:val="nil"/>
              <w:bottom w:val="nil"/>
              <w:right w:val="nil"/>
            </w:tcBorders>
            <w:shd w:val="clear" w:color="000000" w:fill="FFFFFF"/>
            <w:tcMar>
              <w:left w:w="108" w:type="dxa"/>
              <w:right w:w="108" w:type="dxa"/>
            </w:tcMar>
          </w:tcPr>
          <w:p w:rsidR="00282739" w:rsidRPr="00B04CF4" w:rsidRDefault="00282739" w:rsidP="003C6043">
            <w:pPr>
              <w:pStyle w:val="Tabletext"/>
              <w:tabs>
                <w:tab w:val="decimal" w:pos="312"/>
              </w:tabs>
              <w:rPr>
                <w:szCs w:val="16"/>
              </w:rPr>
            </w:pPr>
            <w:r w:rsidRPr="00B04CF4">
              <w:rPr>
                <w:szCs w:val="16"/>
              </w:rPr>
              <w:t>16 923</w:t>
            </w:r>
          </w:p>
        </w:tc>
      </w:tr>
      <w:tr w:rsidR="00282739" w:rsidTr="003C6043">
        <w:tc>
          <w:tcPr>
            <w:tcW w:w="4437" w:type="pct"/>
            <w:gridSpan w:val="7"/>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spacing w:before="120"/>
              <w:rPr>
                <w:rFonts w:cs="Arial"/>
                <w:color w:val="000000"/>
                <w:szCs w:val="16"/>
              </w:rPr>
            </w:pPr>
            <w:r w:rsidRPr="00520296">
              <w:rPr>
                <w:i/>
              </w:rPr>
              <w:t>University course preference attained (out of 12 preferences)</w:t>
            </w:r>
          </w:p>
        </w:tc>
        <w:tc>
          <w:tcPr>
            <w:tcW w:w="563" w:type="pct"/>
            <w:tcBorders>
              <w:top w:val="nil"/>
              <w:left w:val="nil"/>
              <w:bottom w:val="nil"/>
              <w:right w:val="nil"/>
            </w:tcBorders>
            <w:shd w:val="clear" w:color="000000" w:fill="FFFFFF"/>
            <w:tcMar>
              <w:left w:w="108" w:type="dxa"/>
              <w:right w:w="108" w:type="dxa"/>
            </w:tcMar>
          </w:tcPr>
          <w:p w:rsidR="00282739" w:rsidRPr="00B04CF4" w:rsidRDefault="00282739" w:rsidP="003C6043">
            <w:pPr>
              <w:pStyle w:val="Tabletext"/>
              <w:tabs>
                <w:tab w:val="decimal" w:pos="312"/>
              </w:tabs>
              <w:spacing w:before="120"/>
              <w:rPr>
                <w:szCs w:val="16"/>
              </w:rPr>
            </w:pPr>
          </w:p>
        </w:tc>
      </w:tr>
      <w:tr w:rsidR="00282739" w:rsidTr="003C6043">
        <w:tc>
          <w:tcPr>
            <w:tcW w:w="1399"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pPr>
            <w:r>
              <w:t>First preference</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rPr>
                <w:lang w:val="en-US"/>
              </w:rPr>
            </w:pP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rPr>
                <w:lang w:val="en-US"/>
              </w:rPr>
            </w:pP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rPr>
                <w:lang w:val="en-US"/>
              </w:rPr>
            </w:pP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rPr>
                <w:lang w:val="en-US"/>
              </w:rPr>
            </w:pP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rPr>
                <w:lang w:val="en-US"/>
              </w:rPr>
            </w:pPr>
          </w:p>
        </w:tc>
        <w:tc>
          <w:tcPr>
            <w:tcW w:w="508"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rPr>
                <w:lang w:val="en-US"/>
              </w:rPr>
            </w:pPr>
          </w:p>
        </w:tc>
        <w:tc>
          <w:tcPr>
            <w:tcW w:w="563" w:type="pct"/>
            <w:tcBorders>
              <w:top w:val="nil"/>
              <w:left w:val="nil"/>
              <w:bottom w:val="nil"/>
              <w:right w:val="nil"/>
            </w:tcBorders>
            <w:shd w:val="clear" w:color="000000" w:fill="FFFFFF"/>
            <w:tcMar>
              <w:left w:w="108" w:type="dxa"/>
              <w:right w:w="108" w:type="dxa"/>
            </w:tcMar>
          </w:tcPr>
          <w:p w:rsidR="00282739" w:rsidRPr="00B04CF4" w:rsidRDefault="00282739" w:rsidP="003C6043">
            <w:pPr>
              <w:pStyle w:val="Tabletext"/>
              <w:tabs>
                <w:tab w:val="decimal" w:pos="312"/>
              </w:tabs>
              <w:rPr>
                <w:szCs w:val="16"/>
              </w:rPr>
            </w:pPr>
          </w:p>
        </w:tc>
      </w:tr>
      <w:tr w:rsidR="00282739" w:rsidTr="003C6043">
        <w:tc>
          <w:tcPr>
            <w:tcW w:w="1399"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pPr>
            <w:r>
              <w:t>Unmatched</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0.216</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0.411</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0.291</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0.454</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pPr>
            <w:r>
              <w:rPr>
                <w:lang w:val="en-US"/>
              </w:rPr>
              <w:t>-0.074***</w:t>
            </w:r>
          </w:p>
        </w:tc>
        <w:tc>
          <w:tcPr>
            <w:tcW w:w="508"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0.012</w:t>
            </w:r>
          </w:p>
        </w:tc>
        <w:tc>
          <w:tcPr>
            <w:tcW w:w="563" w:type="pct"/>
            <w:tcBorders>
              <w:top w:val="nil"/>
              <w:left w:val="nil"/>
              <w:bottom w:val="nil"/>
              <w:right w:val="nil"/>
            </w:tcBorders>
            <w:shd w:val="clear" w:color="000000" w:fill="FFFFFF"/>
            <w:tcMar>
              <w:left w:w="108" w:type="dxa"/>
              <w:right w:w="108" w:type="dxa"/>
            </w:tcMar>
          </w:tcPr>
          <w:p w:rsidR="00282739" w:rsidRPr="00B04CF4" w:rsidRDefault="00282739" w:rsidP="003C6043">
            <w:pPr>
              <w:pStyle w:val="Tabletext"/>
              <w:tabs>
                <w:tab w:val="decimal" w:pos="312"/>
              </w:tabs>
              <w:rPr>
                <w:szCs w:val="16"/>
              </w:rPr>
            </w:pPr>
            <w:r w:rsidRPr="00B04CF4">
              <w:rPr>
                <w:szCs w:val="16"/>
              </w:rPr>
              <w:t>26 875</w:t>
            </w:r>
          </w:p>
        </w:tc>
      </w:tr>
      <w:tr w:rsidR="00282739" w:rsidTr="003C6043">
        <w:tc>
          <w:tcPr>
            <w:tcW w:w="1399"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pPr>
            <w:r>
              <w:t>Matched</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0.216</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0.411</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Pr="00B04CF4" w:rsidRDefault="00282739" w:rsidP="003C6043">
            <w:pPr>
              <w:pStyle w:val="Tabletext"/>
              <w:tabs>
                <w:tab w:val="decimal" w:pos="227"/>
              </w:tabs>
              <w:rPr>
                <w:szCs w:val="16"/>
              </w:rPr>
            </w:pPr>
            <w:r>
              <w:rPr>
                <w:szCs w:val="16"/>
              </w:rPr>
              <w:t>0.238</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Pr="00B04CF4" w:rsidRDefault="00282739" w:rsidP="003C6043">
            <w:pPr>
              <w:pStyle w:val="Tabletext"/>
              <w:tabs>
                <w:tab w:val="decimal" w:pos="227"/>
              </w:tabs>
              <w:rPr>
                <w:szCs w:val="16"/>
              </w:rPr>
            </w:pPr>
            <w:r>
              <w:rPr>
                <w:szCs w:val="16"/>
              </w:rPr>
              <w:t>0.426</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Pr="00B04CF4" w:rsidRDefault="00282739" w:rsidP="003C6043">
            <w:pPr>
              <w:pStyle w:val="Tabletext"/>
              <w:rPr>
                <w:szCs w:val="16"/>
              </w:rPr>
            </w:pPr>
            <w:r>
              <w:rPr>
                <w:szCs w:val="16"/>
              </w:rPr>
              <w:t>-0.021</w:t>
            </w:r>
          </w:p>
        </w:tc>
        <w:tc>
          <w:tcPr>
            <w:tcW w:w="508" w:type="pct"/>
            <w:tcBorders>
              <w:top w:val="nil"/>
              <w:left w:val="nil"/>
              <w:bottom w:val="nil"/>
              <w:right w:val="nil"/>
            </w:tcBorders>
            <w:shd w:val="clear" w:color="000000" w:fill="FFFFFF"/>
            <w:noWrap/>
            <w:tcMar>
              <w:top w:w="15" w:type="dxa"/>
              <w:left w:w="108" w:type="dxa"/>
              <w:bottom w:w="0" w:type="dxa"/>
              <w:right w:w="108" w:type="dxa"/>
            </w:tcMar>
            <w:hideMark/>
          </w:tcPr>
          <w:p w:rsidR="00282739" w:rsidRPr="00B04CF4" w:rsidRDefault="00282739" w:rsidP="003C6043">
            <w:pPr>
              <w:pStyle w:val="Tabletext"/>
              <w:tabs>
                <w:tab w:val="decimal" w:pos="227"/>
              </w:tabs>
              <w:rPr>
                <w:szCs w:val="16"/>
              </w:rPr>
            </w:pPr>
            <w:r>
              <w:rPr>
                <w:szCs w:val="16"/>
              </w:rPr>
              <w:t>0.021</w:t>
            </w:r>
          </w:p>
        </w:tc>
        <w:tc>
          <w:tcPr>
            <w:tcW w:w="563" w:type="pct"/>
            <w:tcBorders>
              <w:top w:val="nil"/>
              <w:left w:val="nil"/>
              <w:bottom w:val="nil"/>
              <w:right w:val="nil"/>
            </w:tcBorders>
            <w:shd w:val="clear" w:color="000000" w:fill="FFFFFF"/>
            <w:tcMar>
              <w:left w:w="108" w:type="dxa"/>
              <w:right w:w="108" w:type="dxa"/>
            </w:tcMar>
          </w:tcPr>
          <w:p w:rsidR="00282739" w:rsidRPr="00B04CF4" w:rsidRDefault="00282739" w:rsidP="003C6043">
            <w:pPr>
              <w:pStyle w:val="Tabletext"/>
              <w:tabs>
                <w:tab w:val="decimal" w:pos="312"/>
              </w:tabs>
              <w:rPr>
                <w:szCs w:val="16"/>
              </w:rPr>
            </w:pPr>
            <w:r w:rsidRPr="00B04CF4">
              <w:rPr>
                <w:szCs w:val="16"/>
              </w:rPr>
              <w:t>26 875</w:t>
            </w:r>
          </w:p>
        </w:tc>
      </w:tr>
      <w:tr w:rsidR="00282739" w:rsidTr="003C6043">
        <w:tc>
          <w:tcPr>
            <w:tcW w:w="1399" w:type="pct"/>
            <w:tcBorders>
              <w:top w:val="nil"/>
              <w:left w:val="nil"/>
              <w:bottom w:val="nil"/>
              <w:right w:val="nil"/>
            </w:tcBorders>
            <w:shd w:val="clear" w:color="000000" w:fill="FFFFFF"/>
            <w:noWrap/>
            <w:tcMar>
              <w:top w:w="15" w:type="dxa"/>
              <w:left w:w="108" w:type="dxa"/>
              <w:bottom w:w="0" w:type="dxa"/>
              <w:right w:w="108" w:type="dxa"/>
            </w:tcMar>
            <w:hideMark/>
          </w:tcPr>
          <w:p w:rsidR="00282739" w:rsidRPr="00520296" w:rsidRDefault="00282739" w:rsidP="003C6043">
            <w:pPr>
              <w:pStyle w:val="Tabletext"/>
              <w:spacing w:before="120"/>
              <w:rPr>
                <w:i/>
              </w:rPr>
            </w:pPr>
            <w:r w:rsidRPr="00520296">
              <w:rPr>
                <w:i/>
              </w:rPr>
              <w:t>One of first three preferences</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spacing w:before="120"/>
              <w:rPr>
                <w:lang w:val="en-US"/>
              </w:rPr>
            </w:pP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spacing w:before="120"/>
              <w:rPr>
                <w:lang w:val="en-US"/>
              </w:rPr>
            </w:pP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spacing w:before="120"/>
              <w:rPr>
                <w:lang w:val="en-US"/>
              </w:rPr>
            </w:pP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spacing w:before="120"/>
              <w:rPr>
                <w:lang w:val="en-US"/>
              </w:rPr>
            </w:pP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spacing w:before="120"/>
              <w:rPr>
                <w:lang w:val="en-US"/>
              </w:rPr>
            </w:pPr>
          </w:p>
        </w:tc>
        <w:tc>
          <w:tcPr>
            <w:tcW w:w="508"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spacing w:before="120"/>
              <w:rPr>
                <w:lang w:val="en-US"/>
              </w:rPr>
            </w:pPr>
          </w:p>
        </w:tc>
        <w:tc>
          <w:tcPr>
            <w:tcW w:w="563" w:type="pct"/>
            <w:tcBorders>
              <w:top w:val="nil"/>
              <w:left w:val="nil"/>
              <w:bottom w:val="nil"/>
              <w:right w:val="nil"/>
            </w:tcBorders>
            <w:shd w:val="clear" w:color="000000" w:fill="FFFFFF"/>
            <w:tcMar>
              <w:left w:w="108" w:type="dxa"/>
              <w:right w:w="108" w:type="dxa"/>
            </w:tcMar>
          </w:tcPr>
          <w:p w:rsidR="00282739" w:rsidRPr="00B04CF4" w:rsidRDefault="00282739" w:rsidP="003C6043">
            <w:pPr>
              <w:pStyle w:val="Tabletext"/>
              <w:tabs>
                <w:tab w:val="decimal" w:pos="312"/>
              </w:tabs>
              <w:spacing w:before="120"/>
              <w:rPr>
                <w:szCs w:val="16"/>
              </w:rPr>
            </w:pPr>
          </w:p>
        </w:tc>
      </w:tr>
      <w:tr w:rsidR="00282739" w:rsidTr="003C6043">
        <w:tc>
          <w:tcPr>
            <w:tcW w:w="1399"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pPr>
            <w:r>
              <w:t>Unmatched</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0.404</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0.490</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0.543</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0.498</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pPr>
            <w:r>
              <w:rPr>
                <w:lang w:val="en-US"/>
              </w:rPr>
              <w:t>-0.139***</w:t>
            </w:r>
          </w:p>
        </w:tc>
        <w:tc>
          <w:tcPr>
            <w:tcW w:w="508"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0.013</w:t>
            </w:r>
          </w:p>
        </w:tc>
        <w:tc>
          <w:tcPr>
            <w:tcW w:w="563" w:type="pct"/>
            <w:tcBorders>
              <w:top w:val="nil"/>
              <w:left w:val="nil"/>
              <w:bottom w:val="nil"/>
              <w:right w:val="nil"/>
            </w:tcBorders>
            <w:shd w:val="clear" w:color="000000" w:fill="FFFFFF"/>
            <w:tcMar>
              <w:left w:w="108" w:type="dxa"/>
              <w:right w:w="108" w:type="dxa"/>
            </w:tcMar>
          </w:tcPr>
          <w:p w:rsidR="00282739" w:rsidRPr="00B04CF4" w:rsidRDefault="00282739" w:rsidP="003C6043">
            <w:pPr>
              <w:pStyle w:val="Tabletext"/>
              <w:tabs>
                <w:tab w:val="decimal" w:pos="312"/>
              </w:tabs>
              <w:rPr>
                <w:szCs w:val="16"/>
              </w:rPr>
            </w:pPr>
            <w:r w:rsidRPr="00B04CF4">
              <w:rPr>
                <w:szCs w:val="16"/>
              </w:rPr>
              <w:t>28 271</w:t>
            </w:r>
          </w:p>
        </w:tc>
      </w:tr>
      <w:tr w:rsidR="00282739" w:rsidTr="003C6043">
        <w:tc>
          <w:tcPr>
            <w:tcW w:w="1399"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pPr>
            <w:r>
              <w:t>Matched</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0.404</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0.490</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0.440</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0.496</w:t>
            </w:r>
          </w:p>
        </w:tc>
        <w:tc>
          <w:tcPr>
            <w:tcW w:w="506"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pPr>
            <w:r>
              <w:rPr>
                <w:lang w:val="en-US"/>
              </w:rPr>
              <w:t>-0.035</w:t>
            </w:r>
          </w:p>
        </w:tc>
        <w:tc>
          <w:tcPr>
            <w:tcW w:w="508" w:type="pct"/>
            <w:tcBorders>
              <w:top w:val="nil"/>
              <w:left w:val="nil"/>
              <w:bottom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0.024</w:t>
            </w:r>
          </w:p>
        </w:tc>
        <w:tc>
          <w:tcPr>
            <w:tcW w:w="563" w:type="pct"/>
            <w:tcBorders>
              <w:top w:val="nil"/>
              <w:left w:val="nil"/>
              <w:bottom w:val="nil"/>
              <w:right w:val="nil"/>
            </w:tcBorders>
            <w:shd w:val="clear" w:color="000000" w:fill="FFFFFF"/>
            <w:tcMar>
              <w:left w:w="108" w:type="dxa"/>
              <w:right w:w="108" w:type="dxa"/>
            </w:tcMar>
          </w:tcPr>
          <w:p w:rsidR="00282739" w:rsidRPr="00B04CF4" w:rsidRDefault="00282739" w:rsidP="003C6043">
            <w:pPr>
              <w:pStyle w:val="Tabletext"/>
              <w:tabs>
                <w:tab w:val="decimal" w:pos="312"/>
              </w:tabs>
              <w:rPr>
                <w:szCs w:val="16"/>
              </w:rPr>
            </w:pPr>
            <w:r w:rsidRPr="00B04CF4">
              <w:rPr>
                <w:szCs w:val="16"/>
              </w:rPr>
              <w:t>28 271</w:t>
            </w:r>
          </w:p>
        </w:tc>
      </w:tr>
      <w:tr w:rsidR="00282739" w:rsidTr="003C6043">
        <w:tc>
          <w:tcPr>
            <w:tcW w:w="1399" w:type="pct"/>
            <w:tcBorders>
              <w:top w:val="nil"/>
              <w:left w:val="nil"/>
              <w:right w:val="nil"/>
            </w:tcBorders>
            <w:shd w:val="clear" w:color="000000" w:fill="FFFFFF"/>
            <w:noWrap/>
            <w:tcMar>
              <w:top w:w="15" w:type="dxa"/>
              <w:left w:w="108" w:type="dxa"/>
              <w:bottom w:w="0" w:type="dxa"/>
              <w:right w:w="108" w:type="dxa"/>
            </w:tcMar>
            <w:hideMark/>
          </w:tcPr>
          <w:p w:rsidR="00282739" w:rsidRPr="00520296" w:rsidRDefault="00282739" w:rsidP="003C6043">
            <w:pPr>
              <w:pStyle w:val="Tabletext"/>
              <w:spacing w:before="120"/>
              <w:rPr>
                <w:i/>
              </w:rPr>
            </w:pPr>
            <w:r w:rsidRPr="00520296">
              <w:rPr>
                <w:i/>
              </w:rPr>
              <w:t>One of first six preferences</w:t>
            </w:r>
          </w:p>
        </w:tc>
        <w:tc>
          <w:tcPr>
            <w:tcW w:w="506" w:type="pct"/>
            <w:tcBorders>
              <w:top w:val="nil"/>
              <w:left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spacing w:before="120"/>
              <w:rPr>
                <w:lang w:val="en-US"/>
              </w:rPr>
            </w:pPr>
          </w:p>
        </w:tc>
        <w:tc>
          <w:tcPr>
            <w:tcW w:w="506" w:type="pct"/>
            <w:tcBorders>
              <w:top w:val="nil"/>
              <w:left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spacing w:before="120"/>
              <w:rPr>
                <w:lang w:val="en-US"/>
              </w:rPr>
            </w:pPr>
          </w:p>
        </w:tc>
        <w:tc>
          <w:tcPr>
            <w:tcW w:w="506" w:type="pct"/>
            <w:tcBorders>
              <w:top w:val="nil"/>
              <w:left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spacing w:before="120"/>
              <w:rPr>
                <w:lang w:val="en-US"/>
              </w:rPr>
            </w:pPr>
          </w:p>
        </w:tc>
        <w:tc>
          <w:tcPr>
            <w:tcW w:w="506" w:type="pct"/>
            <w:tcBorders>
              <w:top w:val="nil"/>
              <w:left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spacing w:before="120"/>
              <w:rPr>
                <w:lang w:val="en-US"/>
              </w:rPr>
            </w:pPr>
          </w:p>
        </w:tc>
        <w:tc>
          <w:tcPr>
            <w:tcW w:w="506" w:type="pct"/>
            <w:tcBorders>
              <w:top w:val="nil"/>
              <w:left w:val="nil"/>
              <w:right w:val="nil"/>
            </w:tcBorders>
            <w:shd w:val="clear" w:color="000000" w:fill="FFFFFF"/>
            <w:noWrap/>
            <w:tcMar>
              <w:top w:w="15" w:type="dxa"/>
              <w:left w:w="108" w:type="dxa"/>
              <w:bottom w:w="0" w:type="dxa"/>
              <w:right w:w="108" w:type="dxa"/>
            </w:tcMar>
            <w:hideMark/>
          </w:tcPr>
          <w:p w:rsidR="00282739" w:rsidRDefault="00282739" w:rsidP="003C6043">
            <w:pPr>
              <w:pStyle w:val="Tabletext"/>
              <w:spacing w:before="120"/>
              <w:rPr>
                <w:lang w:val="en-US"/>
              </w:rPr>
            </w:pPr>
          </w:p>
        </w:tc>
        <w:tc>
          <w:tcPr>
            <w:tcW w:w="508" w:type="pct"/>
            <w:tcBorders>
              <w:top w:val="nil"/>
              <w:left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spacing w:before="120"/>
              <w:rPr>
                <w:lang w:val="en-US"/>
              </w:rPr>
            </w:pPr>
          </w:p>
        </w:tc>
        <w:tc>
          <w:tcPr>
            <w:tcW w:w="563" w:type="pct"/>
            <w:tcBorders>
              <w:top w:val="nil"/>
              <w:left w:val="nil"/>
              <w:right w:val="nil"/>
            </w:tcBorders>
            <w:shd w:val="clear" w:color="000000" w:fill="FFFFFF"/>
            <w:tcMar>
              <w:left w:w="108" w:type="dxa"/>
              <w:right w:w="108" w:type="dxa"/>
            </w:tcMar>
          </w:tcPr>
          <w:p w:rsidR="00282739" w:rsidRPr="00B04CF4" w:rsidRDefault="00282739" w:rsidP="003C6043">
            <w:pPr>
              <w:pStyle w:val="Tabletext"/>
              <w:tabs>
                <w:tab w:val="decimal" w:pos="312"/>
              </w:tabs>
              <w:spacing w:before="120"/>
              <w:rPr>
                <w:szCs w:val="16"/>
              </w:rPr>
            </w:pPr>
          </w:p>
        </w:tc>
      </w:tr>
      <w:tr w:rsidR="00282739" w:rsidTr="003C6043">
        <w:tc>
          <w:tcPr>
            <w:tcW w:w="1399" w:type="pct"/>
            <w:tcBorders>
              <w:top w:val="nil"/>
              <w:left w:val="nil"/>
              <w:right w:val="nil"/>
            </w:tcBorders>
            <w:shd w:val="clear" w:color="000000" w:fill="FFFFFF"/>
            <w:noWrap/>
            <w:tcMar>
              <w:top w:w="15" w:type="dxa"/>
              <w:left w:w="108" w:type="dxa"/>
              <w:bottom w:w="0" w:type="dxa"/>
              <w:right w:w="108" w:type="dxa"/>
            </w:tcMar>
            <w:hideMark/>
          </w:tcPr>
          <w:p w:rsidR="00282739" w:rsidRDefault="00282739" w:rsidP="003C6043">
            <w:pPr>
              <w:pStyle w:val="Tabletext"/>
            </w:pPr>
            <w:r>
              <w:t>Unmatched</w:t>
            </w:r>
          </w:p>
        </w:tc>
        <w:tc>
          <w:tcPr>
            <w:tcW w:w="506" w:type="pct"/>
            <w:tcBorders>
              <w:top w:val="nil"/>
              <w:left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0.509</w:t>
            </w:r>
          </w:p>
        </w:tc>
        <w:tc>
          <w:tcPr>
            <w:tcW w:w="506" w:type="pct"/>
            <w:tcBorders>
              <w:top w:val="nil"/>
              <w:left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0.500</w:t>
            </w:r>
          </w:p>
        </w:tc>
        <w:tc>
          <w:tcPr>
            <w:tcW w:w="506" w:type="pct"/>
            <w:tcBorders>
              <w:top w:val="nil"/>
              <w:left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0.686</w:t>
            </w:r>
          </w:p>
        </w:tc>
        <w:tc>
          <w:tcPr>
            <w:tcW w:w="506" w:type="pct"/>
            <w:tcBorders>
              <w:top w:val="nil"/>
              <w:left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0.463</w:t>
            </w:r>
          </w:p>
        </w:tc>
        <w:tc>
          <w:tcPr>
            <w:tcW w:w="506" w:type="pct"/>
            <w:tcBorders>
              <w:top w:val="nil"/>
              <w:left w:val="nil"/>
              <w:right w:val="nil"/>
            </w:tcBorders>
            <w:shd w:val="clear" w:color="000000" w:fill="FFFFFF"/>
            <w:noWrap/>
            <w:tcMar>
              <w:top w:w="15" w:type="dxa"/>
              <w:left w:w="108" w:type="dxa"/>
              <w:bottom w:w="0" w:type="dxa"/>
              <w:right w:w="108" w:type="dxa"/>
            </w:tcMar>
            <w:hideMark/>
          </w:tcPr>
          <w:p w:rsidR="00282739" w:rsidRDefault="00282739" w:rsidP="003C6043">
            <w:pPr>
              <w:pStyle w:val="Tabletext"/>
            </w:pPr>
            <w:r>
              <w:rPr>
                <w:lang w:val="en-US"/>
              </w:rPr>
              <w:t>-0.176***</w:t>
            </w:r>
          </w:p>
        </w:tc>
        <w:tc>
          <w:tcPr>
            <w:tcW w:w="508" w:type="pct"/>
            <w:tcBorders>
              <w:top w:val="nil"/>
              <w:left w:val="nil"/>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0.012</w:t>
            </w:r>
          </w:p>
        </w:tc>
        <w:tc>
          <w:tcPr>
            <w:tcW w:w="563" w:type="pct"/>
            <w:tcBorders>
              <w:top w:val="nil"/>
              <w:left w:val="nil"/>
              <w:right w:val="nil"/>
            </w:tcBorders>
            <w:shd w:val="clear" w:color="000000" w:fill="FFFFFF"/>
            <w:tcMar>
              <w:left w:w="108" w:type="dxa"/>
              <w:right w:w="108" w:type="dxa"/>
            </w:tcMar>
          </w:tcPr>
          <w:p w:rsidR="00282739" w:rsidRPr="00B04CF4" w:rsidRDefault="00282739" w:rsidP="003C6043">
            <w:pPr>
              <w:pStyle w:val="Tabletext"/>
              <w:tabs>
                <w:tab w:val="decimal" w:pos="312"/>
              </w:tabs>
              <w:rPr>
                <w:szCs w:val="16"/>
              </w:rPr>
            </w:pPr>
            <w:r w:rsidRPr="00B04CF4">
              <w:rPr>
                <w:szCs w:val="16"/>
              </w:rPr>
              <w:t>29 266</w:t>
            </w:r>
          </w:p>
        </w:tc>
      </w:tr>
      <w:tr w:rsidR="00282739" w:rsidTr="003C6043">
        <w:tc>
          <w:tcPr>
            <w:tcW w:w="1399" w:type="pct"/>
            <w:tcBorders>
              <w:top w:val="nil"/>
              <w:left w:val="nil"/>
              <w:bottom w:val="single" w:sz="4" w:space="0" w:color="auto"/>
              <w:right w:val="nil"/>
            </w:tcBorders>
            <w:shd w:val="clear" w:color="000000" w:fill="FFFFFF"/>
            <w:noWrap/>
            <w:tcMar>
              <w:top w:w="15" w:type="dxa"/>
              <w:left w:w="108" w:type="dxa"/>
              <w:bottom w:w="0" w:type="dxa"/>
              <w:right w:w="108" w:type="dxa"/>
            </w:tcMar>
            <w:hideMark/>
          </w:tcPr>
          <w:p w:rsidR="00282739" w:rsidRDefault="00282739" w:rsidP="003C6043">
            <w:pPr>
              <w:pStyle w:val="Tabletext"/>
            </w:pPr>
            <w:r>
              <w:t>Matched</w:t>
            </w:r>
          </w:p>
        </w:tc>
        <w:tc>
          <w:tcPr>
            <w:tcW w:w="506" w:type="pct"/>
            <w:tcBorders>
              <w:top w:val="nil"/>
              <w:left w:val="nil"/>
              <w:bottom w:val="single" w:sz="4" w:space="0" w:color="auto"/>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0.509</w:t>
            </w:r>
          </w:p>
        </w:tc>
        <w:tc>
          <w:tcPr>
            <w:tcW w:w="506" w:type="pct"/>
            <w:tcBorders>
              <w:top w:val="nil"/>
              <w:left w:val="nil"/>
              <w:bottom w:val="single" w:sz="4" w:space="0" w:color="auto"/>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0.500</w:t>
            </w:r>
          </w:p>
        </w:tc>
        <w:tc>
          <w:tcPr>
            <w:tcW w:w="506" w:type="pct"/>
            <w:tcBorders>
              <w:top w:val="nil"/>
              <w:left w:val="nil"/>
              <w:bottom w:val="single" w:sz="4" w:space="0" w:color="auto"/>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0.580</w:t>
            </w:r>
          </w:p>
        </w:tc>
        <w:tc>
          <w:tcPr>
            <w:tcW w:w="506" w:type="pct"/>
            <w:tcBorders>
              <w:top w:val="nil"/>
              <w:left w:val="nil"/>
              <w:bottom w:val="single" w:sz="4" w:space="0" w:color="auto"/>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0.493</w:t>
            </w:r>
          </w:p>
        </w:tc>
        <w:tc>
          <w:tcPr>
            <w:tcW w:w="506" w:type="pct"/>
            <w:tcBorders>
              <w:top w:val="nil"/>
              <w:left w:val="nil"/>
              <w:bottom w:val="single" w:sz="4" w:space="0" w:color="auto"/>
              <w:right w:val="nil"/>
            </w:tcBorders>
            <w:shd w:val="clear" w:color="000000" w:fill="FFFFFF"/>
            <w:noWrap/>
            <w:tcMar>
              <w:top w:w="15" w:type="dxa"/>
              <w:left w:w="108" w:type="dxa"/>
              <w:bottom w:w="0" w:type="dxa"/>
              <w:right w:w="108" w:type="dxa"/>
            </w:tcMar>
            <w:hideMark/>
          </w:tcPr>
          <w:p w:rsidR="00282739" w:rsidRDefault="00282739" w:rsidP="003C6043">
            <w:pPr>
              <w:pStyle w:val="Tabletext"/>
            </w:pPr>
            <w:r>
              <w:rPr>
                <w:lang w:val="en-US"/>
              </w:rPr>
              <w:t>-0.070***</w:t>
            </w:r>
          </w:p>
        </w:tc>
        <w:tc>
          <w:tcPr>
            <w:tcW w:w="508" w:type="pct"/>
            <w:tcBorders>
              <w:top w:val="nil"/>
              <w:left w:val="nil"/>
              <w:bottom w:val="single" w:sz="4" w:space="0" w:color="auto"/>
              <w:right w:val="nil"/>
            </w:tcBorders>
            <w:shd w:val="clear" w:color="000000" w:fill="FFFFFF"/>
            <w:noWrap/>
            <w:tcMar>
              <w:top w:w="15" w:type="dxa"/>
              <w:left w:w="108" w:type="dxa"/>
              <w:bottom w:w="0" w:type="dxa"/>
              <w:right w:w="108" w:type="dxa"/>
            </w:tcMar>
            <w:hideMark/>
          </w:tcPr>
          <w:p w:rsidR="00282739" w:rsidRDefault="00282739" w:rsidP="003C6043">
            <w:pPr>
              <w:pStyle w:val="Tabletext"/>
              <w:tabs>
                <w:tab w:val="decimal" w:pos="227"/>
              </w:tabs>
            </w:pPr>
            <w:r>
              <w:rPr>
                <w:lang w:val="en-US"/>
              </w:rPr>
              <w:t>0.024</w:t>
            </w:r>
          </w:p>
        </w:tc>
        <w:tc>
          <w:tcPr>
            <w:tcW w:w="563" w:type="pct"/>
            <w:tcBorders>
              <w:top w:val="nil"/>
              <w:left w:val="nil"/>
              <w:bottom w:val="single" w:sz="4" w:space="0" w:color="auto"/>
              <w:right w:val="nil"/>
            </w:tcBorders>
            <w:shd w:val="clear" w:color="000000" w:fill="FFFFFF"/>
            <w:tcMar>
              <w:left w:w="108" w:type="dxa"/>
              <w:right w:w="108" w:type="dxa"/>
            </w:tcMar>
          </w:tcPr>
          <w:p w:rsidR="00282739" w:rsidRPr="00B04CF4" w:rsidRDefault="00282739" w:rsidP="003C6043">
            <w:pPr>
              <w:pStyle w:val="Tabletext"/>
              <w:tabs>
                <w:tab w:val="decimal" w:pos="312"/>
              </w:tabs>
              <w:rPr>
                <w:szCs w:val="16"/>
              </w:rPr>
            </w:pPr>
            <w:r w:rsidRPr="00B04CF4">
              <w:rPr>
                <w:szCs w:val="16"/>
              </w:rPr>
              <w:t>29 266</w:t>
            </w:r>
          </w:p>
        </w:tc>
      </w:tr>
    </w:tbl>
    <w:p w:rsidR="00282739" w:rsidRPr="00C44843" w:rsidRDefault="00282739" w:rsidP="00282739">
      <w:pPr>
        <w:pStyle w:val="Source"/>
      </w:pPr>
      <w:r>
        <w:t>Notes:</w:t>
      </w:r>
      <w:r>
        <w:tab/>
      </w:r>
      <w:r w:rsidRPr="00B41404">
        <w:t>***</w:t>
      </w:r>
      <w:r w:rsidRPr="00C44843">
        <w:t>Significant at 1%.</w:t>
      </w:r>
    </w:p>
    <w:p w:rsidR="00282739" w:rsidRDefault="00282739" w:rsidP="00282739">
      <w:pPr>
        <w:pStyle w:val="Source"/>
        <w:ind w:hanging="17"/>
      </w:pPr>
      <w:r w:rsidRPr="00C44843">
        <w:t>The number of observations</w:t>
      </w:r>
      <w:r>
        <w:t xml:space="preserve"> for being offered a university place is fewer than in t</w:t>
      </w:r>
      <w:r w:rsidRPr="00B41404">
        <w:t xml:space="preserve">able 6 because the </w:t>
      </w:r>
      <w:r>
        <w:t xml:space="preserve">sample is </w:t>
      </w:r>
      <w:r w:rsidRPr="00B41404">
        <w:t xml:space="preserve">based on </w:t>
      </w:r>
      <w:r>
        <w:t>On Track</w:t>
      </w:r>
      <w:r w:rsidRPr="00B41404">
        <w:t xml:space="preserve"> data, which is a sample of the population of school completers</w:t>
      </w:r>
      <w:r w:rsidRPr="00C923FF">
        <w:t>. The number of observations for attaining the preferred university preference and for attaining one of the first three and first six preference</w:t>
      </w:r>
      <w:r>
        <w:t>s</w:t>
      </w:r>
      <w:r w:rsidRPr="00C923FF">
        <w:t xml:space="preserve"> is higher than in </w:t>
      </w:r>
      <w:r>
        <w:t>t</w:t>
      </w:r>
      <w:r w:rsidRPr="00C923FF">
        <w:t>able 6 because</w:t>
      </w:r>
      <w:r>
        <w:t xml:space="preserve"> of the higher number of non-missing observations in the outcome variable.</w:t>
      </w:r>
    </w:p>
    <w:p w:rsidR="00282739" w:rsidRDefault="00282739" w:rsidP="00282739">
      <w:pPr>
        <w:pStyle w:val="Textmorebefore"/>
      </w:pPr>
      <w:r>
        <w:t xml:space="preserve">Given that we know that VCE VET students apply to courses with lower cut-off scores than students who do not undertake VCE VET subjects, this result appears to contradict expectations. However, there are good reasons for this result. First, the descriptive statistics that show VCE VET students apply for courses with lower cut-off scores are based on unmatched data (table 5). In estimating the relationships between VCE VET and receiving an offer, propensity score matching compares the offer rate of VCE VET students with the offer rate of a select group of students who did not take a VCE VET course but who have the same observable characteristics. In appendix E, we show that adding the controls for the differences in the level of aspiration using the first-preference cut-off scores makes very little difference to the estimated results. The clear interpretation of this result is that once we control for the differences in the observable characteristics between those who do and those who do not take VCE VET subjects (especially academic performance and intended field of study), their level of aspiration is much the same as for the students who do not take VCE VET. Therefore, after controlling for the differences in observable characteristics, any change in university entry score is likely to have similar impacts on both groups’ chances of receiving a university offer. </w:t>
      </w:r>
    </w:p>
    <w:p w:rsidR="00282739" w:rsidRDefault="00282739" w:rsidP="00282739">
      <w:pPr>
        <w:pStyle w:val="Text"/>
      </w:pPr>
      <w:r>
        <w:t xml:space="preserve">Second, for VCE VET students who intend to go to university, the chances of receiving a university offer are particularly sensitive to changes in entry scores because, on average, they are around the middle of the entry-score distribution. For VCE VET students who are towards the bottom of the academic distribution, small impacts in university entry scores are likely to have little effect on their chances of receiving a university offer because their scores are too low to receive an offer, even without the small impact. Similarly, for VCE VET students who are high up the academic distribution, a small impact on their entry scores is likely to have only minor effects on their chances of receiving an offer but may be more likely to affect their chances of receiving a more preferred offer. </w:t>
      </w:r>
    </w:p>
    <w:p w:rsidR="00282739" w:rsidRDefault="00282739" w:rsidP="00282739">
      <w:pPr>
        <w:pStyle w:val="Text"/>
      </w:pPr>
      <w:r>
        <w:t xml:space="preserve">The estimated results for the attainment of a preferred course, using Victorian Tertiary Admissions Centre preference and course cut-off information, are also presented in table 9. As discussed above, </w:t>
      </w:r>
      <w:r>
        <w:lastRenderedPageBreak/>
        <w:t xml:space="preserve">the use of cut-off scores to identify the receipt of an offer should be considered at best as the association between taking VCE VET courses and being ‘guaranteed’ a preferred offer. However, we can take some comfort in the fact that the results generated using this measure are broadly consistent with those using reported university offers from On Track. What we can assume from these results is that taking a VCE VET course is only associated with a lower chance of receiving offers from </w:t>
      </w:r>
      <w:r w:rsidRPr="00A7774E">
        <w:rPr>
          <w:i/>
        </w:rPr>
        <w:t xml:space="preserve">outside </w:t>
      </w:r>
      <w:r>
        <w:t xml:space="preserve">the three most preferred courses. Taking a VCE VET subject is associated with a seven-percentage-point lower chance of attaining a top six preference, from a total of 12 preferences. The effect on attaining a top and top three preferences is likely to be low because, on average, the likelihood of VCE students attaining a high preference is low, regardless of whether or not they take a VCE VET subject (around a 20% chance).  </w:t>
      </w:r>
    </w:p>
    <w:p w:rsidR="00282739" w:rsidRPr="00A7774E" w:rsidRDefault="00282739" w:rsidP="00282739">
      <w:pPr>
        <w:spacing w:before="0" w:line="240" w:lineRule="auto"/>
        <w:rPr>
          <w:rFonts w:ascii="Tahoma" w:hAnsi="Tahoma"/>
          <w:b/>
          <w:sz w:val="17"/>
        </w:rPr>
      </w:pPr>
      <w:r>
        <w:br w:type="page"/>
      </w:r>
    </w:p>
    <w:p w:rsidR="00282739" w:rsidRDefault="00282739" w:rsidP="00282739">
      <w:pPr>
        <w:pStyle w:val="Heading1"/>
      </w:pPr>
      <w:bookmarkStart w:id="59" w:name="_Toc402794966"/>
      <w:r>
        <w:lastRenderedPageBreak/>
        <w:t>Conclusions</w:t>
      </w:r>
      <w:bookmarkEnd w:id="59"/>
    </w:p>
    <w:p w:rsidR="00282739" w:rsidRDefault="00282739" w:rsidP="00282739">
      <w:pPr>
        <w:pStyle w:val="Text"/>
        <w:rPr>
          <w:lang w:val="en-GB"/>
        </w:rPr>
      </w:pPr>
      <w:r>
        <w:rPr>
          <w:lang w:val="en-GB"/>
        </w:rPr>
        <w:t>VET in Schools in Australia was introduced in upper secondary school in the mid-1990s with the aim of retaining less academic youth at school and preparing students for work and further training (</w:t>
      </w:r>
      <w:r>
        <w:rPr>
          <w:rFonts w:eastAsia="PMingLiU"/>
        </w:rPr>
        <w:t>Ministerial Council on Education, Employment, Training and Youth Affairs 1999)</w:t>
      </w:r>
      <w:r>
        <w:rPr>
          <w:lang w:val="en-GB"/>
        </w:rPr>
        <w:t>. However, to help improve the status of students undertaking these courses and to provide them with opportunities to pursue vocational options without closing off university pathways, the VET in Schools program has been expanded to include upper-secondary subjects that count towards a national qualification and university entry.</w:t>
      </w:r>
      <w:r>
        <w:rPr>
          <w:rStyle w:val="FootnoteReference"/>
          <w:lang w:val="en-GB"/>
        </w:rPr>
        <w:footnoteReference w:id="19"/>
      </w:r>
      <w:r>
        <w:rPr>
          <w:lang w:val="en-GB"/>
        </w:rPr>
        <w:t xml:space="preserve"> </w:t>
      </w:r>
    </w:p>
    <w:p w:rsidR="00282739" w:rsidRDefault="00282739" w:rsidP="00282739">
      <w:pPr>
        <w:pStyle w:val="Text"/>
      </w:pPr>
      <w:r>
        <w:rPr>
          <w:lang w:val="en-GB"/>
        </w:rPr>
        <w:t xml:space="preserve">In this study, we have taken a first step in evaluating the outcomes of VET courses that also contribute to university entry by estimating the relationship between taking a VCE VET subject and university access for those students who lodge a first preference to study a university course. </w:t>
      </w:r>
      <w:r>
        <w:t xml:space="preserve">Using a rich dataset and propensity score matching to control for a range of contextual factors that may explain academic performance, we find that, on average, taking a VCE VET subject is associated with a 5% lower university entry score and a 12-percentage-point lower chance of receiving a university offer. We find overall that the relationship between taking a VCE VET course and university entry scores is robust to a range of modelling assumptions, but that the magnitude of the negative impacts across courses varies somewhat. Using a decomposition method developed in this study, we estimate that around 70% of the deficit in university entry scores of students who do VCE VET subjects is, on average, because of the lower scores attained in their VCE VET subject (direct effect), with 30% due to lower performance in their other subjects (indirect effect). </w:t>
      </w:r>
    </w:p>
    <w:p w:rsidR="00282739" w:rsidRDefault="00282739" w:rsidP="00282739">
      <w:pPr>
        <w:pStyle w:val="Text"/>
      </w:pPr>
      <w:r>
        <w:t>While we cannot rule out the possibility that the estimated relationship between taking a VCE VET subject and university entry scores stems from a factor that is not fully controlled for, there are good reasons for investigating the estimated relationship further. First, as demonstrated in this study, VCE VET students are on average in the middle of the academic distribution, which means that small impacts on university entry scores can potentially have large impacts on their attainment of a university offer. Second, the fact that we can attribute most of the gap in university entry scores to the lower performance of VCE VET students in their VCE VET subjects, rather than in their general subjects, suggests that it is unlikely that the entire gap in entry scores is explained by uncontrolled for factors. Third, evidence presented in this study points to a potential bias in the scaling applied to scored VCE VET subjects; this is because a relatively high proportion of students in this study do not apply for university study but, to attain credit towards a VET qualification, focus their efforts on VCE VET subjects to the detriment of their performance in their other subjects. Under current scaling arrangements in Victoria, for a given subject the scaling is conducted so that the average score is equal to the student’s average score in their other subjects.</w:t>
      </w:r>
    </w:p>
    <w:p w:rsidR="00282739" w:rsidRDefault="00282739" w:rsidP="00282739">
      <w:pPr>
        <w:pStyle w:val="Text"/>
      </w:pPr>
      <w:r>
        <w:t>Given these findings, we suggest the following responses. First of all, t</w:t>
      </w:r>
      <w:r w:rsidRPr="00485623">
        <w:t xml:space="preserve">he extent of any excessive down-scaling of VCE VET subjects should be investigated further. If further investigation confirms our findings, then a clear response should be to adjust the scaling of subjects to account for </w:t>
      </w:r>
      <w:r>
        <w:t xml:space="preserve">the </w:t>
      </w:r>
      <w:r w:rsidRPr="00485623">
        <w:t>differences in motivation for specialisation that</w:t>
      </w:r>
      <w:r>
        <w:t xml:space="preserve"> stems from courses being linked to the attainment of VET qualifications. One way to do this would be to scale subjects using only the scores of students </w:t>
      </w:r>
      <w:r>
        <w:lastRenderedPageBreak/>
        <w:t>who intend to go to university, measured by whether or not they lodge an application for admission to a university course prior to sitting their final exam. A second implication is that governments should monitor and collect data on the time students spend in their VET training, including their off-campus training. Not only will this assist in understanding the effect of training, but it will also help in coordinating training across local school clusters where close-by options in TAFE institutes may be inadequate. As a precaution, schools may help to reduce any burden on students in their final year of study by encouraging them to take these subjects in Year 11.</w:t>
      </w:r>
    </w:p>
    <w:p w:rsidR="00282739" w:rsidRDefault="00282739" w:rsidP="00282739">
      <w:pPr>
        <w:pStyle w:val="Text"/>
      </w:pPr>
      <w:r>
        <w:t>Importantly, we stress that this study only examines the impacts of taking VCE VET subjects on direct access to university. Other important outcomes from VCE VET programs, such as indirect access to university (for example, by completing a diploma course); participation in post-school VET study; retention in post-school study; and employment outcomes, are not investigated here, but should be considered in any overall evaluation of these programs. Previous studies by Anlezark, Karmel and Ong (2006), Lamb and Vickers (2006) and Polidano and Tabasso (2013) have demonstrated positive benefits to school retention and initial labour market outcomes</w:t>
      </w:r>
      <w:r w:rsidRPr="001C2209">
        <w:t xml:space="preserve"> </w:t>
      </w:r>
      <w:r>
        <w:t xml:space="preserve">from unscored VET in Schools courses. </w:t>
      </w:r>
    </w:p>
    <w:p w:rsidR="00282739" w:rsidRDefault="00282739" w:rsidP="00282739">
      <w:pPr>
        <w:spacing w:before="0" w:line="240" w:lineRule="auto"/>
      </w:pPr>
      <w:r>
        <w:br w:type="page"/>
      </w:r>
    </w:p>
    <w:p w:rsidR="00282739" w:rsidRPr="00335292" w:rsidRDefault="00282739" w:rsidP="00282739">
      <w:pPr>
        <w:pStyle w:val="Heading1"/>
      </w:pPr>
      <w:bookmarkStart w:id="60" w:name="_Toc402794967"/>
      <w:r>
        <w:lastRenderedPageBreak/>
        <w:t>References</w:t>
      </w:r>
      <w:bookmarkEnd w:id="60"/>
    </w:p>
    <w:p w:rsidR="00282739" w:rsidRDefault="00282739" w:rsidP="00282739">
      <w:pPr>
        <w:pStyle w:val="References"/>
      </w:pPr>
      <w:r>
        <w:t>Anlezark, A, Karmel, T &amp; Ong, K 2006,</w:t>
      </w:r>
      <w:r w:rsidRPr="002125A7">
        <w:t xml:space="preserve"> </w:t>
      </w:r>
      <w:r w:rsidRPr="002125A7">
        <w:rPr>
          <w:i/>
          <w:iCs/>
        </w:rPr>
        <w:t>Have school vocational education and training programs been successful?</w:t>
      </w:r>
      <w:r w:rsidRPr="002125A7">
        <w:t xml:space="preserve"> </w:t>
      </w:r>
      <w:r>
        <w:t>NCVER, Adelaide.</w:t>
      </w:r>
    </w:p>
    <w:p w:rsidR="00282739" w:rsidRDefault="00282739" w:rsidP="00282739">
      <w:pPr>
        <w:pStyle w:val="References"/>
      </w:pPr>
      <w:r>
        <w:t xml:space="preserve">ABS (Australian Bureau of Statistics) 2006, </w:t>
      </w:r>
      <w:r w:rsidRPr="006C0AA1">
        <w:rPr>
          <w:i/>
        </w:rPr>
        <w:t>Census of Population and Housing: Socio-economic Indexes for Areas (SEIFA)</w:t>
      </w:r>
      <w:r>
        <w:t>, cat.no.2033.0.55.001, ABS, Canberra.</w:t>
      </w:r>
    </w:p>
    <w:p w:rsidR="00282739" w:rsidRDefault="00282739" w:rsidP="00282739">
      <w:pPr>
        <w:pStyle w:val="References"/>
      </w:pPr>
      <w:r>
        <w:t xml:space="preserve">Australasian Curriculum, Assessment and Certification Authorities 2012, </w:t>
      </w:r>
      <w:r w:rsidRPr="00EA59D1">
        <w:rPr>
          <w:i/>
        </w:rPr>
        <w:t>VET in senior secondary, certificates of education 2012</w:t>
      </w:r>
      <w:r>
        <w:t>, Board of Studies NSW, Sydney.</w:t>
      </w:r>
    </w:p>
    <w:p w:rsidR="00282739" w:rsidRDefault="00282739" w:rsidP="00282739">
      <w:pPr>
        <w:pStyle w:val="References"/>
      </w:pPr>
      <w:r>
        <w:t xml:space="preserve">Barnett, K &amp; Ryan, R 2005, ‘Vocational education and training in Australian schools: issues for practitioners’, </w:t>
      </w:r>
      <w:r w:rsidRPr="002C7739">
        <w:rPr>
          <w:i/>
        </w:rPr>
        <w:t>International Education Journal</w:t>
      </w:r>
      <w:r>
        <w:t>, vol.5, no.5, pp.89—104.</w:t>
      </w:r>
    </w:p>
    <w:p w:rsidR="00282739" w:rsidRPr="00F968FB" w:rsidRDefault="00282739" w:rsidP="00282739">
      <w:pPr>
        <w:pStyle w:val="References"/>
      </w:pPr>
      <w:r>
        <w:t>Blundell, R</w:t>
      </w:r>
      <w:r w:rsidRPr="00F968FB">
        <w:t xml:space="preserve"> </w:t>
      </w:r>
      <w:r>
        <w:t>&amp;</w:t>
      </w:r>
      <w:r w:rsidRPr="00F968FB">
        <w:t xml:space="preserve"> Costa Dias, M</w:t>
      </w:r>
      <w:r>
        <w:t xml:space="preserve"> </w:t>
      </w:r>
      <w:r w:rsidRPr="00F968FB">
        <w:t>2009</w:t>
      </w:r>
      <w:r>
        <w:t>,</w:t>
      </w:r>
      <w:r w:rsidRPr="00F968FB">
        <w:t xml:space="preserve"> </w:t>
      </w:r>
      <w:r>
        <w:t>‘</w:t>
      </w:r>
      <w:r w:rsidRPr="00F968FB">
        <w:t>Alternative approaches to evaluation in empirical microeconomics</w:t>
      </w:r>
      <w:r>
        <w:t>’,</w:t>
      </w:r>
      <w:r w:rsidRPr="00F968FB">
        <w:t xml:space="preserve"> </w:t>
      </w:r>
      <w:r w:rsidRPr="00F968FB">
        <w:rPr>
          <w:i/>
        </w:rPr>
        <w:t>Journal of Human Resources</w:t>
      </w:r>
      <w:r>
        <w:rPr>
          <w:i/>
        </w:rPr>
        <w:t>,</w:t>
      </w:r>
      <w:r>
        <w:t xml:space="preserve"> vol.44, no.3, pp.565—</w:t>
      </w:r>
      <w:r w:rsidRPr="00F968FB">
        <w:t>640.</w:t>
      </w:r>
    </w:p>
    <w:p w:rsidR="00282739" w:rsidRPr="00867D26" w:rsidRDefault="00282739" w:rsidP="00282739">
      <w:pPr>
        <w:pStyle w:val="References"/>
      </w:pPr>
      <w:r w:rsidRPr="00867D26">
        <w:t xml:space="preserve">Hanushek, E 1979, </w:t>
      </w:r>
      <w:r>
        <w:t>‘</w:t>
      </w:r>
      <w:r w:rsidRPr="00867D26">
        <w:t xml:space="preserve">Conceptual and </w:t>
      </w:r>
      <w:r>
        <w:t>e</w:t>
      </w:r>
      <w:r w:rsidRPr="00867D26">
        <w:t xml:space="preserve">mpirical </w:t>
      </w:r>
      <w:r>
        <w:t>i</w:t>
      </w:r>
      <w:r w:rsidRPr="00867D26">
        <w:t xml:space="preserve">ssues in the </w:t>
      </w:r>
      <w:r>
        <w:t>e</w:t>
      </w:r>
      <w:r w:rsidRPr="00867D26">
        <w:t xml:space="preserve">stimation of </w:t>
      </w:r>
      <w:r>
        <w:t>e</w:t>
      </w:r>
      <w:r w:rsidRPr="00867D26">
        <w:t xml:space="preserve">ducational </w:t>
      </w:r>
      <w:r>
        <w:t>p</w:t>
      </w:r>
      <w:r w:rsidRPr="00867D26">
        <w:t xml:space="preserve">roduction </w:t>
      </w:r>
      <w:r>
        <w:t>f</w:t>
      </w:r>
      <w:r w:rsidRPr="00867D26">
        <w:t>unctions</w:t>
      </w:r>
      <w:r>
        <w:t>’</w:t>
      </w:r>
      <w:r w:rsidRPr="00867D26">
        <w:t xml:space="preserve">, </w:t>
      </w:r>
      <w:r w:rsidRPr="00795A56">
        <w:rPr>
          <w:i/>
        </w:rPr>
        <w:t>The Journal of Human Resources</w:t>
      </w:r>
      <w:r>
        <w:t>, vol.14, no.3, pp.351—</w:t>
      </w:r>
      <w:r w:rsidRPr="00867D26">
        <w:t>88.</w:t>
      </w:r>
    </w:p>
    <w:p w:rsidR="00282739" w:rsidRDefault="00282739" w:rsidP="00282739">
      <w:pPr>
        <w:pStyle w:val="References"/>
      </w:pPr>
      <w:r>
        <w:t xml:space="preserve">Kolb, D 1984, </w:t>
      </w:r>
      <w:r w:rsidRPr="00795A56">
        <w:rPr>
          <w:i/>
        </w:rPr>
        <w:t>Experiential learning: experience as a source of learning and development</w:t>
      </w:r>
      <w:r>
        <w:t>, Prentice Hall, New York.</w:t>
      </w:r>
    </w:p>
    <w:p w:rsidR="00282739" w:rsidRDefault="00282739" w:rsidP="00282739">
      <w:pPr>
        <w:pStyle w:val="References"/>
      </w:pPr>
      <w:r w:rsidRPr="008739F0">
        <w:t>Lamb, S</w:t>
      </w:r>
      <w:r>
        <w:t xml:space="preserve"> &amp;</w:t>
      </w:r>
      <w:r w:rsidRPr="008739F0">
        <w:t xml:space="preserve"> Vickers, M 2006,</w:t>
      </w:r>
      <w:r>
        <w:t xml:space="preserve"> </w:t>
      </w:r>
      <w:r w:rsidRPr="008739F0">
        <w:rPr>
          <w:i/>
        </w:rPr>
        <w:t>Variations in VET provision across Australian schools and their effects on student outcomes</w:t>
      </w:r>
      <w:r w:rsidRPr="008739F0">
        <w:t xml:space="preserve">, </w:t>
      </w:r>
      <w:r w:rsidRPr="008739F0">
        <w:rPr>
          <w:iCs/>
        </w:rPr>
        <w:t xml:space="preserve">LSAY research report </w:t>
      </w:r>
      <w:r>
        <w:rPr>
          <w:iCs/>
        </w:rPr>
        <w:t>no.</w:t>
      </w:r>
      <w:r w:rsidRPr="008739F0">
        <w:rPr>
          <w:iCs/>
        </w:rPr>
        <w:t>48, Australian C</w:t>
      </w:r>
      <w:r>
        <w:rPr>
          <w:iCs/>
        </w:rPr>
        <w:t>ouncil</w:t>
      </w:r>
      <w:r w:rsidRPr="008739F0">
        <w:rPr>
          <w:iCs/>
        </w:rPr>
        <w:t xml:space="preserve"> for Education</w:t>
      </w:r>
      <w:r>
        <w:rPr>
          <w:iCs/>
        </w:rPr>
        <w:t>al</w:t>
      </w:r>
      <w:r w:rsidRPr="008739F0">
        <w:rPr>
          <w:iCs/>
        </w:rPr>
        <w:t xml:space="preserve"> Research, Melbourne.</w:t>
      </w:r>
      <w:r w:rsidRPr="008739F0">
        <w:t xml:space="preserve"> </w:t>
      </w:r>
    </w:p>
    <w:p w:rsidR="00282739" w:rsidRPr="00B027D7" w:rsidRDefault="00282739" w:rsidP="00282739">
      <w:pPr>
        <w:pStyle w:val="References"/>
      </w:pPr>
      <w:r>
        <w:t xml:space="preserve">Ministerial Council on Employment, Education, Training and Youth Affairs 1999, </w:t>
      </w:r>
      <w:r w:rsidRPr="00795A56">
        <w:rPr>
          <w:i/>
        </w:rPr>
        <w:t>The Adelaide declaration on national goals for schooling in the twenty-first century</w:t>
      </w:r>
      <w:r>
        <w:t>, MCEETYA, Canberra.</w:t>
      </w:r>
    </w:p>
    <w:p w:rsidR="00282739" w:rsidRDefault="00282739" w:rsidP="00282739">
      <w:pPr>
        <w:pStyle w:val="References"/>
      </w:pPr>
      <w:r>
        <w:t xml:space="preserve">——2001, </w:t>
      </w:r>
      <w:r w:rsidRPr="00795A56">
        <w:rPr>
          <w:i/>
        </w:rPr>
        <w:t xml:space="preserve">New </w:t>
      </w:r>
      <w:r>
        <w:rPr>
          <w:i/>
        </w:rPr>
        <w:t>f</w:t>
      </w:r>
      <w:r w:rsidRPr="00795A56">
        <w:rPr>
          <w:i/>
        </w:rPr>
        <w:t xml:space="preserve">ramework for </w:t>
      </w:r>
      <w:r>
        <w:rPr>
          <w:i/>
        </w:rPr>
        <w:t>v</w:t>
      </w:r>
      <w:r w:rsidRPr="00795A56">
        <w:rPr>
          <w:i/>
        </w:rPr>
        <w:t xml:space="preserve">ocational </w:t>
      </w:r>
      <w:r>
        <w:rPr>
          <w:i/>
        </w:rPr>
        <w:t>e</w:t>
      </w:r>
      <w:r w:rsidRPr="00795A56">
        <w:rPr>
          <w:i/>
        </w:rPr>
        <w:t xml:space="preserve">ducation in </w:t>
      </w:r>
      <w:r>
        <w:rPr>
          <w:i/>
        </w:rPr>
        <w:t>s</w:t>
      </w:r>
      <w:r w:rsidRPr="00795A56">
        <w:rPr>
          <w:i/>
        </w:rPr>
        <w:t>chools</w:t>
      </w:r>
      <w:r>
        <w:rPr>
          <w:i/>
        </w:rPr>
        <w:t>:</w:t>
      </w:r>
      <w:r w:rsidRPr="00795A56">
        <w:rPr>
          <w:i/>
        </w:rPr>
        <w:t xml:space="preserve"> </w:t>
      </w:r>
      <w:r>
        <w:rPr>
          <w:i/>
        </w:rPr>
        <w:t>a</w:t>
      </w:r>
      <w:r w:rsidRPr="00795A56">
        <w:rPr>
          <w:i/>
        </w:rPr>
        <w:t xml:space="preserve"> </w:t>
      </w:r>
      <w:r>
        <w:rPr>
          <w:i/>
        </w:rPr>
        <w:t>c</w:t>
      </w:r>
      <w:r w:rsidRPr="00795A56">
        <w:rPr>
          <w:i/>
        </w:rPr>
        <w:t xml:space="preserve">omprehensive </w:t>
      </w:r>
      <w:r>
        <w:rPr>
          <w:i/>
        </w:rPr>
        <w:t>g</w:t>
      </w:r>
      <w:r w:rsidRPr="00795A56">
        <w:rPr>
          <w:i/>
        </w:rPr>
        <w:t xml:space="preserve">uide </w:t>
      </w:r>
      <w:r>
        <w:rPr>
          <w:i/>
        </w:rPr>
        <w:t>a</w:t>
      </w:r>
      <w:r w:rsidRPr="00795A56">
        <w:rPr>
          <w:i/>
        </w:rPr>
        <w:t xml:space="preserve">bout </w:t>
      </w:r>
      <w:r>
        <w:rPr>
          <w:i/>
        </w:rPr>
        <w:t>p</w:t>
      </w:r>
      <w:r w:rsidRPr="00795A56">
        <w:rPr>
          <w:i/>
        </w:rPr>
        <w:t xml:space="preserve">athways for </w:t>
      </w:r>
      <w:r>
        <w:rPr>
          <w:i/>
        </w:rPr>
        <w:t>y</w:t>
      </w:r>
      <w:r w:rsidRPr="00795A56">
        <w:rPr>
          <w:i/>
        </w:rPr>
        <w:t xml:space="preserve">oung Australians in </w:t>
      </w:r>
      <w:r>
        <w:rPr>
          <w:i/>
        </w:rPr>
        <w:t>t</w:t>
      </w:r>
      <w:r w:rsidRPr="00795A56">
        <w:rPr>
          <w:i/>
        </w:rPr>
        <w:t>ransition</w:t>
      </w:r>
      <w:r w:rsidRPr="002F3614">
        <w:t>, MCEETYA, Canberra</w:t>
      </w:r>
      <w:r>
        <w:t>.</w:t>
      </w:r>
    </w:p>
    <w:p w:rsidR="00282739" w:rsidRDefault="00282739" w:rsidP="00282739">
      <w:pPr>
        <w:pStyle w:val="References"/>
      </w:pPr>
      <w:r w:rsidRPr="00F968FB">
        <w:t>OECD (</w:t>
      </w:r>
      <w:r>
        <w:t>Organisation for Economic Co-operation and Development) 2000,</w:t>
      </w:r>
      <w:r w:rsidRPr="00F968FB">
        <w:t xml:space="preserve"> </w:t>
      </w:r>
      <w:r w:rsidRPr="00F968FB">
        <w:rPr>
          <w:i/>
        </w:rPr>
        <w:t>From initial education to working life, making transitions work</w:t>
      </w:r>
      <w:r>
        <w:rPr>
          <w:i/>
        </w:rPr>
        <w:t>,</w:t>
      </w:r>
      <w:r w:rsidRPr="00F968FB">
        <w:t xml:space="preserve"> OECD, Paris.</w:t>
      </w:r>
    </w:p>
    <w:p w:rsidR="00282739" w:rsidRDefault="00282739" w:rsidP="00282739">
      <w:pPr>
        <w:pStyle w:val="References"/>
      </w:pPr>
      <w:r>
        <w:t xml:space="preserve">Pashler, H, McDaniel, M &amp; Bjork, R 2008, ‘Learning styles: concepts and evidence’, </w:t>
      </w:r>
      <w:r w:rsidRPr="00795A56">
        <w:rPr>
          <w:i/>
        </w:rPr>
        <w:t>Psychological Science in the Public Interest</w:t>
      </w:r>
      <w:r>
        <w:t>, vol.9, no.3, pp.106—16.</w:t>
      </w:r>
    </w:p>
    <w:p w:rsidR="00282739" w:rsidRDefault="00282739" w:rsidP="00282739">
      <w:pPr>
        <w:pStyle w:val="References"/>
      </w:pPr>
      <w:r>
        <w:t xml:space="preserve">Polidano, C &amp; Tabasso, D 2013, ‘Making it real: the benefits of workplace learning in upper-secondary vocational education and training courses’, </w:t>
      </w:r>
      <w:r w:rsidRPr="002C7739">
        <w:rPr>
          <w:i/>
        </w:rPr>
        <w:t>Melbourne Institute Working Paper</w:t>
      </w:r>
      <w:r>
        <w:t xml:space="preserve"> no. 31/13, University of Melbourne, Melbourne.</w:t>
      </w:r>
    </w:p>
    <w:p w:rsidR="00282739" w:rsidRDefault="00282739" w:rsidP="00282739">
      <w:pPr>
        <w:pStyle w:val="References"/>
      </w:pPr>
      <w:r>
        <w:t xml:space="preserve">Polidano, C, Hanel, B &amp; Buddelmeyer, H 2013, ‘Explaining the SES gap in school completion’, </w:t>
      </w:r>
      <w:r w:rsidRPr="0091188A">
        <w:rPr>
          <w:i/>
        </w:rPr>
        <w:t>Education Economics</w:t>
      </w:r>
      <w:r>
        <w:rPr>
          <w:i/>
        </w:rPr>
        <w:t>,</w:t>
      </w:r>
      <w:r>
        <w:t xml:space="preserve"> vol.21, no.3, pp.230—47.</w:t>
      </w:r>
    </w:p>
    <w:p w:rsidR="00282739" w:rsidRDefault="00282739" w:rsidP="00282739">
      <w:pPr>
        <w:pStyle w:val="References"/>
      </w:pPr>
      <w:r>
        <w:t xml:space="preserve">Smith, J 2002, ‘Learning styles: fashion fad or lever for change? The application of learning style theory to inclusive curriculum delivery’, </w:t>
      </w:r>
      <w:r w:rsidRPr="00795A56">
        <w:rPr>
          <w:i/>
        </w:rPr>
        <w:t>Innovations in Education and Teaching International</w:t>
      </w:r>
      <w:r>
        <w:t>, vol.39, no.1, pp.63—70.</w:t>
      </w:r>
    </w:p>
    <w:p w:rsidR="00282739" w:rsidRDefault="00282739" w:rsidP="00282739">
      <w:pPr>
        <w:pStyle w:val="References"/>
      </w:pPr>
      <w:r w:rsidRPr="00EC73B9">
        <w:t>Smith</w:t>
      </w:r>
      <w:r>
        <w:t>, J &amp;</w:t>
      </w:r>
      <w:r w:rsidRPr="00EC73B9">
        <w:t xml:space="preserve"> Todd</w:t>
      </w:r>
      <w:r>
        <w:t xml:space="preserve">, P </w:t>
      </w:r>
      <w:r w:rsidRPr="00EC73B9">
        <w:t>2005</w:t>
      </w:r>
      <w:r>
        <w:t>,</w:t>
      </w:r>
      <w:r w:rsidRPr="00EC73B9">
        <w:t xml:space="preserve"> </w:t>
      </w:r>
      <w:r>
        <w:t>‘</w:t>
      </w:r>
      <w:r w:rsidRPr="00EC73B9">
        <w:t>Does matching overcome LaLonde's critique of nonexperimental estimates?</w:t>
      </w:r>
      <w:r>
        <w:t>’,</w:t>
      </w:r>
      <w:r w:rsidRPr="00EC73B9">
        <w:t xml:space="preserve"> </w:t>
      </w:r>
      <w:r w:rsidRPr="00EC73B9">
        <w:rPr>
          <w:i/>
        </w:rPr>
        <w:t>Journal of Econometrics</w:t>
      </w:r>
      <w:r>
        <w:t>,</w:t>
      </w:r>
      <w:r w:rsidRPr="00EC73B9">
        <w:t xml:space="preserve"> </w:t>
      </w:r>
      <w:r>
        <w:t>vol.124, pp.305—</w:t>
      </w:r>
      <w:r w:rsidRPr="00EC73B9">
        <w:t>53</w:t>
      </w:r>
      <w:r>
        <w:t>.</w:t>
      </w:r>
    </w:p>
    <w:p w:rsidR="00282739" w:rsidRDefault="00282739" w:rsidP="00282739">
      <w:pPr>
        <w:pStyle w:val="References"/>
      </w:pPr>
      <w:r>
        <w:t>Todd, P &amp; Wolpin, K</w:t>
      </w:r>
      <w:r w:rsidRPr="00867D26">
        <w:t xml:space="preserve"> 2003, </w:t>
      </w:r>
      <w:r>
        <w:t>‘On the specification and estimation of the production function for cognitive a</w:t>
      </w:r>
      <w:r w:rsidRPr="00867D26">
        <w:t>chievement</w:t>
      </w:r>
      <w:r>
        <w:t>’</w:t>
      </w:r>
      <w:r w:rsidRPr="00867D26">
        <w:t xml:space="preserve">, </w:t>
      </w:r>
      <w:r w:rsidRPr="00795A56">
        <w:rPr>
          <w:i/>
        </w:rPr>
        <w:t>The Economic Journal</w:t>
      </w:r>
      <w:r>
        <w:t>, vol.113, pp.F3—</w:t>
      </w:r>
      <w:r w:rsidRPr="00867D26">
        <w:t>F33</w:t>
      </w:r>
      <w:r>
        <w:t>.</w:t>
      </w:r>
    </w:p>
    <w:p w:rsidR="00282739" w:rsidRDefault="00282739" w:rsidP="00282739">
      <w:pPr>
        <w:pStyle w:val="References"/>
      </w:pPr>
      <w:r w:rsidRPr="002F3614">
        <w:t xml:space="preserve">Victorian Curriculum and </w:t>
      </w:r>
      <w:r>
        <w:t>Assessment Authorit</w:t>
      </w:r>
      <w:r w:rsidRPr="00D71631">
        <w:t>y 2010,</w:t>
      </w:r>
      <w:r>
        <w:t xml:space="preserve"> </w:t>
      </w:r>
      <w:r w:rsidRPr="00957B5E">
        <w:rPr>
          <w:i/>
        </w:rPr>
        <w:t>VCE VET assessment guide</w:t>
      </w:r>
      <w:r>
        <w:t>, VCAA, Melbourne.</w:t>
      </w:r>
    </w:p>
    <w:p w:rsidR="00282739" w:rsidRDefault="00282739" w:rsidP="00282739">
      <w:pPr>
        <w:pStyle w:val="References"/>
      </w:pPr>
      <w:r>
        <w:t>——</w:t>
      </w:r>
      <w:r w:rsidRPr="006F0B54">
        <w:t>2011</w:t>
      </w:r>
      <w:r w:rsidRPr="002F3614">
        <w:t xml:space="preserve">, </w:t>
      </w:r>
      <w:r w:rsidRPr="00846911">
        <w:rPr>
          <w:i/>
        </w:rPr>
        <w:t>An overview of VET in the VCE and VCAL</w:t>
      </w:r>
      <w:r w:rsidRPr="00795A56">
        <w:t>,</w:t>
      </w:r>
      <w:r w:rsidRPr="002F3614">
        <w:t xml:space="preserve"> VCAA, Melbourne.</w:t>
      </w:r>
    </w:p>
    <w:p w:rsidR="00282739" w:rsidRDefault="00282739" w:rsidP="00282739">
      <w:pPr>
        <w:pStyle w:val="References"/>
      </w:pPr>
      <w:r>
        <w:t xml:space="preserve">Victorian Tertiary Admissions Centre </w:t>
      </w:r>
      <w:r w:rsidRPr="00795A56">
        <w:t xml:space="preserve">2011, </w:t>
      </w:r>
      <w:r w:rsidRPr="00846911">
        <w:rPr>
          <w:i/>
        </w:rPr>
        <w:t>ABC of scaling</w:t>
      </w:r>
      <w:r w:rsidRPr="00795A56">
        <w:t>, VTAC, Melbourne.</w:t>
      </w:r>
    </w:p>
    <w:p w:rsidR="00282739" w:rsidRDefault="00282739" w:rsidP="00282739">
      <w:pPr>
        <w:pStyle w:val="Text"/>
      </w:pPr>
    </w:p>
    <w:p w:rsidR="00282739" w:rsidRPr="00FF0912" w:rsidRDefault="00282739" w:rsidP="00282739">
      <w:pPr>
        <w:spacing w:before="0" w:line="240" w:lineRule="auto"/>
        <w:rPr>
          <w:rFonts w:ascii="Tahoma" w:hAnsi="Tahoma" w:cs="Tahoma"/>
          <w:color w:val="000000"/>
          <w:kern w:val="28"/>
          <w:sz w:val="56"/>
          <w:szCs w:val="56"/>
        </w:rPr>
      </w:pPr>
      <w:r>
        <w:br w:type="page"/>
      </w:r>
    </w:p>
    <w:p w:rsidR="00282739" w:rsidRPr="00875FD7" w:rsidRDefault="00282739" w:rsidP="00282739">
      <w:pPr>
        <w:pStyle w:val="Heading1"/>
      </w:pPr>
      <w:bookmarkStart w:id="61" w:name="_Toc402794968"/>
      <w:r>
        <w:lastRenderedPageBreak/>
        <w:t>Appendix A: Assessment</w:t>
      </w:r>
      <w:bookmarkEnd w:id="61"/>
    </w:p>
    <w:p w:rsidR="00282739" w:rsidRDefault="00282739" w:rsidP="00282739">
      <w:pPr>
        <w:pStyle w:val="tabletitle"/>
        <w:rPr>
          <w:lang w:val="en-GB"/>
        </w:rPr>
      </w:pPr>
      <w:bookmarkStart w:id="62" w:name="_Toc402794983"/>
      <w:r>
        <w:rPr>
          <w:lang w:val="en-GB"/>
        </w:rPr>
        <w:t>Table A1</w:t>
      </w:r>
      <w:r>
        <w:rPr>
          <w:lang w:val="en-GB"/>
        </w:rPr>
        <w:tab/>
        <w:t xml:space="preserve">Prescribed </w:t>
      </w:r>
      <w:r w:rsidRPr="00E50B8F">
        <w:t>performance</w:t>
      </w:r>
      <w:r>
        <w:rPr>
          <w:lang w:val="en-GB"/>
        </w:rPr>
        <w:t xml:space="preserve"> criteria for work performance task</w:t>
      </w:r>
      <w:bookmarkEnd w:id="62"/>
    </w:p>
    <w:tbl>
      <w:tblPr>
        <w:tblW w:w="8789" w:type="dxa"/>
        <w:tblInd w:w="113" w:type="dxa"/>
        <w:tblLayout w:type="fixed"/>
        <w:tblCellMar>
          <w:left w:w="113" w:type="dxa"/>
          <w:right w:w="113" w:type="dxa"/>
        </w:tblCellMar>
        <w:tblLook w:val="04A0" w:firstRow="1" w:lastRow="0" w:firstColumn="1" w:lastColumn="0" w:noHBand="0" w:noVBand="1"/>
      </w:tblPr>
      <w:tblGrid>
        <w:gridCol w:w="1480"/>
        <w:gridCol w:w="2245"/>
        <w:gridCol w:w="292"/>
        <w:gridCol w:w="2245"/>
        <w:gridCol w:w="293"/>
        <w:gridCol w:w="2234"/>
      </w:tblGrid>
      <w:tr w:rsidR="00282739" w:rsidRPr="00E50B8F" w:rsidTr="003C6043">
        <w:trPr>
          <w:trHeight w:val="300"/>
        </w:trPr>
        <w:tc>
          <w:tcPr>
            <w:tcW w:w="1480" w:type="dxa"/>
            <w:tcBorders>
              <w:top w:val="single" w:sz="4" w:space="0" w:color="auto"/>
              <w:left w:val="nil"/>
              <w:right w:val="nil"/>
            </w:tcBorders>
            <w:shd w:val="clear" w:color="000000" w:fill="FFFFFF"/>
            <w:noWrap/>
            <w:tcMar>
              <w:top w:w="17" w:type="dxa"/>
              <w:left w:w="113" w:type="dxa"/>
              <w:bottom w:w="0" w:type="dxa"/>
              <w:right w:w="113" w:type="dxa"/>
            </w:tcMar>
            <w:hideMark/>
          </w:tcPr>
          <w:p w:rsidR="00282739" w:rsidRPr="00E50B8F" w:rsidRDefault="00282739" w:rsidP="003C6043">
            <w:pPr>
              <w:pStyle w:val="Tablehead1"/>
            </w:pPr>
            <w:r w:rsidRPr="00E50B8F">
              <w:t>Criteria</w:t>
            </w:r>
          </w:p>
        </w:tc>
        <w:tc>
          <w:tcPr>
            <w:tcW w:w="7309" w:type="dxa"/>
            <w:gridSpan w:val="5"/>
            <w:tcBorders>
              <w:top w:val="single" w:sz="4" w:space="0" w:color="auto"/>
              <w:left w:val="nil"/>
              <w:right w:val="nil"/>
            </w:tcBorders>
            <w:shd w:val="clear" w:color="000000" w:fill="FFFFFF"/>
            <w:tcMar>
              <w:left w:w="113" w:type="dxa"/>
              <w:right w:w="113" w:type="dxa"/>
            </w:tcMar>
          </w:tcPr>
          <w:p w:rsidR="00282739" w:rsidRPr="00E50B8F" w:rsidRDefault="00282739" w:rsidP="003C6043">
            <w:pPr>
              <w:pStyle w:val="Tablehead1"/>
              <w:jc w:val="center"/>
            </w:pPr>
            <w:r w:rsidRPr="00E50B8F">
              <w:t>Performance level</w:t>
            </w:r>
          </w:p>
        </w:tc>
      </w:tr>
      <w:tr w:rsidR="00282739" w:rsidTr="003C6043">
        <w:trPr>
          <w:trHeight w:val="300"/>
        </w:trPr>
        <w:tc>
          <w:tcPr>
            <w:tcW w:w="1480" w:type="dxa"/>
            <w:tcBorders>
              <w:top w:val="nil"/>
              <w:left w:val="nil"/>
              <w:bottom w:val="single" w:sz="4" w:space="0" w:color="auto"/>
              <w:right w:val="nil"/>
            </w:tcBorders>
            <w:shd w:val="clear" w:color="000000" w:fill="FFFFFF"/>
            <w:noWrap/>
            <w:tcMar>
              <w:top w:w="17" w:type="dxa"/>
              <w:left w:w="113" w:type="dxa"/>
              <w:bottom w:w="0" w:type="dxa"/>
              <w:right w:w="113" w:type="dxa"/>
            </w:tcMar>
            <w:hideMark/>
          </w:tcPr>
          <w:p w:rsidR="00282739" w:rsidRDefault="00282739" w:rsidP="003C6043">
            <w:pPr>
              <w:pStyle w:val="Tablehead2"/>
            </w:pPr>
          </w:p>
        </w:tc>
        <w:tc>
          <w:tcPr>
            <w:tcW w:w="2245" w:type="dxa"/>
            <w:tcBorders>
              <w:top w:val="nil"/>
              <w:left w:val="nil"/>
              <w:bottom w:val="single" w:sz="4" w:space="0" w:color="auto"/>
              <w:right w:val="nil"/>
            </w:tcBorders>
            <w:shd w:val="clear" w:color="000000" w:fill="FFFFFF"/>
            <w:tcMar>
              <w:left w:w="113" w:type="dxa"/>
              <w:right w:w="113" w:type="dxa"/>
            </w:tcMar>
          </w:tcPr>
          <w:p w:rsidR="00282739" w:rsidRPr="00830481" w:rsidRDefault="00282739" w:rsidP="003C6043">
            <w:pPr>
              <w:pStyle w:val="Tablehead2"/>
            </w:pPr>
            <w:r>
              <w:t>1 (base)</w:t>
            </w:r>
          </w:p>
        </w:tc>
        <w:tc>
          <w:tcPr>
            <w:tcW w:w="292" w:type="dxa"/>
            <w:tcBorders>
              <w:top w:val="nil"/>
              <w:left w:val="nil"/>
              <w:bottom w:val="single" w:sz="4" w:space="0" w:color="auto"/>
              <w:right w:val="nil"/>
            </w:tcBorders>
            <w:shd w:val="clear" w:color="000000" w:fill="FFFFFF"/>
            <w:tcMar>
              <w:left w:w="113" w:type="dxa"/>
              <w:right w:w="113" w:type="dxa"/>
            </w:tcMar>
          </w:tcPr>
          <w:p w:rsidR="00282739" w:rsidRPr="00830481" w:rsidRDefault="00282739" w:rsidP="003C6043">
            <w:pPr>
              <w:pStyle w:val="Tablehead2"/>
              <w:jc w:val="center"/>
            </w:pPr>
            <w:r>
              <w:t>2</w:t>
            </w:r>
          </w:p>
        </w:tc>
        <w:tc>
          <w:tcPr>
            <w:tcW w:w="2245" w:type="dxa"/>
            <w:tcBorders>
              <w:top w:val="nil"/>
              <w:left w:val="nil"/>
              <w:bottom w:val="single" w:sz="4" w:space="0" w:color="auto"/>
              <w:right w:val="nil"/>
            </w:tcBorders>
            <w:shd w:val="clear" w:color="000000" w:fill="FFFFFF"/>
            <w:tcMar>
              <w:left w:w="113" w:type="dxa"/>
              <w:right w:w="113" w:type="dxa"/>
            </w:tcMar>
          </w:tcPr>
          <w:p w:rsidR="00282739" w:rsidRPr="00830481" w:rsidRDefault="00282739" w:rsidP="003C6043">
            <w:pPr>
              <w:pStyle w:val="Tablehead2"/>
            </w:pPr>
            <w:r>
              <w:t>3 (medium)</w:t>
            </w:r>
          </w:p>
        </w:tc>
        <w:tc>
          <w:tcPr>
            <w:tcW w:w="293" w:type="dxa"/>
            <w:tcBorders>
              <w:top w:val="nil"/>
              <w:left w:val="nil"/>
              <w:bottom w:val="single" w:sz="4" w:space="0" w:color="auto"/>
              <w:right w:val="nil"/>
            </w:tcBorders>
            <w:shd w:val="clear" w:color="000000" w:fill="FFFFFF"/>
            <w:tcMar>
              <w:left w:w="113" w:type="dxa"/>
              <w:right w:w="113" w:type="dxa"/>
            </w:tcMar>
          </w:tcPr>
          <w:p w:rsidR="00282739" w:rsidRPr="00830481" w:rsidRDefault="00282739" w:rsidP="003C6043">
            <w:pPr>
              <w:pStyle w:val="Tablehead2"/>
              <w:jc w:val="center"/>
            </w:pPr>
            <w:r>
              <w:t>4</w:t>
            </w:r>
          </w:p>
        </w:tc>
        <w:tc>
          <w:tcPr>
            <w:tcW w:w="2234" w:type="dxa"/>
            <w:tcBorders>
              <w:top w:val="nil"/>
              <w:left w:val="nil"/>
              <w:bottom w:val="single" w:sz="4" w:space="0" w:color="auto"/>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head2"/>
            </w:pPr>
            <w:r>
              <w:t>5 (high)</w:t>
            </w:r>
          </w:p>
        </w:tc>
      </w:tr>
      <w:tr w:rsidR="00282739" w:rsidTr="003C6043">
        <w:trPr>
          <w:trHeight w:val="300"/>
        </w:trPr>
        <w:tc>
          <w:tcPr>
            <w:tcW w:w="1480" w:type="dxa"/>
            <w:tcBorders>
              <w:top w:val="single" w:sz="4" w:space="0" w:color="auto"/>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spacing w:before="80"/>
            </w:pPr>
            <w:r>
              <w:t>Application of knowledge underpinning work task</w:t>
            </w:r>
          </w:p>
        </w:tc>
        <w:tc>
          <w:tcPr>
            <w:tcW w:w="2245" w:type="dxa"/>
            <w:tcBorders>
              <w:top w:val="single" w:sz="4" w:space="0" w:color="auto"/>
              <w:left w:val="nil"/>
              <w:bottom w:val="nil"/>
              <w:right w:val="nil"/>
            </w:tcBorders>
            <w:shd w:val="clear" w:color="000000" w:fill="FFFFFF"/>
            <w:tcMar>
              <w:left w:w="113" w:type="dxa"/>
              <w:right w:w="113" w:type="dxa"/>
            </w:tcMar>
          </w:tcPr>
          <w:p w:rsidR="00282739" w:rsidRPr="00772B65" w:rsidRDefault="00282739" w:rsidP="003C6043">
            <w:pPr>
              <w:pStyle w:val="Tabletext"/>
              <w:spacing w:before="80"/>
            </w:pPr>
            <w:r w:rsidRPr="00772B65">
              <w:t xml:space="preserve">Displays an understanding of key knowledge </w:t>
            </w:r>
            <w:r>
              <w:t>and</w:t>
            </w:r>
            <w:r w:rsidRPr="00772B65">
              <w:t xml:space="preserve"> applies these in work functions</w:t>
            </w:r>
          </w:p>
        </w:tc>
        <w:tc>
          <w:tcPr>
            <w:tcW w:w="292" w:type="dxa"/>
            <w:tcBorders>
              <w:top w:val="single" w:sz="4" w:space="0" w:color="auto"/>
              <w:left w:val="nil"/>
              <w:bottom w:val="nil"/>
              <w:right w:val="nil"/>
            </w:tcBorders>
            <w:shd w:val="clear" w:color="000000" w:fill="FFFFFF"/>
            <w:tcMar>
              <w:left w:w="113" w:type="dxa"/>
              <w:right w:w="113" w:type="dxa"/>
            </w:tcMar>
          </w:tcPr>
          <w:p w:rsidR="00282739" w:rsidRPr="00830481" w:rsidRDefault="00282739" w:rsidP="003C6043">
            <w:pPr>
              <w:pStyle w:val="Tabletext"/>
              <w:spacing w:before="80"/>
            </w:pPr>
          </w:p>
        </w:tc>
        <w:tc>
          <w:tcPr>
            <w:tcW w:w="2245" w:type="dxa"/>
            <w:tcBorders>
              <w:top w:val="single" w:sz="4" w:space="0" w:color="auto"/>
              <w:left w:val="nil"/>
              <w:bottom w:val="nil"/>
              <w:right w:val="nil"/>
            </w:tcBorders>
            <w:shd w:val="clear" w:color="000000" w:fill="FFFFFF"/>
            <w:tcMar>
              <w:left w:w="113" w:type="dxa"/>
              <w:right w:w="113" w:type="dxa"/>
            </w:tcMar>
          </w:tcPr>
          <w:p w:rsidR="00282739" w:rsidRPr="00772B65" w:rsidRDefault="00282739" w:rsidP="003C6043">
            <w:pPr>
              <w:pStyle w:val="Tabletext"/>
              <w:spacing w:before="80"/>
            </w:pPr>
            <w:r w:rsidRPr="00772B65">
              <w:t xml:space="preserve">Displays a sound understanding of key knowledge </w:t>
            </w:r>
            <w:r>
              <w:t>and</w:t>
            </w:r>
            <w:r w:rsidRPr="00772B65">
              <w:t xml:space="preserve"> </w:t>
            </w:r>
            <w:r>
              <w:t xml:space="preserve">proficiently </w:t>
            </w:r>
            <w:r w:rsidRPr="00772B65">
              <w:t>applies these in work functions</w:t>
            </w:r>
          </w:p>
        </w:tc>
        <w:tc>
          <w:tcPr>
            <w:tcW w:w="293" w:type="dxa"/>
            <w:tcBorders>
              <w:top w:val="single" w:sz="4" w:space="0" w:color="auto"/>
              <w:left w:val="nil"/>
              <w:bottom w:val="nil"/>
              <w:right w:val="nil"/>
            </w:tcBorders>
            <w:shd w:val="clear" w:color="000000" w:fill="FFFFFF"/>
            <w:tcMar>
              <w:left w:w="113" w:type="dxa"/>
              <w:right w:w="113" w:type="dxa"/>
            </w:tcMar>
          </w:tcPr>
          <w:p w:rsidR="00282739" w:rsidRPr="00830481" w:rsidRDefault="00282739" w:rsidP="003C6043">
            <w:pPr>
              <w:pStyle w:val="Tabletext"/>
              <w:spacing w:before="80"/>
            </w:pPr>
          </w:p>
        </w:tc>
        <w:tc>
          <w:tcPr>
            <w:tcW w:w="2234" w:type="dxa"/>
            <w:tcBorders>
              <w:top w:val="single" w:sz="4" w:space="0" w:color="auto"/>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spacing w:before="80"/>
            </w:pPr>
            <w:r>
              <w:t xml:space="preserve">Demonstrates </w:t>
            </w:r>
            <w:r w:rsidRPr="00E749C9">
              <w:t>a thorough understanding</w:t>
            </w:r>
            <w:r>
              <w:t xml:space="preserve"> of all knowledge and effectively applies these in work functions</w:t>
            </w:r>
          </w:p>
        </w:tc>
      </w:tr>
      <w:tr w:rsidR="00282739" w:rsidTr="003C6043">
        <w:trPr>
          <w:trHeight w:val="300"/>
        </w:trPr>
        <w:tc>
          <w:tcPr>
            <w:tcW w:w="1480" w:type="dxa"/>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spacing w:before="120"/>
            </w:pPr>
            <w:r>
              <w:t>Knowledge and use of communication, language and interpersonal skills</w:t>
            </w:r>
          </w:p>
        </w:tc>
        <w:tc>
          <w:tcPr>
            <w:tcW w:w="2245" w:type="dxa"/>
            <w:tcBorders>
              <w:top w:val="nil"/>
              <w:left w:val="nil"/>
              <w:bottom w:val="nil"/>
              <w:right w:val="nil"/>
            </w:tcBorders>
            <w:shd w:val="clear" w:color="000000" w:fill="FFFFFF"/>
            <w:tcMar>
              <w:left w:w="113" w:type="dxa"/>
              <w:right w:w="113" w:type="dxa"/>
            </w:tcMar>
          </w:tcPr>
          <w:p w:rsidR="00282739" w:rsidRPr="00772B65" w:rsidRDefault="00282739" w:rsidP="003C6043">
            <w:pPr>
              <w:pStyle w:val="Tabletext"/>
              <w:spacing w:before="120"/>
            </w:pPr>
            <w:r>
              <w:t>Displays an understanding and appropriate use of key industry and enterprise language</w:t>
            </w:r>
          </w:p>
          <w:p w:rsidR="00282739" w:rsidRPr="00830481" w:rsidRDefault="00282739" w:rsidP="003C6043">
            <w:pPr>
              <w:pStyle w:val="Tabletext"/>
              <w:spacing w:before="120"/>
            </w:pPr>
            <w:r>
              <w:t>Uses communication and interpersonal skills appropriate for the audience and situation</w:t>
            </w:r>
          </w:p>
        </w:tc>
        <w:tc>
          <w:tcPr>
            <w:tcW w:w="292" w:type="dxa"/>
            <w:tcBorders>
              <w:top w:val="nil"/>
              <w:left w:val="nil"/>
              <w:bottom w:val="nil"/>
              <w:right w:val="nil"/>
            </w:tcBorders>
            <w:shd w:val="clear" w:color="000000" w:fill="FFFFFF"/>
            <w:tcMar>
              <w:left w:w="113" w:type="dxa"/>
              <w:right w:w="113" w:type="dxa"/>
            </w:tcMar>
          </w:tcPr>
          <w:p w:rsidR="00282739" w:rsidRPr="00830481" w:rsidRDefault="00282739" w:rsidP="003C6043">
            <w:pPr>
              <w:pStyle w:val="Tabletext"/>
              <w:spacing w:before="120"/>
            </w:pPr>
          </w:p>
        </w:tc>
        <w:tc>
          <w:tcPr>
            <w:tcW w:w="2245" w:type="dxa"/>
            <w:tcBorders>
              <w:top w:val="nil"/>
              <w:left w:val="nil"/>
              <w:bottom w:val="nil"/>
              <w:right w:val="nil"/>
            </w:tcBorders>
            <w:shd w:val="clear" w:color="000000" w:fill="FFFFFF"/>
            <w:tcMar>
              <w:left w:w="113" w:type="dxa"/>
              <w:right w:w="113" w:type="dxa"/>
            </w:tcMar>
          </w:tcPr>
          <w:p w:rsidR="00282739" w:rsidRPr="00772B65" w:rsidRDefault="00282739" w:rsidP="003C6043">
            <w:pPr>
              <w:pStyle w:val="Tabletext"/>
              <w:spacing w:before="120"/>
            </w:pPr>
            <w:r>
              <w:t>Displays a sound understanding and correct use of key industry and enterprise language</w:t>
            </w:r>
          </w:p>
          <w:p w:rsidR="00282739" w:rsidRPr="00830481" w:rsidRDefault="00282739" w:rsidP="003C6043">
            <w:pPr>
              <w:pStyle w:val="Tabletext"/>
              <w:spacing w:before="120"/>
            </w:pPr>
            <w:r>
              <w:t>Uses a range of communication and interpersonal skills appropriate for the audience and situation</w:t>
            </w:r>
          </w:p>
        </w:tc>
        <w:tc>
          <w:tcPr>
            <w:tcW w:w="293" w:type="dxa"/>
            <w:tcBorders>
              <w:top w:val="nil"/>
              <w:left w:val="nil"/>
              <w:bottom w:val="nil"/>
              <w:right w:val="nil"/>
            </w:tcBorders>
            <w:shd w:val="clear" w:color="000000" w:fill="FFFFFF"/>
            <w:tcMar>
              <w:left w:w="113" w:type="dxa"/>
              <w:right w:w="113" w:type="dxa"/>
            </w:tcMar>
          </w:tcPr>
          <w:p w:rsidR="00282739" w:rsidRPr="00830481" w:rsidRDefault="00282739" w:rsidP="003C6043">
            <w:pPr>
              <w:pStyle w:val="Tabletext"/>
              <w:spacing w:before="120"/>
            </w:pPr>
          </w:p>
        </w:tc>
        <w:tc>
          <w:tcPr>
            <w:tcW w:w="2234" w:type="dxa"/>
            <w:tcBorders>
              <w:top w:val="nil"/>
              <w:left w:val="nil"/>
              <w:bottom w:val="nil"/>
              <w:right w:val="nil"/>
            </w:tcBorders>
            <w:shd w:val="clear" w:color="000000" w:fill="FFFFFF"/>
            <w:noWrap/>
            <w:tcMar>
              <w:top w:w="17" w:type="dxa"/>
              <w:left w:w="113" w:type="dxa"/>
              <w:bottom w:w="0" w:type="dxa"/>
              <w:right w:w="113" w:type="dxa"/>
            </w:tcMar>
            <w:hideMark/>
          </w:tcPr>
          <w:p w:rsidR="00282739" w:rsidRPr="00772B65" w:rsidRDefault="00282739" w:rsidP="003C6043">
            <w:pPr>
              <w:pStyle w:val="Tabletext"/>
              <w:spacing w:before="120"/>
            </w:pPr>
            <w:r>
              <w:t>Demonstrates a thorough understanding and correct use of key industry and enterprise language</w:t>
            </w:r>
          </w:p>
          <w:p w:rsidR="00282739" w:rsidRPr="00830481" w:rsidRDefault="00282739" w:rsidP="003C6043">
            <w:pPr>
              <w:pStyle w:val="Tabletext"/>
              <w:spacing w:before="120"/>
            </w:pPr>
            <w:r>
              <w:t>Effectively selects and uses a range of communication and interpersonal skills appropriate for the audience and situation</w:t>
            </w:r>
          </w:p>
        </w:tc>
      </w:tr>
      <w:tr w:rsidR="00282739" w:rsidTr="003C6043">
        <w:trPr>
          <w:trHeight w:val="300"/>
        </w:trPr>
        <w:tc>
          <w:tcPr>
            <w:tcW w:w="1480" w:type="dxa"/>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spacing w:before="120"/>
            </w:pPr>
            <w:r>
              <w:t>Performance of techniques and processes</w:t>
            </w:r>
          </w:p>
        </w:tc>
        <w:tc>
          <w:tcPr>
            <w:tcW w:w="2245" w:type="dxa"/>
            <w:tcBorders>
              <w:top w:val="nil"/>
              <w:left w:val="nil"/>
              <w:bottom w:val="nil"/>
              <w:right w:val="nil"/>
            </w:tcBorders>
            <w:shd w:val="clear" w:color="000000" w:fill="FFFFFF"/>
            <w:tcMar>
              <w:left w:w="113" w:type="dxa"/>
              <w:right w:w="113" w:type="dxa"/>
            </w:tcMar>
          </w:tcPr>
          <w:p w:rsidR="00282739" w:rsidRPr="00830481" w:rsidRDefault="00282739" w:rsidP="003C6043">
            <w:pPr>
              <w:pStyle w:val="Tabletext"/>
              <w:spacing w:before="120"/>
            </w:pPr>
            <w:r>
              <w:t>Performs key technical skills/procedures to the standard required in the workplace, including correct use of any equipment</w:t>
            </w:r>
          </w:p>
        </w:tc>
        <w:tc>
          <w:tcPr>
            <w:tcW w:w="292" w:type="dxa"/>
            <w:tcBorders>
              <w:top w:val="nil"/>
              <w:left w:val="nil"/>
              <w:bottom w:val="nil"/>
              <w:right w:val="nil"/>
            </w:tcBorders>
            <w:shd w:val="clear" w:color="000000" w:fill="FFFFFF"/>
            <w:tcMar>
              <w:left w:w="113" w:type="dxa"/>
              <w:right w:w="113" w:type="dxa"/>
            </w:tcMar>
          </w:tcPr>
          <w:p w:rsidR="00282739" w:rsidRPr="00830481" w:rsidRDefault="00282739" w:rsidP="003C6043">
            <w:pPr>
              <w:pStyle w:val="Tabletext"/>
              <w:spacing w:before="120"/>
            </w:pPr>
          </w:p>
        </w:tc>
        <w:tc>
          <w:tcPr>
            <w:tcW w:w="2245" w:type="dxa"/>
            <w:tcBorders>
              <w:top w:val="nil"/>
              <w:left w:val="nil"/>
              <w:bottom w:val="nil"/>
              <w:right w:val="nil"/>
            </w:tcBorders>
            <w:shd w:val="clear" w:color="000000" w:fill="FFFFFF"/>
            <w:tcMar>
              <w:left w:w="113" w:type="dxa"/>
              <w:right w:w="113" w:type="dxa"/>
            </w:tcMar>
          </w:tcPr>
          <w:p w:rsidR="00282739" w:rsidRPr="00830481" w:rsidRDefault="00282739" w:rsidP="003C6043">
            <w:pPr>
              <w:pStyle w:val="Tabletext"/>
              <w:spacing w:before="120"/>
            </w:pPr>
            <w:r>
              <w:t>Performs all technical skills/procedures to the standard required in the workplace, including correct use of any equipment</w:t>
            </w:r>
          </w:p>
        </w:tc>
        <w:tc>
          <w:tcPr>
            <w:tcW w:w="293" w:type="dxa"/>
            <w:tcBorders>
              <w:top w:val="nil"/>
              <w:left w:val="nil"/>
              <w:bottom w:val="nil"/>
              <w:right w:val="nil"/>
            </w:tcBorders>
            <w:shd w:val="clear" w:color="000000" w:fill="FFFFFF"/>
            <w:tcMar>
              <w:left w:w="113" w:type="dxa"/>
              <w:right w:w="113" w:type="dxa"/>
            </w:tcMar>
          </w:tcPr>
          <w:p w:rsidR="00282739" w:rsidRPr="00830481" w:rsidRDefault="00282739" w:rsidP="003C6043">
            <w:pPr>
              <w:pStyle w:val="Tabletext"/>
              <w:spacing w:before="120"/>
            </w:pPr>
          </w:p>
        </w:tc>
        <w:tc>
          <w:tcPr>
            <w:tcW w:w="2234" w:type="dxa"/>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spacing w:before="120"/>
            </w:pPr>
            <w:r>
              <w:t>Effectively performs key technical skills/procedures to the standard required in the workplace, including correct use of any equipment</w:t>
            </w:r>
          </w:p>
        </w:tc>
      </w:tr>
      <w:tr w:rsidR="00282739" w:rsidTr="003C6043">
        <w:trPr>
          <w:trHeight w:val="300"/>
        </w:trPr>
        <w:tc>
          <w:tcPr>
            <w:tcW w:w="1480" w:type="dxa"/>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spacing w:before="120"/>
            </w:pPr>
            <w:r>
              <w:t>Understanding and application of work organisation</w:t>
            </w:r>
          </w:p>
        </w:tc>
        <w:tc>
          <w:tcPr>
            <w:tcW w:w="2245" w:type="dxa"/>
            <w:tcBorders>
              <w:top w:val="nil"/>
              <w:left w:val="nil"/>
              <w:bottom w:val="nil"/>
              <w:right w:val="nil"/>
            </w:tcBorders>
            <w:shd w:val="clear" w:color="000000" w:fill="FFFFFF"/>
            <w:tcMar>
              <w:left w:w="113" w:type="dxa"/>
              <w:right w:w="113" w:type="dxa"/>
            </w:tcMar>
          </w:tcPr>
          <w:p w:rsidR="00282739" w:rsidRPr="00B178C3" w:rsidRDefault="00282739" w:rsidP="003C6043">
            <w:pPr>
              <w:pStyle w:val="Tabletext"/>
              <w:spacing w:before="120"/>
            </w:pPr>
            <w:r>
              <w:t>Demonstrates an awareness of the benefits of effective organisation. Describes the key stages in planning and organising a work function. Applies planning and organisational skills in the performance of work functions</w:t>
            </w:r>
          </w:p>
        </w:tc>
        <w:tc>
          <w:tcPr>
            <w:tcW w:w="292" w:type="dxa"/>
            <w:tcBorders>
              <w:top w:val="nil"/>
              <w:left w:val="nil"/>
              <w:bottom w:val="nil"/>
              <w:right w:val="nil"/>
            </w:tcBorders>
            <w:shd w:val="clear" w:color="000000" w:fill="FFFFFF"/>
            <w:tcMar>
              <w:left w:w="113" w:type="dxa"/>
              <w:right w:w="113" w:type="dxa"/>
            </w:tcMar>
          </w:tcPr>
          <w:p w:rsidR="00282739" w:rsidRPr="00830481" w:rsidRDefault="00282739" w:rsidP="003C6043">
            <w:pPr>
              <w:pStyle w:val="Tabletext"/>
              <w:spacing w:before="120"/>
            </w:pPr>
          </w:p>
        </w:tc>
        <w:tc>
          <w:tcPr>
            <w:tcW w:w="2245" w:type="dxa"/>
            <w:tcBorders>
              <w:top w:val="nil"/>
              <w:left w:val="nil"/>
              <w:bottom w:val="nil"/>
              <w:right w:val="nil"/>
            </w:tcBorders>
            <w:shd w:val="clear" w:color="000000" w:fill="FFFFFF"/>
            <w:tcMar>
              <w:left w:w="113" w:type="dxa"/>
              <w:right w:w="113" w:type="dxa"/>
            </w:tcMar>
          </w:tcPr>
          <w:p w:rsidR="00282739" w:rsidRPr="00830481" w:rsidRDefault="00282739" w:rsidP="003C6043">
            <w:pPr>
              <w:pStyle w:val="Tabletext"/>
              <w:spacing w:before="120"/>
            </w:pPr>
            <w:r>
              <w:t>Demonstrates a sound understanding of the benefits of effective organisation. Describes accurately the stages in planning and organising a work function. Applies sound planning and organisational skills in the performance of work functions</w:t>
            </w:r>
          </w:p>
        </w:tc>
        <w:tc>
          <w:tcPr>
            <w:tcW w:w="293" w:type="dxa"/>
            <w:tcBorders>
              <w:top w:val="nil"/>
              <w:left w:val="nil"/>
              <w:bottom w:val="nil"/>
              <w:right w:val="nil"/>
            </w:tcBorders>
            <w:shd w:val="clear" w:color="000000" w:fill="FFFFFF"/>
            <w:tcMar>
              <w:left w:w="113" w:type="dxa"/>
              <w:right w:w="113" w:type="dxa"/>
            </w:tcMar>
          </w:tcPr>
          <w:p w:rsidR="00282739" w:rsidRPr="00830481" w:rsidRDefault="00282739" w:rsidP="003C6043">
            <w:pPr>
              <w:pStyle w:val="Tabletext"/>
              <w:spacing w:before="120"/>
            </w:pPr>
          </w:p>
        </w:tc>
        <w:tc>
          <w:tcPr>
            <w:tcW w:w="2234" w:type="dxa"/>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spacing w:before="120"/>
            </w:pPr>
            <w:r>
              <w:t>Demonstrates a thorough understanding of the benefits of effective organisation. Clearly and accurately explains the stages in planning and organising a work function. Independently applies planning and organisational skills in the performance of work functions</w:t>
            </w:r>
          </w:p>
        </w:tc>
      </w:tr>
      <w:tr w:rsidR="00282739" w:rsidTr="003C6043">
        <w:trPr>
          <w:trHeight w:val="300"/>
        </w:trPr>
        <w:tc>
          <w:tcPr>
            <w:tcW w:w="1480" w:type="dxa"/>
            <w:tcBorders>
              <w:top w:val="nil"/>
              <w:left w:val="nil"/>
              <w:bottom w:val="single" w:sz="4" w:space="0" w:color="auto"/>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spacing w:before="120"/>
            </w:pPr>
            <w:r>
              <w:t>Performance of work tasks and need for supervision</w:t>
            </w:r>
          </w:p>
        </w:tc>
        <w:tc>
          <w:tcPr>
            <w:tcW w:w="2245" w:type="dxa"/>
            <w:tcBorders>
              <w:top w:val="nil"/>
              <w:left w:val="nil"/>
              <w:bottom w:val="single" w:sz="4" w:space="0" w:color="auto"/>
              <w:right w:val="nil"/>
            </w:tcBorders>
            <w:shd w:val="clear" w:color="000000" w:fill="FFFFFF"/>
            <w:tcMar>
              <w:left w:w="113" w:type="dxa"/>
              <w:right w:w="113" w:type="dxa"/>
            </w:tcMar>
          </w:tcPr>
          <w:p w:rsidR="00282739" w:rsidRPr="00830481" w:rsidRDefault="00282739" w:rsidP="003C6043">
            <w:pPr>
              <w:pStyle w:val="Tabletext"/>
              <w:spacing w:before="120"/>
            </w:pPr>
            <w:r>
              <w:t>Under normal workplace supervision, requires additional supervisor-initiated support to complete tasks safely in accordance with workplace requirements. Demonstrates competence in all units of all learning outcomes. Work performance complies with most enterprise work standards</w:t>
            </w:r>
          </w:p>
        </w:tc>
        <w:tc>
          <w:tcPr>
            <w:tcW w:w="292" w:type="dxa"/>
            <w:tcBorders>
              <w:top w:val="nil"/>
              <w:left w:val="nil"/>
              <w:bottom w:val="single" w:sz="4" w:space="0" w:color="auto"/>
              <w:right w:val="nil"/>
            </w:tcBorders>
            <w:shd w:val="clear" w:color="000000" w:fill="FFFFFF"/>
            <w:tcMar>
              <w:left w:w="113" w:type="dxa"/>
              <w:right w:w="113" w:type="dxa"/>
            </w:tcMar>
          </w:tcPr>
          <w:p w:rsidR="00282739" w:rsidRPr="00830481" w:rsidRDefault="00282739" w:rsidP="003C6043">
            <w:pPr>
              <w:pStyle w:val="Tabletext"/>
              <w:spacing w:before="120"/>
            </w:pPr>
          </w:p>
        </w:tc>
        <w:tc>
          <w:tcPr>
            <w:tcW w:w="2245" w:type="dxa"/>
            <w:tcBorders>
              <w:top w:val="nil"/>
              <w:left w:val="nil"/>
              <w:bottom w:val="single" w:sz="4" w:space="0" w:color="auto"/>
              <w:right w:val="nil"/>
            </w:tcBorders>
            <w:shd w:val="clear" w:color="000000" w:fill="FFFFFF"/>
            <w:tcMar>
              <w:left w:w="113" w:type="dxa"/>
              <w:right w:w="113" w:type="dxa"/>
            </w:tcMar>
          </w:tcPr>
          <w:p w:rsidR="00282739" w:rsidRPr="00830481" w:rsidRDefault="00282739" w:rsidP="003C6043">
            <w:pPr>
              <w:pStyle w:val="Tabletext"/>
              <w:spacing w:before="120"/>
            </w:pPr>
            <w:r>
              <w:t>Under normal workplace supervision, seeks limited additional supervisor support to complete tasks safely in accordance with workplace requirements. Demonstrates competence in all units of all learning outcomes. Work performance complies with all key enterprise work standards</w:t>
            </w:r>
          </w:p>
        </w:tc>
        <w:tc>
          <w:tcPr>
            <w:tcW w:w="293" w:type="dxa"/>
            <w:tcBorders>
              <w:top w:val="nil"/>
              <w:left w:val="nil"/>
              <w:bottom w:val="single" w:sz="4" w:space="0" w:color="auto"/>
              <w:right w:val="nil"/>
            </w:tcBorders>
            <w:shd w:val="clear" w:color="000000" w:fill="FFFFFF"/>
            <w:tcMar>
              <w:left w:w="113" w:type="dxa"/>
              <w:right w:w="113" w:type="dxa"/>
            </w:tcMar>
          </w:tcPr>
          <w:p w:rsidR="00282739" w:rsidRPr="00830481" w:rsidRDefault="00282739" w:rsidP="003C6043">
            <w:pPr>
              <w:pStyle w:val="Tabletext"/>
              <w:spacing w:before="120"/>
            </w:pPr>
          </w:p>
        </w:tc>
        <w:tc>
          <w:tcPr>
            <w:tcW w:w="2234" w:type="dxa"/>
            <w:tcBorders>
              <w:top w:val="nil"/>
              <w:left w:val="nil"/>
              <w:bottom w:val="single" w:sz="4" w:space="0" w:color="auto"/>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spacing w:before="120"/>
            </w:pPr>
            <w:r>
              <w:t>Works independently under normal workplace supervision conditions to complete tasks safely in accordance with workplace requirements. Demonstrates competence in all units of all learning outcomes. Work performance complies with all enterprise work standards</w:t>
            </w:r>
          </w:p>
        </w:tc>
      </w:tr>
    </w:tbl>
    <w:p w:rsidR="00282739" w:rsidRPr="00830481" w:rsidRDefault="00282739" w:rsidP="00282739">
      <w:pPr>
        <w:pStyle w:val="Source"/>
      </w:pPr>
      <w:r w:rsidRPr="00E50B8F">
        <w:t>Source:</w:t>
      </w:r>
      <w:r w:rsidRPr="00E50B8F">
        <w:tab/>
      </w:r>
      <w:r>
        <w:t>VCAA</w:t>
      </w:r>
      <w:r w:rsidRPr="00485623">
        <w:t xml:space="preserve"> 2010.</w:t>
      </w:r>
      <w:r>
        <w:t xml:space="preserve"> </w:t>
      </w:r>
    </w:p>
    <w:p w:rsidR="00282739" w:rsidRDefault="00282739" w:rsidP="00282739">
      <w:pPr>
        <w:pStyle w:val="NormalWeb"/>
        <w:rPr>
          <w:rFonts w:ascii="Tahoma" w:hAnsi="Tahoma" w:cs="Tahoma"/>
          <w:color w:val="000000"/>
          <w:kern w:val="28"/>
          <w:sz w:val="56"/>
          <w:szCs w:val="56"/>
        </w:rPr>
      </w:pPr>
      <w:r>
        <w:br w:type="page"/>
      </w:r>
    </w:p>
    <w:p w:rsidR="00282739" w:rsidRDefault="00282739" w:rsidP="00282739">
      <w:pPr>
        <w:pStyle w:val="Heading1"/>
      </w:pPr>
      <w:bookmarkStart w:id="63" w:name="_Toc402794969"/>
      <w:r>
        <w:lastRenderedPageBreak/>
        <w:t>Appendix B: VCE VET subjects</w:t>
      </w:r>
      <w:bookmarkStart w:id="64" w:name="_Toc296497273"/>
      <w:bookmarkStart w:id="65" w:name="_Toc296497408"/>
      <w:bookmarkEnd w:id="35"/>
      <w:bookmarkEnd w:id="63"/>
    </w:p>
    <w:p w:rsidR="00282739" w:rsidRPr="00516639" w:rsidRDefault="00282739" w:rsidP="00282739">
      <w:pPr>
        <w:pStyle w:val="tabletitle"/>
      </w:pPr>
      <w:bookmarkStart w:id="66" w:name="_Toc402794984"/>
      <w:r>
        <w:t>Table B1</w:t>
      </w:r>
      <w:r>
        <w:tab/>
      </w:r>
      <w:r w:rsidRPr="00516639">
        <w:t xml:space="preserve">General subjects </w:t>
      </w:r>
      <w:r>
        <w:t>taken by students who enrol in b</w:t>
      </w:r>
      <w:r w:rsidRPr="00516639">
        <w:t xml:space="preserve">usiness </w:t>
      </w:r>
      <w:r>
        <w:t>and</w:t>
      </w:r>
      <w:r w:rsidRPr="00516639">
        <w:t xml:space="preserve"> financial services</w:t>
      </w:r>
      <w:bookmarkEnd w:id="66"/>
    </w:p>
    <w:tbl>
      <w:tblPr>
        <w:tblW w:w="8789" w:type="dxa"/>
        <w:tblInd w:w="113" w:type="dxa"/>
        <w:tblLayout w:type="fixed"/>
        <w:tblCellMar>
          <w:left w:w="113" w:type="dxa"/>
          <w:right w:w="113" w:type="dxa"/>
        </w:tblCellMar>
        <w:tblLook w:val="04A0" w:firstRow="1" w:lastRow="0" w:firstColumn="1" w:lastColumn="0" w:noHBand="0" w:noVBand="1"/>
      </w:tblPr>
      <w:tblGrid>
        <w:gridCol w:w="4819"/>
        <w:gridCol w:w="1985"/>
        <w:gridCol w:w="1985"/>
      </w:tblGrid>
      <w:tr w:rsidR="00282739" w:rsidRPr="00830481" w:rsidTr="003C6043">
        <w:tc>
          <w:tcPr>
            <w:tcW w:w="2742" w:type="pct"/>
            <w:tcBorders>
              <w:top w:val="single" w:sz="4" w:space="0" w:color="auto"/>
              <w:left w:val="nil"/>
              <w:bottom w:val="single" w:sz="4" w:space="0" w:color="auto"/>
              <w:right w:val="nil"/>
            </w:tcBorders>
            <w:shd w:val="clear" w:color="000000" w:fill="FFFFFF"/>
            <w:noWrap/>
            <w:tcMar>
              <w:top w:w="17" w:type="dxa"/>
              <w:left w:w="113" w:type="dxa"/>
              <w:bottom w:w="0" w:type="dxa"/>
              <w:right w:w="113" w:type="dxa"/>
            </w:tcMar>
            <w:hideMark/>
          </w:tcPr>
          <w:p w:rsidR="00282739" w:rsidRDefault="00282739" w:rsidP="003C6043">
            <w:pPr>
              <w:pStyle w:val="Tablehead1"/>
            </w:pPr>
          </w:p>
        </w:tc>
        <w:tc>
          <w:tcPr>
            <w:tcW w:w="1129" w:type="pct"/>
            <w:tcBorders>
              <w:top w:val="single" w:sz="4" w:space="0" w:color="auto"/>
              <w:left w:val="nil"/>
              <w:bottom w:val="single" w:sz="4" w:space="0" w:color="auto"/>
              <w:right w:val="nil"/>
            </w:tcBorders>
            <w:shd w:val="clear" w:color="000000" w:fill="FFFFFF"/>
            <w:tcMar>
              <w:left w:w="113" w:type="dxa"/>
              <w:right w:w="113" w:type="dxa"/>
            </w:tcMar>
          </w:tcPr>
          <w:p w:rsidR="00282739" w:rsidRDefault="00282739" w:rsidP="003C6043">
            <w:pPr>
              <w:pStyle w:val="Tablehead1"/>
              <w:jc w:val="center"/>
            </w:pPr>
            <w:r>
              <w:t>No.</w:t>
            </w:r>
          </w:p>
        </w:tc>
        <w:tc>
          <w:tcPr>
            <w:tcW w:w="1129" w:type="pct"/>
            <w:tcBorders>
              <w:top w:val="single" w:sz="4" w:space="0" w:color="auto"/>
              <w:left w:val="nil"/>
              <w:bottom w:val="single" w:sz="4" w:space="0" w:color="auto"/>
              <w:right w:val="nil"/>
            </w:tcBorders>
            <w:shd w:val="clear" w:color="000000" w:fill="FFFFFF"/>
            <w:tcMar>
              <w:left w:w="113" w:type="dxa"/>
              <w:right w:w="113" w:type="dxa"/>
            </w:tcMar>
          </w:tcPr>
          <w:p w:rsidR="00282739" w:rsidRDefault="00282739" w:rsidP="003C6043">
            <w:pPr>
              <w:pStyle w:val="Tablehead1"/>
              <w:jc w:val="center"/>
            </w:pPr>
            <w:r>
              <w:t>%</w:t>
            </w:r>
          </w:p>
        </w:tc>
      </w:tr>
      <w:tr w:rsidR="00282739" w:rsidRPr="00830481" w:rsidTr="003C6043">
        <w:tc>
          <w:tcPr>
            <w:tcW w:w="2742" w:type="pct"/>
            <w:tcBorders>
              <w:left w:val="nil"/>
              <w:bottom w:val="nil"/>
              <w:right w:val="nil"/>
            </w:tcBorders>
            <w:shd w:val="clear" w:color="000000" w:fill="FFFFFF"/>
            <w:noWrap/>
            <w:tcMar>
              <w:top w:w="17" w:type="dxa"/>
              <w:left w:w="113" w:type="dxa"/>
              <w:bottom w:w="0" w:type="dxa"/>
              <w:right w:w="113" w:type="dxa"/>
            </w:tcMar>
            <w:hideMark/>
          </w:tcPr>
          <w:p w:rsidR="00282739" w:rsidRPr="000D3CE0" w:rsidRDefault="00282739" w:rsidP="003C6043">
            <w:pPr>
              <w:pStyle w:val="Tabletext"/>
              <w:spacing w:before="80"/>
              <w:rPr>
                <w:i/>
              </w:rPr>
            </w:pPr>
            <w:r w:rsidRPr="000D3CE0">
              <w:rPr>
                <w:i/>
              </w:rPr>
              <w:t xml:space="preserve">Take one of </w:t>
            </w:r>
          </w:p>
        </w:tc>
        <w:tc>
          <w:tcPr>
            <w:tcW w:w="1129" w:type="pct"/>
            <w:tcBorders>
              <w:left w:val="nil"/>
              <w:bottom w:val="nil"/>
              <w:right w:val="nil"/>
            </w:tcBorders>
            <w:shd w:val="clear" w:color="000000" w:fill="FFFFFF"/>
            <w:tcMar>
              <w:left w:w="113" w:type="dxa"/>
              <w:right w:w="113" w:type="dxa"/>
            </w:tcMar>
          </w:tcPr>
          <w:p w:rsidR="00282739" w:rsidRPr="00B345C0" w:rsidRDefault="00282739" w:rsidP="003C6043">
            <w:pPr>
              <w:pStyle w:val="Tabletext"/>
              <w:tabs>
                <w:tab w:val="decimal" w:pos="936"/>
              </w:tabs>
              <w:spacing w:before="80"/>
              <w:rPr>
                <w:rFonts w:ascii="Calibri" w:hAnsi="Calibri" w:cs="Calibri"/>
                <w:color w:val="000000"/>
                <w:szCs w:val="16"/>
              </w:rPr>
            </w:pPr>
          </w:p>
        </w:tc>
        <w:tc>
          <w:tcPr>
            <w:tcW w:w="1129" w:type="pct"/>
            <w:tcBorders>
              <w:left w:val="nil"/>
              <w:bottom w:val="nil"/>
              <w:right w:val="nil"/>
            </w:tcBorders>
            <w:shd w:val="clear" w:color="000000" w:fill="FFFFFF"/>
            <w:tcMar>
              <w:left w:w="113" w:type="dxa"/>
              <w:right w:w="113" w:type="dxa"/>
            </w:tcMar>
          </w:tcPr>
          <w:p w:rsidR="00282739" w:rsidRPr="00B345C0" w:rsidRDefault="00282739" w:rsidP="003C6043">
            <w:pPr>
              <w:pStyle w:val="Tabletext"/>
              <w:tabs>
                <w:tab w:val="decimal" w:pos="794"/>
              </w:tabs>
              <w:spacing w:before="80"/>
              <w:rPr>
                <w:rFonts w:ascii="Calibri" w:hAnsi="Calibri" w:cs="Calibri"/>
                <w:color w:val="000000"/>
                <w:szCs w:val="16"/>
              </w:rPr>
            </w:pPr>
          </w:p>
        </w:tc>
      </w:tr>
      <w:tr w:rsidR="00282739" w:rsidRPr="00CF670F"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Accounting</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936"/>
              </w:tabs>
            </w:pPr>
            <w:r w:rsidRPr="007A1A28">
              <w:t>11</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794"/>
              </w:tabs>
            </w:pPr>
            <w:r w:rsidRPr="007A1A28">
              <w:t>4.87</w:t>
            </w:r>
          </w:p>
        </w:tc>
      </w:tr>
      <w:tr w:rsidR="00282739" w:rsidRPr="00CF670F"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Business management</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936"/>
              </w:tabs>
            </w:pPr>
            <w:r w:rsidRPr="007A1A28">
              <w:t>64</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794"/>
              </w:tabs>
            </w:pPr>
            <w:r w:rsidRPr="007A1A28">
              <w:t>28.32</w:t>
            </w:r>
          </w:p>
        </w:tc>
      </w:tr>
      <w:tr w:rsidR="00282739" w:rsidRPr="00CF670F"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Economics</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936"/>
              </w:tabs>
            </w:pPr>
            <w:r w:rsidRPr="007A1A28">
              <w:t>2</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794"/>
              </w:tabs>
            </w:pPr>
            <w:r w:rsidRPr="007A1A28">
              <w:t>0.88</w:t>
            </w:r>
          </w:p>
        </w:tc>
      </w:tr>
      <w:tr w:rsidR="00282739" w:rsidRPr="00CF670F"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Legal studies</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936"/>
              </w:tabs>
            </w:pPr>
            <w:r w:rsidRPr="007A1A28">
              <w:t>26</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794"/>
              </w:tabs>
            </w:pPr>
            <w:r w:rsidRPr="007A1A28">
              <w:t>11.5</w:t>
            </w:r>
          </w:p>
        </w:tc>
      </w:tr>
      <w:tr w:rsidR="00282739" w:rsidRPr="00CF670F"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0D3CE0" w:rsidRDefault="00282739" w:rsidP="003C6043">
            <w:pPr>
              <w:pStyle w:val="Tabletext"/>
              <w:spacing w:before="120"/>
              <w:rPr>
                <w:i/>
              </w:rPr>
            </w:pPr>
            <w:r w:rsidRPr="000D3CE0">
              <w:rPr>
                <w:i/>
              </w:rPr>
              <w:t>Take two of</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936"/>
              </w:tabs>
              <w:spacing w:before="120"/>
            </w:pP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794"/>
              </w:tabs>
              <w:spacing w:before="120"/>
            </w:pPr>
          </w:p>
        </w:tc>
      </w:tr>
      <w:tr w:rsidR="00282739" w:rsidRPr="00CF670F"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Accounting and business management</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936"/>
              </w:tabs>
            </w:pPr>
            <w:r w:rsidRPr="007A1A28">
              <w:t>9</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794"/>
              </w:tabs>
            </w:pPr>
            <w:r w:rsidRPr="007A1A28">
              <w:t>3.98</w:t>
            </w:r>
          </w:p>
        </w:tc>
      </w:tr>
      <w:tr w:rsidR="00282739" w:rsidRPr="00CF670F"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Accounting and economics</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936"/>
              </w:tabs>
            </w:pPr>
            <w:r w:rsidRPr="007A1A28">
              <w:t>2</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794"/>
              </w:tabs>
            </w:pPr>
            <w:r w:rsidRPr="007A1A28">
              <w:t>0.88</w:t>
            </w:r>
          </w:p>
        </w:tc>
      </w:tr>
      <w:tr w:rsidR="00282739" w:rsidRPr="00CF670F"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Accounting and legal studies</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936"/>
              </w:tabs>
            </w:pPr>
            <w:r w:rsidRPr="007A1A28">
              <w:t>4</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794"/>
              </w:tabs>
            </w:pPr>
            <w:r w:rsidRPr="007A1A28">
              <w:t>1.77</w:t>
            </w:r>
          </w:p>
        </w:tc>
      </w:tr>
      <w:tr w:rsidR="00282739" w:rsidRPr="00CF670F"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Business management and economics</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936"/>
              </w:tabs>
            </w:pPr>
            <w:r w:rsidRPr="007A1A28">
              <w:t>0</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794"/>
              </w:tabs>
            </w:pPr>
            <w:r w:rsidRPr="007A1A28">
              <w:t>0</w:t>
            </w:r>
          </w:p>
        </w:tc>
      </w:tr>
      <w:tr w:rsidR="00282739" w:rsidRPr="00CF670F"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Business management and legal studies</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936"/>
              </w:tabs>
            </w:pPr>
            <w:r w:rsidRPr="007A1A28">
              <w:t>13</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794"/>
              </w:tabs>
            </w:pPr>
            <w:r w:rsidRPr="007A1A28">
              <w:t>5.75</w:t>
            </w:r>
          </w:p>
        </w:tc>
      </w:tr>
      <w:tr w:rsidR="00282739" w:rsidRPr="00CF670F" w:rsidTr="003C6043">
        <w:tc>
          <w:tcPr>
            <w:tcW w:w="2742" w:type="pct"/>
            <w:tcBorders>
              <w:top w:val="nil"/>
              <w:left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Economics and legal studies</w:t>
            </w:r>
          </w:p>
        </w:tc>
        <w:tc>
          <w:tcPr>
            <w:tcW w:w="1129" w:type="pct"/>
            <w:tcBorders>
              <w:top w:val="nil"/>
              <w:left w:val="nil"/>
              <w:right w:val="nil"/>
            </w:tcBorders>
            <w:shd w:val="clear" w:color="000000" w:fill="FFFFFF"/>
            <w:tcMar>
              <w:left w:w="113" w:type="dxa"/>
              <w:right w:w="113" w:type="dxa"/>
            </w:tcMar>
          </w:tcPr>
          <w:p w:rsidR="00282739" w:rsidRPr="007A1A28" w:rsidRDefault="00282739" w:rsidP="003C6043">
            <w:pPr>
              <w:pStyle w:val="Tabletext"/>
              <w:tabs>
                <w:tab w:val="decimal" w:pos="936"/>
              </w:tabs>
            </w:pPr>
            <w:r w:rsidRPr="007A1A28">
              <w:t>1</w:t>
            </w:r>
          </w:p>
        </w:tc>
        <w:tc>
          <w:tcPr>
            <w:tcW w:w="1129" w:type="pct"/>
            <w:tcBorders>
              <w:top w:val="nil"/>
              <w:left w:val="nil"/>
              <w:right w:val="nil"/>
            </w:tcBorders>
            <w:shd w:val="clear" w:color="000000" w:fill="FFFFFF"/>
            <w:tcMar>
              <w:left w:w="113" w:type="dxa"/>
              <w:right w:w="113" w:type="dxa"/>
            </w:tcMar>
          </w:tcPr>
          <w:p w:rsidR="00282739" w:rsidRPr="007A1A28" w:rsidRDefault="00282739" w:rsidP="003C6043">
            <w:pPr>
              <w:pStyle w:val="Tabletext"/>
              <w:tabs>
                <w:tab w:val="decimal" w:pos="794"/>
              </w:tabs>
            </w:pPr>
            <w:r w:rsidRPr="007A1A28">
              <w:t>0.44</w:t>
            </w:r>
          </w:p>
        </w:tc>
      </w:tr>
      <w:tr w:rsidR="00282739" w:rsidRPr="00CF670F" w:rsidTr="003C6043">
        <w:tc>
          <w:tcPr>
            <w:tcW w:w="2742" w:type="pct"/>
            <w:tcBorders>
              <w:top w:val="nil"/>
              <w:left w:val="nil"/>
              <w:right w:val="nil"/>
            </w:tcBorders>
            <w:shd w:val="clear" w:color="000000" w:fill="FFFFFF"/>
            <w:noWrap/>
            <w:tcMar>
              <w:top w:w="17" w:type="dxa"/>
              <w:left w:w="113" w:type="dxa"/>
              <w:bottom w:w="0" w:type="dxa"/>
              <w:right w:w="113" w:type="dxa"/>
            </w:tcMar>
            <w:hideMark/>
          </w:tcPr>
          <w:p w:rsidR="00282739" w:rsidRPr="000D3CE0" w:rsidRDefault="00282739" w:rsidP="003C6043">
            <w:pPr>
              <w:pStyle w:val="Tabletext"/>
              <w:spacing w:before="120"/>
              <w:rPr>
                <w:i/>
              </w:rPr>
            </w:pPr>
            <w:r w:rsidRPr="000D3CE0">
              <w:rPr>
                <w:i/>
              </w:rPr>
              <w:t>Take more than two of the above</w:t>
            </w:r>
          </w:p>
        </w:tc>
        <w:tc>
          <w:tcPr>
            <w:tcW w:w="1129" w:type="pct"/>
            <w:tcBorders>
              <w:top w:val="nil"/>
              <w:left w:val="nil"/>
              <w:right w:val="nil"/>
            </w:tcBorders>
            <w:shd w:val="clear" w:color="000000" w:fill="FFFFFF"/>
            <w:tcMar>
              <w:left w:w="113" w:type="dxa"/>
              <w:right w:w="113" w:type="dxa"/>
            </w:tcMar>
          </w:tcPr>
          <w:p w:rsidR="00282739" w:rsidRPr="007A1A28" w:rsidRDefault="00282739" w:rsidP="003C6043">
            <w:pPr>
              <w:pStyle w:val="Tabletext"/>
              <w:tabs>
                <w:tab w:val="decimal" w:pos="936"/>
              </w:tabs>
              <w:spacing w:before="120"/>
            </w:pPr>
            <w:r w:rsidRPr="007A1A28">
              <w:t>4</w:t>
            </w:r>
          </w:p>
        </w:tc>
        <w:tc>
          <w:tcPr>
            <w:tcW w:w="1129" w:type="pct"/>
            <w:tcBorders>
              <w:top w:val="nil"/>
              <w:left w:val="nil"/>
              <w:right w:val="nil"/>
            </w:tcBorders>
            <w:shd w:val="clear" w:color="000000" w:fill="FFFFFF"/>
            <w:tcMar>
              <w:left w:w="113" w:type="dxa"/>
              <w:right w:w="113" w:type="dxa"/>
            </w:tcMar>
          </w:tcPr>
          <w:p w:rsidR="00282739" w:rsidRPr="007A1A28" w:rsidRDefault="00282739" w:rsidP="003C6043">
            <w:pPr>
              <w:pStyle w:val="Tabletext"/>
              <w:tabs>
                <w:tab w:val="decimal" w:pos="794"/>
              </w:tabs>
              <w:spacing w:before="120"/>
            </w:pPr>
            <w:r w:rsidRPr="007A1A28">
              <w:t>1.77</w:t>
            </w:r>
          </w:p>
        </w:tc>
      </w:tr>
      <w:tr w:rsidR="00282739" w:rsidRPr="00CF670F" w:rsidTr="003C6043">
        <w:tc>
          <w:tcPr>
            <w:tcW w:w="2742" w:type="pct"/>
            <w:tcBorders>
              <w:left w:val="nil"/>
              <w:right w:val="nil"/>
            </w:tcBorders>
            <w:shd w:val="clear" w:color="000000" w:fill="FFFFFF"/>
            <w:noWrap/>
            <w:tcMar>
              <w:top w:w="17" w:type="dxa"/>
              <w:left w:w="113" w:type="dxa"/>
              <w:bottom w:w="0" w:type="dxa"/>
              <w:right w:w="113" w:type="dxa"/>
            </w:tcMar>
            <w:hideMark/>
          </w:tcPr>
          <w:p w:rsidR="00282739" w:rsidRPr="000D3CE0" w:rsidRDefault="00282739" w:rsidP="003C6043">
            <w:pPr>
              <w:pStyle w:val="Tabletext"/>
              <w:spacing w:before="120"/>
              <w:rPr>
                <w:i/>
              </w:rPr>
            </w:pPr>
            <w:r w:rsidRPr="000D3CE0">
              <w:rPr>
                <w:i/>
              </w:rPr>
              <w:t>Take none of the above</w:t>
            </w:r>
          </w:p>
        </w:tc>
        <w:tc>
          <w:tcPr>
            <w:tcW w:w="1129" w:type="pct"/>
            <w:tcBorders>
              <w:left w:val="nil"/>
              <w:right w:val="nil"/>
            </w:tcBorders>
            <w:shd w:val="clear" w:color="000000" w:fill="FFFFFF"/>
            <w:tcMar>
              <w:left w:w="113" w:type="dxa"/>
              <w:right w:w="113" w:type="dxa"/>
            </w:tcMar>
          </w:tcPr>
          <w:p w:rsidR="00282739" w:rsidRPr="007A1A28" w:rsidRDefault="00282739" w:rsidP="003C6043">
            <w:pPr>
              <w:pStyle w:val="Tabletext"/>
              <w:tabs>
                <w:tab w:val="decimal" w:pos="936"/>
              </w:tabs>
              <w:spacing w:before="120"/>
            </w:pPr>
            <w:r w:rsidRPr="007A1A28">
              <w:t>90</w:t>
            </w:r>
          </w:p>
        </w:tc>
        <w:tc>
          <w:tcPr>
            <w:tcW w:w="1129" w:type="pct"/>
            <w:tcBorders>
              <w:left w:val="nil"/>
              <w:right w:val="nil"/>
            </w:tcBorders>
            <w:shd w:val="clear" w:color="000000" w:fill="FFFFFF"/>
            <w:tcMar>
              <w:left w:w="113" w:type="dxa"/>
              <w:right w:w="113" w:type="dxa"/>
            </w:tcMar>
          </w:tcPr>
          <w:p w:rsidR="00282739" w:rsidRPr="007A1A28" w:rsidRDefault="00282739" w:rsidP="003C6043">
            <w:pPr>
              <w:pStyle w:val="Tabletext"/>
              <w:tabs>
                <w:tab w:val="decimal" w:pos="794"/>
              </w:tabs>
              <w:spacing w:before="120"/>
            </w:pPr>
            <w:r w:rsidRPr="007A1A28">
              <w:t>39.82</w:t>
            </w:r>
          </w:p>
        </w:tc>
      </w:tr>
      <w:tr w:rsidR="00282739" w:rsidRPr="000D3CE0" w:rsidTr="003C6043">
        <w:tc>
          <w:tcPr>
            <w:tcW w:w="2742" w:type="pct"/>
            <w:tcBorders>
              <w:left w:val="nil"/>
              <w:bottom w:val="single" w:sz="4" w:space="0" w:color="auto"/>
              <w:right w:val="nil"/>
            </w:tcBorders>
            <w:shd w:val="clear" w:color="000000" w:fill="FFFFFF"/>
            <w:noWrap/>
            <w:tcMar>
              <w:top w:w="17" w:type="dxa"/>
              <w:left w:w="113" w:type="dxa"/>
              <w:bottom w:w="0" w:type="dxa"/>
              <w:right w:w="113" w:type="dxa"/>
            </w:tcMar>
            <w:hideMark/>
          </w:tcPr>
          <w:p w:rsidR="00282739" w:rsidRPr="000D3CE0" w:rsidRDefault="00282739" w:rsidP="003C6043">
            <w:pPr>
              <w:pStyle w:val="Tabletext"/>
              <w:spacing w:before="120"/>
              <w:rPr>
                <w:b/>
              </w:rPr>
            </w:pPr>
            <w:r w:rsidRPr="000D3CE0">
              <w:rPr>
                <w:b/>
              </w:rPr>
              <w:t>Total</w:t>
            </w:r>
          </w:p>
        </w:tc>
        <w:tc>
          <w:tcPr>
            <w:tcW w:w="1129" w:type="pct"/>
            <w:tcBorders>
              <w:left w:val="nil"/>
              <w:bottom w:val="single" w:sz="4" w:space="0" w:color="auto"/>
              <w:right w:val="nil"/>
            </w:tcBorders>
            <w:shd w:val="clear" w:color="000000" w:fill="FFFFFF"/>
            <w:tcMar>
              <w:left w:w="113" w:type="dxa"/>
              <w:right w:w="113" w:type="dxa"/>
            </w:tcMar>
          </w:tcPr>
          <w:p w:rsidR="00282739" w:rsidRPr="000D3CE0" w:rsidRDefault="00282739" w:rsidP="003C6043">
            <w:pPr>
              <w:pStyle w:val="Tabletext"/>
              <w:tabs>
                <w:tab w:val="decimal" w:pos="936"/>
              </w:tabs>
              <w:spacing w:before="120"/>
              <w:rPr>
                <w:b/>
              </w:rPr>
            </w:pPr>
            <w:r w:rsidRPr="000D3CE0">
              <w:rPr>
                <w:b/>
              </w:rPr>
              <w:t>226</w:t>
            </w:r>
          </w:p>
        </w:tc>
        <w:tc>
          <w:tcPr>
            <w:tcW w:w="1129" w:type="pct"/>
            <w:tcBorders>
              <w:left w:val="nil"/>
              <w:bottom w:val="single" w:sz="4" w:space="0" w:color="auto"/>
              <w:right w:val="nil"/>
            </w:tcBorders>
            <w:shd w:val="clear" w:color="000000" w:fill="FFFFFF"/>
            <w:tcMar>
              <w:left w:w="113" w:type="dxa"/>
              <w:right w:w="113" w:type="dxa"/>
            </w:tcMar>
          </w:tcPr>
          <w:p w:rsidR="00282739" w:rsidRPr="000D3CE0" w:rsidRDefault="00282739" w:rsidP="003C6043">
            <w:pPr>
              <w:pStyle w:val="Tabletext"/>
              <w:tabs>
                <w:tab w:val="decimal" w:pos="794"/>
              </w:tabs>
              <w:spacing w:before="120"/>
              <w:rPr>
                <w:b/>
              </w:rPr>
            </w:pPr>
            <w:r w:rsidRPr="006F0B54">
              <w:rPr>
                <w:b/>
              </w:rPr>
              <w:t>100.00</w:t>
            </w:r>
          </w:p>
        </w:tc>
      </w:tr>
    </w:tbl>
    <w:p w:rsidR="00282739" w:rsidRPr="00795A56" w:rsidRDefault="00282739" w:rsidP="00282739">
      <w:pPr>
        <w:pStyle w:val="Source"/>
      </w:pPr>
      <w:r>
        <w:t>Note:</w:t>
      </w:r>
      <w:r>
        <w:tab/>
        <w:t xml:space="preserve">The sample is </w:t>
      </w:r>
      <w:r w:rsidRPr="000D3CE0">
        <w:t>restricted</w:t>
      </w:r>
      <w:r>
        <w:t xml:space="preserve"> to those who only take one VET subject and who attain a university enter score.</w:t>
      </w:r>
    </w:p>
    <w:p w:rsidR="00282739" w:rsidRDefault="00282739" w:rsidP="00282739">
      <w:pPr>
        <w:pStyle w:val="tabletitle"/>
      </w:pPr>
      <w:bookmarkStart w:id="67" w:name="_Toc402794985"/>
      <w:r>
        <w:t>Table B2</w:t>
      </w:r>
      <w:r>
        <w:tab/>
        <w:t>General subjects taken by students who enrol in engineering studies</w:t>
      </w:r>
      <w:bookmarkEnd w:id="67"/>
    </w:p>
    <w:tbl>
      <w:tblPr>
        <w:tblW w:w="8789" w:type="dxa"/>
        <w:tblInd w:w="113" w:type="dxa"/>
        <w:tblLayout w:type="fixed"/>
        <w:tblCellMar>
          <w:left w:w="113" w:type="dxa"/>
          <w:right w:w="113" w:type="dxa"/>
        </w:tblCellMar>
        <w:tblLook w:val="04A0" w:firstRow="1" w:lastRow="0" w:firstColumn="1" w:lastColumn="0" w:noHBand="0" w:noVBand="1"/>
      </w:tblPr>
      <w:tblGrid>
        <w:gridCol w:w="4819"/>
        <w:gridCol w:w="1985"/>
        <w:gridCol w:w="1985"/>
      </w:tblGrid>
      <w:tr w:rsidR="00282739" w:rsidRPr="00830481" w:rsidTr="003C6043">
        <w:tc>
          <w:tcPr>
            <w:tcW w:w="2742" w:type="pct"/>
            <w:tcBorders>
              <w:top w:val="single" w:sz="4" w:space="0" w:color="auto"/>
              <w:left w:val="nil"/>
              <w:bottom w:val="single" w:sz="4" w:space="0" w:color="auto"/>
              <w:right w:val="nil"/>
            </w:tcBorders>
            <w:shd w:val="clear" w:color="000000" w:fill="FFFFFF"/>
            <w:noWrap/>
            <w:tcMar>
              <w:top w:w="17" w:type="dxa"/>
              <w:left w:w="113" w:type="dxa"/>
              <w:bottom w:w="0" w:type="dxa"/>
              <w:right w:w="113" w:type="dxa"/>
            </w:tcMar>
            <w:hideMark/>
          </w:tcPr>
          <w:p w:rsidR="00282739" w:rsidRDefault="00282739" w:rsidP="003C6043">
            <w:pPr>
              <w:pStyle w:val="Tablehead1"/>
            </w:pPr>
          </w:p>
        </w:tc>
        <w:tc>
          <w:tcPr>
            <w:tcW w:w="1129" w:type="pct"/>
            <w:tcBorders>
              <w:top w:val="single" w:sz="4" w:space="0" w:color="auto"/>
              <w:left w:val="nil"/>
              <w:bottom w:val="single" w:sz="4" w:space="0" w:color="auto"/>
              <w:right w:val="nil"/>
            </w:tcBorders>
            <w:shd w:val="clear" w:color="000000" w:fill="FFFFFF"/>
            <w:tcMar>
              <w:left w:w="113" w:type="dxa"/>
              <w:right w:w="113" w:type="dxa"/>
            </w:tcMar>
          </w:tcPr>
          <w:p w:rsidR="00282739" w:rsidRDefault="00282739" w:rsidP="003C6043">
            <w:pPr>
              <w:pStyle w:val="Tablehead1"/>
              <w:jc w:val="center"/>
            </w:pPr>
            <w:r>
              <w:t>No.</w:t>
            </w:r>
          </w:p>
        </w:tc>
        <w:tc>
          <w:tcPr>
            <w:tcW w:w="1129" w:type="pct"/>
            <w:tcBorders>
              <w:top w:val="single" w:sz="4" w:space="0" w:color="auto"/>
              <w:left w:val="nil"/>
              <w:bottom w:val="single" w:sz="4" w:space="0" w:color="auto"/>
              <w:right w:val="nil"/>
            </w:tcBorders>
            <w:shd w:val="clear" w:color="000000" w:fill="FFFFFF"/>
            <w:tcMar>
              <w:left w:w="113" w:type="dxa"/>
              <w:right w:w="113" w:type="dxa"/>
            </w:tcMar>
          </w:tcPr>
          <w:p w:rsidR="00282739" w:rsidRDefault="00282739" w:rsidP="003C6043">
            <w:pPr>
              <w:pStyle w:val="Tablehead1"/>
              <w:jc w:val="center"/>
            </w:pPr>
            <w:r>
              <w:t>%</w:t>
            </w:r>
          </w:p>
        </w:tc>
      </w:tr>
      <w:tr w:rsidR="00282739" w:rsidRPr="00830481" w:rsidTr="003C6043">
        <w:tc>
          <w:tcPr>
            <w:tcW w:w="2742" w:type="pct"/>
            <w:tcBorders>
              <w:left w:val="nil"/>
              <w:bottom w:val="nil"/>
              <w:right w:val="nil"/>
            </w:tcBorders>
            <w:shd w:val="clear" w:color="000000" w:fill="FFFFFF"/>
            <w:noWrap/>
            <w:tcMar>
              <w:top w:w="17" w:type="dxa"/>
              <w:left w:w="113" w:type="dxa"/>
              <w:bottom w:w="0" w:type="dxa"/>
              <w:right w:w="113" w:type="dxa"/>
            </w:tcMar>
            <w:hideMark/>
          </w:tcPr>
          <w:p w:rsidR="00282739" w:rsidRPr="000D3CE0" w:rsidRDefault="00282739" w:rsidP="003C6043">
            <w:pPr>
              <w:pStyle w:val="Tabletext"/>
              <w:spacing w:before="80"/>
              <w:rPr>
                <w:i/>
              </w:rPr>
            </w:pPr>
            <w:r w:rsidRPr="000D3CE0">
              <w:rPr>
                <w:i/>
              </w:rPr>
              <w:t>Take one of</w:t>
            </w:r>
          </w:p>
        </w:tc>
        <w:tc>
          <w:tcPr>
            <w:tcW w:w="1129" w:type="pct"/>
            <w:tcBorders>
              <w:left w:val="nil"/>
              <w:bottom w:val="nil"/>
              <w:right w:val="nil"/>
            </w:tcBorders>
            <w:shd w:val="clear" w:color="000000" w:fill="FFFFFF"/>
            <w:tcMar>
              <w:left w:w="113" w:type="dxa"/>
              <w:right w:w="113" w:type="dxa"/>
            </w:tcMar>
          </w:tcPr>
          <w:p w:rsidR="00282739" w:rsidRDefault="00282739" w:rsidP="003C6043">
            <w:pPr>
              <w:pStyle w:val="Tabletext"/>
              <w:tabs>
                <w:tab w:val="decimal" w:pos="936"/>
              </w:tabs>
              <w:spacing w:before="80"/>
              <w:rPr>
                <w:rFonts w:ascii="Calibri" w:hAnsi="Calibri" w:cs="Calibri"/>
                <w:color w:val="000000"/>
              </w:rPr>
            </w:pPr>
          </w:p>
        </w:tc>
        <w:tc>
          <w:tcPr>
            <w:tcW w:w="1129" w:type="pct"/>
            <w:tcBorders>
              <w:left w:val="nil"/>
              <w:bottom w:val="nil"/>
              <w:right w:val="nil"/>
            </w:tcBorders>
            <w:shd w:val="clear" w:color="000000" w:fill="FFFFFF"/>
            <w:tcMar>
              <w:left w:w="113" w:type="dxa"/>
              <w:right w:w="113" w:type="dxa"/>
            </w:tcMar>
          </w:tcPr>
          <w:p w:rsidR="00282739" w:rsidRDefault="00282739" w:rsidP="003C6043">
            <w:pPr>
              <w:pStyle w:val="Tabletext"/>
              <w:tabs>
                <w:tab w:val="decimal" w:pos="822"/>
              </w:tabs>
              <w:spacing w:before="80"/>
              <w:rPr>
                <w:rFonts w:ascii="Calibri" w:hAnsi="Calibri" w:cs="Calibri"/>
                <w:color w:val="000000"/>
              </w:rPr>
            </w:pPr>
          </w:p>
        </w:tc>
      </w:tr>
      <w:tr w:rsidR="00282739" w:rsidRPr="00383BF9"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Design and technology</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936"/>
              </w:tabs>
            </w:pPr>
            <w:r w:rsidRPr="007A1A28">
              <w:t>23</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822"/>
              </w:tabs>
            </w:pPr>
            <w:r w:rsidRPr="007A1A28">
              <w:t>18.55</w:t>
            </w:r>
          </w:p>
        </w:tc>
      </w:tr>
      <w:tr w:rsidR="00282739" w:rsidRPr="00383BF9"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Physics</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936"/>
              </w:tabs>
            </w:pPr>
            <w:r w:rsidRPr="007A1A28">
              <w:t>29</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822"/>
              </w:tabs>
            </w:pPr>
            <w:r w:rsidRPr="007A1A28">
              <w:t>23.39</w:t>
            </w:r>
          </w:p>
        </w:tc>
      </w:tr>
      <w:tr w:rsidR="00282739" w:rsidRPr="00383BF9"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Systems engineering</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936"/>
              </w:tabs>
            </w:pPr>
            <w:r w:rsidRPr="007A1A28">
              <w:t>3</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822"/>
              </w:tabs>
            </w:pPr>
            <w:r w:rsidRPr="007A1A28">
              <w:t>2.42</w:t>
            </w:r>
          </w:p>
        </w:tc>
      </w:tr>
      <w:tr w:rsidR="00282739" w:rsidRPr="00383BF9"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Visual communication and design</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936"/>
              </w:tabs>
            </w:pPr>
            <w:r w:rsidRPr="007A1A28">
              <w:t>9</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822"/>
              </w:tabs>
            </w:pPr>
            <w:r w:rsidRPr="007A1A28">
              <w:t>7.26</w:t>
            </w:r>
          </w:p>
        </w:tc>
      </w:tr>
      <w:tr w:rsidR="00282739" w:rsidRPr="00383BF9"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0D3CE0" w:rsidRDefault="00282739" w:rsidP="003C6043">
            <w:pPr>
              <w:pStyle w:val="Tabletext"/>
              <w:spacing w:before="120"/>
              <w:rPr>
                <w:i/>
              </w:rPr>
            </w:pPr>
            <w:r w:rsidRPr="000D3CE0">
              <w:rPr>
                <w:i/>
              </w:rPr>
              <w:t>Take two of</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936"/>
              </w:tabs>
              <w:spacing w:before="120"/>
            </w:pP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822"/>
              </w:tabs>
              <w:spacing w:before="120"/>
            </w:pPr>
          </w:p>
        </w:tc>
      </w:tr>
      <w:tr w:rsidR="00282739" w:rsidRPr="00383BF9"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Design and technology and physics</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936"/>
              </w:tabs>
            </w:pPr>
            <w:r w:rsidRPr="007A1A28">
              <w:t>2</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822"/>
              </w:tabs>
            </w:pPr>
            <w:r w:rsidRPr="007A1A28">
              <w:t>1.61</w:t>
            </w:r>
          </w:p>
        </w:tc>
      </w:tr>
      <w:tr w:rsidR="00282739" w:rsidRPr="00383BF9"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Design and technology and systems engineering</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936"/>
              </w:tabs>
            </w:pPr>
            <w:r w:rsidRPr="007A1A28">
              <w:t>5</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822"/>
              </w:tabs>
            </w:pPr>
            <w:r w:rsidRPr="007A1A28">
              <w:t>4.03</w:t>
            </w:r>
          </w:p>
        </w:tc>
      </w:tr>
      <w:tr w:rsidR="00282739" w:rsidRPr="00383BF9"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Design and technology and visual communication and design</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936"/>
              </w:tabs>
            </w:pPr>
            <w:r w:rsidRPr="007A1A28">
              <w:t>1</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822"/>
              </w:tabs>
            </w:pPr>
            <w:r w:rsidRPr="007A1A28">
              <w:t>0.81</w:t>
            </w:r>
          </w:p>
        </w:tc>
      </w:tr>
      <w:tr w:rsidR="00282739" w:rsidRPr="00383BF9"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Physics and systems engineering</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936"/>
              </w:tabs>
            </w:pPr>
            <w:r w:rsidRPr="007A1A28">
              <w:t>3</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822"/>
              </w:tabs>
            </w:pPr>
            <w:r w:rsidRPr="007A1A28">
              <w:t>2.42</w:t>
            </w:r>
          </w:p>
        </w:tc>
      </w:tr>
      <w:tr w:rsidR="00282739" w:rsidRPr="00383BF9"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Physics and visual communication and design</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936"/>
              </w:tabs>
            </w:pPr>
            <w:r w:rsidRPr="007A1A28">
              <w:t>6</w:t>
            </w:r>
          </w:p>
        </w:tc>
        <w:tc>
          <w:tcPr>
            <w:tcW w:w="1129" w:type="pct"/>
            <w:tcBorders>
              <w:top w:val="nil"/>
              <w:left w:val="nil"/>
              <w:bottom w:val="nil"/>
              <w:right w:val="nil"/>
            </w:tcBorders>
            <w:shd w:val="clear" w:color="000000" w:fill="FFFFFF"/>
            <w:tcMar>
              <w:left w:w="113" w:type="dxa"/>
              <w:right w:w="113" w:type="dxa"/>
            </w:tcMar>
          </w:tcPr>
          <w:p w:rsidR="00282739" w:rsidRPr="007A1A28" w:rsidRDefault="00282739" w:rsidP="003C6043">
            <w:pPr>
              <w:pStyle w:val="Tabletext"/>
              <w:tabs>
                <w:tab w:val="decimal" w:pos="822"/>
              </w:tabs>
            </w:pPr>
            <w:r w:rsidRPr="007A1A28">
              <w:t>4.84</w:t>
            </w:r>
          </w:p>
        </w:tc>
      </w:tr>
      <w:tr w:rsidR="00282739" w:rsidRPr="00383BF9" w:rsidTr="003C6043">
        <w:tc>
          <w:tcPr>
            <w:tcW w:w="2742" w:type="pct"/>
            <w:tcBorders>
              <w:top w:val="nil"/>
              <w:left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Systems engineering and visual communication and design</w:t>
            </w:r>
          </w:p>
        </w:tc>
        <w:tc>
          <w:tcPr>
            <w:tcW w:w="1129" w:type="pct"/>
            <w:tcBorders>
              <w:top w:val="nil"/>
              <w:left w:val="nil"/>
              <w:right w:val="nil"/>
            </w:tcBorders>
            <w:shd w:val="clear" w:color="000000" w:fill="FFFFFF"/>
            <w:tcMar>
              <w:left w:w="113" w:type="dxa"/>
              <w:right w:w="113" w:type="dxa"/>
            </w:tcMar>
          </w:tcPr>
          <w:p w:rsidR="00282739" w:rsidRPr="007A1A28" w:rsidRDefault="00282739" w:rsidP="003C6043">
            <w:pPr>
              <w:pStyle w:val="Tabletext"/>
              <w:tabs>
                <w:tab w:val="decimal" w:pos="936"/>
              </w:tabs>
            </w:pPr>
            <w:r w:rsidRPr="007A1A28">
              <w:t>0</w:t>
            </w:r>
          </w:p>
        </w:tc>
        <w:tc>
          <w:tcPr>
            <w:tcW w:w="1129" w:type="pct"/>
            <w:tcBorders>
              <w:top w:val="nil"/>
              <w:left w:val="nil"/>
              <w:right w:val="nil"/>
            </w:tcBorders>
            <w:shd w:val="clear" w:color="000000" w:fill="FFFFFF"/>
            <w:tcMar>
              <w:left w:w="113" w:type="dxa"/>
              <w:right w:w="113" w:type="dxa"/>
            </w:tcMar>
          </w:tcPr>
          <w:p w:rsidR="00282739" w:rsidRPr="007A1A28" w:rsidRDefault="00282739" w:rsidP="003C6043">
            <w:pPr>
              <w:pStyle w:val="Tabletext"/>
              <w:tabs>
                <w:tab w:val="decimal" w:pos="822"/>
              </w:tabs>
            </w:pPr>
            <w:r w:rsidRPr="007A1A28">
              <w:t>0</w:t>
            </w:r>
          </w:p>
        </w:tc>
      </w:tr>
      <w:tr w:rsidR="00282739" w:rsidRPr="00383BF9" w:rsidTr="003C6043">
        <w:tc>
          <w:tcPr>
            <w:tcW w:w="2742" w:type="pct"/>
            <w:tcBorders>
              <w:top w:val="nil"/>
              <w:left w:val="nil"/>
              <w:right w:val="nil"/>
            </w:tcBorders>
            <w:shd w:val="clear" w:color="000000" w:fill="FFFFFF"/>
            <w:noWrap/>
            <w:tcMar>
              <w:top w:w="17" w:type="dxa"/>
              <w:left w:w="113" w:type="dxa"/>
              <w:bottom w:w="0" w:type="dxa"/>
              <w:right w:w="113" w:type="dxa"/>
            </w:tcMar>
            <w:hideMark/>
          </w:tcPr>
          <w:p w:rsidR="00282739" w:rsidRPr="000D3CE0" w:rsidRDefault="00282739" w:rsidP="003C6043">
            <w:pPr>
              <w:pStyle w:val="Tabletext"/>
              <w:spacing w:before="120"/>
              <w:rPr>
                <w:i/>
              </w:rPr>
            </w:pPr>
            <w:r w:rsidRPr="000D3CE0">
              <w:rPr>
                <w:i/>
              </w:rPr>
              <w:t>Take more than two of the above</w:t>
            </w:r>
          </w:p>
        </w:tc>
        <w:tc>
          <w:tcPr>
            <w:tcW w:w="1129" w:type="pct"/>
            <w:tcBorders>
              <w:top w:val="nil"/>
              <w:left w:val="nil"/>
              <w:right w:val="nil"/>
            </w:tcBorders>
            <w:shd w:val="clear" w:color="000000" w:fill="FFFFFF"/>
            <w:tcMar>
              <w:left w:w="113" w:type="dxa"/>
              <w:right w:w="113" w:type="dxa"/>
            </w:tcMar>
          </w:tcPr>
          <w:p w:rsidR="00282739" w:rsidRPr="007A1A28" w:rsidRDefault="00282739" w:rsidP="003C6043">
            <w:pPr>
              <w:pStyle w:val="Tabletext"/>
              <w:tabs>
                <w:tab w:val="decimal" w:pos="936"/>
              </w:tabs>
              <w:spacing w:before="120"/>
            </w:pPr>
            <w:r w:rsidRPr="007A1A28">
              <w:t>0</w:t>
            </w:r>
          </w:p>
        </w:tc>
        <w:tc>
          <w:tcPr>
            <w:tcW w:w="1129" w:type="pct"/>
            <w:tcBorders>
              <w:top w:val="nil"/>
              <w:left w:val="nil"/>
              <w:right w:val="nil"/>
            </w:tcBorders>
            <w:shd w:val="clear" w:color="000000" w:fill="FFFFFF"/>
            <w:tcMar>
              <w:left w:w="113" w:type="dxa"/>
              <w:right w:w="113" w:type="dxa"/>
            </w:tcMar>
          </w:tcPr>
          <w:p w:rsidR="00282739" w:rsidRPr="007A1A28" w:rsidRDefault="00282739" w:rsidP="003C6043">
            <w:pPr>
              <w:pStyle w:val="Tabletext"/>
              <w:tabs>
                <w:tab w:val="decimal" w:pos="822"/>
              </w:tabs>
              <w:spacing w:before="120"/>
            </w:pPr>
            <w:r w:rsidRPr="007A1A28">
              <w:t>0</w:t>
            </w:r>
          </w:p>
        </w:tc>
      </w:tr>
      <w:tr w:rsidR="00282739" w:rsidRPr="00383BF9" w:rsidTr="003C6043">
        <w:tc>
          <w:tcPr>
            <w:tcW w:w="2742" w:type="pct"/>
            <w:tcBorders>
              <w:left w:val="nil"/>
              <w:right w:val="nil"/>
            </w:tcBorders>
            <w:shd w:val="clear" w:color="000000" w:fill="FFFFFF"/>
            <w:noWrap/>
            <w:tcMar>
              <w:top w:w="17" w:type="dxa"/>
              <w:left w:w="113" w:type="dxa"/>
              <w:bottom w:w="0" w:type="dxa"/>
              <w:right w:w="113" w:type="dxa"/>
            </w:tcMar>
            <w:hideMark/>
          </w:tcPr>
          <w:p w:rsidR="00282739" w:rsidRPr="000D3CE0" w:rsidRDefault="00282739" w:rsidP="003C6043">
            <w:pPr>
              <w:pStyle w:val="Tabletext"/>
              <w:spacing w:before="120"/>
              <w:rPr>
                <w:i/>
              </w:rPr>
            </w:pPr>
            <w:r w:rsidRPr="000D3CE0">
              <w:rPr>
                <w:i/>
              </w:rPr>
              <w:t>Take none of the above</w:t>
            </w:r>
          </w:p>
        </w:tc>
        <w:tc>
          <w:tcPr>
            <w:tcW w:w="1129" w:type="pct"/>
            <w:tcBorders>
              <w:left w:val="nil"/>
              <w:right w:val="nil"/>
            </w:tcBorders>
            <w:shd w:val="clear" w:color="000000" w:fill="FFFFFF"/>
            <w:tcMar>
              <w:left w:w="113" w:type="dxa"/>
              <w:right w:w="113" w:type="dxa"/>
            </w:tcMar>
          </w:tcPr>
          <w:p w:rsidR="00282739" w:rsidRPr="007A1A28" w:rsidRDefault="00282739" w:rsidP="003C6043">
            <w:pPr>
              <w:pStyle w:val="Tabletext"/>
              <w:tabs>
                <w:tab w:val="decimal" w:pos="936"/>
              </w:tabs>
              <w:spacing w:before="120"/>
            </w:pPr>
            <w:r w:rsidRPr="007A1A28">
              <w:t>43</w:t>
            </w:r>
          </w:p>
        </w:tc>
        <w:tc>
          <w:tcPr>
            <w:tcW w:w="1129" w:type="pct"/>
            <w:tcBorders>
              <w:left w:val="nil"/>
              <w:right w:val="nil"/>
            </w:tcBorders>
            <w:shd w:val="clear" w:color="000000" w:fill="FFFFFF"/>
            <w:tcMar>
              <w:left w:w="113" w:type="dxa"/>
              <w:right w:w="113" w:type="dxa"/>
            </w:tcMar>
          </w:tcPr>
          <w:p w:rsidR="00282739" w:rsidRPr="007A1A28" w:rsidRDefault="00282739" w:rsidP="003C6043">
            <w:pPr>
              <w:pStyle w:val="Tabletext"/>
              <w:tabs>
                <w:tab w:val="decimal" w:pos="822"/>
              </w:tabs>
              <w:spacing w:before="120"/>
            </w:pPr>
            <w:r w:rsidRPr="007A1A28">
              <w:t>34.68</w:t>
            </w:r>
          </w:p>
        </w:tc>
      </w:tr>
      <w:tr w:rsidR="00282739" w:rsidRPr="000D3CE0" w:rsidTr="003C6043">
        <w:tc>
          <w:tcPr>
            <w:tcW w:w="2742" w:type="pct"/>
            <w:tcBorders>
              <w:left w:val="nil"/>
              <w:bottom w:val="single" w:sz="4" w:space="0" w:color="auto"/>
              <w:right w:val="nil"/>
            </w:tcBorders>
            <w:shd w:val="clear" w:color="000000" w:fill="FFFFFF"/>
            <w:noWrap/>
            <w:tcMar>
              <w:top w:w="17" w:type="dxa"/>
              <w:left w:w="113" w:type="dxa"/>
              <w:bottom w:w="0" w:type="dxa"/>
              <w:right w:w="113" w:type="dxa"/>
            </w:tcMar>
            <w:hideMark/>
          </w:tcPr>
          <w:p w:rsidR="00282739" w:rsidRPr="000D3CE0" w:rsidRDefault="00282739" w:rsidP="003C6043">
            <w:pPr>
              <w:pStyle w:val="Tabletext"/>
              <w:spacing w:before="120"/>
              <w:rPr>
                <w:b/>
              </w:rPr>
            </w:pPr>
            <w:r w:rsidRPr="000D3CE0">
              <w:rPr>
                <w:b/>
              </w:rPr>
              <w:t>Total</w:t>
            </w:r>
          </w:p>
        </w:tc>
        <w:tc>
          <w:tcPr>
            <w:tcW w:w="1129" w:type="pct"/>
            <w:tcBorders>
              <w:left w:val="nil"/>
              <w:bottom w:val="single" w:sz="4" w:space="0" w:color="auto"/>
              <w:right w:val="nil"/>
            </w:tcBorders>
            <w:shd w:val="clear" w:color="000000" w:fill="FFFFFF"/>
            <w:tcMar>
              <w:left w:w="113" w:type="dxa"/>
              <w:right w:w="113" w:type="dxa"/>
            </w:tcMar>
          </w:tcPr>
          <w:p w:rsidR="00282739" w:rsidRPr="000D3CE0" w:rsidRDefault="00282739" w:rsidP="003C6043">
            <w:pPr>
              <w:pStyle w:val="Tabletext"/>
              <w:tabs>
                <w:tab w:val="decimal" w:pos="936"/>
              </w:tabs>
              <w:spacing w:before="120"/>
              <w:rPr>
                <w:b/>
              </w:rPr>
            </w:pPr>
            <w:r w:rsidRPr="000D3CE0">
              <w:rPr>
                <w:b/>
              </w:rPr>
              <w:t>124</w:t>
            </w:r>
          </w:p>
        </w:tc>
        <w:tc>
          <w:tcPr>
            <w:tcW w:w="1129" w:type="pct"/>
            <w:tcBorders>
              <w:left w:val="nil"/>
              <w:bottom w:val="single" w:sz="4" w:space="0" w:color="auto"/>
              <w:right w:val="nil"/>
            </w:tcBorders>
            <w:shd w:val="clear" w:color="000000" w:fill="FFFFFF"/>
            <w:tcMar>
              <w:left w:w="113" w:type="dxa"/>
              <w:right w:w="113" w:type="dxa"/>
            </w:tcMar>
          </w:tcPr>
          <w:p w:rsidR="00282739" w:rsidRPr="000D3CE0" w:rsidRDefault="00282739" w:rsidP="003C6043">
            <w:pPr>
              <w:pStyle w:val="Tabletext"/>
              <w:tabs>
                <w:tab w:val="decimal" w:pos="822"/>
              </w:tabs>
              <w:spacing w:before="120"/>
              <w:rPr>
                <w:b/>
              </w:rPr>
            </w:pPr>
            <w:r w:rsidRPr="006F0B54">
              <w:rPr>
                <w:b/>
              </w:rPr>
              <w:t>100.00</w:t>
            </w:r>
          </w:p>
        </w:tc>
      </w:tr>
    </w:tbl>
    <w:p w:rsidR="00282739" w:rsidRDefault="00282739" w:rsidP="00282739">
      <w:pPr>
        <w:pStyle w:val="Source"/>
      </w:pPr>
      <w:r>
        <w:t>Note:</w:t>
      </w:r>
      <w:r>
        <w:tab/>
        <w:t>The sample is restricted to those who only take one VET subject and who attain a university enter score.</w:t>
      </w:r>
    </w:p>
    <w:p w:rsidR="00282739" w:rsidRDefault="00282739" w:rsidP="00282739">
      <w:pPr>
        <w:pStyle w:val="Source"/>
        <w:spacing w:before="0" w:after="40"/>
      </w:pPr>
    </w:p>
    <w:p w:rsidR="00282739" w:rsidRDefault="00282739" w:rsidP="00282739">
      <w:pPr>
        <w:spacing w:before="0" w:line="240" w:lineRule="auto"/>
        <w:rPr>
          <w:rFonts w:ascii="Tahoma" w:hAnsi="Tahoma"/>
          <w:b/>
          <w:sz w:val="17"/>
        </w:rPr>
      </w:pPr>
      <w:r>
        <w:br w:type="page"/>
      </w:r>
    </w:p>
    <w:p w:rsidR="00282739" w:rsidRDefault="00282739" w:rsidP="00282739">
      <w:pPr>
        <w:pStyle w:val="tabletitle"/>
      </w:pPr>
      <w:bookmarkStart w:id="68" w:name="_Toc402794986"/>
      <w:r>
        <w:lastRenderedPageBreak/>
        <w:t>Table B3</w:t>
      </w:r>
      <w:r>
        <w:tab/>
        <w:t>General subjects taken by students who enrol in electrotechnology studies</w:t>
      </w:r>
      <w:bookmarkEnd w:id="68"/>
    </w:p>
    <w:tbl>
      <w:tblPr>
        <w:tblW w:w="8789" w:type="dxa"/>
        <w:tblInd w:w="113" w:type="dxa"/>
        <w:tblLayout w:type="fixed"/>
        <w:tblCellMar>
          <w:left w:w="113" w:type="dxa"/>
          <w:right w:w="113" w:type="dxa"/>
        </w:tblCellMar>
        <w:tblLook w:val="04A0" w:firstRow="1" w:lastRow="0" w:firstColumn="1" w:lastColumn="0" w:noHBand="0" w:noVBand="1"/>
      </w:tblPr>
      <w:tblGrid>
        <w:gridCol w:w="4819"/>
        <w:gridCol w:w="1985"/>
        <w:gridCol w:w="1985"/>
      </w:tblGrid>
      <w:tr w:rsidR="00282739" w:rsidRPr="00830481" w:rsidTr="003C6043">
        <w:tc>
          <w:tcPr>
            <w:tcW w:w="2742" w:type="pct"/>
            <w:tcBorders>
              <w:top w:val="single" w:sz="4" w:space="0" w:color="auto"/>
              <w:left w:val="nil"/>
              <w:bottom w:val="single" w:sz="4" w:space="0" w:color="auto"/>
              <w:right w:val="nil"/>
            </w:tcBorders>
            <w:shd w:val="clear" w:color="000000" w:fill="FFFFFF"/>
            <w:noWrap/>
            <w:tcMar>
              <w:top w:w="17" w:type="dxa"/>
              <w:left w:w="113" w:type="dxa"/>
              <w:bottom w:w="0" w:type="dxa"/>
              <w:right w:w="113" w:type="dxa"/>
            </w:tcMar>
            <w:hideMark/>
          </w:tcPr>
          <w:p w:rsidR="00282739" w:rsidRDefault="00282739" w:rsidP="003C6043">
            <w:pPr>
              <w:pStyle w:val="Tablehead1"/>
            </w:pPr>
          </w:p>
        </w:tc>
        <w:tc>
          <w:tcPr>
            <w:tcW w:w="1129" w:type="pct"/>
            <w:tcBorders>
              <w:top w:val="single" w:sz="4" w:space="0" w:color="auto"/>
              <w:left w:val="nil"/>
              <w:bottom w:val="single" w:sz="4" w:space="0" w:color="auto"/>
              <w:right w:val="nil"/>
            </w:tcBorders>
            <w:shd w:val="clear" w:color="000000" w:fill="FFFFFF"/>
            <w:tcMar>
              <w:left w:w="113" w:type="dxa"/>
              <w:right w:w="113" w:type="dxa"/>
            </w:tcMar>
          </w:tcPr>
          <w:p w:rsidR="00282739" w:rsidRDefault="00282739" w:rsidP="003C6043">
            <w:pPr>
              <w:pStyle w:val="Tablehead1"/>
              <w:jc w:val="center"/>
            </w:pPr>
            <w:r>
              <w:t>No.</w:t>
            </w:r>
          </w:p>
        </w:tc>
        <w:tc>
          <w:tcPr>
            <w:tcW w:w="1129" w:type="pct"/>
            <w:tcBorders>
              <w:top w:val="single" w:sz="4" w:space="0" w:color="auto"/>
              <w:left w:val="nil"/>
              <w:bottom w:val="single" w:sz="4" w:space="0" w:color="auto"/>
              <w:right w:val="nil"/>
            </w:tcBorders>
            <w:shd w:val="clear" w:color="000000" w:fill="FFFFFF"/>
            <w:tcMar>
              <w:left w:w="113" w:type="dxa"/>
              <w:right w:w="113" w:type="dxa"/>
            </w:tcMar>
          </w:tcPr>
          <w:p w:rsidR="00282739" w:rsidRDefault="00282739" w:rsidP="003C6043">
            <w:pPr>
              <w:pStyle w:val="Tablehead1"/>
              <w:jc w:val="center"/>
            </w:pPr>
            <w:r>
              <w:t>%</w:t>
            </w:r>
          </w:p>
        </w:tc>
      </w:tr>
      <w:tr w:rsidR="00282739" w:rsidRPr="00830481" w:rsidTr="003C6043">
        <w:tc>
          <w:tcPr>
            <w:tcW w:w="2742" w:type="pct"/>
            <w:tcBorders>
              <w:left w:val="nil"/>
              <w:bottom w:val="nil"/>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80"/>
              <w:rPr>
                <w:i/>
              </w:rPr>
            </w:pPr>
            <w:r w:rsidRPr="00431DB4">
              <w:rPr>
                <w:i/>
              </w:rPr>
              <w:t>Take one of</w:t>
            </w:r>
          </w:p>
        </w:tc>
        <w:tc>
          <w:tcPr>
            <w:tcW w:w="1129" w:type="pct"/>
            <w:tcBorders>
              <w:left w:val="nil"/>
              <w:bottom w:val="nil"/>
              <w:right w:val="nil"/>
            </w:tcBorders>
            <w:shd w:val="clear" w:color="000000" w:fill="FFFFFF"/>
            <w:tcMar>
              <w:left w:w="113" w:type="dxa"/>
              <w:right w:w="113" w:type="dxa"/>
            </w:tcMar>
          </w:tcPr>
          <w:p w:rsidR="00282739" w:rsidRDefault="00282739" w:rsidP="003C6043">
            <w:pPr>
              <w:pStyle w:val="Tabletext"/>
              <w:tabs>
                <w:tab w:val="decimal" w:pos="907"/>
              </w:tabs>
              <w:spacing w:before="80"/>
              <w:rPr>
                <w:rFonts w:ascii="Calibri" w:hAnsi="Calibri" w:cs="Calibri"/>
                <w:color w:val="000000"/>
              </w:rPr>
            </w:pPr>
          </w:p>
        </w:tc>
        <w:tc>
          <w:tcPr>
            <w:tcW w:w="1129" w:type="pct"/>
            <w:tcBorders>
              <w:left w:val="nil"/>
              <w:bottom w:val="nil"/>
              <w:right w:val="nil"/>
            </w:tcBorders>
            <w:shd w:val="clear" w:color="000000" w:fill="FFFFFF"/>
            <w:tcMar>
              <w:left w:w="113" w:type="dxa"/>
              <w:right w:w="113" w:type="dxa"/>
            </w:tcMar>
          </w:tcPr>
          <w:p w:rsidR="00282739" w:rsidRDefault="00282739" w:rsidP="003C6043">
            <w:pPr>
              <w:pStyle w:val="Tabletext"/>
              <w:tabs>
                <w:tab w:val="decimal" w:pos="822"/>
              </w:tabs>
              <w:spacing w:before="80"/>
              <w:rPr>
                <w:rFonts w:ascii="Calibri" w:hAnsi="Calibri" w:cs="Calibri"/>
                <w:color w:val="000000"/>
              </w:rPr>
            </w:pPr>
          </w:p>
        </w:tc>
      </w:tr>
      <w:tr w:rsidR="00282739" w:rsidRPr="00383BF9"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Design and technology</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07"/>
              </w:tabs>
            </w:pPr>
            <w:r w:rsidRPr="00876979">
              <w:t>8</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10.39</w:t>
            </w:r>
          </w:p>
        </w:tc>
      </w:tr>
      <w:tr w:rsidR="00282739" w:rsidRPr="00383BF9"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Physics</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07"/>
              </w:tabs>
            </w:pPr>
            <w:r w:rsidRPr="00876979">
              <w:t>11</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14.29</w:t>
            </w:r>
          </w:p>
        </w:tc>
      </w:tr>
      <w:tr w:rsidR="00282739" w:rsidRPr="00383BF9"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Systems engineering</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07"/>
              </w:tabs>
            </w:pPr>
            <w:r w:rsidRPr="00876979">
              <w:t>15</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19.48</w:t>
            </w:r>
          </w:p>
        </w:tc>
      </w:tr>
      <w:tr w:rsidR="00282739" w:rsidRPr="00383BF9"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IT applications</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07"/>
              </w:tabs>
            </w:pPr>
            <w:r w:rsidRPr="00876979">
              <w:t>1</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1.3</w:t>
            </w:r>
          </w:p>
        </w:tc>
      </w:tr>
      <w:tr w:rsidR="00282739" w:rsidRPr="00383BF9"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120"/>
              <w:rPr>
                <w:i/>
              </w:rPr>
            </w:pPr>
            <w:r w:rsidRPr="00431DB4">
              <w:rPr>
                <w:i/>
              </w:rPr>
              <w:t>Take two of</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07"/>
              </w:tabs>
              <w:spacing w:before="120"/>
            </w:pP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spacing w:before="120"/>
            </w:pPr>
          </w:p>
        </w:tc>
      </w:tr>
      <w:tr w:rsidR="00282739" w:rsidRPr="00383BF9"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Design and technology and physics</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07"/>
              </w:tabs>
            </w:pPr>
            <w:r w:rsidRPr="00876979">
              <w:t>1</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1.3</w:t>
            </w:r>
          </w:p>
        </w:tc>
      </w:tr>
      <w:tr w:rsidR="00282739" w:rsidRPr="00383BF9"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Design and technology and systems engineering</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07"/>
              </w:tabs>
            </w:pPr>
            <w:r w:rsidRPr="00876979">
              <w:t>4</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5.19</w:t>
            </w:r>
          </w:p>
        </w:tc>
      </w:tr>
      <w:tr w:rsidR="00282739" w:rsidRPr="00383BF9"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Design and technology and IT applications</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07"/>
              </w:tabs>
            </w:pPr>
            <w:r w:rsidRPr="00876979">
              <w:t>0</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0</w:t>
            </w:r>
          </w:p>
        </w:tc>
      </w:tr>
      <w:tr w:rsidR="00282739" w:rsidRPr="00383BF9"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Physics and systems engineering</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07"/>
              </w:tabs>
            </w:pPr>
            <w:r w:rsidRPr="00876979">
              <w:t>4</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5.19</w:t>
            </w:r>
          </w:p>
        </w:tc>
      </w:tr>
      <w:tr w:rsidR="00282739" w:rsidRPr="00383BF9"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Physics and IT applications</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07"/>
              </w:tabs>
            </w:pPr>
            <w:r w:rsidRPr="00876979">
              <w:t>0</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0</w:t>
            </w:r>
          </w:p>
        </w:tc>
      </w:tr>
      <w:tr w:rsidR="00282739" w:rsidRPr="00383BF9" w:rsidTr="003C6043">
        <w:tc>
          <w:tcPr>
            <w:tcW w:w="2742" w:type="pct"/>
            <w:tcBorders>
              <w:top w:val="nil"/>
              <w:left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 xml:space="preserve">Systems engineering and IT applications </w:t>
            </w:r>
          </w:p>
        </w:tc>
        <w:tc>
          <w:tcPr>
            <w:tcW w:w="1129" w:type="pct"/>
            <w:tcBorders>
              <w:top w:val="nil"/>
              <w:left w:val="nil"/>
              <w:right w:val="nil"/>
            </w:tcBorders>
            <w:shd w:val="clear" w:color="000000" w:fill="FFFFFF"/>
            <w:tcMar>
              <w:left w:w="113" w:type="dxa"/>
              <w:right w:w="113" w:type="dxa"/>
            </w:tcMar>
          </w:tcPr>
          <w:p w:rsidR="00282739" w:rsidRPr="00876979" w:rsidRDefault="00282739" w:rsidP="003C6043">
            <w:pPr>
              <w:pStyle w:val="Tabletext"/>
              <w:tabs>
                <w:tab w:val="decimal" w:pos="907"/>
              </w:tabs>
            </w:pPr>
            <w:r w:rsidRPr="00876979">
              <w:t>0</w:t>
            </w:r>
          </w:p>
        </w:tc>
        <w:tc>
          <w:tcPr>
            <w:tcW w:w="1129" w:type="pct"/>
            <w:tcBorders>
              <w:top w:val="nil"/>
              <w:left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0</w:t>
            </w:r>
          </w:p>
        </w:tc>
      </w:tr>
      <w:tr w:rsidR="00282739" w:rsidRPr="00383BF9" w:rsidTr="003C6043">
        <w:tc>
          <w:tcPr>
            <w:tcW w:w="2742" w:type="pct"/>
            <w:tcBorders>
              <w:top w:val="nil"/>
              <w:left w:val="nil"/>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120"/>
              <w:rPr>
                <w:i/>
              </w:rPr>
            </w:pPr>
            <w:r w:rsidRPr="00431DB4">
              <w:rPr>
                <w:i/>
              </w:rPr>
              <w:t>Take more than two of the above</w:t>
            </w:r>
          </w:p>
        </w:tc>
        <w:tc>
          <w:tcPr>
            <w:tcW w:w="1129" w:type="pct"/>
            <w:tcBorders>
              <w:top w:val="nil"/>
              <w:left w:val="nil"/>
              <w:right w:val="nil"/>
            </w:tcBorders>
            <w:shd w:val="clear" w:color="000000" w:fill="FFFFFF"/>
            <w:tcMar>
              <w:left w:w="113" w:type="dxa"/>
              <w:right w:w="113" w:type="dxa"/>
            </w:tcMar>
          </w:tcPr>
          <w:p w:rsidR="00282739" w:rsidRPr="00876979" w:rsidRDefault="00282739" w:rsidP="003C6043">
            <w:pPr>
              <w:pStyle w:val="Tabletext"/>
              <w:tabs>
                <w:tab w:val="decimal" w:pos="907"/>
              </w:tabs>
              <w:spacing w:before="120"/>
            </w:pPr>
            <w:r w:rsidRPr="00876979">
              <w:t>1</w:t>
            </w:r>
          </w:p>
        </w:tc>
        <w:tc>
          <w:tcPr>
            <w:tcW w:w="1129" w:type="pct"/>
            <w:tcBorders>
              <w:top w:val="nil"/>
              <w:left w:val="nil"/>
              <w:right w:val="nil"/>
            </w:tcBorders>
            <w:shd w:val="clear" w:color="000000" w:fill="FFFFFF"/>
            <w:tcMar>
              <w:left w:w="113" w:type="dxa"/>
              <w:right w:w="113" w:type="dxa"/>
            </w:tcMar>
          </w:tcPr>
          <w:p w:rsidR="00282739" w:rsidRPr="00876979" w:rsidRDefault="00282739" w:rsidP="003C6043">
            <w:pPr>
              <w:pStyle w:val="Tabletext"/>
              <w:tabs>
                <w:tab w:val="decimal" w:pos="822"/>
              </w:tabs>
              <w:spacing w:before="120"/>
            </w:pPr>
            <w:r w:rsidRPr="00876979">
              <w:t>1.3</w:t>
            </w:r>
          </w:p>
        </w:tc>
      </w:tr>
      <w:tr w:rsidR="00282739" w:rsidRPr="00383BF9" w:rsidTr="003C6043">
        <w:tc>
          <w:tcPr>
            <w:tcW w:w="2742" w:type="pct"/>
            <w:tcBorders>
              <w:left w:val="nil"/>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120"/>
              <w:rPr>
                <w:i/>
              </w:rPr>
            </w:pPr>
            <w:r w:rsidRPr="00431DB4">
              <w:rPr>
                <w:i/>
              </w:rPr>
              <w:t>Take none of the above</w:t>
            </w:r>
          </w:p>
        </w:tc>
        <w:tc>
          <w:tcPr>
            <w:tcW w:w="1129" w:type="pct"/>
            <w:tcBorders>
              <w:left w:val="nil"/>
              <w:right w:val="nil"/>
            </w:tcBorders>
            <w:shd w:val="clear" w:color="000000" w:fill="FFFFFF"/>
            <w:tcMar>
              <w:left w:w="113" w:type="dxa"/>
              <w:right w:w="113" w:type="dxa"/>
            </w:tcMar>
          </w:tcPr>
          <w:p w:rsidR="00282739" w:rsidRPr="00876979" w:rsidRDefault="00282739" w:rsidP="003C6043">
            <w:pPr>
              <w:pStyle w:val="Tabletext"/>
              <w:tabs>
                <w:tab w:val="decimal" w:pos="907"/>
              </w:tabs>
              <w:spacing w:before="120"/>
            </w:pPr>
            <w:r w:rsidRPr="00876979">
              <w:t>32</w:t>
            </w:r>
          </w:p>
        </w:tc>
        <w:tc>
          <w:tcPr>
            <w:tcW w:w="1129" w:type="pct"/>
            <w:tcBorders>
              <w:left w:val="nil"/>
              <w:right w:val="nil"/>
            </w:tcBorders>
            <w:shd w:val="clear" w:color="000000" w:fill="FFFFFF"/>
            <w:tcMar>
              <w:left w:w="113" w:type="dxa"/>
              <w:right w:w="113" w:type="dxa"/>
            </w:tcMar>
          </w:tcPr>
          <w:p w:rsidR="00282739" w:rsidRPr="00876979" w:rsidRDefault="00282739" w:rsidP="003C6043">
            <w:pPr>
              <w:pStyle w:val="Tabletext"/>
              <w:tabs>
                <w:tab w:val="decimal" w:pos="822"/>
              </w:tabs>
              <w:spacing w:before="120"/>
            </w:pPr>
            <w:r w:rsidRPr="00876979">
              <w:t>41.56</w:t>
            </w:r>
          </w:p>
        </w:tc>
      </w:tr>
      <w:tr w:rsidR="00282739" w:rsidRPr="00431DB4" w:rsidTr="003C6043">
        <w:tc>
          <w:tcPr>
            <w:tcW w:w="2742" w:type="pct"/>
            <w:tcBorders>
              <w:left w:val="nil"/>
              <w:bottom w:val="single" w:sz="4" w:space="0" w:color="auto"/>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120"/>
              <w:rPr>
                <w:b/>
              </w:rPr>
            </w:pPr>
            <w:r w:rsidRPr="00431DB4">
              <w:rPr>
                <w:b/>
              </w:rPr>
              <w:t>Total</w:t>
            </w:r>
          </w:p>
        </w:tc>
        <w:tc>
          <w:tcPr>
            <w:tcW w:w="1129" w:type="pct"/>
            <w:tcBorders>
              <w:left w:val="nil"/>
              <w:bottom w:val="single" w:sz="4" w:space="0" w:color="auto"/>
              <w:right w:val="nil"/>
            </w:tcBorders>
            <w:shd w:val="clear" w:color="000000" w:fill="FFFFFF"/>
            <w:tcMar>
              <w:left w:w="113" w:type="dxa"/>
              <w:right w:w="113" w:type="dxa"/>
            </w:tcMar>
          </w:tcPr>
          <w:p w:rsidR="00282739" w:rsidRPr="00431DB4" w:rsidRDefault="00282739" w:rsidP="003C6043">
            <w:pPr>
              <w:pStyle w:val="Tabletext"/>
              <w:tabs>
                <w:tab w:val="decimal" w:pos="907"/>
              </w:tabs>
              <w:spacing w:before="120"/>
              <w:rPr>
                <w:b/>
              </w:rPr>
            </w:pPr>
            <w:r w:rsidRPr="00431DB4">
              <w:rPr>
                <w:b/>
              </w:rPr>
              <w:t>77</w:t>
            </w:r>
          </w:p>
        </w:tc>
        <w:tc>
          <w:tcPr>
            <w:tcW w:w="1129" w:type="pct"/>
            <w:tcBorders>
              <w:left w:val="nil"/>
              <w:bottom w:val="single" w:sz="4" w:space="0" w:color="auto"/>
              <w:right w:val="nil"/>
            </w:tcBorders>
            <w:shd w:val="clear" w:color="000000" w:fill="FFFFFF"/>
            <w:tcMar>
              <w:left w:w="113" w:type="dxa"/>
              <w:right w:w="113" w:type="dxa"/>
            </w:tcMar>
          </w:tcPr>
          <w:p w:rsidR="00282739" w:rsidRPr="00431DB4" w:rsidRDefault="00282739" w:rsidP="003C6043">
            <w:pPr>
              <w:pStyle w:val="Tabletext"/>
              <w:tabs>
                <w:tab w:val="decimal" w:pos="822"/>
              </w:tabs>
              <w:spacing w:before="120"/>
              <w:rPr>
                <w:b/>
              </w:rPr>
            </w:pPr>
            <w:r w:rsidRPr="006F0B54">
              <w:rPr>
                <w:b/>
              </w:rPr>
              <w:t>100.00</w:t>
            </w:r>
          </w:p>
        </w:tc>
      </w:tr>
    </w:tbl>
    <w:p w:rsidR="00282739" w:rsidRDefault="00282739" w:rsidP="00282739">
      <w:pPr>
        <w:pStyle w:val="Source"/>
      </w:pPr>
      <w:r>
        <w:t>Note:</w:t>
      </w:r>
      <w:r>
        <w:tab/>
        <w:t xml:space="preserve">The sample is restricted to those who only take one VET subject and who attain a university enter score. </w:t>
      </w:r>
    </w:p>
    <w:p w:rsidR="00282739" w:rsidRDefault="00282739" w:rsidP="00282739">
      <w:pPr>
        <w:pStyle w:val="tabletitle"/>
      </w:pPr>
      <w:bookmarkStart w:id="69" w:name="_Toc402794987"/>
      <w:r>
        <w:t>Table B4</w:t>
      </w:r>
      <w:r>
        <w:tab/>
        <w:t xml:space="preserve">General subjects taken by students who enrol in information </w:t>
      </w:r>
      <w:r w:rsidRPr="00BE1224">
        <w:t>technology</w:t>
      </w:r>
      <w:r>
        <w:t xml:space="preserve"> studies</w:t>
      </w:r>
      <w:bookmarkEnd w:id="69"/>
    </w:p>
    <w:tbl>
      <w:tblPr>
        <w:tblW w:w="8789" w:type="dxa"/>
        <w:tblInd w:w="113" w:type="dxa"/>
        <w:tblLayout w:type="fixed"/>
        <w:tblCellMar>
          <w:left w:w="113" w:type="dxa"/>
          <w:right w:w="113" w:type="dxa"/>
        </w:tblCellMar>
        <w:tblLook w:val="04A0" w:firstRow="1" w:lastRow="0" w:firstColumn="1" w:lastColumn="0" w:noHBand="0" w:noVBand="1"/>
      </w:tblPr>
      <w:tblGrid>
        <w:gridCol w:w="4819"/>
        <w:gridCol w:w="1985"/>
        <w:gridCol w:w="1985"/>
      </w:tblGrid>
      <w:tr w:rsidR="00282739" w:rsidRPr="00830481" w:rsidTr="003C6043">
        <w:tc>
          <w:tcPr>
            <w:tcW w:w="2742" w:type="pct"/>
            <w:tcBorders>
              <w:top w:val="single" w:sz="4" w:space="0" w:color="auto"/>
              <w:left w:val="nil"/>
              <w:bottom w:val="single" w:sz="4" w:space="0" w:color="auto"/>
              <w:right w:val="nil"/>
            </w:tcBorders>
            <w:shd w:val="clear" w:color="000000" w:fill="FFFFFF"/>
            <w:noWrap/>
            <w:tcMar>
              <w:top w:w="17" w:type="dxa"/>
              <w:left w:w="113" w:type="dxa"/>
              <w:bottom w:w="0" w:type="dxa"/>
              <w:right w:w="113" w:type="dxa"/>
            </w:tcMar>
            <w:hideMark/>
          </w:tcPr>
          <w:p w:rsidR="00282739" w:rsidRDefault="00282739" w:rsidP="003C6043">
            <w:pPr>
              <w:pStyle w:val="Tablehead1"/>
            </w:pPr>
          </w:p>
        </w:tc>
        <w:tc>
          <w:tcPr>
            <w:tcW w:w="1129" w:type="pct"/>
            <w:tcBorders>
              <w:top w:val="single" w:sz="4" w:space="0" w:color="auto"/>
              <w:left w:val="nil"/>
              <w:bottom w:val="single" w:sz="4" w:space="0" w:color="auto"/>
              <w:right w:val="nil"/>
            </w:tcBorders>
            <w:shd w:val="clear" w:color="000000" w:fill="FFFFFF"/>
            <w:tcMar>
              <w:left w:w="113" w:type="dxa"/>
              <w:right w:w="113" w:type="dxa"/>
            </w:tcMar>
          </w:tcPr>
          <w:p w:rsidR="00282739" w:rsidRDefault="00282739" w:rsidP="003C6043">
            <w:pPr>
              <w:pStyle w:val="Tablehead1"/>
              <w:jc w:val="center"/>
            </w:pPr>
            <w:r>
              <w:t>No.</w:t>
            </w:r>
          </w:p>
        </w:tc>
        <w:tc>
          <w:tcPr>
            <w:tcW w:w="1129" w:type="pct"/>
            <w:tcBorders>
              <w:top w:val="single" w:sz="4" w:space="0" w:color="auto"/>
              <w:left w:val="nil"/>
              <w:bottom w:val="single" w:sz="4" w:space="0" w:color="auto"/>
              <w:right w:val="nil"/>
            </w:tcBorders>
            <w:shd w:val="clear" w:color="000000" w:fill="FFFFFF"/>
            <w:tcMar>
              <w:left w:w="113" w:type="dxa"/>
              <w:right w:w="113" w:type="dxa"/>
            </w:tcMar>
          </w:tcPr>
          <w:p w:rsidR="00282739" w:rsidRDefault="00282739" w:rsidP="003C6043">
            <w:pPr>
              <w:pStyle w:val="Tablehead1"/>
              <w:jc w:val="center"/>
            </w:pPr>
            <w:r>
              <w:t>%</w:t>
            </w:r>
          </w:p>
        </w:tc>
      </w:tr>
      <w:tr w:rsidR="00282739" w:rsidRPr="00830481" w:rsidTr="003C6043">
        <w:tc>
          <w:tcPr>
            <w:tcW w:w="2742" w:type="pct"/>
            <w:tcBorders>
              <w:left w:val="nil"/>
              <w:bottom w:val="nil"/>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80"/>
              <w:rPr>
                <w:i/>
              </w:rPr>
            </w:pPr>
            <w:r w:rsidRPr="00431DB4">
              <w:rPr>
                <w:i/>
              </w:rPr>
              <w:t>Take one of</w:t>
            </w:r>
          </w:p>
        </w:tc>
        <w:tc>
          <w:tcPr>
            <w:tcW w:w="1129" w:type="pct"/>
            <w:tcBorders>
              <w:left w:val="nil"/>
              <w:bottom w:val="nil"/>
              <w:right w:val="nil"/>
            </w:tcBorders>
            <w:shd w:val="clear" w:color="000000" w:fill="FFFFFF"/>
            <w:tcMar>
              <w:left w:w="113" w:type="dxa"/>
              <w:right w:w="113" w:type="dxa"/>
            </w:tcMar>
          </w:tcPr>
          <w:p w:rsidR="00282739" w:rsidRDefault="00282739" w:rsidP="003C6043">
            <w:pPr>
              <w:pStyle w:val="Tabletext"/>
              <w:tabs>
                <w:tab w:val="decimal" w:pos="936"/>
              </w:tabs>
              <w:spacing w:before="80"/>
              <w:rPr>
                <w:rFonts w:ascii="Calibri" w:hAnsi="Calibri" w:cs="Calibri"/>
                <w:color w:val="000000"/>
              </w:rPr>
            </w:pPr>
          </w:p>
        </w:tc>
        <w:tc>
          <w:tcPr>
            <w:tcW w:w="1129" w:type="pct"/>
            <w:tcBorders>
              <w:left w:val="nil"/>
              <w:bottom w:val="nil"/>
              <w:right w:val="nil"/>
            </w:tcBorders>
            <w:shd w:val="clear" w:color="000000" w:fill="FFFFFF"/>
            <w:tcMar>
              <w:left w:w="113" w:type="dxa"/>
              <w:right w:w="113" w:type="dxa"/>
            </w:tcMar>
          </w:tcPr>
          <w:p w:rsidR="00282739" w:rsidRDefault="00282739" w:rsidP="003C6043">
            <w:pPr>
              <w:pStyle w:val="Tabletext"/>
              <w:tabs>
                <w:tab w:val="decimal" w:pos="822"/>
              </w:tabs>
              <w:spacing w:before="80"/>
              <w:rPr>
                <w:rFonts w:ascii="Calibri" w:hAnsi="Calibri" w:cs="Calibri"/>
                <w:color w:val="000000"/>
              </w:rPr>
            </w:pP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IT applications</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36"/>
              </w:tabs>
            </w:pPr>
            <w:r w:rsidRPr="00876979">
              <w:t>45</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22.84</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Visual communication and design</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36"/>
              </w:tabs>
            </w:pPr>
            <w:r w:rsidRPr="00876979">
              <w:t>14</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7.11</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Interactive digital media</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36"/>
              </w:tabs>
            </w:pPr>
            <w:r w:rsidRPr="00876979">
              <w:t>0</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0</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Software development</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36"/>
              </w:tabs>
            </w:pPr>
            <w:r w:rsidRPr="00876979">
              <w:t>16</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8.12</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120"/>
              <w:rPr>
                <w:i/>
              </w:rPr>
            </w:pPr>
            <w:r w:rsidRPr="00431DB4">
              <w:rPr>
                <w:i/>
              </w:rPr>
              <w:t>Take two of</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36"/>
              </w:tabs>
              <w:spacing w:before="120"/>
            </w:pP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spacing w:before="120"/>
            </w:pP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IT applications and visual communication and design</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36"/>
              </w:tabs>
            </w:pPr>
            <w:r w:rsidRPr="00876979">
              <w:t>0</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0</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IT applications and interactive digital media</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36"/>
              </w:tabs>
            </w:pPr>
            <w:r w:rsidRPr="00876979">
              <w:t>0</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0</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IT applications and software development</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36"/>
              </w:tabs>
            </w:pPr>
            <w:r w:rsidRPr="00876979">
              <w:t>2</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1.02</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Visual communication and design and interactive digital media</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36"/>
              </w:tabs>
            </w:pPr>
            <w:r w:rsidRPr="00876979">
              <w:t>0</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0</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Visual communication and design and software development</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36"/>
              </w:tabs>
            </w:pPr>
            <w:r w:rsidRPr="00876979">
              <w:t>3</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1.52</w:t>
            </w:r>
          </w:p>
        </w:tc>
      </w:tr>
      <w:tr w:rsidR="00282739" w:rsidRPr="00061D96" w:rsidTr="003C6043">
        <w:tc>
          <w:tcPr>
            <w:tcW w:w="2742" w:type="pct"/>
            <w:tcBorders>
              <w:top w:val="nil"/>
              <w:left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 xml:space="preserve">Interactive digital media and software development </w:t>
            </w:r>
          </w:p>
        </w:tc>
        <w:tc>
          <w:tcPr>
            <w:tcW w:w="1129" w:type="pct"/>
            <w:tcBorders>
              <w:top w:val="nil"/>
              <w:left w:val="nil"/>
              <w:right w:val="nil"/>
            </w:tcBorders>
            <w:shd w:val="clear" w:color="000000" w:fill="FFFFFF"/>
            <w:tcMar>
              <w:left w:w="113" w:type="dxa"/>
              <w:right w:w="113" w:type="dxa"/>
            </w:tcMar>
          </w:tcPr>
          <w:p w:rsidR="00282739" w:rsidRPr="00876979" w:rsidRDefault="00282739" w:rsidP="003C6043">
            <w:pPr>
              <w:pStyle w:val="Tabletext"/>
              <w:tabs>
                <w:tab w:val="decimal" w:pos="936"/>
              </w:tabs>
            </w:pPr>
            <w:r w:rsidRPr="00876979">
              <w:t>0</w:t>
            </w:r>
          </w:p>
        </w:tc>
        <w:tc>
          <w:tcPr>
            <w:tcW w:w="1129" w:type="pct"/>
            <w:tcBorders>
              <w:top w:val="nil"/>
              <w:left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0</w:t>
            </w:r>
          </w:p>
        </w:tc>
      </w:tr>
      <w:tr w:rsidR="00282739" w:rsidRPr="00061D96" w:rsidTr="003C6043">
        <w:tc>
          <w:tcPr>
            <w:tcW w:w="2742" w:type="pct"/>
            <w:tcBorders>
              <w:top w:val="nil"/>
              <w:left w:val="nil"/>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120"/>
              <w:rPr>
                <w:i/>
              </w:rPr>
            </w:pPr>
            <w:r w:rsidRPr="00431DB4">
              <w:rPr>
                <w:i/>
              </w:rPr>
              <w:t>Take more than two of the above</w:t>
            </w:r>
          </w:p>
        </w:tc>
        <w:tc>
          <w:tcPr>
            <w:tcW w:w="1129" w:type="pct"/>
            <w:tcBorders>
              <w:top w:val="nil"/>
              <w:left w:val="nil"/>
              <w:right w:val="nil"/>
            </w:tcBorders>
            <w:shd w:val="clear" w:color="000000" w:fill="FFFFFF"/>
            <w:tcMar>
              <w:left w:w="113" w:type="dxa"/>
              <w:right w:w="113" w:type="dxa"/>
            </w:tcMar>
          </w:tcPr>
          <w:p w:rsidR="00282739" w:rsidRPr="00876979" w:rsidRDefault="00282739" w:rsidP="003C6043">
            <w:pPr>
              <w:pStyle w:val="Tabletext"/>
              <w:tabs>
                <w:tab w:val="decimal" w:pos="936"/>
              </w:tabs>
              <w:spacing w:before="120"/>
            </w:pPr>
            <w:r w:rsidRPr="00876979">
              <w:t>0</w:t>
            </w:r>
          </w:p>
        </w:tc>
        <w:tc>
          <w:tcPr>
            <w:tcW w:w="1129" w:type="pct"/>
            <w:tcBorders>
              <w:top w:val="nil"/>
              <w:left w:val="nil"/>
              <w:right w:val="nil"/>
            </w:tcBorders>
            <w:shd w:val="clear" w:color="000000" w:fill="FFFFFF"/>
            <w:tcMar>
              <w:left w:w="113" w:type="dxa"/>
              <w:right w:w="113" w:type="dxa"/>
            </w:tcMar>
          </w:tcPr>
          <w:p w:rsidR="00282739" w:rsidRPr="00876979" w:rsidRDefault="00282739" w:rsidP="003C6043">
            <w:pPr>
              <w:pStyle w:val="Tabletext"/>
              <w:tabs>
                <w:tab w:val="decimal" w:pos="822"/>
              </w:tabs>
              <w:spacing w:before="120"/>
            </w:pPr>
            <w:r w:rsidRPr="00876979">
              <w:t>0</w:t>
            </w:r>
          </w:p>
        </w:tc>
      </w:tr>
      <w:tr w:rsidR="00282739" w:rsidRPr="00061D96" w:rsidTr="003C6043">
        <w:tc>
          <w:tcPr>
            <w:tcW w:w="2742" w:type="pct"/>
            <w:tcBorders>
              <w:left w:val="nil"/>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120"/>
              <w:rPr>
                <w:i/>
              </w:rPr>
            </w:pPr>
            <w:r w:rsidRPr="00431DB4">
              <w:rPr>
                <w:i/>
              </w:rPr>
              <w:t>Take none of the above</w:t>
            </w:r>
          </w:p>
        </w:tc>
        <w:tc>
          <w:tcPr>
            <w:tcW w:w="1129" w:type="pct"/>
            <w:tcBorders>
              <w:left w:val="nil"/>
              <w:right w:val="nil"/>
            </w:tcBorders>
            <w:shd w:val="clear" w:color="000000" w:fill="FFFFFF"/>
            <w:tcMar>
              <w:left w:w="113" w:type="dxa"/>
              <w:right w:w="113" w:type="dxa"/>
            </w:tcMar>
          </w:tcPr>
          <w:p w:rsidR="00282739" w:rsidRPr="00876979" w:rsidRDefault="00282739" w:rsidP="003C6043">
            <w:pPr>
              <w:pStyle w:val="Tabletext"/>
              <w:tabs>
                <w:tab w:val="decimal" w:pos="936"/>
              </w:tabs>
              <w:spacing w:before="120"/>
            </w:pPr>
            <w:r w:rsidRPr="00876979">
              <w:t>117</w:t>
            </w:r>
          </w:p>
        </w:tc>
        <w:tc>
          <w:tcPr>
            <w:tcW w:w="1129" w:type="pct"/>
            <w:tcBorders>
              <w:left w:val="nil"/>
              <w:right w:val="nil"/>
            </w:tcBorders>
            <w:shd w:val="clear" w:color="000000" w:fill="FFFFFF"/>
            <w:tcMar>
              <w:left w:w="113" w:type="dxa"/>
              <w:right w:w="113" w:type="dxa"/>
            </w:tcMar>
          </w:tcPr>
          <w:p w:rsidR="00282739" w:rsidRPr="00876979" w:rsidRDefault="00282739" w:rsidP="003C6043">
            <w:pPr>
              <w:pStyle w:val="Tabletext"/>
              <w:tabs>
                <w:tab w:val="decimal" w:pos="822"/>
              </w:tabs>
              <w:spacing w:before="120"/>
            </w:pPr>
            <w:r w:rsidRPr="00876979">
              <w:t>59.39</w:t>
            </w:r>
          </w:p>
        </w:tc>
      </w:tr>
      <w:tr w:rsidR="00282739" w:rsidRPr="00431DB4" w:rsidTr="003C6043">
        <w:tc>
          <w:tcPr>
            <w:tcW w:w="2742" w:type="pct"/>
            <w:tcBorders>
              <w:left w:val="nil"/>
              <w:bottom w:val="single" w:sz="4" w:space="0" w:color="auto"/>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120"/>
              <w:rPr>
                <w:b/>
              </w:rPr>
            </w:pPr>
            <w:r w:rsidRPr="00431DB4">
              <w:rPr>
                <w:b/>
              </w:rPr>
              <w:t>Total</w:t>
            </w:r>
          </w:p>
        </w:tc>
        <w:tc>
          <w:tcPr>
            <w:tcW w:w="1129" w:type="pct"/>
            <w:tcBorders>
              <w:left w:val="nil"/>
              <w:bottom w:val="single" w:sz="4" w:space="0" w:color="auto"/>
              <w:right w:val="nil"/>
            </w:tcBorders>
            <w:shd w:val="clear" w:color="000000" w:fill="FFFFFF"/>
            <w:tcMar>
              <w:left w:w="113" w:type="dxa"/>
              <w:right w:w="113" w:type="dxa"/>
            </w:tcMar>
          </w:tcPr>
          <w:p w:rsidR="00282739" w:rsidRPr="00431DB4" w:rsidRDefault="00282739" w:rsidP="003C6043">
            <w:pPr>
              <w:pStyle w:val="Tabletext"/>
              <w:tabs>
                <w:tab w:val="decimal" w:pos="936"/>
              </w:tabs>
              <w:spacing w:before="120"/>
              <w:rPr>
                <w:b/>
              </w:rPr>
            </w:pPr>
            <w:r w:rsidRPr="00431DB4">
              <w:rPr>
                <w:b/>
              </w:rPr>
              <w:t>197</w:t>
            </w:r>
          </w:p>
        </w:tc>
        <w:tc>
          <w:tcPr>
            <w:tcW w:w="1129" w:type="pct"/>
            <w:tcBorders>
              <w:left w:val="nil"/>
              <w:bottom w:val="single" w:sz="4" w:space="0" w:color="auto"/>
              <w:right w:val="nil"/>
            </w:tcBorders>
            <w:shd w:val="clear" w:color="000000" w:fill="FFFFFF"/>
            <w:tcMar>
              <w:left w:w="113" w:type="dxa"/>
              <w:right w:w="113" w:type="dxa"/>
            </w:tcMar>
          </w:tcPr>
          <w:p w:rsidR="00282739" w:rsidRPr="00431DB4" w:rsidRDefault="00282739" w:rsidP="003C6043">
            <w:pPr>
              <w:pStyle w:val="Tabletext"/>
              <w:tabs>
                <w:tab w:val="decimal" w:pos="822"/>
              </w:tabs>
              <w:spacing w:before="120"/>
              <w:rPr>
                <w:b/>
              </w:rPr>
            </w:pPr>
            <w:r w:rsidRPr="006F0B54">
              <w:rPr>
                <w:b/>
              </w:rPr>
              <w:t>100.00</w:t>
            </w:r>
          </w:p>
        </w:tc>
      </w:tr>
    </w:tbl>
    <w:p w:rsidR="00282739" w:rsidRDefault="00282739" w:rsidP="00282739">
      <w:pPr>
        <w:pStyle w:val="Source"/>
      </w:pPr>
      <w:r>
        <w:t>Note:</w:t>
      </w:r>
      <w:r>
        <w:tab/>
        <w:t xml:space="preserve">The sample is restricted to those who only take one VET subject and who attain a university enter score. </w:t>
      </w:r>
    </w:p>
    <w:p w:rsidR="00282739" w:rsidRDefault="00282739" w:rsidP="00282739">
      <w:pPr>
        <w:spacing w:before="0" w:line="240" w:lineRule="auto"/>
        <w:rPr>
          <w:rFonts w:ascii="Tahoma" w:hAnsi="Tahoma"/>
          <w:b/>
          <w:sz w:val="17"/>
        </w:rPr>
      </w:pPr>
      <w:r>
        <w:br w:type="page"/>
      </w:r>
    </w:p>
    <w:p w:rsidR="00282739" w:rsidRDefault="00282739" w:rsidP="00282739">
      <w:pPr>
        <w:pStyle w:val="tabletitle"/>
        <w:rPr>
          <w:vertAlign w:val="superscript"/>
        </w:rPr>
      </w:pPr>
      <w:bookmarkStart w:id="70" w:name="_Toc402794988"/>
      <w:r>
        <w:lastRenderedPageBreak/>
        <w:t>Table B5</w:t>
      </w:r>
      <w:r>
        <w:tab/>
        <w:t xml:space="preserve">General subjects taken by students who </w:t>
      </w:r>
      <w:r w:rsidRPr="00BE1224">
        <w:t>enrol</w:t>
      </w:r>
      <w:r>
        <w:t xml:space="preserve"> in music studies</w:t>
      </w:r>
      <w:r w:rsidRPr="00CE4315">
        <w:rPr>
          <w:vertAlign w:val="superscript"/>
        </w:rPr>
        <w:t>a</w:t>
      </w:r>
      <w:bookmarkEnd w:id="70"/>
    </w:p>
    <w:tbl>
      <w:tblPr>
        <w:tblW w:w="8789" w:type="dxa"/>
        <w:tblInd w:w="113" w:type="dxa"/>
        <w:tblLayout w:type="fixed"/>
        <w:tblCellMar>
          <w:left w:w="113" w:type="dxa"/>
          <w:right w:w="113" w:type="dxa"/>
        </w:tblCellMar>
        <w:tblLook w:val="04A0" w:firstRow="1" w:lastRow="0" w:firstColumn="1" w:lastColumn="0" w:noHBand="0" w:noVBand="1"/>
      </w:tblPr>
      <w:tblGrid>
        <w:gridCol w:w="4819"/>
        <w:gridCol w:w="1985"/>
        <w:gridCol w:w="1985"/>
      </w:tblGrid>
      <w:tr w:rsidR="00282739" w:rsidRPr="00830481" w:rsidTr="003C6043">
        <w:tc>
          <w:tcPr>
            <w:tcW w:w="2742" w:type="pct"/>
            <w:tcBorders>
              <w:top w:val="single" w:sz="4" w:space="0" w:color="auto"/>
              <w:left w:val="nil"/>
              <w:bottom w:val="single" w:sz="4" w:space="0" w:color="auto"/>
              <w:right w:val="nil"/>
            </w:tcBorders>
            <w:shd w:val="clear" w:color="000000" w:fill="FFFFFF"/>
            <w:noWrap/>
            <w:tcMar>
              <w:top w:w="17" w:type="dxa"/>
              <w:left w:w="113" w:type="dxa"/>
              <w:bottom w:w="0" w:type="dxa"/>
              <w:right w:w="113" w:type="dxa"/>
            </w:tcMar>
            <w:hideMark/>
          </w:tcPr>
          <w:p w:rsidR="00282739" w:rsidRDefault="00282739" w:rsidP="003C6043">
            <w:pPr>
              <w:pStyle w:val="Tablehead1"/>
            </w:pPr>
          </w:p>
        </w:tc>
        <w:tc>
          <w:tcPr>
            <w:tcW w:w="1129" w:type="pct"/>
            <w:tcBorders>
              <w:top w:val="single" w:sz="4" w:space="0" w:color="auto"/>
              <w:left w:val="nil"/>
              <w:bottom w:val="single" w:sz="4" w:space="0" w:color="auto"/>
              <w:right w:val="nil"/>
            </w:tcBorders>
            <w:shd w:val="clear" w:color="000000" w:fill="FFFFFF"/>
            <w:tcMar>
              <w:left w:w="113" w:type="dxa"/>
              <w:right w:w="113" w:type="dxa"/>
            </w:tcMar>
          </w:tcPr>
          <w:p w:rsidR="00282739" w:rsidRDefault="00282739" w:rsidP="003C6043">
            <w:pPr>
              <w:pStyle w:val="Tablehead1"/>
              <w:jc w:val="center"/>
            </w:pPr>
            <w:r>
              <w:t>No.</w:t>
            </w:r>
          </w:p>
        </w:tc>
        <w:tc>
          <w:tcPr>
            <w:tcW w:w="1129" w:type="pct"/>
            <w:tcBorders>
              <w:top w:val="single" w:sz="4" w:space="0" w:color="auto"/>
              <w:left w:val="nil"/>
              <w:bottom w:val="single" w:sz="4" w:space="0" w:color="auto"/>
              <w:right w:val="nil"/>
            </w:tcBorders>
            <w:shd w:val="clear" w:color="000000" w:fill="FFFFFF"/>
            <w:tcMar>
              <w:left w:w="113" w:type="dxa"/>
              <w:right w:w="113" w:type="dxa"/>
            </w:tcMar>
          </w:tcPr>
          <w:p w:rsidR="00282739" w:rsidRDefault="00282739" w:rsidP="003C6043">
            <w:pPr>
              <w:pStyle w:val="Tablehead1"/>
              <w:jc w:val="center"/>
            </w:pPr>
            <w:r>
              <w:t>%</w:t>
            </w:r>
          </w:p>
        </w:tc>
      </w:tr>
      <w:tr w:rsidR="00282739" w:rsidRPr="00830481" w:rsidTr="003C6043">
        <w:tc>
          <w:tcPr>
            <w:tcW w:w="2742" w:type="pct"/>
            <w:tcBorders>
              <w:left w:val="nil"/>
              <w:bottom w:val="nil"/>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80"/>
              <w:rPr>
                <w:i/>
              </w:rPr>
            </w:pPr>
            <w:r w:rsidRPr="00431DB4">
              <w:rPr>
                <w:i/>
              </w:rPr>
              <w:t>Take one of</w:t>
            </w:r>
          </w:p>
        </w:tc>
        <w:tc>
          <w:tcPr>
            <w:tcW w:w="1129" w:type="pct"/>
            <w:tcBorders>
              <w:left w:val="nil"/>
              <w:bottom w:val="nil"/>
              <w:right w:val="nil"/>
            </w:tcBorders>
            <w:shd w:val="clear" w:color="000000" w:fill="FFFFFF"/>
            <w:tcMar>
              <w:left w:w="113" w:type="dxa"/>
              <w:right w:w="113" w:type="dxa"/>
            </w:tcMar>
          </w:tcPr>
          <w:p w:rsidR="00282739" w:rsidRDefault="00282739" w:rsidP="003C6043">
            <w:pPr>
              <w:pStyle w:val="Tabletext"/>
              <w:tabs>
                <w:tab w:val="decimal" w:pos="964"/>
              </w:tabs>
              <w:spacing w:before="80"/>
              <w:rPr>
                <w:rFonts w:ascii="Calibri" w:hAnsi="Calibri" w:cs="Calibri"/>
                <w:color w:val="000000"/>
              </w:rPr>
            </w:pPr>
          </w:p>
        </w:tc>
        <w:tc>
          <w:tcPr>
            <w:tcW w:w="1129" w:type="pct"/>
            <w:tcBorders>
              <w:left w:val="nil"/>
              <w:bottom w:val="nil"/>
              <w:right w:val="nil"/>
            </w:tcBorders>
            <w:shd w:val="clear" w:color="000000" w:fill="FFFFFF"/>
            <w:tcMar>
              <w:left w:w="113" w:type="dxa"/>
              <w:right w:w="113" w:type="dxa"/>
            </w:tcMar>
          </w:tcPr>
          <w:p w:rsidR="00282739" w:rsidRDefault="00282739" w:rsidP="003C6043">
            <w:pPr>
              <w:pStyle w:val="Tabletext"/>
              <w:tabs>
                <w:tab w:val="decimal" w:pos="822"/>
              </w:tabs>
              <w:spacing w:before="80"/>
              <w:rPr>
                <w:rFonts w:ascii="Calibri" w:hAnsi="Calibri" w:cs="Calibri"/>
                <w:color w:val="000000"/>
              </w:rPr>
            </w:pP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Music performance (solo or group)</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64"/>
              </w:tabs>
            </w:pPr>
            <w:r w:rsidRPr="00876979">
              <w:t>126</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13.74</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Studio arts</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64"/>
              </w:tabs>
            </w:pPr>
            <w:r w:rsidRPr="00876979">
              <w:t>179</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19.52</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120"/>
              <w:rPr>
                <w:i/>
              </w:rPr>
            </w:pPr>
            <w:r w:rsidRPr="006F0B54">
              <w:rPr>
                <w:i/>
              </w:rPr>
              <w:t>Take two of</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64"/>
              </w:tabs>
              <w:spacing w:before="120"/>
            </w:pP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spacing w:before="120"/>
            </w:pP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 xml:space="preserve">Music performance and studio arts </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64"/>
              </w:tabs>
            </w:pPr>
            <w:r w:rsidRPr="00876979">
              <w:t>27</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2.94</w:t>
            </w:r>
          </w:p>
        </w:tc>
      </w:tr>
      <w:tr w:rsidR="00282739" w:rsidRPr="00061D96" w:rsidTr="003C6043">
        <w:tc>
          <w:tcPr>
            <w:tcW w:w="2742" w:type="pct"/>
            <w:tcBorders>
              <w:top w:val="nil"/>
              <w:left w:val="nil"/>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120"/>
              <w:rPr>
                <w:i/>
              </w:rPr>
            </w:pPr>
            <w:r w:rsidRPr="00431DB4">
              <w:rPr>
                <w:i/>
              </w:rPr>
              <w:t>Take none of the above</w:t>
            </w:r>
          </w:p>
        </w:tc>
        <w:tc>
          <w:tcPr>
            <w:tcW w:w="1129" w:type="pct"/>
            <w:tcBorders>
              <w:top w:val="nil"/>
              <w:left w:val="nil"/>
              <w:right w:val="nil"/>
            </w:tcBorders>
            <w:shd w:val="clear" w:color="000000" w:fill="FFFFFF"/>
            <w:tcMar>
              <w:left w:w="113" w:type="dxa"/>
              <w:right w:w="113" w:type="dxa"/>
            </w:tcMar>
          </w:tcPr>
          <w:p w:rsidR="00282739" w:rsidRPr="00876979" w:rsidRDefault="00282739" w:rsidP="003C6043">
            <w:pPr>
              <w:pStyle w:val="Tabletext"/>
              <w:tabs>
                <w:tab w:val="decimal" w:pos="964"/>
              </w:tabs>
              <w:spacing w:before="120"/>
            </w:pPr>
            <w:r w:rsidRPr="00876979">
              <w:t>585</w:t>
            </w:r>
          </w:p>
        </w:tc>
        <w:tc>
          <w:tcPr>
            <w:tcW w:w="1129" w:type="pct"/>
            <w:tcBorders>
              <w:top w:val="nil"/>
              <w:left w:val="nil"/>
              <w:right w:val="nil"/>
            </w:tcBorders>
            <w:shd w:val="clear" w:color="000000" w:fill="FFFFFF"/>
            <w:tcMar>
              <w:left w:w="113" w:type="dxa"/>
              <w:right w:w="113" w:type="dxa"/>
            </w:tcMar>
          </w:tcPr>
          <w:p w:rsidR="00282739" w:rsidRPr="00876979" w:rsidRDefault="00282739" w:rsidP="003C6043">
            <w:pPr>
              <w:pStyle w:val="Tabletext"/>
              <w:tabs>
                <w:tab w:val="decimal" w:pos="822"/>
              </w:tabs>
              <w:spacing w:before="120"/>
            </w:pPr>
            <w:r w:rsidRPr="00876979">
              <w:t>63.79</w:t>
            </w:r>
          </w:p>
        </w:tc>
      </w:tr>
      <w:tr w:rsidR="00282739" w:rsidRPr="00431DB4" w:rsidTr="003C6043">
        <w:tc>
          <w:tcPr>
            <w:tcW w:w="2742" w:type="pct"/>
            <w:tcBorders>
              <w:left w:val="nil"/>
              <w:bottom w:val="single" w:sz="4" w:space="0" w:color="auto"/>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120"/>
              <w:rPr>
                <w:b/>
              </w:rPr>
            </w:pPr>
            <w:r w:rsidRPr="00431DB4">
              <w:rPr>
                <w:b/>
              </w:rPr>
              <w:t>Total</w:t>
            </w:r>
          </w:p>
        </w:tc>
        <w:tc>
          <w:tcPr>
            <w:tcW w:w="1129" w:type="pct"/>
            <w:tcBorders>
              <w:left w:val="nil"/>
              <w:bottom w:val="single" w:sz="4" w:space="0" w:color="auto"/>
              <w:right w:val="nil"/>
            </w:tcBorders>
            <w:shd w:val="clear" w:color="000000" w:fill="FFFFFF"/>
            <w:tcMar>
              <w:left w:w="113" w:type="dxa"/>
              <w:right w:w="113" w:type="dxa"/>
            </w:tcMar>
          </w:tcPr>
          <w:p w:rsidR="00282739" w:rsidRPr="00431DB4" w:rsidRDefault="00282739" w:rsidP="003C6043">
            <w:pPr>
              <w:pStyle w:val="Tabletext"/>
              <w:tabs>
                <w:tab w:val="decimal" w:pos="964"/>
              </w:tabs>
              <w:spacing w:before="120"/>
              <w:rPr>
                <w:b/>
              </w:rPr>
            </w:pPr>
            <w:r w:rsidRPr="00431DB4">
              <w:rPr>
                <w:b/>
              </w:rPr>
              <w:t>917</w:t>
            </w:r>
          </w:p>
        </w:tc>
        <w:tc>
          <w:tcPr>
            <w:tcW w:w="1129" w:type="pct"/>
            <w:tcBorders>
              <w:left w:val="nil"/>
              <w:bottom w:val="single" w:sz="4" w:space="0" w:color="auto"/>
              <w:right w:val="nil"/>
            </w:tcBorders>
            <w:shd w:val="clear" w:color="000000" w:fill="FFFFFF"/>
            <w:tcMar>
              <w:left w:w="113" w:type="dxa"/>
              <w:right w:w="113" w:type="dxa"/>
            </w:tcMar>
          </w:tcPr>
          <w:p w:rsidR="00282739" w:rsidRPr="00431DB4" w:rsidRDefault="00282739" w:rsidP="003C6043">
            <w:pPr>
              <w:pStyle w:val="Tabletext"/>
              <w:tabs>
                <w:tab w:val="decimal" w:pos="822"/>
              </w:tabs>
              <w:spacing w:before="120"/>
              <w:rPr>
                <w:b/>
              </w:rPr>
            </w:pPr>
            <w:r w:rsidRPr="006F0B54">
              <w:rPr>
                <w:b/>
              </w:rPr>
              <w:t>100.00</w:t>
            </w:r>
          </w:p>
        </w:tc>
      </w:tr>
    </w:tbl>
    <w:p w:rsidR="00282739" w:rsidRDefault="00282739" w:rsidP="00282739">
      <w:pPr>
        <w:pStyle w:val="Source"/>
        <w:tabs>
          <w:tab w:val="left" w:pos="993"/>
        </w:tabs>
      </w:pPr>
      <w:r>
        <w:t>Note:</w:t>
      </w:r>
      <w:r>
        <w:tab/>
        <w:t xml:space="preserve">The sample is restricted to those who only take one VET subject and who attain a university enter score. </w:t>
      </w:r>
      <w:r>
        <w:br/>
      </w:r>
      <w:r w:rsidRPr="00393196">
        <w:t>a</w:t>
      </w:r>
      <w:r>
        <w:tab/>
        <w:t xml:space="preserve">Includes both music </w:t>
      </w:r>
      <w:r w:rsidRPr="00CC5C82">
        <w:t xml:space="preserve">and </w:t>
      </w:r>
      <w:r>
        <w:t>m</w:t>
      </w:r>
      <w:r w:rsidRPr="00CC5C82">
        <w:t>usic industry (technical production).</w:t>
      </w:r>
      <w:r>
        <w:t xml:space="preserve"> </w:t>
      </w:r>
    </w:p>
    <w:p w:rsidR="00282739" w:rsidRDefault="00282739" w:rsidP="00282739">
      <w:pPr>
        <w:pStyle w:val="tabletitle"/>
      </w:pPr>
      <w:bookmarkStart w:id="71" w:name="_Toc402794989"/>
      <w:r>
        <w:t>Table B6</w:t>
      </w:r>
      <w:r>
        <w:tab/>
        <w:t xml:space="preserve">General subjects taken by students who enrol in </w:t>
      </w:r>
      <w:r w:rsidRPr="00BE1224">
        <w:t>community</w:t>
      </w:r>
      <w:r>
        <w:t xml:space="preserve"> services work</w:t>
      </w:r>
      <w:bookmarkEnd w:id="71"/>
    </w:p>
    <w:tbl>
      <w:tblPr>
        <w:tblW w:w="8789" w:type="dxa"/>
        <w:tblInd w:w="113" w:type="dxa"/>
        <w:tblLayout w:type="fixed"/>
        <w:tblCellMar>
          <w:left w:w="113" w:type="dxa"/>
          <w:right w:w="113" w:type="dxa"/>
        </w:tblCellMar>
        <w:tblLook w:val="04A0" w:firstRow="1" w:lastRow="0" w:firstColumn="1" w:lastColumn="0" w:noHBand="0" w:noVBand="1"/>
      </w:tblPr>
      <w:tblGrid>
        <w:gridCol w:w="4819"/>
        <w:gridCol w:w="1985"/>
        <w:gridCol w:w="1985"/>
      </w:tblGrid>
      <w:tr w:rsidR="00282739" w:rsidRPr="00830481" w:rsidTr="003C6043">
        <w:tc>
          <w:tcPr>
            <w:tcW w:w="2742" w:type="pct"/>
            <w:tcBorders>
              <w:top w:val="single" w:sz="4" w:space="0" w:color="auto"/>
              <w:left w:val="nil"/>
              <w:bottom w:val="single" w:sz="4" w:space="0" w:color="auto"/>
              <w:right w:val="nil"/>
            </w:tcBorders>
            <w:shd w:val="clear" w:color="000000" w:fill="FFFFFF"/>
            <w:noWrap/>
            <w:tcMar>
              <w:top w:w="17" w:type="dxa"/>
              <w:left w:w="113" w:type="dxa"/>
              <w:bottom w:w="0" w:type="dxa"/>
              <w:right w:w="113" w:type="dxa"/>
            </w:tcMar>
            <w:hideMark/>
          </w:tcPr>
          <w:p w:rsidR="00282739" w:rsidRDefault="00282739" w:rsidP="003C6043">
            <w:pPr>
              <w:pStyle w:val="Tablehead1"/>
            </w:pPr>
          </w:p>
        </w:tc>
        <w:tc>
          <w:tcPr>
            <w:tcW w:w="1129" w:type="pct"/>
            <w:tcBorders>
              <w:top w:val="single" w:sz="4" w:space="0" w:color="auto"/>
              <w:left w:val="nil"/>
              <w:bottom w:val="single" w:sz="4" w:space="0" w:color="auto"/>
              <w:right w:val="nil"/>
            </w:tcBorders>
            <w:shd w:val="clear" w:color="000000" w:fill="FFFFFF"/>
            <w:tcMar>
              <w:left w:w="113" w:type="dxa"/>
              <w:right w:w="113" w:type="dxa"/>
            </w:tcMar>
          </w:tcPr>
          <w:p w:rsidR="00282739" w:rsidRDefault="00282739" w:rsidP="003C6043">
            <w:pPr>
              <w:pStyle w:val="Tablehead1"/>
              <w:jc w:val="center"/>
            </w:pPr>
            <w:r>
              <w:t>No.</w:t>
            </w:r>
          </w:p>
        </w:tc>
        <w:tc>
          <w:tcPr>
            <w:tcW w:w="1129" w:type="pct"/>
            <w:tcBorders>
              <w:top w:val="single" w:sz="4" w:space="0" w:color="auto"/>
              <w:left w:val="nil"/>
              <w:bottom w:val="single" w:sz="4" w:space="0" w:color="auto"/>
              <w:right w:val="nil"/>
            </w:tcBorders>
            <w:shd w:val="clear" w:color="000000" w:fill="FFFFFF"/>
            <w:tcMar>
              <w:left w:w="113" w:type="dxa"/>
              <w:right w:w="113" w:type="dxa"/>
            </w:tcMar>
          </w:tcPr>
          <w:p w:rsidR="00282739" w:rsidRDefault="00282739" w:rsidP="003C6043">
            <w:pPr>
              <w:pStyle w:val="Tablehead1"/>
              <w:jc w:val="center"/>
            </w:pPr>
            <w:r>
              <w:t>%</w:t>
            </w:r>
          </w:p>
        </w:tc>
      </w:tr>
      <w:tr w:rsidR="00282739" w:rsidRPr="00830481" w:rsidTr="003C6043">
        <w:tc>
          <w:tcPr>
            <w:tcW w:w="2742" w:type="pct"/>
            <w:tcBorders>
              <w:left w:val="nil"/>
              <w:bottom w:val="nil"/>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80"/>
              <w:rPr>
                <w:i/>
              </w:rPr>
            </w:pPr>
            <w:r w:rsidRPr="00431DB4">
              <w:rPr>
                <w:i/>
              </w:rPr>
              <w:t>Take one of</w:t>
            </w:r>
          </w:p>
        </w:tc>
        <w:tc>
          <w:tcPr>
            <w:tcW w:w="1129" w:type="pct"/>
            <w:tcBorders>
              <w:left w:val="nil"/>
              <w:bottom w:val="nil"/>
              <w:right w:val="nil"/>
            </w:tcBorders>
            <w:shd w:val="clear" w:color="000000" w:fill="FFFFFF"/>
            <w:tcMar>
              <w:left w:w="113" w:type="dxa"/>
              <w:right w:w="113" w:type="dxa"/>
            </w:tcMar>
          </w:tcPr>
          <w:p w:rsidR="00282739" w:rsidRDefault="00282739" w:rsidP="003C6043">
            <w:pPr>
              <w:pStyle w:val="Tabletext"/>
              <w:tabs>
                <w:tab w:val="decimal" w:pos="936"/>
              </w:tabs>
              <w:spacing w:before="80"/>
            </w:pPr>
          </w:p>
        </w:tc>
        <w:tc>
          <w:tcPr>
            <w:tcW w:w="1129" w:type="pct"/>
            <w:tcBorders>
              <w:left w:val="nil"/>
              <w:bottom w:val="nil"/>
              <w:right w:val="nil"/>
            </w:tcBorders>
            <w:shd w:val="clear" w:color="000000" w:fill="FFFFFF"/>
            <w:tcMar>
              <w:left w:w="113" w:type="dxa"/>
              <w:right w:w="113" w:type="dxa"/>
            </w:tcMar>
          </w:tcPr>
          <w:p w:rsidR="00282739" w:rsidRDefault="00282739" w:rsidP="003C6043">
            <w:pPr>
              <w:pStyle w:val="Tabletext"/>
              <w:tabs>
                <w:tab w:val="decimal" w:pos="822"/>
              </w:tabs>
              <w:spacing w:before="80"/>
            </w:pP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76979" w:rsidRDefault="00282739" w:rsidP="003C6043">
            <w:pPr>
              <w:pStyle w:val="Tabletext"/>
              <w:ind w:firstLine="171"/>
            </w:pPr>
            <w:r w:rsidRPr="00876979">
              <w:t xml:space="preserve">Health </w:t>
            </w:r>
            <w:r>
              <w:t>and</w:t>
            </w:r>
            <w:r w:rsidRPr="00876979">
              <w:t xml:space="preserve"> human development</w:t>
            </w:r>
          </w:p>
        </w:tc>
        <w:tc>
          <w:tcPr>
            <w:tcW w:w="1129" w:type="pct"/>
            <w:tcBorders>
              <w:top w:val="nil"/>
              <w:left w:val="nil"/>
              <w:bottom w:val="nil"/>
              <w:right w:val="nil"/>
            </w:tcBorders>
            <w:shd w:val="clear" w:color="000000" w:fill="FFFFFF"/>
            <w:tcMar>
              <w:left w:w="113" w:type="dxa"/>
              <w:right w:w="113" w:type="dxa"/>
            </w:tcMar>
          </w:tcPr>
          <w:p w:rsidR="00282739" w:rsidRPr="00061D96" w:rsidRDefault="00282739" w:rsidP="003C6043">
            <w:pPr>
              <w:pStyle w:val="Tabletext"/>
              <w:tabs>
                <w:tab w:val="decimal" w:pos="936"/>
              </w:tabs>
            </w:pPr>
            <w:r w:rsidRPr="00061D96">
              <w:t>77</w:t>
            </w:r>
          </w:p>
        </w:tc>
        <w:tc>
          <w:tcPr>
            <w:tcW w:w="1129" w:type="pct"/>
            <w:tcBorders>
              <w:top w:val="nil"/>
              <w:left w:val="nil"/>
              <w:bottom w:val="nil"/>
              <w:right w:val="nil"/>
            </w:tcBorders>
            <w:shd w:val="clear" w:color="000000" w:fill="FFFFFF"/>
            <w:tcMar>
              <w:left w:w="113" w:type="dxa"/>
              <w:right w:w="113" w:type="dxa"/>
            </w:tcMar>
          </w:tcPr>
          <w:p w:rsidR="00282739" w:rsidRPr="00061D96" w:rsidRDefault="00282739" w:rsidP="003C6043">
            <w:pPr>
              <w:pStyle w:val="Tabletext"/>
              <w:tabs>
                <w:tab w:val="decimal" w:pos="822"/>
              </w:tabs>
            </w:pPr>
            <w:r w:rsidRPr="00061D96">
              <w:t>32.08</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76979" w:rsidRDefault="00282739" w:rsidP="003C6043">
            <w:pPr>
              <w:pStyle w:val="Tabletext"/>
              <w:ind w:firstLine="171"/>
            </w:pPr>
            <w:r w:rsidRPr="00876979">
              <w:t>Psychology</w:t>
            </w:r>
          </w:p>
        </w:tc>
        <w:tc>
          <w:tcPr>
            <w:tcW w:w="1129" w:type="pct"/>
            <w:tcBorders>
              <w:top w:val="nil"/>
              <w:left w:val="nil"/>
              <w:bottom w:val="nil"/>
              <w:right w:val="nil"/>
            </w:tcBorders>
            <w:shd w:val="clear" w:color="000000" w:fill="FFFFFF"/>
            <w:tcMar>
              <w:left w:w="113" w:type="dxa"/>
              <w:right w:w="113" w:type="dxa"/>
            </w:tcMar>
          </w:tcPr>
          <w:p w:rsidR="00282739" w:rsidRPr="00061D96" w:rsidRDefault="00282739" w:rsidP="003C6043">
            <w:pPr>
              <w:pStyle w:val="Tabletext"/>
              <w:tabs>
                <w:tab w:val="decimal" w:pos="936"/>
              </w:tabs>
            </w:pPr>
            <w:r w:rsidRPr="00061D96">
              <w:t>63</w:t>
            </w:r>
          </w:p>
        </w:tc>
        <w:tc>
          <w:tcPr>
            <w:tcW w:w="1129" w:type="pct"/>
            <w:tcBorders>
              <w:top w:val="nil"/>
              <w:left w:val="nil"/>
              <w:bottom w:val="nil"/>
              <w:right w:val="nil"/>
            </w:tcBorders>
            <w:shd w:val="clear" w:color="000000" w:fill="FFFFFF"/>
            <w:tcMar>
              <w:left w:w="113" w:type="dxa"/>
              <w:right w:w="113" w:type="dxa"/>
            </w:tcMar>
          </w:tcPr>
          <w:p w:rsidR="00282739" w:rsidRPr="00061D96" w:rsidRDefault="00282739" w:rsidP="003C6043">
            <w:pPr>
              <w:pStyle w:val="Tabletext"/>
              <w:tabs>
                <w:tab w:val="decimal" w:pos="822"/>
              </w:tabs>
            </w:pPr>
            <w:r w:rsidRPr="00061D96">
              <w:t>26.25</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120"/>
              <w:rPr>
                <w:i/>
              </w:rPr>
            </w:pPr>
            <w:r w:rsidRPr="006F0B54">
              <w:rPr>
                <w:i/>
              </w:rPr>
              <w:t>Take two of</w:t>
            </w:r>
            <w:r>
              <w:rPr>
                <w:i/>
              </w:rPr>
              <w:t xml:space="preserve"> </w:t>
            </w:r>
          </w:p>
        </w:tc>
        <w:tc>
          <w:tcPr>
            <w:tcW w:w="1129" w:type="pct"/>
            <w:tcBorders>
              <w:top w:val="nil"/>
              <w:left w:val="nil"/>
              <w:bottom w:val="nil"/>
              <w:right w:val="nil"/>
            </w:tcBorders>
            <w:shd w:val="clear" w:color="000000" w:fill="FFFFFF"/>
            <w:tcMar>
              <w:left w:w="113" w:type="dxa"/>
              <w:right w:w="113" w:type="dxa"/>
            </w:tcMar>
          </w:tcPr>
          <w:p w:rsidR="00282739" w:rsidRPr="00CB5A5B" w:rsidRDefault="00282739" w:rsidP="003C6043">
            <w:pPr>
              <w:pStyle w:val="Tabletext"/>
              <w:tabs>
                <w:tab w:val="decimal" w:pos="936"/>
              </w:tabs>
              <w:spacing w:before="120"/>
            </w:pPr>
          </w:p>
        </w:tc>
        <w:tc>
          <w:tcPr>
            <w:tcW w:w="1129" w:type="pct"/>
            <w:tcBorders>
              <w:top w:val="nil"/>
              <w:left w:val="nil"/>
              <w:bottom w:val="nil"/>
              <w:right w:val="nil"/>
            </w:tcBorders>
            <w:shd w:val="clear" w:color="000000" w:fill="FFFFFF"/>
            <w:tcMar>
              <w:left w:w="113" w:type="dxa"/>
              <w:right w:w="113" w:type="dxa"/>
            </w:tcMar>
          </w:tcPr>
          <w:p w:rsidR="00282739" w:rsidRPr="00CB5A5B" w:rsidRDefault="00282739" w:rsidP="003C6043">
            <w:pPr>
              <w:pStyle w:val="Tabletext"/>
              <w:tabs>
                <w:tab w:val="decimal" w:pos="822"/>
              </w:tabs>
              <w:spacing w:before="120"/>
            </w:pP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76979" w:rsidRDefault="00282739" w:rsidP="003C6043">
            <w:pPr>
              <w:pStyle w:val="Tabletext"/>
              <w:ind w:firstLine="171"/>
            </w:pPr>
            <w:r w:rsidRPr="00876979">
              <w:t xml:space="preserve">Health </w:t>
            </w:r>
            <w:r>
              <w:t>and</w:t>
            </w:r>
            <w:r w:rsidRPr="00876979">
              <w:t xml:space="preserve"> human development </w:t>
            </w:r>
            <w:r>
              <w:t>and p</w:t>
            </w:r>
            <w:r w:rsidRPr="00876979">
              <w:t>sychology</w:t>
            </w:r>
          </w:p>
        </w:tc>
        <w:tc>
          <w:tcPr>
            <w:tcW w:w="1129" w:type="pct"/>
            <w:tcBorders>
              <w:top w:val="nil"/>
              <w:left w:val="nil"/>
              <w:bottom w:val="nil"/>
              <w:right w:val="nil"/>
            </w:tcBorders>
            <w:shd w:val="clear" w:color="000000" w:fill="FFFFFF"/>
            <w:tcMar>
              <w:left w:w="113" w:type="dxa"/>
              <w:right w:w="113" w:type="dxa"/>
            </w:tcMar>
          </w:tcPr>
          <w:p w:rsidR="00282739" w:rsidRPr="00061D96" w:rsidRDefault="00282739" w:rsidP="003C6043">
            <w:pPr>
              <w:pStyle w:val="Tabletext"/>
              <w:tabs>
                <w:tab w:val="decimal" w:pos="936"/>
              </w:tabs>
            </w:pPr>
            <w:r w:rsidRPr="00061D96">
              <w:t>59</w:t>
            </w:r>
          </w:p>
        </w:tc>
        <w:tc>
          <w:tcPr>
            <w:tcW w:w="1129" w:type="pct"/>
            <w:tcBorders>
              <w:top w:val="nil"/>
              <w:left w:val="nil"/>
              <w:bottom w:val="nil"/>
              <w:right w:val="nil"/>
            </w:tcBorders>
            <w:shd w:val="clear" w:color="000000" w:fill="FFFFFF"/>
            <w:tcMar>
              <w:left w:w="113" w:type="dxa"/>
              <w:right w:w="113" w:type="dxa"/>
            </w:tcMar>
          </w:tcPr>
          <w:p w:rsidR="00282739" w:rsidRPr="00061D96" w:rsidRDefault="00282739" w:rsidP="003C6043">
            <w:pPr>
              <w:pStyle w:val="Tabletext"/>
              <w:tabs>
                <w:tab w:val="decimal" w:pos="822"/>
              </w:tabs>
            </w:pPr>
            <w:r w:rsidRPr="00061D96">
              <w:t>24.58</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120"/>
              <w:rPr>
                <w:i/>
              </w:rPr>
            </w:pPr>
            <w:r w:rsidRPr="00431DB4">
              <w:rPr>
                <w:i/>
              </w:rPr>
              <w:t>Take none of the above</w:t>
            </w:r>
          </w:p>
        </w:tc>
        <w:tc>
          <w:tcPr>
            <w:tcW w:w="1129" w:type="pct"/>
            <w:tcBorders>
              <w:top w:val="nil"/>
              <w:left w:val="nil"/>
              <w:bottom w:val="nil"/>
              <w:right w:val="nil"/>
            </w:tcBorders>
            <w:shd w:val="clear" w:color="000000" w:fill="FFFFFF"/>
            <w:tcMar>
              <w:left w:w="113" w:type="dxa"/>
              <w:right w:w="113" w:type="dxa"/>
            </w:tcMar>
          </w:tcPr>
          <w:p w:rsidR="00282739" w:rsidRPr="00061D96" w:rsidRDefault="00282739" w:rsidP="003C6043">
            <w:pPr>
              <w:pStyle w:val="Tabletext"/>
              <w:tabs>
                <w:tab w:val="decimal" w:pos="936"/>
              </w:tabs>
              <w:spacing w:before="120"/>
            </w:pPr>
            <w:r w:rsidRPr="00061D96">
              <w:t>41</w:t>
            </w:r>
          </w:p>
        </w:tc>
        <w:tc>
          <w:tcPr>
            <w:tcW w:w="1129" w:type="pct"/>
            <w:tcBorders>
              <w:top w:val="nil"/>
              <w:left w:val="nil"/>
              <w:bottom w:val="nil"/>
              <w:right w:val="nil"/>
            </w:tcBorders>
            <w:shd w:val="clear" w:color="000000" w:fill="FFFFFF"/>
            <w:tcMar>
              <w:left w:w="113" w:type="dxa"/>
              <w:right w:w="113" w:type="dxa"/>
            </w:tcMar>
          </w:tcPr>
          <w:p w:rsidR="00282739" w:rsidRPr="00061D96" w:rsidRDefault="00282739" w:rsidP="003C6043">
            <w:pPr>
              <w:pStyle w:val="Tabletext"/>
              <w:tabs>
                <w:tab w:val="decimal" w:pos="822"/>
              </w:tabs>
              <w:spacing w:before="120"/>
            </w:pPr>
            <w:r w:rsidRPr="00061D96">
              <w:t>17.08</w:t>
            </w:r>
          </w:p>
        </w:tc>
      </w:tr>
      <w:tr w:rsidR="00282739" w:rsidRPr="00431DB4" w:rsidTr="003C6043">
        <w:tc>
          <w:tcPr>
            <w:tcW w:w="2742" w:type="pct"/>
            <w:tcBorders>
              <w:left w:val="nil"/>
              <w:bottom w:val="single" w:sz="4" w:space="0" w:color="auto"/>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120"/>
              <w:rPr>
                <w:b/>
              </w:rPr>
            </w:pPr>
            <w:r w:rsidRPr="00431DB4">
              <w:rPr>
                <w:b/>
              </w:rPr>
              <w:t>Total</w:t>
            </w:r>
          </w:p>
        </w:tc>
        <w:tc>
          <w:tcPr>
            <w:tcW w:w="1129" w:type="pct"/>
            <w:tcBorders>
              <w:left w:val="nil"/>
              <w:bottom w:val="single" w:sz="4" w:space="0" w:color="auto"/>
              <w:right w:val="nil"/>
            </w:tcBorders>
            <w:shd w:val="clear" w:color="000000" w:fill="FFFFFF"/>
            <w:tcMar>
              <w:left w:w="113" w:type="dxa"/>
              <w:right w:w="113" w:type="dxa"/>
            </w:tcMar>
          </w:tcPr>
          <w:p w:rsidR="00282739" w:rsidRPr="00431DB4" w:rsidRDefault="00282739" w:rsidP="003C6043">
            <w:pPr>
              <w:pStyle w:val="Tabletext"/>
              <w:tabs>
                <w:tab w:val="decimal" w:pos="936"/>
              </w:tabs>
              <w:spacing w:before="120"/>
              <w:rPr>
                <w:b/>
              </w:rPr>
            </w:pPr>
            <w:r w:rsidRPr="00431DB4">
              <w:rPr>
                <w:b/>
              </w:rPr>
              <w:t>240</w:t>
            </w:r>
          </w:p>
        </w:tc>
        <w:tc>
          <w:tcPr>
            <w:tcW w:w="1129" w:type="pct"/>
            <w:tcBorders>
              <w:left w:val="nil"/>
              <w:bottom w:val="single" w:sz="4" w:space="0" w:color="auto"/>
              <w:right w:val="nil"/>
            </w:tcBorders>
            <w:shd w:val="clear" w:color="000000" w:fill="FFFFFF"/>
            <w:tcMar>
              <w:left w:w="113" w:type="dxa"/>
              <w:right w:w="113" w:type="dxa"/>
            </w:tcMar>
          </w:tcPr>
          <w:p w:rsidR="00282739" w:rsidRPr="00431DB4" w:rsidRDefault="00282739" w:rsidP="003C6043">
            <w:pPr>
              <w:pStyle w:val="Tabletext"/>
              <w:tabs>
                <w:tab w:val="decimal" w:pos="822"/>
              </w:tabs>
              <w:spacing w:before="120"/>
              <w:rPr>
                <w:b/>
              </w:rPr>
            </w:pPr>
            <w:r w:rsidRPr="006F0B54">
              <w:rPr>
                <w:b/>
              </w:rPr>
              <w:t>100.00</w:t>
            </w:r>
          </w:p>
        </w:tc>
      </w:tr>
    </w:tbl>
    <w:p w:rsidR="00282739" w:rsidRDefault="00282739" w:rsidP="00282739">
      <w:pPr>
        <w:pStyle w:val="Source"/>
      </w:pPr>
      <w:r>
        <w:t>Note:</w:t>
      </w:r>
      <w:r>
        <w:tab/>
        <w:t xml:space="preserve">The sample is restricted to those who only take one VET subject and who attain a university enter score. </w:t>
      </w:r>
    </w:p>
    <w:p w:rsidR="00282739" w:rsidRDefault="00282739" w:rsidP="00282739">
      <w:pPr>
        <w:pStyle w:val="tabletitle"/>
        <w:rPr>
          <w:vertAlign w:val="superscript"/>
        </w:rPr>
      </w:pPr>
      <w:bookmarkStart w:id="72" w:name="_Toc402794990"/>
      <w:r>
        <w:t>Table B7</w:t>
      </w:r>
      <w:r>
        <w:tab/>
        <w:t>General subjects taken by students who enrol in hospitality</w:t>
      </w:r>
      <w:r w:rsidRPr="00BE1224">
        <w:t xml:space="preserve"> </w:t>
      </w:r>
      <w:r w:rsidRPr="00E749C9">
        <w:t>studies</w:t>
      </w:r>
      <w:bookmarkEnd w:id="72"/>
      <w:r w:rsidRPr="00E749C9">
        <w:rPr>
          <w:vertAlign w:val="superscript"/>
        </w:rPr>
        <w:t>a</w:t>
      </w:r>
    </w:p>
    <w:tbl>
      <w:tblPr>
        <w:tblW w:w="8789" w:type="dxa"/>
        <w:tblInd w:w="113" w:type="dxa"/>
        <w:tblLayout w:type="fixed"/>
        <w:tblCellMar>
          <w:left w:w="113" w:type="dxa"/>
          <w:right w:w="113" w:type="dxa"/>
        </w:tblCellMar>
        <w:tblLook w:val="04A0" w:firstRow="1" w:lastRow="0" w:firstColumn="1" w:lastColumn="0" w:noHBand="0" w:noVBand="1"/>
      </w:tblPr>
      <w:tblGrid>
        <w:gridCol w:w="4819"/>
        <w:gridCol w:w="1985"/>
        <w:gridCol w:w="1985"/>
      </w:tblGrid>
      <w:tr w:rsidR="00282739" w:rsidRPr="00830481" w:rsidTr="003C6043">
        <w:tc>
          <w:tcPr>
            <w:tcW w:w="2742" w:type="pct"/>
            <w:tcBorders>
              <w:top w:val="single" w:sz="4" w:space="0" w:color="auto"/>
              <w:left w:val="nil"/>
              <w:bottom w:val="single" w:sz="4" w:space="0" w:color="auto"/>
              <w:right w:val="nil"/>
            </w:tcBorders>
            <w:shd w:val="clear" w:color="000000" w:fill="FFFFFF"/>
            <w:noWrap/>
            <w:tcMar>
              <w:top w:w="17" w:type="dxa"/>
              <w:left w:w="113" w:type="dxa"/>
              <w:bottom w:w="0" w:type="dxa"/>
              <w:right w:w="113" w:type="dxa"/>
            </w:tcMar>
            <w:hideMark/>
          </w:tcPr>
          <w:p w:rsidR="00282739" w:rsidRDefault="00282739" w:rsidP="003C6043">
            <w:pPr>
              <w:pStyle w:val="Tablehead1"/>
            </w:pPr>
          </w:p>
        </w:tc>
        <w:tc>
          <w:tcPr>
            <w:tcW w:w="1129" w:type="pct"/>
            <w:tcBorders>
              <w:top w:val="single" w:sz="4" w:space="0" w:color="auto"/>
              <w:left w:val="nil"/>
              <w:bottom w:val="single" w:sz="4" w:space="0" w:color="auto"/>
              <w:right w:val="nil"/>
            </w:tcBorders>
            <w:shd w:val="clear" w:color="000000" w:fill="FFFFFF"/>
            <w:tcMar>
              <w:left w:w="113" w:type="dxa"/>
              <w:right w:w="113" w:type="dxa"/>
            </w:tcMar>
          </w:tcPr>
          <w:p w:rsidR="00282739" w:rsidRDefault="00282739" w:rsidP="003C6043">
            <w:pPr>
              <w:pStyle w:val="Tablehead1"/>
              <w:jc w:val="center"/>
            </w:pPr>
            <w:r>
              <w:t>No.</w:t>
            </w:r>
          </w:p>
        </w:tc>
        <w:tc>
          <w:tcPr>
            <w:tcW w:w="1129" w:type="pct"/>
            <w:tcBorders>
              <w:top w:val="single" w:sz="4" w:space="0" w:color="auto"/>
              <w:left w:val="nil"/>
              <w:bottom w:val="single" w:sz="4" w:space="0" w:color="auto"/>
              <w:right w:val="nil"/>
            </w:tcBorders>
            <w:shd w:val="clear" w:color="000000" w:fill="FFFFFF"/>
            <w:tcMar>
              <w:left w:w="113" w:type="dxa"/>
              <w:right w:w="113" w:type="dxa"/>
            </w:tcMar>
          </w:tcPr>
          <w:p w:rsidR="00282739" w:rsidRDefault="00282739" w:rsidP="003C6043">
            <w:pPr>
              <w:pStyle w:val="Tablehead1"/>
              <w:jc w:val="center"/>
            </w:pPr>
            <w:r>
              <w:t>%</w:t>
            </w:r>
          </w:p>
        </w:tc>
      </w:tr>
      <w:tr w:rsidR="00282739" w:rsidRPr="00830481" w:rsidTr="003C6043">
        <w:tc>
          <w:tcPr>
            <w:tcW w:w="2742" w:type="pct"/>
            <w:tcBorders>
              <w:left w:val="nil"/>
              <w:bottom w:val="nil"/>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80"/>
              <w:rPr>
                <w:i/>
              </w:rPr>
            </w:pPr>
            <w:r w:rsidRPr="00431DB4">
              <w:rPr>
                <w:i/>
              </w:rPr>
              <w:t>Take one of</w:t>
            </w:r>
          </w:p>
        </w:tc>
        <w:tc>
          <w:tcPr>
            <w:tcW w:w="1129" w:type="pct"/>
            <w:tcBorders>
              <w:left w:val="nil"/>
              <w:bottom w:val="nil"/>
              <w:right w:val="nil"/>
            </w:tcBorders>
            <w:shd w:val="clear" w:color="000000" w:fill="FFFFFF"/>
            <w:tcMar>
              <w:left w:w="113" w:type="dxa"/>
              <w:right w:w="113" w:type="dxa"/>
            </w:tcMar>
          </w:tcPr>
          <w:p w:rsidR="00282739" w:rsidRDefault="00282739" w:rsidP="003C6043">
            <w:pPr>
              <w:pStyle w:val="Tabletext"/>
              <w:tabs>
                <w:tab w:val="decimal" w:pos="964"/>
              </w:tabs>
              <w:spacing w:before="80"/>
            </w:pPr>
          </w:p>
        </w:tc>
        <w:tc>
          <w:tcPr>
            <w:tcW w:w="1129" w:type="pct"/>
            <w:tcBorders>
              <w:left w:val="nil"/>
              <w:bottom w:val="nil"/>
              <w:right w:val="nil"/>
            </w:tcBorders>
            <w:shd w:val="clear" w:color="000000" w:fill="FFFFFF"/>
            <w:tcMar>
              <w:left w:w="113" w:type="dxa"/>
              <w:right w:w="113" w:type="dxa"/>
            </w:tcMar>
          </w:tcPr>
          <w:p w:rsidR="00282739" w:rsidRDefault="00282739" w:rsidP="003C6043">
            <w:pPr>
              <w:pStyle w:val="Tabletext"/>
              <w:tabs>
                <w:tab w:val="decimal" w:pos="822"/>
              </w:tabs>
              <w:spacing w:before="80"/>
            </w:pP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Food and technology</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64"/>
              </w:tabs>
            </w:pPr>
            <w:r w:rsidRPr="00876979">
              <w:t>120</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22.06</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Health and human development</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64"/>
              </w:tabs>
            </w:pPr>
            <w:r w:rsidRPr="00876979">
              <w:t>105</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19.3</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120"/>
              <w:rPr>
                <w:i/>
              </w:rPr>
            </w:pPr>
            <w:r w:rsidRPr="006F0B54">
              <w:rPr>
                <w:i/>
              </w:rPr>
              <w:t>Take two of</w:t>
            </w:r>
            <w:r w:rsidRPr="00E749C9">
              <w:rPr>
                <w:i/>
              </w:rPr>
              <w:t xml:space="preserve"> </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64"/>
              </w:tabs>
              <w:spacing w:before="120"/>
            </w:pP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spacing w:before="120"/>
            </w:pP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Food and technology and human development</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64"/>
              </w:tabs>
            </w:pPr>
            <w:r w:rsidRPr="00876979">
              <w:t>34</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pPr>
            <w:r w:rsidRPr="00876979">
              <w:t>6.25</w:t>
            </w:r>
          </w:p>
        </w:tc>
      </w:tr>
      <w:tr w:rsidR="00282739" w:rsidRPr="00061D96" w:rsidTr="003C6043">
        <w:tc>
          <w:tcPr>
            <w:tcW w:w="2742" w:type="pct"/>
            <w:tcBorders>
              <w:top w:val="nil"/>
              <w:left w:val="nil"/>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120"/>
              <w:rPr>
                <w:i/>
              </w:rPr>
            </w:pPr>
            <w:r w:rsidRPr="00431DB4">
              <w:rPr>
                <w:i/>
              </w:rPr>
              <w:t>Take none of the above</w:t>
            </w:r>
          </w:p>
        </w:tc>
        <w:tc>
          <w:tcPr>
            <w:tcW w:w="1129" w:type="pct"/>
            <w:tcBorders>
              <w:top w:val="nil"/>
              <w:left w:val="nil"/>
              <w:right w:val="nil"/>
            </w:tcBorders>
            <w:shd w:val="clear" w:color="000000" w:fill="FFFFFF"/>
            <w:tcMar>
              <w:left w:w="113" w:type="dxa"/>
              <w:right w:w="113" w:type="dxa"/>
            </w:tcMar>
          </w:tcPr>
          <w:p w:rsidR="00282739" w:rsidRPr="00876979" w:rsidRDefault="00282739" w:rsidP="003C6043">
            <w:pPr>
              <w:pStyle w:val="Tabletext"/>
              <w:tabs>
                <w:tab w:val="decimal" w:pos="964"/>
              </w:tabs>
              <w:spacing w:before="120"/>
            </w:pPr>
            <w:r w:rsidRPr="00876979">
              <w:t>285</w:t>
            </w:r>
          </w:p>
        </w:tc>
        <w:tc>
          <w:tcPr>
            <w:tcW w:w="1129" w:type="pct"/>
            <w:tcBorders>
              <w:top w:val="nil"/>
              <w:left w:val="nil"/>
              <w:right w:val="nil"/>
            </w:tcBorders>
            <w:shd w:val="clear" w:color="000000" w:fill="FFFFFF"/>
            <w:tcMar>
              <w:left w:w="113" w:type="dxa"/>
              <w:right w:w="113" w:type="dxa"/>
            </w:tcMar>
          </w:tcPr>
          <w:p w:rsidR="00282739" w:rsidRPr="00876979" w:rsidRDefault="00282739" w:rsidP="003C6043">
            <w:pPr>
              <w:pStyle w:val="Tabletext"/>
              <w:tabs>
                <w:tab w:val="decimal" w:pos="822"/>
              </w:tabs>
              <w:spacing w:before="120"/>
            </w:pPr>
            <w:r w:rsidRPr="00876979">
              <w:t>52.39</w:t>
            </w:r>
          </w:p>
        </w:tc>
      </w:tr>
      <w:tr w:rsidR="00282739" w:rsidRPr="00431DB4" w:rsidTr="003C6043">
        <w:tc>
          <w:tcPr>
            <w:tcW w:w="2742" w:type="pct"/>
            <w:tcBorders>
              <w:left w:val="nil"/>
              <w:bottom w:val="single" w:sz="4" w:space="0" w:color="auto"/>
              <w:right w:val="nil"/>
            </w:tcBorders>
            <w:shd w:val="clear" w:color="000000" w:fill="FFFFFF"/>
            <w:noWrap/>
            <w:tcMar>
              <w:top w:w="17" w:type="dxa"/>
              <w:left w:w="113" w:type="dxa"/>
              <w:bottom w:w="0" w:type="dxa"/>
              <w:right w:w="113" w:type="dxa"/>
            </w:tcMar>
            <w:hideMark/>
          </w:tcPr>
          <w:p w:rsidR="00282739" w:rsidRPr="00431DB4" w:rsidRDefault="00282739" w:rsidP="003C6043">
            <w:pPr>
              <w:pStyle w:val="Tabletext"/>
              <w:spacing w:before="120"/>
              <w:rPr>
                <w:b/>
              </w:rPr>
            </w:pPr>
            <w:r w:rsidRPr="00431DB4">
              <w:rPr>
                <w:b/>
              </w:rPr>
              <w:t>Total</w:t>
            </w:r>
          </w:p>
        </w:tc>
        <w:tc>
          <w:tcPr>
            <w:tcW w:w="1129" w:type="pct"/>
            <w:tcBorders>
              <w:left w:val="nil"/>
              <w:bottom w:val="single" w:sz="4" w:space="0" w:color="auto"/>
              <w:right w:val="nil"/>
            </w:tcBorders>
            <w:shd w:val="clear" w:color="000000" w:fill="FFFFFF"/>
            <w:tcMar>
              <w:left w:w="113" w:type="dxa"/>
              <w:right w:w="113" w:type="dxa"/>
            </w:tcMar>
          </w:tcPr>
          <w:p w:rsidR="00282739" w:rsidRPr="00431DB4" w:rsidRDefault="00282739" w:rsidP="003C6043">
            <w:pPr>
              <w:pStyle w:val="Tabletext"/>
              <w:tabs>
                <w:tab w:val="decimal" w:pos="964"/>
              </w:tabs>
              <w:spacing w:before="120"/>
              <w:rPr>
                <w:b/>
              </w:rPr>
            </w:pPr>
            <w:r w:rsidRPr="00431DB4">
              <w:rPr>
                <w:b/>
              </w:rPr>
              <w:t>544</w:t>
            </w:r>
          </w:p>
        </w:tc>
        <w:tc>
          <w:tcPr>
            <w:tcW w:w="1129" w:type="pct"/>
            <w:tcBorders>
              <w:left w:val="nil"/>
              <w:bottom w:val="single" w:sz="4" w:space="0" w:color="auto"/>
              <w:right w:val="nil"/>
            </w:tcBorders>
            <w:shd w:val="clear" w:color="000000" w:fill="FFFFFF"/>
            <w:tcMar>
              <w:left w:w="113" w:type="dxa"/>
              <w:right w:w="113" w:type="dxa"/>
            </w:tcMar>
          </w:tcPr>
          <w:p w:rsidR="00282739" w:rsidRPr="00431DB4" w:rsidRDefault="00282739" w:rsidP="003C6043">
            <w:pPr>
              <w:pStyle w:val="Tabletext"/>
              <w:tabs>
                <w:tab w:val="decimal" w:pos="822"/>
              </w:tabs>
              <w:spacing w:before="120"/>
              <w:rPr>
                <w:b/>
              </w:rPr>
            </w:pPr>
            <w:r w:rsidRPr="006F0B54">
              <w:rPr>
                <w:b/>
              </w:rPr>
              <w:t>100.00</w:t>
            </w:r>
          </w:p>
        </w:tc>
      </w:tr>
    </w:tbl>
    <w:p w:rsidR="00282739" w:rsidRDefault="00282739" w:rsidP="00282739">
      <w:pPr>
        <w:pStyle w:val="Source"/>
        <w:tabs>
          <w:tab w:val="left" w:pos="993"/>
        </w:tabs>
      </w:pPr>
      <w:r>
        <w:t>Note:</w:t>
      </w:r>
      <w:r>
        <w:tab/>
        <w:t xml:space="preserve">The sample is restricted to those who only take one VET subject and who attain a university enter score. </w:t>
      </w:r>
      <w:r>
        <w:br/>
      </w:r>
      <w:r w:rsidRPr="00E749C9">
        <w:t>a</w:t>
      </w:r>
      <w:r w:rsidRPr="00E749C9">
        <w:tab/>
        <w:t>Includes both hospitality and hospitality (kitchen operations).</w:t>
      </w:r>
      <w:r>
        <w:t xml:space="preserve"> </w:t>
      </w:r>
    </w:p>
    <w:p w:rsidR="00282739" w:rsidRDefault="00282739" w:rsidP="00282739">
      <w:pPr>
        <w:spacing w:before="0" w:line="240" w:lineRule="auto"/>
        <w:rPr>
          <w:rFonts w:ascii="Tahoma" w:hAnsi="Tahoma"/>
          <w:b/>
          <w:sz w:val="17"/>
        </w:rPr>
      </w:pPr>
      <w:r>
        <w:br w:type="page"/>
      </w:r>
    </w:p>
    <w:p w:rsidR="00282739" w:rsidRDefault="00282739" w:rsidP="00282739">
      <w:pPr>
        <w:pStyle w:val="tabletitle"/>
      </w:pPr>
      <w:bookmarkStart w:id="73" w:name="_Toc402794991"/>
      <w:r>
        <w:lastRenderedPageBreak/>
        <w:t>Table B8</w:t>
      </w:r>
      <w:r>
        <w:tab/>
        <w:t>Subjects taken by students who enrol in interactive digital media</w:t>
      </w:r>
      <w:bookmarkEnd w:id="73"/>
    </w:p>
    <w:tbl>
      <w:tblPr>
        <w:tblW w:w="8789" w:type="dxa"/>
        <w:tblInd w:w="113" w:type="dxa"/>
        <w:tblLayout w:type="fixed"/>
        <w:tblCellMar>
          <w:left w:w="113" w:type="dxa"/>
          <w:right w:w="113" w:type="dxa"/>
        </w:tblCellMar>
        <w:tblLook w:val="04A0" w:firstRow="1" w:lastRow="0" w:firstColumn="1" w:lastColumn="0" w:noHBand="0" w:noVBand="1"/>
      </w:tblPr>
      <w:tblGrid>
        <w:gridCol w:w="4819"/>
        <w:gridCol w:w="1985"/>
        <w:gridCol w:w="1985"/>
      </w:tblGrid>
      <w:tr w:rsidR="00282739" w:rsidRPr="00E40487" w:rsidTr="003C6043">
        <w:tc>
          <w:tcPr>
            <w:tcW w:w="2742" w:type="pct"/>
            <w:tcBorders>
              <w:top w:val="single" w:sz="4" w:space="0" w:color="auto"/>
              <w:left w:val="nil"/>
              <w:bottom w:val="single" w:sz="4" w:space="0" w:color="auto"/>
              <w:right w:val="nil"/>
            </w:tcBorders>
            <w:shd w:val="clear" w:color="000000" w:fill="FFFFFF"/>
            <w:noWrap/>
            <w:tcMar>
              <w:top w:w="17" w:type="dxa"/>
              <w:left w:w="113" w:type="dxa"/>
              <w:bottom w:w="0" w:type="dxa"/>
              <w:right w:w="113" w:type="dxa"/>
            </w:tcMar>
            <w:hideMark/>
          </w:tcPr>
          <w:p w:rsidR="00282739" w:rsidRPr="00E40487" w:rsidRDefault="00282739" w:rsidP="003C6043">
            <w:pPr>
              <w:pStyle w:val="Tablehead1"/>
            </w:pPr>
          </w:p>
        </w:tc>
        <w:tc>
          <w:tcPr>
            <w:tcW w:w="1129" w:type="pct"/>
            <w:tcBorders>
              <w:top w:val="single" w:sz="4" w:space="0" w:color="auto"/>
              <w:left w:val="nil"/>
              <w:bottom w:val="single" w:sz="4" w:space="0" w:color="auto"/>
              <w:right w:val="nil"/>
            </w:tcBorders>
            <w:shd w:val="clear" w:color="000000" w:fill="FFFFFF"/>
            <w:tcMar>
              <w:left w:w="113" w:type="dxa"/>
              <w:right w:w="113" w:type="dxa"/>
            </w:tcMar>
          </w:tcPr>
          <w:p w:rsidR="00282739" w:rsidRPr="00E40487" w:rsidRDefault="00282739" w:rsidP="003C6043">
            <w:pPr>
              <w:pStyle w:val="Tablehead1"/>
              <w:jc w:val="center"/>
            </w:pPr>
            <w:r w:rsidRPr="00E40487">
              <w:t>No.</w:t>
            </w:r>
          </w:p>
        </w:tc>
        <w:tc>
          <w:tcPr>
            <w:tcW w:w="1129" w:type="pct"/>
            <w:tcBorders>
              <w:top w:val="single" w:sz="4" w:space="0" w:color="auto"/>
              <w:left w:val="nil"/>
              <w:bottom w:val="single" w:sz="4" w:space="0" w:color="auto"/>
              <w:right w:val="nil"/>
            </w:tcBorders>
            <w:shd w:val="clear" w:color="000000" w:fill="FFFFFF"/>
            <w:tcMar>
              <w:left w:w="113" w:type="dxa"/>
              <w:right w:w="113" w:type="dxa"/>
            </w:tcMar>
          </w:tcPr>
          <w:p w:rsidR="00282739" w:rsidRPr="00E40487" w:rsidRDefault="00282739" w:rsidP="003C6043">
            <w:pPr>
              <w:pStyle w:val="Tablehead1"/>
              <w:jc w:val="center"/>
            </w:pPr>
            <w:r w:rsidRPr="00E40487">
              <w:t>%</w:t>
            </w:r>
          </w:p>
        </w:tc>
      </w:tr>
      <w:tr w:rsidR="00282739" w:rsidRPr="00830481" w:rsidTr="003C6043">
        <w:tc>
          <w:tcPr>
            <w:tcW w:w="2742" w:type="pct"/>
            <w:tcBorders>
              <w:left w:val="nil"/>
              <w:bottom w:val="nil"/>
              <w:right w:val="nil"/>
            </w:tcBorders>
            <w:shd w:val="clear" w:color="000000" w:fill="FFFFFF"/>
            <w:noWrap/>
            <w:tcMar>
              <w:top w:w="17" w:type="dxa"/>
              <w:left w:w="113" w:type="dxa"/>
              <w:bottom w:w="0" w:type="dxa"/>
              <w:right w:w="113" w:type="dxa"/>
            </w:tcMar>
            <w:hideMark/>
          </w:tcPr>
          <w:p w:rsidR="00282739" w:rsidRPr="00E40487" w:rsidRDefault="00282739" w:rsidP="003C6043">
            <w:pPr>
              <w:pStyle w:val="Tabletext"/>
              <w:spacing w:before="80"/>
              <w:rPr>
                <w:i/>
              </w:rPr>
            </w:pPr>
            <w:r w:rsidRPr="00E40487">
              <w:rPr>
                <w:i/>
              </w:rPr>
              <w:t>Take one of</w:t>
            </w:r>
          </w:p>
        </w:tc>
        <w:tc>
          <w:tcPr>
            <w:tcW w:w="1129" w:type="pct"/>
            <w:tcBorders>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07"/>
              </w:tabs>
              <w:spacing w:before="80"/>
            </w:pPr>
          </w:p>
        </w:tc>
        <w:tc>
          <w:tcPr>
            <w:tcW w:w="1129" w:type="pct"/>
            <w:tcBorders>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spacing w:before="80"/>
            </w:pP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Visual communication and design</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07"/>
              </w:tabs>
              <w:rPr>
                <w:szCs w:val="16"/>
              </w:rPr>
            </w:pPr>
            <w:r w:rsidRPr="00876979">
              <w:rPr>
                <w:szCs w:val="16"/>
              </w:rPr>
              <w:t>3</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rPr>
                <w:szCs w:val="16"/>
              </w:rPr>
            </w:pPr>
            <w:r w:rsidRPr="00876979">
              <w:rPr>
                <w:szCs w:val="16"/>
              </w:rPr>
              <w:t>3.03</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Studio arts</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07"/>
              </w:tabs>
              <w:rPr>
                <w:szCs w:val="16"/>
              </w:rPr>
            </w:pPr>
            <w:r w:rsidRPr="00876979">
              <w:rPr>
                <w:szCs w:val="16"/>
              </w:rPr>
              <w:t>4</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rPr>
                <w:szCs w:val="16"/>
              </w:rPr>
            </w:pPr>
            <w:r w:rsidRPr="00876979">
              <w:rPr>
                <w:szCs w:val="16"/>
              </w:rPr>
              <w:t>4.04</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Media</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07"/>
              </w:tabs>
              <w:rPr>
                <w:szCs w:val="16"/>
              </w:rPr>
            </w:pPr>
            <w:r w:rsidRPr="00876979">
              <w:rPr>
                <w:szCs w:val="16"/>
              </w:rPr>
              <w:t>5</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rPr>
                <w:szCs w:val="16"/>
              </w:rPr>
            </w:pPr>
            <w:r w:rsidRPr="00876979">
              <w:rPr>
                <w:szCs w:val="16"/>
              </w:rPr>
              <w:t>5.05</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E40487" w:rsidRDefault="00282739" w:rsidP="003C6043">
            <w:pPr>
              <w:pStyle w:val="Tabletext"/>
              <w:spacing w:before="120"/>
              <w:rPr>
                <w:i/>
              </w:rPr>
            </w:pPr>
            <w:r w:rsidRPr="00E40487">
              <w:rPr>
                <w:i/>
              </w:rPr>
              <w:t>Take two of</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07"/>
              </w:tabs>
              <w:spacing w:before="120"/>
              <w:rPr>
                <w:szCs w:val="16"/>
              </w:rPr>
            </w:pP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spacing w:before="120"/>
              <w:rPr>
                <w:szCs w:val="16"/>
              </w:rPr>
            </w:pP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Visual communication and design and studio arts</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07"/>
              </w:tabs>
              <w:rPr>
                <w:szCs w:val="16"/>
              </w:rPr>
            </w:pPr>
            <w:r w:rsidRPr="00876979">
              <w:rPr>
                <w:szCs w:val="16"/>
              </w:rPr>
              <w:t>1</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rPr>
                <w:szCs w:val="16"/>
              </w:rPr>
            </w:pPr>
            <w:r w:rsidRPr="00876979">
              <w:rPr>
                <w:szCs w:val="16"/>
              </w:rPr>
              <w:t>1.01</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Visual communication and design and media</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07"/>
              </w:tabs>
              <w:rPr>
                <w:szCs w:val="16"/>
              </w:rPr>
            </w:pPr>
            <w:r w:rsidRPr="00876979">
              <w:rPr>
                <w:szCs w:val="16"/>
              </w:rPr>
              <w:t>1</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rPr>
                <w:szCs w:val="16"/>
              </w:rPr>
            </w:pPr>
            <w:r w:rsidRPr="00876979">
              <w:rPr>
                <w:szCs w:val="16"/>
              </w:rPr>
              <w:t>1.01</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Studio arts and media</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907"/>
              </w:tabs>
              <w:rPr>
                <w:szCs w:val="16"/>
              </w:rPr>
            </w:pPr>
            <w:r w:rsidRPr="00876979">
              <w:rPr>
                <w:szCs w:val="16"/>
              </w:rPr>
              <w:t>1</w:t>
            </w:r>
          </w:p>
        </w:tc>
        <w:tc>
          <w:tcPr>
            <w:tcW w:w="1129" w:type="pct"/>
            <w:tcBorders>
              <w:top w:val="nil"/>
              <w:left w:val="nil"/>
              <w:bottom w:val="nil"/>
              <w:right w:val="nil"/>
            </w:tcBorders>
            <w:shd w:val="clear" w:color="000000" w:fill="FFFFFF"/>
            <w:tcMar>
              <w:left w:w="113" w:type="dxa"/>
              <w:right w:w="113" w:type="dxa"/>
            </w:tcMar>
          </w:tcPr>
          <w:p w:rsidR="00282739" w:rsidRPr="00876979" w:rsidRDefault="00282739" w:rsidP="003C6043">
            <w:pPr>
              <w:pStyle w:val="Tabletext"/>
              <w:tabs>
                <w:tab w:val="decimal" w:pos="822"/>
              </w:tabs>
              <w:rPr>
                <w:szCs w:val="16"/>
              </w:rPr>
            </w:pPr>
            <w:r w:rsidRPr="00876979">
              <w:rPr>
                <w:szCs w:val="16"/>
              </w:rPr>
              <w:t>1.01</w:t>
            </w:r>
          </w:p>
        </w:tc>
      </w:tr>
      <w:tr w:rsidR="00282739" w:rsidRPr="00061D96" w:rsidTr="003C6043">
        <w:tc>
          <w:tcPr>
            <w:tcW w:w="2742" w:type="pct"/>
            <w:tcBorders>
              <w:top w:val="nil"/>
              <w:left w:val="nil"/>
              <w:right w:val="nil"/>
            </w:tcBorders>
            <w:shd w:val="clear" w:color="000000" w:fill="FFFFFF"/>
            <w:noWrap/>
            <w:tcMar>
              <w:top w:w="17" w:type="dxa"/>
              <w:left w:w="113" w:type="dxa"/>
              <w:bottom w:w="0" w:type="dxa"/>
              <w:right w:w="113" w:type="dxa"/>
            </w:tcMar>
            <w:hideMark/>
          </w:tcPr>
          <w:p w:rsidR="00282739" w:rsidRPr="00E40487" w:rsidRDefault="00282739" w:rsidP="003C6043">
            <w:pPr>
              <w:pStyle w:val="Tabletext"/>
              <w:spacing w:before="120"/>
              <w:rPr>
                <w:i/>
              </w:rPr>
            </w:pPr>
            <w:r w:rsidRPr="00E40487">
              <w:rPr>
                <w:i/>
              </w:rPr>
              <w:t>Take more than two of the above</w:t>
            </w:r>
          </w:p>
        </w:tc>
        <w:tc>
          <w:tcPr>
            <w:tcW w:w="1129" w:type="pct"/>
            <w:tcBorders>
              <w:top w:val="nil"/>
              <w:left w:val="nil"/>
              <w:right w:val="nil"/>
            </w:tcBorders>
            <w:shd w:val="clear" w:color="000000" w:fill="FFFFFF"/>
            <w:tcMar>
              <w:left w:w="113" w:type="dxa"/>
              <w:right w:w="113" w:type="dxa"/>
            </w:tcMar>
          </w:tcPr>
          <w:p w:rsidR="00282739" w:rsidRPr="00876979" w:rsidRDefault="00282739" w:rsidP="003C6043">
            <w:pPr>
              <w:pStyle w:val="Tabletext"/>
              <w:tabs>
                <w:tab w:val="decimal" w:pos="907"/>
              </w:tabs>
              <w:spacing w:before="120"/>
              <w:rPr>
                <w:szCs w:val="16"/>
              </w:rPr>
            </w:pPr>
            <w:r w:rsidRPr="00876979">
              <w:rPr>
                <w:szCs w:val="16"/>
              </w:rPr>
              <w:t>0</w:t>
            </w:r>
          </w:p>
        </w:tc>
        <w:tc>
          <w:tcPr>
            <w:tcW w:w="1129" w:type="pct"/>
            <w:tcBorders>
              <w:top w:val="nil"/>
              <w:left w:val="nil"/>
              <w:right w:val="nil"/>
            </w:tcBorders>
            <w:shd w:val="clear" w:color="000000" w:fill="FFFFFF"/>
            <w:tcMar>
              <w:left w:w="113" w:type="dxa"/>
              <w:right w:w="113" w:type="dxa"/>
            </w:tcMar>
          </w:tcPr>
          <w:p w:rsidR="00282739" w:rsidRPr="00876979" w:rsidRDefault="00282739" w:rsidP="003C6043">
            <w:pPr>
              <w:pStyle w:val="Tabletext"/>
              <w:tabs>
                <w:tab w:val="decimal" w:pos="822"/>
              </w:tabs>
              <w:spacing w:before="120"/>
              <w:rPr>
                <w:szCs w:val="16"/>
              </w:rPr>
            </w:pPr>
            <w:r w:rsidRPr="00876979">
              <w:rPr>
                <w:szCs w:val="16"/>
              </w:rPr>
              <w:t>0</w:t>
            </w:r>
          </w:p>
        </w:tc>
      </w:tr>
      <w:tr w:rsidR="00282739" w:rsidRPr="00061D96" w:rsidTr="003C6043">
        <w:tc>
          <w:tcPr>
            <w:tcW w:w="2742" w:type="pct"/>
            <w:tcBorders>
              <w:left w:val="nil"/>
              <w:right w:val="nil"/>
            </w:tcBorders>
            <w:shd w:val="clear" w:color="000000" w:fill="FFFFFF"/>
            <w:noWrap/>
            <w:tcMar>
              <w:top w:w="17" w:type="dxa"/>
              <w:left w:w="113" w:type="dxa"/>
              <w:bottom w:w="0" w:type="dxa"/>
              <w:right w:w="113" w:type="dxa"/>
            </w:tcMar>
            <w:hideMark/>
          </w:tcPr>
          <w:p w:rsidR="00282739" w:rsidRPr="00E40487" w:rsidRDefault="00282739" w:rsidP="003C6043">
            <w:pPr>
              <w:pStyle w:val="Tabletext"/>
              <w:spacing w:before="120"/>
              <w:rPr>
                <w:i/>
              </w:rPr>
            </w:pPr>
            <w:r w:rsidRPr="00E40487">
              <w:rPr>
                <w:i/>
              </w:rPr>
              <w:t>Take none of the above</w:t>
            </w:r>
          </w:p>
        </w:tc>
        <w:tc>
          <w:tcPr>
            <w:tcW w:w="1129" w:type="pct"/>
            <w:tcBorders>
              <w:left w:val="nil"/>
              <w:right w:val="nil"/>
            </w:tcBorders>
            <w:shd w:val="clear" w:color="000000" w:fill="FFFFFF"/>
            <w:tcMar>
              <w:left w:w="113" w:type="dxa"/>
              <w:right w:w="113" w:type="dxa"/>
            </w:tcMar>
          </w:tcPr>
          <w:p w:rsidR="00282739" w:rsidRPr="00876979" w:rsidRDefault="00282739" w:rsidP="003C6043">
            <w:pPr>
              <w:pStyle w:val="Tabletext"/>
              <w:tabs>
                <w:tab w:val="decimal" w:pos="907"/>
              </w:tabs>
              <w:spacing w:before="120"/>
              <w:rPr>
                <w:szCs w:val="16"/>
              </w:rPr>
            </w:pPr>
            <w:r w:rsidRPr="00876979">
              <w:rPr>
                <w:szCs w:val="16"/>
              </w:rPr>
              <w:t>84</w:t>
            </w:r>
          </w:p>
        </w:tc>
        <w:tc>
          <w:tcPr>
            <w:tcW w:w="1129" w:type="pct"/>
            <w:tcBorders>
              <w:left w:val="nil"/>
              <w:right w:val="nil"/>
            </w:tcBorders>
            <w:shd w:val="clear" w:color="000000" w:fill="FFFFFF"/>
            <w:tcMar>
              <w:left w:w="113" w:type="dxa"/>
              <w:right w:w="113" w:type="dxa"/>
            </w:tcMar>
          </w:tcPr>
          <w:p w:rsidR="00282739" w:rsidRPr="00876979" w:rsidRDefault="00282739" w:rsidP="003C6043">
            <w:pPr>
              <w:pStyle w:val="Tabletext"/>
              <w:tabs>
                <w:tab w:val="decimal" w:pos="822"/>
              </w:tabs>
              <w:spacing w:before="120"/>
              <w:rPr>
                <w:szCs w:val="16"/>
              </w:rPr>
            </w:pPr>
            <w:r w:rsidRPr="00876979">
              <w:rPr>
                <w:szCs w:val="16"/>
              </w:rPr>
              <w:t>84.85</w:t>
            </w:r>
          </w:p>
        </w:tc>
      </w:tr>
      <w:tr w:rsidR="00282739" w:rsidRPr="00E40487" w:rsidTr="003C6043">
        <w:tc>
          <w:tcPr>
            <w:tcW w:w="2742" w:type="pct"/>
            <w:tcBorders>
              <w:left w:val="nil"/>
              <w:bottom w:val="single" w:sz="4" w:space="0" w:color="auto"/>
              <w:right w:val="nil"/>
            </w:tcBorders>
            <w:shd w:val="clear" w:color="000000" w:fill="FFFFFF"/>
            <w:noWrap/>
            <w:tcMar>
              <w:top w:w="17" w:type="dxa"/>
              <w:left w:w="113" w:type="dxa"/>
              <w:bottom w:w="0" w:type="dxa"/>
              <w:right w:w="113" w:type="dxa"/>
            </w:tcMar>
            <w:hideMark/>
          </w:tcPr>
          <w:p w:rsidR="00282739" w:rsidRPr="00E40487" w:rsidRDefault="00282739" w:rsidP="003C6043">
            <w:pPr>
              <w:pStyle w:val="Tabletext"/>
              <w:spacing w:before="120"/>
              <w:rPr>
                <w:b/>
              </w:rPr>
            </w:pPr>
            <w:r w:rsidRPr="00E40487">
              <w:rPr>
                <w:b/>
              </w:rPr>
              <w:t>Total</w:t>
            </w:r>
          </w:p>
        </w:tc>
        <w:tc>
          <w:tcPr>
            <w:tcW w:w="1129" w:type="pct"/>
            <w:tcBorders>
              <w:left w:val="nil"/>
              <w:bottom w:val="single" w:sz="4" w:space="0" w:color="auto"/>
              <w:right w:val="nil"/>
            </w:tcBorders>
            <w:shd w:val="clear" w:color="000000" w:fill="FFFFFF"/>
            <w:tcMar>
              <w:left w:w="113" w:type="dxa"/>
              <w:right w:w="113" w:type="dxa"/>
            </w:tcMar>
          </w:tcPr>
          <w:p w:rsidR="00282739" w:rsidRPr="00E40487" w:rsidRDefault="00282739" w:rsidP="003C6043">
            <w:pPr>
              <w:pStyle w:val="Tabletext"/>
              <w:tabs>
                <w:tab w:val="decimal" w:pos="907"/>
              </w:tabs>
              <w:spacing w:before="120"/>
              <w:rPr>
                <w:b/>
                <w:szCs w:val="16"/>
              </w:rPr>
            </w:pPr>
            <w:r w:rsidRPr="00E40487">
              <w:rPr>
                <w:b/>
                <w:szCs w:val="16"/>
              </w:rPr>
              <w:t>99</w:t>
            </w:r>
          </w:p>
        </w:tc>
        <w:tc>
          <w:tcPr>
            <w:tcW w:w="1129" w:type="pct"/>
            <w:tcBorders>
              <w:left w:val="nil"/>
              <w:bottom w:val="single" w:sz="4" w:space="0" w:color="auto"/>
              <w:right w:val="nil"/>
            </w:tcBorders>
            <w:shd w:val="clear" w:color="000000" w:fill="FFFFFF"/>
            <w:tcMar>
              <w:left w:w="113" w:type="dxa"/>
              <w:right w:w="113" w:type="dxa"/>
            </w:tcMar>
          </w:tcPr>
          <w:p w:rsidR="00282739" w:rsidRPr="00E40487" w:rsidRDefault="00282739" w:rsidP="003C6043">
            <w:pPr>
              <w:pStyle w:val="Tabletext"/>
              <w:tabs>
                <w:tab w:val="decimal" w:pos="822"/>
              </w:tabs>
              <w:spacing w:before="120"/>
              <w:rPr>
                <w:b/>
                <w:szCs w:val="16"/>
              </w:rPr>
            </w:pPr>
            <w:r w:rsidRPr="006F0B54">
              <w:rPr>
                <w:b/>
                <w:szCs w:val="16"/>
              </w:rPr>
              <w:t>100.00</w:t>
            </w:r>
          </w:p>
        </w:tc>
      </w:tr>
    </w:tbl>
    <w:p w:rsidR="00282739" w:rsidRDefault="00282739" w:rsidP="00282739">
      <w:pPr>
        <w:pStyle w:val="Source"/>
      </w:pPr>
      <w:r>
        <w:t>Note:</w:t>
      </w:r>
      <w:r>
        <w:tab/>
        <w:t xml:space="preserve">The sample is restricted to those who only take one VET subject and who attain a university enter score. </w:t>
      </w:r>
    </w:p>
    <w:p w:rsidR="00282739" w:rsidRDefault="00282739" w:rsidP="00282739">
      <w:pPr>
        <w:pStyle w:val="tabletitle"/>
        <w:rPr>
          <w:vertAlign w:val="superscript"/>
        </w:rPr>
      </w:pPr>
      <w:bookmarkStart w:id="74" w:name="_Toc402794992"/>
      <w:r>
        <w:t>Table B9</w:t>
      </w:r>
      <w:r>
        <w:tab/>
        <w:t>Subjects taken by students who enrol in sport and recreation</w:t>
      </w:r>
      <w:r w:rsidRPr="00BE09AB">
        <w:rPr>
          <w:vertAlign w:val="superscript"/>
        </w:rPr>
        <w:t>a</w:t>
      </w:r>
      <w:bookmarkEnd w:id="74"/>
    </w:p>
    <w:tbl>
      <w:tblPr>
        <w:tblW w:w="8789" w:type="dxa"/>
        <w:tblInd w:w="113" w:type="dxa"/>
        <w:tblLayout w:type="fixed"/>
        <w:tblCellMar>
          <w:left w:w="113" w:type="dxa"/>
          <w:right w:w="113" w:type="dxa"/>
        </w:tblCellMar>
        <w:tblLook w:val="04A0" w:firstRow="1" w:lastRow="0" w:firstColumn="1" w:lastColumn="0" w:noHBand="0" w:noVBand="1"/>
      </w:tblPr>
      <w:tblGrid>
        <w:gridCol w:w="4819"/>
        <w:gridCol w:w="1985"/>
        <w:gridCol w:w="1985"/>
      </w:tblGrid>
      <w:tr w:rsidR="00282739" w:rsidRPr="00E40487" w:rsidTr="003C6043">
        <w:tc>
          <w:tcPr>
            <w:tcW w:w="2742" w:type="pct"/>
            <w:tcBorders>
              <w:top w:val="single" w:sz="4" w:space="0" w:color="auto"/>
              <w:left w:val="nil"/>
              <w:bottom w:val="single" w:sz="4" w:space="0" w:color="auto"/>
              <w:right w:val="nil"/>
            </w:tcBorders>
            <w:shd w:val="clear" w:color="000000" w:fill="FFFFFF"/>
            <w:noWrap/>
            <w:tcMar>
              <w:top w:w="17" w:type="dxa"/>
              <w:left w:w="113" w:type="dxa"/>
              <w:bottom w:w="0" w:type="dxa"/>
              <w:right w:w="113" w:type="dxa"/>
            </w:tcMar>
            <w:hideMark/>
          </w:tcPr>
          <w:p w:rsidR="00282739" w:rsidRPr="00E40487" w:rsidRDefault="00282739" w:rsidP="003C6043">
            <w:pPr>
              <w:pStyle w:val="Tablehead1"/>
            </w:pPr>
          </w:p>
        </w:tc>
        <w:tc>
          <w:tcPr>
            <w:tcW w:w="1129" w:type="pct"/>
            <w:tcBorders>
              <w:top w:val="single" w:sz="4" w:space="0" w:color="auto"/>
              <w:left w:val="nil"/>
              <w:bottom w:val="single" w:sz="4" w:space="0" w:color="auto"/>
              <w:right w:val="nil"/>
            </w:tcBorders>
            <w:shd w:val="clear" w:color="000000" w:fill="FFFFFF"/>
            <w:tcMar>
              <w:left w:w="113" w:type="dxa"/>
              <w:right w:w="113" w:type="dxa"/>
            </w:tcMar>
          </w:tcPr>
          <w:p w:rsidR="00282739" w:rsidRPr="00E40487" w:rsidRDefault="00282739" w:rsidP="003C6043">
            <w:pPr>
              <w:pStyle w:val="Tablehead1"/>
              <w:jc w:val="center"/>
            </w:pPr>
            <w:r w:rsidRPr="00E40487">
              <w:t>No.</w:t>
            </w:r>
          </w:p>
        </w:tc>
        <w:tc>
          <w:tcPr>
            <w:tcW w:w="1129" w:type="pct"/>
            <w:tcBorders>
              <w:top w:val="single" w:sz="4" w:space="0" w:color="auto"/>
              <w:left w:val="nil"/>
              <w:bottom w:val="single" w:sz="4" w:space="0" w:color="auto"/>
              <w:right w:val="nil"/>
            </w:tcBorders>
            <w:shd w:val="clear" w:color="000000" w:fill="FFFFFF"/>
            <w:tcMar>
              <w:left w:w="113" w:type="dxa"/>
              <w:right w:w="113" w:type="dxa"/>
            </w:tcMar>
          </w:tcPr>
          <w:p w:rsidR="00282739" w:rsidRPr="00E40487" w:rsidRDefault="00282739" w:rsidP="003C6043">
            <w:pPr>
              <w:pStyle w:val="Tablehead1"/>
              <w:jc w:val="center"/>
            </w:pPr>
            <w:r w:rsidRPr="00E40487">
              <w:t>%</w:t>
            </w:r>
          </w:p>
        </w:tc>
      </w:tr>
      <w:tr w:rsidR="00282739" w:rsidRPr="00830481" w:rsidTr="003C6043">
        <w:tc>
          <w:tcPr>
            <w:tcW w:w="2742" w:type="pct"/>
            <w:tcBorders>
              <w:left w:val="nil"/>
              <w:bottom w:val="nil"/>
              <w:right w:val="nil"/>
            </w:tcBorders>
            <w:shd w:val="clear" w:color="000000" w:fill="FFFFFF"/>
            <w:noWrap/>
            <w:tcMar>
              <w:top w:w="17" w:type="dxa"/>
              <w:left w:w="113" w:type="dxa"/>
              <w:bottom w:w="0" w:type="dxa"/>
              <w:right w:w="113" w:type="dxa"/>
            </w:tcMar>
            <w:hideMark/>
          </w:tcPr>
          <w:p w:rsidR="00282739" w:rsidRPr="00E40487" w:rsidRDefault="00282739" w:rsidP="003C6043">
            <w:pPr>
              <w:pStyle w:val="Tabletext"/>
              <w:spacing w:before="80"/>
              <w:rPr>
                <w:i/>
              </w:rPr>
            </w:pPr>
            <w:r w:rsidRPr="00E40487">
              <w:rPr>
                <w:i/>
              </w:rPr>
              <w:t>Take one of</w:t>
            </w:r>
          </w:p>
        </w:tc>
        <w:tc>
          <w:tcPr>
            <w:tcW w:w="1129" w:type="pct"/>
            <w:tcBorders>
              <w:left w:val="nil"/>
              <w:bottom w:val="nil"/>
              <w:right w:val="nil"/>
            </w:tcBorders>
            <w:shd w:val="clear" w:color="000000" w:fill="FFFFFF"/>
            <w:tcMar>
              <w:left w:w="113" w:type="dxa"/>
              <w:right w:w="113" w:type="dxa"/>
            </w:tcMar>
          </w:tcPr>
          <w:p w:rsidR="00282739" w:rsidRPr="007F43FF" w:rsidRDefault="00282739" w:rsidP="003C6043">
            <w:pPr>
              <w:pStyle w:val="Tabletext"/>
              <w:tabs>
                <w:tab w:val="decimal" w:pos="992"/>
              </w:tabs>
              <w:spacing w:before="80"/>
            </w:pPr>
          </w:p>
        </w:tc>
        <w:tc>
          <w:tcPr>
            <w:tcW w:w="1129" w:type="pct"/>
            <w:tcBorders>
              <w:left w:val="nil"/>
              <w:bottom w:val="nil"/>
              <w:right w:val="nil"/>
            </w:tcBorders>
            <w:shd w:val="clear" w:color="000000" w:fill="FFFFFF"/>
            <w:tcMar>
              <w:left w:w="113" w:type="dxa"/>
              <w:right w:w="113" w:type="dxa"/>
            </w:tcMar>
          </w:tcPr>
          <w:p w:rsidR="00282739" w:rsidRPr="007F43FF" w:rsidRDefault="00282739" w:rsidP="003C6043">
            <w:pPr>
              <w:pStyle w:val="Tabletext"/>
              <w:tabs>
                <w:tab w:val="decimal" w:pos="822"/>
              </w:tabs>
              <w:spacing w:before="80"/>
            </w:pP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Physical education</w:t>
            </w:r>
          </w:p>
        </w:tc>
        <w:tc>
          <w:tcPr>
            <w:tcW w:w="1129" w:type="pct"/>
            <w:tcBorders>
              <w:top w:val="nil"/>
              <w:left w:val="nil"/>
              <w:bottom w:val="nil"/>
              <w:right w:val="nil"/>
            </w:tcBorders>
            <w:shd w:val="clear" w:color="000000" w:fill="FFFFFF"/>
            <w:tcMar>
              <w:left w:w="113" w:type="dxa"/>
              <w:right w:w="113" w:type="dxa"/>
            </w:tcMar>
          </w:tcPr>
          <w:p w:rsidR="00282739" w:rsidRPr="007F43FF" w:rsidRDefault="00282739" w:rsidP="003C6043">
            <w:pPr>
              <w:pStyle w:val="Tabletext"/>
              <w:tabs>
                <w:tab w:val="decimal" w:pos="992"/>
              </w:tabs>
              <w:rPr>
                <w:szCs w:val="16"/>
              </w:rPr>
            </w:pPr>
            <w:r w:rsidRPr="007F43FF">
              <w:rPr>
                <w:szCs w:val="16"/>
              </w:rPr>
              <w:t>177</w:t>
            </w:r>
          </w:p>
        </w:tc>
        <w:tc>
          <w:tcPr>
            <w:tcW w:w="1129" w:type="pct"/>
            <w:tcBorders>
              <w:top w:val="nil"/>
              <w:left w:val="nil"/>
              <w:bottom w:val="nil"/>
              <w:right w:val="nil"/>
            </w:tcBorders>
            <w:shd w:val="clear" w:color="000000" w:fill="FFFFFF"/>
            <w:tcMar>
              <w:left w:w="113" w:type="dxa"/>
              <w:right w:w="113" w:type="dxa"/>
            </w:tcMar>
          </w:tcPr>
          <w:p w:rsidR="00282739" w:rsidRPr="007F43FF" w:rsidRDefault="00282739" w:rsidP="003C6043">
            <w:pPr>
              <w:pStyle w:val="Tabletext"/>
              <w:tabs>
                <w:tab w:val="decimal" w:pos="822"/>
              </w:tabs>
              <w:rPr>
                <w:szCs w:val="16"/>
              </w:rPr>
            </w:pPr>
            <w:r w:rsidRPr="007F43FF">
              <w:rPr>
                <w:szCs w:val="16"/>
              </w:rPr>
              <w:t>34.3</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Health and human development</w:t>
            </w:r>
          </w:p>
        </w:tc>
        <w:tc>
          <w:tcPr>
            <w:tcW w:w="1129" w:type="pct"/>
            <w:tcBorders>
              <w:top w:val="nil"/>
              <w:left w:val="nil"/>
              <w:bottom w:val="nil"/>
              <w:right w:val="nil"/>
            </w:tcBorders>
            <w:shd w:val="clear" w:color="000000" w:fill="FFFFFF"/>
            <w:tcMar>
              <w:left w:w="113" w:type="dxa"/>
              <w:right w:w="113" w:type="dxa"/>
            </w:tcMar>
          </w:tcPr>
          <w:p w:rsidR="00282739" w:rsidRPr="007F43FF" w:rsidRDefault="00282739" w:rsidP="003C6043">
            <w:pPr>
              <w:pStyle w:val="Tabletext"/>
              <w:tabs>
                <w:tab w:val="decimal" w:pos="992"/>
              </w:tabs>
              <w:rPr>
                <w:szCs w:val="16"/>
              </w:rPr>
            </w:pPr>
            <w:r w:rsidRPr="007F43FF">
              <w:rPr>
                <w:szCs w:val="16"/>
              </w:rPr>
              <w:t>70</w:t>
            </w:r>
          </w:p>
        </w:tc>
        <w:tc>
          <w:tcPr>
            <w:tcW w:w="1129" w:type="pct"/>
            <w:tcBorders>
              <w:top w:val="nil"/>
              <w:left w:val="nil"/>
              <w:bottom w:val="nil"/>
              <w:right w:val="nil"/>
            </w:tcBorders>
            <w:shd w:val="clear" w:color="000000" w:fill="FFFFFF"/>
            <w:tcMar>
              <w:left w:w="113" w:type="dxa"/>
              <w:right w:w="113" w:type="dxa"/>
            </w:tcMar>
          </w:tcPr>
          <w:p w:rsidR="00282739" w:rsidRPr="007F43FF" w:rsidRDefault="00282739" w:rsidP="003C6043">
            <w:pPr>
              <w:pStyle w:val="Tabletext"/>
              <w:tabs>
                <w:tab w:val="decimal" w:pos="822"/>
              </w:tabs>
              <w:rPr>
                <w:szCs w:val="16"/>
              </w:rPr>
            </w:pPr>
            <w:r w:rsidRPr="007F43FF">
              <w:rPr>
                <w:szCs w:val="16"/>
              </w:rPr>
              <w:t>13.57</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Outdoor and environmental studies</w:t>
            </w:r>
          </w:p>
        </w:tc>
        <w:tc>
          <w:tcPr>
            <w:tcW w:w="1129" w:type="pct"/>
            <w:tcBorders>
              <w:top w:val="nil"/>
              <w:left w:val="nil"/>
              <w:bottom w:val="nil"/>
              <w:right w:val="nil"/>
            </w:tcBorders>
            <w:shd w:val="clear" w:color="000000" w:fill="FFFFFF"/>
            <w:tcMar>
              <w:left w:w="113" w:type="dxa"/>
              <w:right w:w="113" w:type="dxa"/>
            </w:tcMar>
          </w:tcPr>
          <w:p w:rsidR="00282739" w:rsidRPr="007F43FF" w:rsidRDefault="00282739" w:rsidP="003C6043">
            <w:pPr>
              <w:pStyle w:val="Tabletext"/>
              <w:tabs>
                <w:tab w:val="decimal" w:pos="992"/>
              </w:tabs>
              <w:rPr>
                <w:szCs w:val="16"/>
              </w:rPr>
            </w:pPr>
            <w:r w:rsidRPr="007F43FF">
              <w:rPr>
                <w:szCs w:val="16"/>
              </w:rPr>
              <w:t>15</w:t>
            </w:r>
          </w:p>
        </w:tc>
        <w:tc>
          <w:tcPr>
            <w:tcW w:w="1129" w:type="pct"/>
            <w:tcBorders>
              <w:top w:val="nil"/>
              <w:left w:val="nil"/>
              <w:bottom w:val="nil"/>
              <w:right w:val="nil"/>
            </w:tcBorders>
            <w:shd w:val="clear" w:color="000000" w:fill="FFFFFF"/>
            <w:tcMar>
              <w:left w:w="113" w:type="dxa"/>
              <w:right w:w="113" w:type="dxa"/>
            </w:tcMar>
          </w:tcPr>
          <w:p w:rsidR="00282739" w:rsidRPr="007F43FF" w:rsidRDefault="00282739" w:rsidP="003C6043">
            <w:pPr>
              <w:pStyle w:val="Tabletext"/>
              <w:tabs>
                <w:tab w:val="decimal" w:pos="822"/>
              </w:tabs>
              <w:rPr>
                <w:szCs w:val="16"/>
              </w:rPr>
            </w:pPr>
            <w:r w:rsidRPr="007F43FF">
              <w:rPr>
                <w:szCs w:val="16"/>
              </w:rPr>
              <w:t>2.91</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E40487" w:rsidRDefault="00282739" w:rsidP="003C6043">
            <w:pPr>
              <w:pStyle w:val="Tabletext"/>
              <w:spacing w:before="120"/>
              <w:rPr>
                <w:i/>
              </w:rPr>
            </w:pPr>
            <w:r w:rsidRPr="00E40487">
              <w:rPr>
                <w:i/>
              </w:rPr>
              <w:t>Take two of</w:t>
            </w:r>
          </w:p>
        </w:tc>
        <w:tc>
          <w:tcPr>
            <w:tcW w:w="1129" w:type="pct"/>
            <w:tcBorders>
              <w:top w:val="nil"/>
              <w:left w:val="nil"/>
              <w:bottom w:val="nil"/>
              <w:right w:val="nil"/>
            </w:tcBorders>
            <w:shd w:val="clear" w:color="000000" w:fill="FFFFFF"/>
            <w:tcMar>
              <w:left w:w="113" w:type="dxa"/>
              <w:right w:w="113" w:type="dxa"/>
            </w:tcMar>
          </w:tcPr>
          <w:p w:rsidR="00282739" w:rsidRPr="007F43FF" w:rsidRDefault="00282739" w:rsidP="003C6043">
            <w:pPr>
              <w:pStyle w:val="Tabletext"/>
              <w:tabs>
                <w:tab w:val="decimal" w:pos="992"/>
              </w:tabs>
              <w:spacing w:before="120"/>
              <w:rPr>
                <w:szCs w:val="16"/>
              </w:rPr>
            </w:pPr>
          </w:p>
        </w:tc>
        <w:tc>
          <w:tcPr>
            <w:tcW w:w="1129" w:type="pct"/>
            <w:tcBorders>
              <w:top w:val="nil"/>
              <w:left w:val="nil"/>
              <w:bottom w:val="nil"/>
              <w:right w:val="nil"/>
            </w:tcBorders>
            <w:shd w:val="clear" w:color="000000" w:fill="FFFFFF"/>
            <w:tcMar>
              <w:left w:w="113" w:type="dxa"/>
              <w:right w:w="113" w:type="dxa"/>
            </w:tcMar>
          </w:tcPr>
          <w:p w:rsidR="00282739" w:rsidRPr="007F43FF" w:rsidRDefault="00282739" w:rsidP="003C6043">
            <w:pPr>
              <w:pStyle w:val="Tabletext"/>
              <w:tabs>
                <w:tab w:val="decimal" w:pos="822"/>
              </w:tabs>
              <w:spacing w:before="120"/>
              <w:rPr>
                <w:szCs w:val="16"/>
              </w:rPr>
            </w:pP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Physical education and health and human development</w:t>
            </w:r>
          </w:p>
        </w:tc>
        <w:tc>
          <w:tcPr>
            <w:tcW w:w="1129" w:type="pct"/>
            <w:tcBorders>
              <w:top w:val="nil"/>
              <w:left w:val="nil"/>
              <w:bottom w:val="nil"/>
              <w:right w:val="nil"/>
            </w:tcBorders>
            <w:shd w:val="clear" w:color="000000" w:fill="FFFFFF"/>
            <w:tcMar>
              <w:left w:w="113" w:type="dxa"/>
              <w:right w:w="113" w:type="dxa"/>
            </w:tcMar>
          </w:tcPr>
          <w:p w:rsidR="00282739" w:rsidRPr="007F43FF" w:rsidRDefault="00282739" w:rsidP="003C6043">
            <w:pPr>
              <w:pStyle w:val="Tabletext"/>
              <w:tabs>
                <w:tab w:val="decimal" w:pos="992"/>
              </w:tabs>
              <w:rPr>
                <w:szCs w:val="16"/>
              </w:rPr>
            </w:pPr>
            <w:r w:rsidRPr="007F43FF">
              <w:rPr>
                <w:szCs w:val="16"/>
              </w:rPr>
              <w:t>100</w:t>
            </w:r>
          </w:p>
        </w:tc>
        <w:tc>
          <w:tcPr>
            <w:tcW w:w="1129" w:type="pct"/>
            <w:tcBorders>
              <w:top w:val="nil"/>
              <w:left w:val="nil"/>
              <w:bottom w:val="nil"/>
              <w:right w:val="nil"/>
            </w:tcBorders>
            <w:shd w:val="clear" w:color="000000" w:fill="FFFFFF"/>
            <w:tcMar>
              <w:left w:w="113" w:type="dxa"/>
              <w:right w:w="113" w:type="dxa"/>
            </w:tcMar>
          </w:tcPr>
          <w:p w:rsidR="00282739" w:rsidRPr="007F43FF" w:rsidRDefault="00282739" w:rsidP="003C6043">
            <w:pPr>
              <w:pStyle w:val="Tabletext"/>
              <w:tabs>
                <w:tab w:val="decimal" w:pos="822"/>
              </w:tabs>
              <w:rPr>
                <w:szCs w:val="16"/>
              </w:rPr>
            </w:pPr>
            <w:r w:rsidRPr="007F43FF">
              <w:rPr>
                <w:szCs w:val="16"/>
              </w:rPr>
              <w:t>19.38</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Pr="00830481" w:rsidRDefault="00282739" w:rsidP="003C6043">
            <w:pPr>
              <w:pStyle w:val="Tabletext"/>
              <w:ind w:firstLine="171"/>
            </w:pPr>
            <w:r>
              <w:t>Physical education and outdoor and environmental studies</w:t>
            </w:r>
          </w:p>
        </w:tc>
        <w:tc>
          <w:tcPr>
            <w:tcW w:w="1129" w:type="pct"/>
            <w:tcBorders>
              <w:top w:val="nil"/>
              <w:left w:val="nil"/>
              <w:bottom w:val="nil"/>
              <w:right w:val="nil"/>
            </w:tcBorders>
            <w:shd w:val="clear" w:color="000000" w:fill="FFFFFF"/>
            <w:tcMar>
              <w:left w:w="113" w:type="dxa"/>
              <w:right w:w="113" w:type="dxa"/>
            </w:tcMar>
          </w:tcPr>
          <w:p w:rsidR="00282739" w:rsidRPr="007F43FF" w:rsidRDefault="00282739" w:rsidP="003C6043">
            <w:pPr>
              <w:pStyle w:val="Tabletext"/>
              <w:tabs>
                <w:tab w:val="decimal" w:pos="992"/>
              </w:tabs>
              <w:rPr>
                <w:szCs w:val="16"/>
              </w:rPr>
            </w:pPr>
            <w:r w:rsidRPr="007F43FF">
              <w:rPr>
                <w:szCs w:val="16"/>
              </w:rPr>
              <w:t>14</w:t>
            </w:r>
          </w:p>
        </w:tc>
        <w:tc>
          <w:tcPr>
            <w:tcW w:w="1129" w:type="pct"/>
            <w:tcBorders>
              <w:top w:val="nil"/>
              <w:left w:val="nil"/>
              <w:bottom w:val="nil"/>
              <w:right w:val="nil"/>
            </w:tcBorders>
            <w:shd w:val="clear" w:color="000000" w:fill="FFFFFF"/>
            <w:tcMar>
              <w:left w:w="113" w:type="dxa"/>
              <w:right w:w="113" w:type="dxa"/>
            </w:tcMar>
          </w:tcPr>
          <w:p w:rsidR="00282739" w:rsidRPr="007F43FF" w:rsidRDefault="00282739" w:rsidP="003C6043">
            <w:pPr>
              <w:pStyle w:val="Tabletext"/>
              <w:tabs>
                <w:tab w:val="decimal" w:pos="822"/>
              </w:tabs>
              <w:rPr>
                <w:szCs w:val="16"/>
              </w:rPr>
            </w:pPr>
            <w:r w:rsidRPr="007F43FF">
              <w:rPr>
                <w:szCs w:val="16"/>
              </w:rPr>
              <w:t>2.71</w:t>
            </w:r>
          </w:p>
        </w:tc>
      </w:tr>
      <w:tr w:rsidR="00282739" w:rsidRPr="00061D96" w:rsidTr="003C6043">
        <w:tc>
          <w:tcPr>
            <w:tcW w:w="2742" w:type="pct"/>
            <w:tcBorders>
              <w:top w:val="nil"/>
              <w:left w:val="nil"/>
              <w:bottom w:val="nil"/>
              <w:right w:val="nil"/>
            </w:tcBorders>
            <w:shd w:val="clear" w:color="000000" w:fill="FFFFFF"/>
            <w:noWrap/>
            <w:tcMar>
              <w:top w:w="17" w:type="dxa"/>
              <w:left w:w="113" w:type="dxa"/>
              <w:bottom w:w="0" w:type="dxa"/>
              <w:right w:w="113" w:type="dxa"/>
            </w:tcMar>
            <w:hideMark/>
          </w:tcPr>
          <w:p w:rsidR="00282739" w:rsidRDefault="00282739" w:rsidP="003C6043">
            <w:pPr>
              <w:pStyle w:val="Tabletext"/>
              <w:spacing w:after="0"/>
              <w:ind w:firstLine="170"/>
            </w:pPr>
            <w:r>
              <w:t>Health and human development and outdoor and</w:t>
            </w:r>
          </w:p>
          <w:p w:rsidR="00282739" w:rsidRPr="00830481" w:rsidRDefault="00282739" w:rsidP="003C6043">
            <w:pPr>
              <w:pStyle w:val="Tabletext"/>
              <w:spacing w:before="0"/>
              <w:ind w:firstLine="170"/>
            </w:pPr>
            <w:r>
              <w:t>environmental  studies</w:t>
            </w:r>
          </w:p>
        </w:tc>
        <w:tc>
          <w:tcPr>
            <w:tcW w:w="1129" w:type="pct"/>
            <w:tcBorders>
              <w:top w:val="nil"/>
              <w:left w:val="nil"/>
              <w:bottom w:val="nil"/>
              <w:right w:val="nil"/>
            </w:tcBorders>
            <w:shd w:val="clear" w:color="000000" w:fill="FFFFFF"/>
            <w:tcMar>
              <w:left w:w="113" w:type="dxa"/>
              <w:right w:w="113" w:type="dxa"/>
            </w:tcMar>
          </w:tcPr>
          <w:p w:rsidR="00282739" w:rsidRPr="007F43FF" w:rsidRDefault="00282739" w:rsidP="003C6043">
            <w:pPr>
              <w:pStyle w:val="Tabletext"/>
              <w:tabs>
                <w:tab w:val="decimal" w:pos="992"/>
              </w:tabs>
              <w:rPr>
                <w:szCs w:val="16"/>
              </w:rPr>
            </w:pPr>
            <w:r w:rsidRPr="007F43FF">
              <w:rPr>
                <w:szCs w:val="16"/>
              </w:rPr>
              <w:t>7</w:t>
            </w:r>
          </w:p>
        </w:tc>
        <w:tc>
          <w:tcPr>
            <w:tcW w:w="1129" w:type="pct"/>
            <w:tcBorders>
              <w:top w:val="nil"/>
              <w:left w:val="nil"/>
              <w:bottom w:val="nil"/>
              <w:right w:val="nil"/>
            </w:tcBorders>
            <w:shd w:val="clear" w:color="000000" w:fill="FFFFFF"/>
            <w:tcMar>
              <w:left w:w="113" w:type="dxa"/>
              <w:right w:w="113" w:type="dxa"/>
            </w:tcMar>
          </w:tcPr>
          <w:p w:rsidR="00282739" w:rsidRPr="007F43FF" w:rsidRDefault="00282739" w:rsidP="003C6043">
            <w:pPr>
              <w:pStyle w:val="Tabletext"/>
              <w:tabs>
                <w:tab w:val="decimal" w:pos="822"/>
              </w:tabs>
              <w:rPr>
                <w:szCs w:val="16"/>
              </w:rPr>
            </w:pPr>
            <w:r w:rsidRPr="007F43FF">
              <w:rPr>
                <w:szCs w:val="16"/>
              </w:rPr>
              <w:t>1.36</w:t>
            </w:r>
          </w:p>
        </w:tc>
      </w:tr>
      <w:tr w:rsidR="00282739" w:rsidRPr="00061D96" w:rsidTr="003C6043">
        <w:tc>
          <w:tcPr>
            <w:tcW w:w="2742" w:type="pct"/>
            <w:tcBorders>
              <w:top w:val="nil"/>
              <w:left w:val="nil"/>
              <w:right w:val="nil"/>
            </w:tcBorders>
            <w:shd w:val="clear" w:color="000000" w:fill="FFFFFF"/>
            <w:noWrap/>
            <w:tcMar>
              <w:top w:w="17" w:type="dxa"/>
              <w:left w:w="113" w:type="dxa"/>
              <w:bottom w:w="0" w:type="dxa"/>
              <w:right w:w="113" w:type="dxa"/>
            </w:tcMar>
            <w:hideMark/>
          </w:tcPr>
          <w:p w:rsidR="00282739" w:rsidRPr="00E40487" w:rsidRDefault="00282739" w:rsidP="003C6043">
            <w:pPr>
              <w:pStyle w:val="Tabletext"/>
              <w:spacing w:before="120"/>
              <w:rPr>
                <w:i/>
              </w:rPr>
            </w:pPr>
            <w:r w:rsidRPr="00E40487">
              <w:rPr>
                <w:i/>
              </w:rPr>
              <w:t>Take more than two of the above</w:t>
            </w:r>
          </w:p>
        </w:tc>
        <w:tc>
          <w:tcPr>
            <w:tcW w:w="1129" w:type="pct"/>
            <w:tcBorders>
              <w:top w:val="nil"/>
              <w:left w:val="nil"/>
              <w:right w:val="nil"/>
            </w:tcBorders>
            <w:shd w:val="clear" w:color="000000" w:fill="FFFFFF"/>
            <w:tcMar>
              <w:left w:w="113" w:type="dxa"/>
              <w:right w:w="113" w:type="dxa"/>
            </w:tcMar>
          </w:tcPr>
          <w:p w:rsidR="00282739" w:rsidRPr="007F43FF" w:rsidRDefault="00282739" w:rsidP="003C6043">
            <w:pPr>
              <w:pStyle w:val="Tabletext"/>
              <w:tabs>
                <w:tab w:val="decimal" w:pos="992"/>
              </w:tabs>
              <w:spacing w:before="120"/>
              <w:rPr>
                <w:szCs w:val="16"/>
              </w:rPr>
            </w:pPr>
            <w:r w:rsidRPr="007F43FF">
              <w:rPr>
                <w:szCs w:val="16"/>
              </w:rPr>
              <w:t>7</w:t>
            </w:r>
          </w:p>
        </w:tc>
        <w:tc>
          <w:tcPr>
            <w:tcW w:w="1129" w:type="pct"/>
            <w:tcBorders>
              <w:top w:val="nil"/>
              <w:left w:val="nil"/>
              <w:right w:val="nil"/>
            </w:tcBorders>
            <w:shd w:val="clear" w:color="000000" w:fill="FFFFFF"/>
            <w:tcMar>
              <w:left w:w="113" w:type="dxa"/>
              <w:right w:w="113" w:type="dxa"/>
            </w:tcMar>
          </w:tcPr>
          <w:p w:rsidR="00282739" w:rsidRPr="007F43FF" w:rsidRDefault="00282739" w:rsidP="003C6043">
            <w:pPr>
              <w:pStyle w:val="Tabletext"/>
              <w:tabs>
                <w:tab w:val="decimal" w:pos="822"/>
              </w:tabs>
              <w:spacing w:before="120"/>
              <w:rPr>
                <w:szCs w:val="16"/>
              </w:rPr>
            </w:pPr>
            <w:r w:rsidRPr="007F43FF">
              <w:rPr>
                <w:szCs w:val="16"/>
              </w:rPr>
              <w:t>1.36</w:t>
            </w:r>
          </w:p>
        </w:tc>
      </w:tr>
      <w:tr w:rsidR="00282739" w:rsidRPr="00061D96" w:rsidTr="003C6043">
        <w:tc>
          <w:tcPr>
            <w:tcW w:w="2742" w:type="pct"/>
            <w:tcBorders>
              <w:left w:val="nil"/>
              <w:right w:val="nil"/>
            </w:tcBorders>
            <w:shd w:val="clear" w:color="000000" w:fill="FFFFFF"/>
            <w:noWrap/>
            <w:tcMar>
              <w:top w:w="17" w:type="dxa"/>
              <w:left w:w="113" w:type="dxa"/>
              <w:bottom w:w="0" w:type="dxa"/>
              <w:right w:w="113" w:type="dxa"/>
            </w:tcMar>
            <w:hideMark/>
          </w:tcPr>
          <w:p w:rsidR="00282739" w:rsidRPr="00E40487" w:rsidRDefault="00282739" w:rsidP="003C6043">
            <w:pPr>
              <w:pStyle w:val="Tabletext"/>
              <w:spacing w:before="120"/>
              <w:rPr>
                <w:i/>
              </w:rPr>
            </w:pPr>
            <w:r w:rsidRPr="00E40487">
              <w:rPr>
                <w:i/>
              </w:rPr>
              <w:t>Take none of the above</w:t>
            </w:r>
          </w:p>
        </w:tc>
        <w:tc>
          <w:tcPr>
            <w:tcW w:w="1129" w:type="pct"/>
            <w:tcBorders>
              <w:left w:val="nil"/>
              <w:right w:val="nil"/>
            </w:tcBorders>
            <w:shd w:val="clear" w:color="000000" w:fill="FFFFFF"/>
            <w:tcMar>
              <w:left w:w="113" w:type="dxa"/>
              <w:right w:w="113" w:type="dxa"/>
            </w:tcMar>
          </w:tcPr>
          <w:p w:rsidR="00282739" w:rsidRPr="007F43FF" w:rsidRDefault="00282739" w:rsidP="003C6043">
            <w:pPr>
              <w:pStyle w:val="Tabletext"/>
              <w:tabs>
                <w:tab w:val="decimal" w:pos="992"/>
              </w:tabs>
              <w:spacing w:before="120"/>
              <w:rPr>
                <w:szCs w:val="16"/>
              </w:rPr>
            </w:pPr>
            <w:r w:rsidRPr="007F43FF">
              <w:rPr>
                <w:szCs w:val="16"/>
              </w:rPr>
              <w:t>126</w:t>
            </w:r>
          </w:p>
        </w:tc>
        <w:tc>
          <w:tcPr>
            <w:tcW w:w="1129" w:type="pct"/>
            <w:tcBorders>
              <w:left w:val="nil"/>
              <w:right w:val="nil"/>
            </w:tcBorders>
            <w:shd w:val="clear" w:color="000000" w:fill="FFFFFF"/>
            <w:tcMar>
              <w:left w:w="113" w:type="dxa"/>
              <w:right w:w="113" w:type="dxa"/>
            </w:tcMar>
          </w:tcPr>
          <w:p w:rsidR="00282739" w:rsidRPr="007F43FF" w:rsidRDefault="00282739" w:rsidP="003C6043">
            <w:pPr>
              <w:pStyle w:val="Tabletext"/>
              <w:tabs>
                <w:tab w:val="decimal" w:pos="822"/>
              </w:tabs>
              <w:spacing w:before="120"/>
              <w:rPr>
                <w:szCs w:val="16"/>
              </w:rPr>
            </w:pPr>
            <w:r w:rsidRPr="007F43FF">
              <w:rPr>
                <w:szCs w:val="16"/>
              </w:rPr>
              <w:t>24.42</w:t>
            </w:r>
          </w:p>
        </w:tc>
      </w:tr>
      <w:tr w:rsidR="00282739" w:rsidRPr="00E40487" w:rsidTr="003C6043">
        <w:tc>
          <w:tcPr>
            <w:tcW w:w="2742" w:type="pct"/>
            <w:tcBorders>
              <w:left w:val="nil"/>
              <w:bottom w:val="single" w:sz="4" w:space="0" w:color="auto"/>
              <w:right w:val="nil"/>
            </w:tcBorders>
            <w:shd w:val="clear" w:color="000000" w:fill="FFFFFF"/>
            <w:noWrap/>
            <w:tcMar>
              <w:top w:w="17" w:type="dxa"/>
              <w:left w:w="113" w:type="dxa"/>
              <w:bottom w:w="0" w:type="dxa"/>
              <w:right w:w="113" w:type="dxa"/>
            </w:tcMar>
            <w:hideMark/>
          </w:tcPr>
          <w:p w:rsidR="00282739" w:rsidRPr="00E40487" w:rsidRDefault="00282739" w:rsidP="003C6043">
            <w:pPr>
              <w:pStyle w:val="Tabletext"/>
              <w:spacing w:before="120"/>
              <w:rPr>
                <w:b/>
              </w:rPr>
            </w:pPr>
            <w:r w:rsidRPr="00E40487">
              <w:rPr>
                <w:b/>
              </w:rPr>
              <w:t>Total</w:t>
            </w:r>
          </w:p>
        </w:tc>
        <w:tc>
          <w:tcPr>
            <w:tcW w:w="1129" w:type="pct"/>
            <w:tcBorders>
              <w:left w:val="nil"/>
              <w:bottom w:val="single" w:sz="4" w:space="0" w:color="auto"/>
              <w:right w:val="nil"/>
            </w:tcBorders>
            <w:shd w:val="clear" w:color="000000" w:fill="FFFFFF"/>
            <w:tcMar>
              <w:left w:w="113" w:type="dxa"/>
              <w:right w:w="113" w:type="dxa"/>
            </w:tcMar>
          </w:tcPr>
          <w:p w:rsidR="00282739" w:rsidRPr="00E40487" w:rsidRDefault="00282739" w:rsidP="003C6043">
            <w:pPr>
              <w:pStyle w:val="Tabletext"/>
              <w:tabs>
                <w:tab w:val="decimal" w:pos="992"/>
              </w:tabs>
              <w:spacing w:before="120"/>
              <w:rPr>
                <w:b/>
                <w:szCs w:val="16"/>
              </w:rPr>
            </w:pPr>
            <w:r w:rsidRPr="00E40487">
              <w:rPr>
                <w:b/>
                <w:szCs w:val="16"/>
              </w:rPr>
              <w:t>516</w:t>
            </w:r>
          </w:p>
        </w:tc>
        <w:tc>
          <w:tcPr>
            <w:tcW w:w="1129" w:type="pct"/>
            <w:tcBorders>
              <w:left w:val="nil"/>
              <w:bottom w:val="single" w:sz="4" w:space="0" w:color="auto"/>
              <w:right w:val="nil"/>
            </w:tcBorders>
            <w:shd w:val="clear" w:color="000000" w:fill="FFFFFF"/>
            <w:tcMar>
              <w:left w:w="113" w:type="dxa"/>
              <w:right w:w="113" w:type="dxa"/>
            </w:tcMar>
          </w:tcPr>
          <w:p w:rsidR="00282739" w:rsidRPr="00E40487" w:rsidRDefault="00282739" w:rsidP="003C6043">
            <w:pPr>
              <w:pStyle w:val="Tabletext"/>
              <w:tabs>
                <w:tab w:val="decimal" w:pos="822"/>
              </w:tabs>
              <w:spacing w:before="120"/>
              <w:rPr>
                <w:b/>
                <w:szCs w:val="16"/>
              </w:rPr>
            </w:pPr>
            <w:r w:rsidRPr="006F0B54">
              <w:rPr>
                <w:b/>
                <w:szCs w:val="16"/>
              </w:rPr>
              <w:t>100.00</w:t>
            </w:r>
          </w:p>
        </w:tc>
      </w:tr>
    </w:tbl>
    <w:p w:rsidR="00282739" w:rsidRDefault="00282739" w:rsidP="00282739">
      <w:pPr>
        <w:pStyle w:val="Source"/>
        <w:tabs>
          <w:tab w:val="left" w:pos="993"/>
        </w:tabs>
      </w:pPr>
      <w:r>
        <w:t>Note:</w:t>
      </w:r>
      <w:r>
        <w:tab/>
        <w:t xml:space="preserve">The sample is restricted to those who only take one VET subject and who attain a university enter score. </w:t>
      </w:r>
      <w:r>
        <w:br/>
      </w:r>
      <w:r w:rsidRPr="00393196">
        <w:t>a</w:t>
      </w:r>
      <w:r>
        <w:tab/>
        <w:t xml:space="preserve">Includes sport and outdoor recreation. </w:t>
      </w:r>
    </w:p>
    <w:p w:rsidR="00282739" w:rsidRDefault="00282739" w:rsidP="00282739">
      <w:pPr>
        <w:pStyle w:val="Source"/>
        <w:spacing w:before="0" w:after="40"/>
      </w:pPr>
    </w:p>
    <w:p w:rsidR="00282739" w:rsidRDefault="00282739" w:rsidP="00282739">
      <w:pPr>
        <w:spacing w:before="0" w:line="240" w:lineRule="auto"/>
        <w:rPr>
          <w:rFonts w:ascii="Tahoma" w:hAnsi="Tahoma"/>
          <w:b/>
          <w:sz w:val="17"/>
        </w:rPr>
      </w:pPr>
      <w:r>
        <w:br w:type="page"/>
      </w:r>
    </w:p>
    <w:p w:rsidR="00282739" w:rsidRDefault="00282739" w:rsidP="00282739">
      <w:pPr>
        <w:pStyle w:val="Heading1"/>
      </w:pPr>
      <w:bookmarkStart w:id="75" w:name="_Toc402794970"/>
      <w:bookmarkStart w:id="76" w:name="_Toc456000800"/>
      <w:bookmarkStart w:id="77" w:name="_Toc457122465"/>
      <w:bookmarkStart w:id="78" w:name="_Toc188077643"/>
      <w:bookmarkEnd w:id="64"/>
      <w:bookmarkEnd w:id="65"/>
      <w:r>
        <w:lastRenderedPageBreak/>
        <w:t>Appendix C: Technical appendix</w:t>
      </w:r>
      <w:bookmarkEnd w:id="75"/>
    </w:p>
    <w:p w:rsidR="00282739" w:rsidRDefault="00282739" w:rsidP="00282739">
      <w:pPr>
        <w:pStyle w:val="Text"/>
        <w:rPr>
          <w:lang w:val="en-GB"/>
        </w:rPr>
      </w:pPr>
      <w:r>
        <w:fldChar w:fldCharType="begin"/>
      </w:r>
      <w:r>
        <w:instrText xml:space="preserve"> MACROBUTTON MTEditEquationSection2 </w:instrText>
      </w:r>
      <w:r w:rsidRPr="00EB4BCE">
        <w:rPr>
          <w:rStyle w:val="MTEquationSection"/>
        </w:rPr>
        <w:instrText>Equation Chapter  3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3 \h \* MERGEFORMAT </w:instrText>
      </w:r>
      <w:r>
        <w:fldChar w:fldCharType="end"/>
      </w:r>
      <w:r>
        <w:fldChar w:fldCharType="end"/>
      </w:r>
      <w:r>
        <w:t>As described in the text, an individual’s university entry score is derived by adding</w:t>
      </w:r>
      <w:r w:rsidRPr="0083551E">
        <w:t xml:space="preserve"> </w:t>
      </w:r>
      <w:r>
        <w:t xml:space="preserve">the highest English study score (from English, English as a second language or English literature) to </w:t>
      </w:r>
      <w:r w:rsidRPr="0083551E">
        <w:t xml:space="preserve">the </w:t>
      </w:r>
      <w:r>
        <w:t xml:space="preserve">remaining </w:t>
      </w:r>
      <w:r w:rsidRPr="0083551E">
        <w:t xml:space="preserve">best three </w:t>
      </w:r>
      <w:r>
        <w:t>subject scores</w:t>
      </w:r>
      <w:r w:rsidRPr="0083551E">
        <w:t xml:space="preserve"> in the final year of study</w:t>
      </w:r>
      <w:r>
        <w:rPr>
          <w:lang w:val="en-GB"/>
        </w:rPr>
        <w:t xml:space="preserve"> (known as the primary four subjects) and adding 10% of the fifth-best subject score. In algebraic notation:</w:t>
      </w:r>
    </w:p>
    <w:tbl>
      <w:tblPr>
        <w:tblStyle w:val="TableGrid"/>
        <w:tblW w:w="8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7625"/>
        <w:gridCol w:w="640"/>
      </w:tblGrid>
      <w:tr w:rsidR="00282739" w:rsidTr="003C6043">
        <w:trPr>
          <w:trHeight w:val="567"/>
        </w:trPr>
        <w:tc>
          <w:tcPr>
            <w:tcW w:w="469" w:type="dxa"/>
            <w:vAlign w:val="center"/>
          </w:tcPr>
          <w:p w:rsidR="00282739" w:rsidRDefault="00282739" w:rsidP="003C6043">
            <w:pPr>
              <w:pStyle w:val="Text"/>
              <w:spacing w:line="260" w:lineRule="exact"/>
              <w:ind w:right="0"/>
              <w:jc w:val="both"/>
            </w:pPr>
          </w:p>
        </w:tc>
        <w:tc>
          <w:tcPr>
            <w:tcW w:w="7625" w:type="dxa"/>
            <w:vAlign w:val="center"/>
          </w:tcPr>
          <w:p w:rsidR="00282739" w:rsidRDefault="00282739" w:rsidP="003C6043">
            <w:pPr>
              <w:pStyle w:val="Text"/>
              <w:tabs>
                <w:tab w:val="center" w:pos="3730"/>
                <w:tab w:val="right" w:pos="7460"/>
              </w:tabs>
              <w:spacing w:line="240" w:lineRule="auto"/>
              <w:ind w:right="0"/>
              <w:jc w:val="center"/>
            </w:pPr>
            <w:r w:rsidRPr="00C364FF">
              <w:rPr>
                <w:position w:val="-4"/>
                <w:lang w:val="en-AU"/>
              </w:rPr>
              <w:object w:dxaOrig="1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1.25pt" o:ole="">
                  <v:imagedata r:id="rId23" o:title=""/>
                </v:shape>
                <o:OLEObject Type="Embed" ProgID="Equation.DSMT4" ShapeID="_x0000_i1025" DrawAspect="Content" ObjectID="_1479886920" r:id="rId24"/>
              </w:object>
            </w:r>
            <w:r w:rsidRPr="001B68E7">
              <w:rPr>
                <w:position w:val="-22"/>
                <w:lang w:val="en-AU"/>
              </w:rPr>
              <w:object w:dxaOrig="2240" w:dyaOrig="560">
                <v:shape id="_x0000_i1026" type="#_x0000_t75" style="width:111.75pt;height:28.5pt" o:ole="">
                  <v:imagedata r:id="rId25" o:title=""/>
                </v:shape>
                <o:OLEObject Type="Embed" ProgID="Equation.DSMT4" ShapeID="_x0000_i1026" DrawAspect="Content" ObjectID="_1479886921" r:id="rId26"/>
              </w:object>
            </w:r>
          </w:p>
        </w:tc>
        <w:tc>
          <w:tcPr>
            <w:tcW w:w="640" w:type="dxa"/>
            <w:vAlign w:val="center"/>
          </w:tcPr>
          <w:p w:rsidR="00282739" w:rsidRDefault="00282739" w:rsidP="003C6043">
            <w:pPr>
              <w:pStyle w:val="Text"/>
              <w:spacing w:line="240" w:lineRule="auto"/>
              <w:ind w:right="0"/>
              <w:jc w:val="both"/>
            </w:pPr>
            <w:r>
              <w:fldChar w:fldCharType="begin"/>
            </w:r>
            <w:r>
              <w:instrText xml:space="preserve"> MACROBUTTON MTPlaceRef \* MERGEFORMAT </w:instrText>
            </w:r>
            <w:r>
              <w:fldChar w:fldCharType="begin"/>
            </w:r>
            <w:r>
              <w:instrText xml:space="preserve"> SEQ MTEqn \h \* MERGEFORMAT </w:instrText>
            </w:r>
            <w:r>
              <w:fldChar w:fldCharType="end"/>
            </w:r>
            <w:r>
              <w:instrText>(C.</w:instrText>
            </w:r>
            <w:fldSimple w:instr=" SEQ MTEqn \c \* Arabic \* MERGEFORMAT ">
              <w:r>
                <w:rPr>
                  <w:noProof/>
                </w:rPr>
                <w:instrText>1</w:instrText>
              </w:r>
            </w:fldSimple>
            <w:r>
              <w:instrText>)</w:instrText>
            </w:r>
            <w:r>
              <w:fldChar w:fldCharType="end"/>
            </w:r>
          </w:p>
        </w:tc>
      </w:tr>
    </w:tbl>
    <w:p w:rsidR="00282739" w:rsidRDefault="00282739" w:rsidP="00282739">
      <w:pPr>
        <w:pStyle w:val="Text"/>
        <w:rPr>
          <w:lang w:val="en-GB"/>
        </w:rPr>
      </w:pPr>
      <w:r>
        <w:rPr>
          <w:lang w:val="en-GB"/>
        </w:rPr>
        <w:t>where,</w:t>
      </w:r>
    </w:p>
    <w:tbl>
      <w:tblPr>
        <w:tblStyle w:val="TableGrid"/>
        <w:tblW w:w="8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7625"/>
        <w:gridCol w:w="640"/>
      </w:tblGrid>
      <w:tr w:rsidR="00282739" w:rsidTr="003C6043">
        <w:trPr>
          <w:trHeight w:val="631"/>
        </w:trPr>
        <w:tc>
          <w:tcPr>
            <w:tcW w:w="469" w:type="dxa"/>
          </w:tcPr>
          <w:p w:rsidR="00282739" w:rsidRDefault="00282739" w:rsidP="003C6043">
            <w:pPr>
              <w:pStyle w:val="Text"/>
              <w:spacing w:line="260" w:lineRule="exact"/>
              <w:ind w:right="0"/>
              <w:jc w:val="both"/>
            </w:pPr>
          </w:p>
        </w:tc>
        <w:tc>
          <w:tcPr>
            <w:tcW w:w="7625" w:type="dxa"/>
          </w:tcPr>
          <w:p w:rsidR="00282739" w:rsidRDefault="00282739" w:rsidP="003C6043">
            <w:pPr>
              <w:pStyle w:val="Text"/>
              <w:tabs>
                <w:tab w:val="center" w:pos="3730"/>
                <w:tab w:val="right" w:pos="7460"/>
              </w:tabs>
              <w:spacing w:line="240" w:lineRule="auto"/>
              <w:ind w:right="0"/>
              <w:jc w:val="center"/>
            </w:pPr>
            <w:r w:rsidRPr="001B68E7">
              <w:rPr>
                <w:position w:val="-40"/>
                <w:lang w:val="en-AU"/>
              </w:rPr>
              <w:object w:dxaOrig="6900" w:dyaOrig="920">
                <v:shape id="_x0000_i1027" type="#_x0000_t75" style="width:345pt;height:46.5pt" o:ole="">
                  <v:imagedata r:id="rId27" o:title=""/>
                </v:shape>
                <o:OLEObject Type="Embed" ProgID="Equation.DSMT4" ShapeID="_x0000_i1027" DrawAspect="Content" ObjectID="_1479886922" r:id="rId28"/>
              </w:object>
            </w:r>
          </w:p>
        </w:tc>
        <w:tc>
          <w:tcPr>
            <w:tcW w:w="640" w:type="dxa"/>
          </w:tcPr>
          <w:p w:rsidR="00282739" w:rsidRDefault="00282739" w:rsidP="003C6043">
            <w:pPr>
              <w:pStyle w:val="Text"/>
              <w:spacing w:line="240" w:lineRule="auto"/>
              <w:ind w:right="0"/>
              <w:jc w:val="both"/>
            </w:pPr>
          </w:p>
        </w:tc>
      </w:tr>
    </w:tbl>
    <w:p w:rsidR="00282739" w:rsidRDefault="00282739" w:rsidP="00282739">
      <w:pPr>
        <w:pStyle w:val="Text"/>
        <w:rPr>
          <w:lang w:val="en-GB"/>
        </w:rPr>
      </w:pPr>
      <w:r>
        <w:rPr>
          <w:lang w:val="en-GB"/>
        </w:rPr>
        <w:t xml:space="preserve">Note that if a sixth subject is taken, an extra 10% of that subject is added as well, which would mean adding </w:t>
      </w:r>
      <w:r w:rsidRPr="00381187">
        <w:rPr>
          <w:position w:val="-10"/>
          <w:lang w:val="en-GB"/>
        </w:rPr>
        <w:object w:dxaOrig="540" w:dyaOrig="300">
          <v:shape id="_x0000_i1028" type="#_x0000_t75" style="width:26.25pt;height:15pt" o:ole="">
            <v:imagedata r:id="rId29" o:title=""/>
          </v:shape>
          <o:OLEObject Type="Embed" ProgID="Equation.DSMT4" ShapeID="_x0000_i1028" DrawAspect="Content" ObjectID="_1479886923" r:id="rId30"/>
        </w:object>
      </w:r>
      <w:r>
        <w:rPr>
          <w:lang w:val="en-GB"/>
        </w:rPr>
        <w:t xml:space="preserve">to equation C.1. </w:t>
      </w:r>
    </w:p>
    <w:p w:rsidR="00282739" w:rsidRDefault="00282739" w:rsidP="00282739">
      <w:pPr>
        <w:pStyle w:val="Text"/>
        <w:rPr>
          <w:lang w:val="en-GB"/>
        </w:rPr>
      </w:pPr>
      <w:r>
        <w:rPr>
          <w:lang w:val="en-GB"/>
        </w:rPr>
        <w:t>To estimate the effect of taking a VCE VET subject on university entry scores, we estimate the difference in the entry score if a VCE VET subject is taken, minus the entry score if an alternative general subject is taken. To present this algebraically, we need to modify C.1 by introducing terms for weights (</w:t>
      </w:r>
      <w:r w:rsidRPr="00B3472C">
        <w:rPr>
          <w:i/>
          <w:lang w:val="en-GB"/>
        </w:rPr>
        <w:t>w</w:t>
      </w:r>
      <w:r>
        <w:rPr>
          <w:lang w:val="en-GB"/>
        </w:rPr>
        <w:t xml:space="preserve">), which are equal to 1 if the score is in the top three (excluding highest English subject) and 0.1 otherwise, and introduce subscripts </w:t>
      </w:r>
      <w:r w:rsidRPr="001B68E7">
        <w:rPr>
          <w:i/>
          <w:lang w:val="en-GB"/>
        </w:rPr>
        <w:t>VET</w:t>
      </w:r>
      <w:r>
        <w:rPr>
          <w:lang w:val="en-GB"/>
        </w:rPr>
        <w:t xml:space="preserve"> to denote a VCE VET subject and </w:t>
      </w:r>
      <w:r w:rsidRPr="00581C4F">
        <w:rPr>
          <w:i/>
          <w:lang w:val="en-GB"/>
        </w:rPr>
        <w:t>k</w:t>
      </w:r>
      <w:r>
        <w:rPr>
          <w:lang w:val="en-GB"/>
        </w:rPr>
        <w:t xml:space="preserve"> to denote a general subject (scored subjects that are neither the highest English score or a VCE VET subject):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gridCol w:w="7676"/>
        <w:gridCol w:w="639"/>
      </w:tblGrid>
      <w:tr w:rsidR="00282739" w:rsidTr="003C6043">
        <w:trPr>
          <w:trHeight w:val="680"/>
        </w:trPr>
        <w:tc>
          <w:tcPr>
            <w:tcW w:w="471" w:type="dxa"/>
            <w:vAlign w:val="center"/>
          </w:tcPr>
          <w:p w:rsidR="00282739" w:rsidRDefault="00282739" w:rsidP="003C6043">
            <w:pPr>
              <w:pStyle w:val="Text"/>
              <w:spacing w:line="260" w:lineRule="exact"/>
              <w:ind w:right="0"/>
              <w:jc w:val="both"/>
            </w:pPr>
          </w:p>
        </w:tc>
        <w:tc>
          <w:tcPr>
            <w:tcW w:w="7676" w:type="dxa"/>
            <w:vAlign w:val="center"/>
          </w:tcPr>
          <w:p w:rsidR="00282739" w:rsidRDefault="00282739" w:rsidP="003C6043">
            <w:pPr>
              <w:pStyle w:val="Text"/>
              <w:tabs>
                <w:tab w:val="center" w:pos="3730"/>
                <w:tab w:val="right" w:pos="7460"/>
              </w:tabs>
              <w:spacing w:line="240" w:lineRule="auto"/>
              <w:ind w:right="0"/>
              <w:jc w:val="center"/>
            </w:pPr>
            <w:r w:rsidRPr="00C364FF">
              <w:rPr>
                <w:position w:val="-4"/>
                <w:lang w:val="en-AU"/>
              </w:rPr>
              <w:object w:dxaOrig="160" w:dyaOrig="240">
                <v:shape id="_x0000_i1029" type="#_x0000_t75" style="width:8.25pt;height:11.25pt" o:ole="">
                  <v:imagedata r:id="rId23" o:title=""/>
                </v:shape>
                <o:OLEObject Type="Embed" ProgID="Equation.DSMT4" ShapeID="_x0000_i1029" DrawAspect="Content" ObjectID="_1479886924" r:id="rId31"/>
              </w:object>
            </w:r>
            <w:r w:rsidRPr="00C364FF">
              <w:rPr>
                <w:position w:val="-22"/>
                <w:lang w:val="en-AU"/>
              </w:rPr>
              <w:object w:dxaOrig="2799" w:dyaOrig="560">
                <v:shape id="_x0000_i1030" type="#_x0000_t75" style="width:139.5pt;height:28.5pt" o:ole="">
                  <v:imagedata r:id="rId32" o:title=""/>
                </v:shape>
                <o:OLEObject Type="Embed" ProgID="Equation.DSMT4" ShapeID="_x0000_i1030" DrawAspect="Content" ObjectID="_1479886925" r:id="rId33"/>
              </w:object>
            </w:r>
          </w:p>
        </w:tc>
        <w:tc>
          <w:tcPr>
            <w:tcW w:w="574" w:type="dxa"/>
            <w:vAlign w:val="center"/>
          </w:tcPr>
          <w:p w:rsidR="00282739" w:rsidRDefault="00282739" w:rsidP="003C6043">
            <w:pPr>
              <w:pStyle w:val="Text"/>
              <w:spacing w:line="240" w:lineRule="auto"/>
              <w:ind w:right="0"/>
              <w:jc w:val="both"/>
            </w:pPr>
            <w:r>
              <w:fldChar w:fldCharType="begin"/>
            </w:r>
            <w:r>
              <w:instrText xml:space="preserve"> MACROBUTTON MTPlaceRef \* MERGEFORMAT </w:instrText>
            </w:r>
            <w:r>
              <w:fldChar w:fldCharType="begin"/>
            </w:r>
            <w:r>
              <w:instrText xml:space="preserve"> SEQ MTEqn \h \* MERGEFORMAT </w:instrText>
            </w:r>
            <w:r>
              <w:fldChar w:fldCharType="end"/>
            </w:r>
            <w:r>
              <w:instrText>(C.</w:instrText>
            </w:r>
            <w:fldSimple w:instr=" SEQ MTEqn \c \* Arabic \* MERGEFORMAT ">
              <w:r>
                <w:rPr>
                  <w:noProof/>
                </w:rPr>
                <w:instrText>2</w:instrText>
              </w:r>
            </w:fldSimple>
            <w:r>
              <w:instrText>)</w:instrText>
            </w:r>
            <w:r>
              <w:fldChar w:fldCharType="end"/>
            </w:r>
          </w:p>
        </w:tc>
      </w:tr>
    </w:tbl>
    <w:p w:rsidR="00282739" w:rsidRDefault="00282739" w:rsidP="00282739">
      <w:pPr>
        <w:pStyle w:val="Text"/>
        <w:rPr>
          <w:lang w:val="en-GB"/>
        </w:rPr>
      </w:pPr>
      <w:r>
        <w:rPr>
          <w:lang w:val="en-GB"/>
        </w:rPr>
        <w:t xml:space="preserve">Algebraically, the effect of taking a VCE VET subject for individual </w:t>
      </w:r>
      <w:r w:rsidRPr="00B3472C">
        <w:rPr>
          <w:i/>
          <w:lang w:val="en-GB"/>
        </w:rPr>
        <w:t>i</w:t>
      </w:r>
      <w:r>
        <w:rPr>
          <w:lang w:val="en-GB"/>
        </w:rPr>
        <w:t xml:space="preserve"> is equal to the university entry score when a VCE VET subject is taken (</w:t>
      </w:r>
      <w:r w:rsidRPr="004F531B">
        <w:rPr>
          <w:position w:val="-10"/>
          <w:lang w:val="en-GB"/>
        </w:rPr>
        <w:object w:dxaOrig="200" w:dyaOrig="300">
          <v:shape id="_x0000_i1031" type="#_x0000_t75" style="width:10.5pt;height:15pt" o:ole="">
            <v:imagedata r:id="rId34" o:title=""/>
          </v:shape>
          <o:OLEObject Type="Embed" ProgID="Equation.DSMT4" ShapeID="_x0000_i1031" DrawAspect="Content" ObjectID="_1479886926" r:id="rId35"/>
        </w:object>
      </w:r>
      <w:r>
        <w:rPr>
          <w:lang w:val="en-GB"/>
        </w:rPr>
        <w:t>), less the score for the same individual if the VCE VET subject was not taken (</w:t>
      </w:r>
      <w:r w:rsidRPr="004F531B">
        <w:rPr>
          <w:position w:val="-10"/>
          <w:lang w:val="en-GB"/>
        </w:rPr>
        <w:object w:dxaOrig="200" w:dyaOrig="300">
          <v:shape id="_x0000_i1032" type="#_x0000_t75" style="width:10.5pt;height:15pt" o:ole="">
            <v:imagedata r:id="rId36" o:title=""/>
          </v:shape>
          <o:OLEObject Type="Embed" ProgID="Equation.DSMT4" ShapeID="_x0000_i1032" DrawAspect="Content" ObjectID="_1479886927" r:id="rId37"/>
        </w:object>
      </w:r>
      <w:r>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7620"/>
        <w:gridCol w:w="639"/>
      </w:tblGrid>
      <w:tr w:rsidR="00282739" w:rsidTr="003C6043">
        <w:trPr>
          <w:trHeight w:val="680"/>
        </w:trPr>
        <w:tc>
          <w:tcPr>
            <w:tcW w:w="462" w:type="dxa"/>
            <w:vAlign w:val="center"/>
          </w:tcPr>
          <w:p w:rsidR="00282739" w:rsidRDefault="00282739" w:rsidP="003C6043">
            <w:pPr>
              <w:pStyle w:val="Text"/>
              <w:spacing w:line="260" w:lineRule="exact"/>
              <w:ind w:right="0"/>
              <w:jc w:val="both"/>
            </w:pPr>
          </w:p>
        </w:tc>
        <w:tc>
          <w:tcPr>
            <w:tcW w:w="7620" w:type="dxa"/>
            <w:vAlign w:val="center"/>
          </w:tcPr>
          <w:p w:rsidR="00282739" w:rsidRDefault="00282739" w:rsidP="003C6043">
            <w:pPr>
              <w:pStyle w:val="Text"/>
              <w:tabs>
                <w:tab w:val="center" w:pos="3730"/>
                <w:tab w:val="right" w:pos="7460"/>
              </w:tabs>
              <w:spacing w:line="240" w:lineRule="auto"/>
              <w:ind w:right="0"/>
              <w:jc w:val="center"/>
            </w:pPr>
            <w:r w:rsidRPr="00C364FF">
              <w:rPr>
                <w:position w:val="-4"/>
                <w:lang w:val="en-AU"/>
              </w:rPr>
              <w:object w:dxaOrig="160" w:dyaOrig="240">
                <v:shape id="_x0000_i1033" type="#_x0000_t75" style="width:8.25pt;height:11.25pt" o:ole="">
                  <v:imagedata r:id="rId23" o:title=""/>
                </v:shape>
                <o:OLEObject Type="Embed" ProgID="Equation.DSMT4" ShapeID="_x0000_i1033" DrawAspect="Content" ObjectID="_1479886928" r:id="rId38"/>
              </w:object>
            </w:r>
            <w:r w:rsidRPr="00C024F0">
              <w:rPr>
                <w:position w:val="-26"/>
                <w:lang w:val="en-AU"/>
              </w:rPr>
              <w:object w:dxaOrig="6000" w:dyaOrig="600">
                <v:shape id="_x0000_i1034" type="#_x0000_t75" style="width:300pt;height:30pt" o:ole="">
                  <v:imagedata r:id="rId39" o:title=""/>
                </v:shape>
                <o:OLEObject Type="Embed" ProgID="Equation.DSMT4" ShapeID="_x0000_i1034" DrawAspect="Content" ObjectID="_1479886929" r:id="rId40"/>
              </w:object>
            </w:r>
          </w:p>
        </w:tc>
        <w:tc>
          <w:tcPr>
            <w:tcW w:w="639" w:type="dxa"/>
            <w:vAlign w:val="center"/>
          </w:tcPr>
          <w:p w:rsidR="00282739" w:rsidRDefault="00282739" w:rsidP="003C6043">
            <w:pPr>
              <w:pStyle w:val="Text"/>
              <w:spacing w:line="240" w:lineRule="auto"/>
              <w:ind w:right="0"/>
              <w:jc w:val="both"/>
            </w:pPr>
            <w:r>
              <w:fldChar w:fldCharType="begin"/>
            </w:r>
            <w:r>
              <w:instrText xml:space="preserve"> MACROBUTTON MTPlaceRef \* MERGEFORMAT </w:instrText>
            </w:r>
            <w:r>
              <w:fldChar w:fldCharType="begin"/>
            </w:r>
            <w:r>
              <w:instrText xml:space="preserve"> SEQ MTEqn \h \* MERGEFORMAT </w:instrText>
            </w:r>
            <w:r>
              <w:fldChar w:fldCharType="end"/>
            </w:r>
            <w:r>
              <w:instrText>(C.</w:instrText>
            </w:r>
            <w:fldSimple w:instr=" SEQ MTEqn \c \* Arabic \* MERGEFORMAT ">
              <w:r>
                <w:rPr>
                  <w:noProof/>
                </w:rPr>
                <w:instrText>3</w:instrText>
              </w:r>
            </w:fldSimple>
            <w:r>
              <w:instrText>)</w:instrText>
            </w:r>
            <w:r>
              <w:fldChar w:fldCharType="end"/>
            </w:r>
          </w:p>
        </w:tc>
      </w:tr>
    </w:tbl>
    <w:p w:rsidR="00282739" w:rsidRDefault="00282739" w:rsidP="00282739">
      <w:pPr>
        <w:pStyle w:val="Text"/>
      </w:pPr>
      <w:r>
        <w:rPr>
          <w:lang w:val="en-GB"/>
        </w:rPr>
        <w:t>In this study, we assume that the effect of taking a VCE VET subject (equation C.3), for students observed to take such subjects, can be described as the sum of two effects — a direct and an indirect effect of taking a VCE VET subject.</w:t>
      </w:r>
      <w:r w:rsidRPr="00042201">
        <w:t xml:space="preserve"> </w:t>
      </w:r>
      <w:r>
        <w:t xml:space="preserve">The direct effect is the weighted subject score for individual </w:t>
      </w:r>
      <w:r w:rsidRPr="004F531B">
        <w:rPr>
          <w:i/>
        </w:rPr>
        <w:t>i</w:t>
      </w:r>
      <w:r>
        <w:t xml:space="preserve">’s chosen VCE VET subject, relative to the weighted subject score if individual </w:t>
      </w:r>
      <w:r w:rsidRPr="00AD1CBE">
        <w:rPr>
          <w:i/>
        </w:rPr>
        <w:t>i</w:t>
      </w:r>
      <w:r>
        <w:t xml:space="preserve"> took a general subject instead, all else being equal, while the indirect effect, or spillover effect, is the impact from taking a VCE VET subject on the</w:t>
      </w:r>
      <w:r w:rsidRPr="008C054E">
        <w:t xml:space="preserve"> </w:t>
      </w:r>
      <w:r>
        <w:t xml:space="preserve">subject scores of general subjects taken by individual </w:t>
      </w:r>
      <w:r w:rsidRPr="00AD1CBE">
        <w:rPr>
          <w:i/>
        </w:rPr>
        <w:t>i</w:t>
      </w:r>
      <w:r>
        <w:t>. The decomposition of C.3 can thus be expressed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7620"/>
        <w:gridCol w:w="639"/>
      </w:tblGrid>
      <w:tr w:rsidR="00282739" w:rsidTr="003C6043">
        <w:trPr>
          <w:trHeight w:val="680"/>
        </w:trPr>
        <w:tc>
          <w:tcPr>
            <w:tcW w:w="462" w:type="dxa"/>
            <w:vAlign w:val="center"/>
          </w:tcPr>
          <w:p w:rsidR="00282739" w:rsidRDefault="00282739" w:rsidP="003C6043">
            <w:pPr>
              <w:pStyle w:val="Text"/>
              <w:spacing w:line="260" w:lineRule="exact"/>
              <w:ind w:right="0"/>
              <w:jc w:val="both"/>
            </w:pPr>
          </w:p>
        </w:tc>
        <w:tc>
          <w:tcPr>
            <w:tcW w:w="7620" w:type="dxa"/>
            <w:vAlign w:val="center"/>
          </w:tcPr>
          <w:p w:rsidR="00282739" w:rsidRDefault="00282739" w:rsidP="003C6043">
            <w:pPr>
              <w:pStyle w:val="Text"/>
              <w:tabs>
                <w:tab w:val="center" w:pos="3730"/>
                <w:tab w:val="right" w:pos="7460"/>
              </w:tabs>
              <w:spacing w:line="240" w:lineRule="auto"/>
              <w:ind w:right="0"/>
              <w:jc w:val="center"/>
            </w:pPr>
            <w:r w:rsidRPr="00C364FF">
              <w:rPr>
                <w:position w:val="-4"/>
                <w:lang w:val="en-AU"/>
              </w:rPr>
              <w:object w:dxaOrig="160" w:dyaOrig="240">
                <v:shape id="_x0000_i1035" type="#_x0000_t75" style="width:8.25pt;height:11.25pt" o:ole="">
                  <v:imagedata r:id="rId23" o:title=""/>
                </v:shape>
                <o:OLEObject Type="Embed" ProgID="Equation.DSMT4" ShapeID="_x0000_i1035" DrawAspect="Content" ObjectID="_1479886930" r:id="rId41"/>
              </w:object>
            </w:r>
            <w:r w:rsidRPr="003876CD">
              <w:rPr>
                <w:position w:val="-12"/>
                <w:lang w:val="en-AU"/>
              </w:rPr>
              <w:object w:dxaOrig="2600" w:dyaOrig="340">
                <v:shape id="_x0000_i1036" type="#_x0000_t75" style="width:129pt;height:17.25pt" o:ole="">
                  <v:imagedata r:id="rId42" o:title=""/>
                </v:shape>
                <o:OLEObject Type="Embed" ProgID="Equation.DSMT4" ShapeID="_x0000_i1036" DrawAspect="Content" ObjectID="_1479886931" r:id="rId43"/>
              </w:object>
            </w:r>
          </w:p>
        </w:tc>
        <w:tc>
          <w:tcPr>
            <w:tcW w:w="639" w:type="dxa"/>
            <w:vAlign w:val="center"/>
          </w:tcPr>
          <w:p w:rsidR="00282739" w:rsidRDefault="00282739" w:rsidP="003C6043">
            <w:pPr>
              <w:pStyle w:val="Text"/>
              <w:spacing w:line="240" w:lineRule="auto"/>
              <w:ind w:right="0"/>
              <w:jc w:val="both"/>
            </w:pPr>
            <w:r>
              <w:fldChar w:fldCharType="begin"/>
            </w:r>
            <w:r>
              <w:instrText xml:space="preserve"> MACROBUTTON MTPlaceRef \* MERGEFORMAT </w:instrText>
            </w:r>
            <w:r>
              <w:fldChar w:fldCharType="begin"/>
            </w:r>
            <w:r>
              <w:instrText xml:space="preserve"> SEQ MTEqn \h \* MERGEFORMAT </w:instrText>
            </w:r>
            <w:r>
              <w:fldChar w:fldCharType="end"/>
            </w:r>
            <w:r>
              <w:instrText>(C.</w:instrText>
            </w:r>
            <w:fldSimple w:instr=" SEQ MTEqn \c \* Arabic \* MERGEFORMAT ">
              <w:r>
                <w:rPr>
                  <w:noProof/>
                </w:rPr>
                <w:instrText>4</w:instrText>
              </w:r>
            </w:fldSimple>
            <w:r>
              <w:instrText>)</w:instrText>
            </w:r>
            <w:r>
              <w:fldChar w:fldCharType="end"/>
            </w:r>
          </w:p>
        </w:tc>
      </w:tr>
      <w:tr w:rsidR="00282739" w:rsidTr="003C6043">
        <w:trPr>
          <w:trHeight w:val="680"/>
        </w:trPr>
        <w:tc>
          <w:tcPr>
            <w:tcW w:w="462" w:type="dxa"/>
            <w:vAlign w:val="center"/>
          </w:tcPr>
          <w:p w:rsidR="00282739" w:rsidRDefault="00282739" w:rsidP="003C6043">
            <w:pPr>
              <w:pStyle w:val="Text"/>
              <w:spacing w:line="260" w:lineRule="exact"/>
              <w:ind w:right="0"/>
              <w:jc w:val="both"/>
            </w:pPr>
          </w:p>
        </w:tc>
        <w:tc>
          <w:tcPr>
            <w:tcW w:w="7620" w:type="dxa"/>
            <w:vAlign w:val="center"/>
          </w:tcPr>
          <w:p w:rsidR="00282739" w:rsidRDefault="00282739" w:rsidP="003C6043">
            <w:pPr>
              <w:pStyle w:val="Text"/>
              <w:tabs>
                <w:tab w:val="center" w:pos="3730"/>
                <w:tab w:val="right" w:pos="7460"/>
              </w:tabs>
              <w:spacing w:line="240" w:lineRule="auto"/>
              <w:ind w:right="0"/>
              <w:jc w:val="center"/>
            </w:pPr>
            <w:r w:rsidRPr="00C364FF">
              <w:rPr>
                <w:position w:val="-4"/>
                <w:lang w:val="en-AU"/>
              </w:rPr>
              <w:object w:dxaOrig="160" w:dyaOrig="240">
                <v:shape id="_x0000_i1037" type="#_x0000_t75" style="width:8.25pt;height:11.25pt" o:ole="">
                  <v:imagedata r:id="rId23" o:title=""/>
                </v:shape>
                <o:OLEObject Type="Embed" ProgID="Equation.DSMT4" ShapeID="_x0000_i1037" DrawAspect="Content" ObjectID="_1479886932" r:id="rId44"/>
              </w:object>
            </w:r>
            <w:r w:rsidRPr="003876CD">
              <w:rPr>
                <w:position w:val="-26"/>
                <w:lang w:val="en-AU"/>
              </w:rPr>
              <w:object w:dxaOrig="3820" w:dyaOrig="600">
                <v:shape id="_x0000_i1038" type="#_x0000_t75" style="width:190.5pt;height:30pt" o:ole="">
                  <v:imagedata r:id="rId45" o:title=""/>
                </v:shape>
                <o:OLEObject Type="Embed" ProgID="Equation.DSMT4" ShapeID="_x0000_i1038" DrawAspect="Content" ObjectID="_1479886933" r:id="rId46"/>
              </w:object>
            </w:r>
          </w:p>
        </w:tc>
        <w:tc>
          <w:tcPr>
            <w:tcW w:w="639" w:type="dxa"/>
            <w:vAlign w:val="center"/>
          </w:tcPr>
          <w:p w:rsidR="00282739" w:rsidRDefault="00282739" w:rsidP="003C6043">
            <w:pPr>
              <w:pStyle w:val="Text"/>
              <w:spacing w:line="240" w:lineRule="auto"/>
              <w:ind w:right="0"/>
              <w:jc w:val="both"/>
            </w:pPr>
            <w:r>
              <w:fldChar w:fldCharType="begin"/>
            </w:r>
            <w:r>
              <w:instrText xml:space="preserve"> MACROBUTTON MTPlaceRef \* MERGEFORMAT </w:instrText>
            </w:r>
            <w:r>
              <w:fldChar w:fldCharType="begin"/>
            </w:r>
            <w:r>
              <w:instrText xml:space="preserve"> SEQ MTEqn \h \* MERGEFORMAT </w:instrText>
            </w:r>
            <w:r>
              <w:fldChar w:fldCharType="end"/>
            </w:r>
            <w:r>
              <w:instrText>(C.</w:instrText>
            </w:r>
            <w:fldSimple w:instr=" SEQ MTEqn \c \* Arabic \* MERGEFORMAT ">
              <w:r>
                <w:rPr>
                  <w:noProof/>
                </w:rPr>
                <w:instrText>5</w:instrText>
              </w:r>
            </w:fldSimple>
            <w:r>
              <w:instrText>)</w:instrText>
            </w:r>
            <w:r>
              <w:fldChar w:fldCharType="end"/>
            </w:r>
          </w:p>
        </w:tc>
      </w:tr>
    </w:tbl>
    <w:p w:rsidR="00282739" w:rsidRDefault="00282739" w:rsidP="00282739">
      <w:pPr>
        <w:pStyle w:val="Text"/>
        <w:rPr>
          <w:lang w:val="en-GB"/>
        </w:rPr>
      </w:pPr>
      <w:r>
        <w:rPr>
          <w:lang w:val="en-GB"/>
        </w:rPr>
        <w:t xml:space="preserve">A problem with estimating equations C.3—C.5 is that we do not observe the counterfactual outcomes (the second terms in C.4 and C.5), which is known as the classic evaluation problem. Propensity score </w:t>
      </w:r>
      <w:r>
        <w:rPr>
          <w:lang w:val="en-GB"/>
        </w:rPr>
        <w:lastRenderedPageBreak/>
        <w:t>matching addresses this problem by constructing a counterfactual outcome using information from ‘matched’ or ‘like’ individuals who did not take a VET subject (control group). Before matching is conducted, assumptions are needed on what the counterfactual outcomes for the control group are.</w:t>
      </w:r>
    </w:p>
    <w:p w:rsidR="00282739" w:rsidRDefault="00282739" w:rsidP="00282739">
      <w:pPr>
        <w:pStyle w:val="Text"/>
        <w:spacing w:before="240"/>
        <w:rPr>
          <w:lang w:val="en-GB"/>
        </w:rPr>
      </w:pPr>
      <w:r>
        <w:rPr>
          <w:lang w:val="en-GB"/>
        </w:rPr>
        <w:t xml:space="preserve">Ideally, we would limit the control group for each </w:t>
      </w:r>
      <w:r w:rsidRPr="00D45CFB">
        <w:rPr>
          <w:i/>
          <w:lang w:val="en-GB"/>
        </w:rPr>
        <w:t>i</w:t>
      </w:r>
      <w:r>
        <w:rPr>
          <w:lang w:val="en-GB"/>
        </w:rPr>
        <w:t xml:space="preserve"> treatment group member as individuals who take the same subjects, except take another general subject instead of a VCE VET subject. However, students have a great deal of flexibility in the choice of up to around 60 subjects (not including VCE VET subjects), which means that such a control group limited on these grounds would be too small to construct well-matched counterfactual outcomes. Instead, we have to make assumptions about the counterfactual outcomes </w:t>
      </w:r>
      <w:r w:rsidRPr="00D45CFB">
        <w:rPr>
          <w:position w:val="-10"/>
          <w:lang w:val="en-GB"/>
        </w:rPr>
        <w:object w:dxaOrig="520" w:dyaOrig="300">
          <v:shape id="_x0000_i1039" type="#_x0000_t75" style="width:25.5pt;height:15pt" o:ole="">
            <v:imagedata r:id="rId47" o:title=""/>
          </v:shape>
          <o:OLEObject Type="Embed" ProgID="Equation.DSMT4" ShapeID="_x0000_i1039" DrawAspect="Content" ObjectID="_1479886934" r:id="rId48"/>
        </w:object>
      </w:r>
      <w:r>
        <w:rPr>
          <w:lang w:val="en-GB"/>
        </w:rPr>
        <w:t xml:space="preserve"> and </w:t>
      </w:r>
      <w:r w:rsidRPr="00D45CFB">
        <w:rPr>
          <w:position w:val="-10"/>
          <w:lang w:val="en-GB"/>
        </w:rPr>
        <w:object w:dxaOrig="800" w:dyaOrig="300">
          <v:shape id="_x0000_i1040" type="#_x0000_t75" style="width:40.5pt;height:15pt" o:ole="">
            <v:imagedata r:id="rId49" o:title=""/>
          </v:shape>
          <o:OLEObject Type="Embed" ProgID="Equation.DSMT4" ShapeID="_x0000_i1040" DrawAspect="Content" ObjectID="_1479886935" r:id="rId50"/>
        </w:object>
      </w:r>
      <w:r>
        <w:rPr>
          <w:lang w:val="en-GB"/>
        </w:rPr>
        <w:t xml:space="preserve">. The standard assumption used in this study is that individual </w:t>
      </w:r>
      <w:r w:rsidRPr="003E4E5A">
        <w:rPr>
          <w:i/>
          <w:lang w:val="en-GB"/>
        </w:rPr>
        <w:t>i</w:t>
      </w:r>
      <w:r>
        <w:rPr>
          <w:lang w:val="en-GB"/>
        </w:rPr>
        <w:t xml:space="preserve">’s counterfactual outcome is the same for each subject and is equal to the average weighted subject scores from </w:t>
      </w:r>
      <w:r w:rsidRPr="001B68E7">
        <w:rPr>
          <w:i/>
          <w:lang w:val="en-GB"/>
        </w:rPr>
        <w:t>j</w:t>
      </w:r>
      <w:r>
        <w:rPr>
          <w:lang w:val="en-GB"/>
        </w:rPr>
        <w:t xml:space="preserve"> members of the control group: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7620"/>
        <w:gridCol w:w="639"/>
      </w:tblGrid>
      <w:tr w:rsidR="00282739" w:rsidTr="003C6043">
        <w:trPr>
          <w:trHeight w:val="680"/>
        </w:trPr>
        <w:tc>
          <w:tcPr>
            <w:tcW w:w="462" w:type="dxa"/>
            <w:vAlign w:val="center"/>
          </w:tcPr>
          <w:p w:rsidR="00282739" w:rsidRDefault="00282739" w:rsidP="003C6043">
            <w:pPr>
              <w:pStyle w:val="Text"/>
              <w:spacing w:line="260" w:lineRule="exact"/>
              <w:ind w:right="0"/>
              <w:jc w:val="both"/>
            </w:pPr>
          </w:p>
        </w:tc>
        <w:tc>
          <w:tcPr>
            <w:tcW w:w="7620" w:type="dxa"/>
            <w:vAlign w:val="center"/>
          </w:tcPr>
          <w:p w:rsidR="00282739" w:rsidRDefault="00282739" w:rsidP="003C6043">
            <w:pPr>
              <w:pStyle w:val="Text"/>
              <w:tabs>
                <w:tab w:val="center" w:pos="3730"/>
                <w:tab w:val="right" w:pos="7460"/>
              </w:tabs>
              <w:spacing w:line="240" w:lineRule="auto"/>
              <w:ind w:right="0"/>
              <w:jc w:val="center"/>
            </w:pPr>
            <w:r w:rsidRPr="00B34038">
              <w:rPr>
                <w:position w:val="-26"/>
                <w:lang w:val="en-AU"/>
              </w:rPr>
              <w:object w:dxaOrig="3240" w:dyaOrig="880">
                <v:shape id="_x0000_i1041" type="#_x0000_t75" style="width:162pt;height:43.5pt" o:ole="">
                  <v:imagedata r:id="rId51" o:title=""/>
                </v:shape>
                <o:OLEObject Type="Embed" ProgID="Equation.DSMT4" ShapeID="_x0000_i1041" DrawAspect="Content" ObjectID="_1479886936" r:id="rId52"/>
              </w:object>
            </w:r>
            <w:r w:rsidRPr="00C364FF">
              <w:rPr>
                <w:position w:val="-4"/>
                <w:lang w:val="en-AU"/>
              </w:rPr>
              <w:object w:dxaOrig="160" w:dyaOrig="240">
                <v:shape id="_x0000_i1042" type="#_x0000_t75" style="width:8.25pt;height:11.25pt" o:ole="">
                  <v:imagedata r:id="rId23" o:title=""/>
                </v:shape>
                <o:OLEObject Type="Embed" ProgID="Equation.DSMT4" ShapeID="_x0000_i1042" DrawAspect="Content" ObjectID="_1479886937" r:id="rId53"/>
              </w:object>
            </w:r>
          </w:p>
        </w:tc>
        <w:tc>
          <w:tcPr>
            <w:tcW w:w="639" w:type="dxa"/>
            <w:vAlign w:val="center"/>
          </w:tcPr>
          <w:p w:rsidR="00282739" w:rsidRDefault="00282739" w:rsidP="003C6043">
            <w:pPr>
              <w:pStyle w:val="Text"/>
              <w:spacing w:line="240" w:lineRule="auto"/>
              <w:ind w:right="0"/>
              <w:jc w:val="both"/>
            </w:pPr>
            <w:r>
              <w:fldChar w:fldCharType="begin"/>
            </w:r>
            <w:r>
              <w:instrText xml:space="preserve"> MACROBUTTON MTPlaceRef \* MERGEFORMAT </w:instrText>
            </w:r>
            <w:r>
              <w:fldChar w:fldCharType="begin"/>
            </w:r>
            <w:r>
              <w:instrText xml:space="preserve"> SEQ MTEqn \h \* MERGEFORMAT </w:instrText>
            </w:r>
            <w:r>
              <w:fldChar w:fldCharType="end"/>
            </w:r>
            <w:r>
              <w:instrText>(C.</w:instrText>
            </w:r>
            <w:fldSimple w:instr=" SEQ MTEqn \c \* Arabic \* MERGEFORMAT ">
              <w:r>
                <w:rPr>
                  <w:noProof/>
                </w:rPr>
                <w:instrText>6</w:instrText>
              </w:r>
            </w:fldSimple>
            <w:r>
              <w:instrText>)</w:instrText>
            </w:r>
            <w:r>
              <w:fldChar w:fldCharType="end"/>
            </w:r>
          </w:p>
        </w:tc>
      </w:tr>
    </w:tbl>
    <w:p w:rsidR="00282739" w:rsidRDefault="00282739" w:rsidP="00282739">
      <w:pPr>
        <w:pStyle w:val="Text"/>
        <w:rPr>
          <w:lang w:val="en-GB"/>
        </w:rPr>
      </w:pPr>
      <w:r>
        <w:rPr>
          <w:lang w:val="en-GB"/>
        </w:rPr>
        <w:t>Because individuals from the control group generally take an extra general subject instead of a VET subject, we distinguish between the number of general subjects taken by the control group (</w:t>
      </w:r>
      <w:r w:rsidRPr="00B34038">
        <w:rPr>
          <w:position w:val="-10"/>
          <w:lang w:val="en-GB"/>
        </w:rPr>
        <w:object w:dxaOrig="279" w:dyaOrig="320">
          <v:shape id="_x0000_i1043" type="#_x0000_t75" style="width:13.5pt;height:15.75pt" o:ole="">
            <v:imagedata r:id="rId54" o:title=""/>
          </v:shape>
          <o:OLEObject Type="Embed" ProgID="Equation.DSMT4" ShapeID="_x0000_i1043" DrawAspect="Content" ObjectID="_1479886938" r:id="rId55"/>
        </w:object>
      </w:r>
      <w:r>
        <w:rPr>
          <w:lang w:val="en-GB"/>
        </w:rPr>
        <w:t>) from the number of subjects taken by the treatment group (</w:t>
      </w:r>
      <w:r w:rsidRPr="00B34038">
        <w:rPr>
          <w:position w:val="-10"/>
          <w:lang w:val="en-GB"/>
        </w:rPr>
        <w:object w:dxaOrig="279" w:dyaOrig="320">
          <v:shape id="_x0000_i1044" type="#_x0000_t75" style="width:13.5pt;height:15.75pt" o:ole="">
            <v:imagedata r:id="rId56" o:title=""/>
          </v:shape>
          <o:OLEObject Type="Embed" ProgID="Equation.DSMT4" ShapeID="_x0000_i1044" DrawAspect="Content" ObjectID="_1479886939" r:id="rId57"/>
        </w:object>
      </w:r>
      <w:r>
        <w:rPr>
          <w:lang w:val="en-GB"/>
        </w:rPr>
        <w:t>).</w:t>
      </w:r>
      <w:r>
        <w:rPr>
          <w:rStyle w:val="FootnoteReference"/>
          <w:lang w:val="en-GB"/>
        </w:rPr>
        <w:footnoteReference w:id="20"/>
      </w:r>
      <w:r>
        <w:rPr>
          <w:lang w:val="en-GB"/>
        </w:rPr>
        <w:t xml:space="preserve"> Substituting C.6 into the C.3, C.4 and C.5 equations, the total, direct and indirect effects estimated in this study can be expressed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7620"/>
        <w:gridCol w:w="639"/>
      </w:tblGrid>
      <w:tr w:rsidR="00282739" w:rsidTr="003C6043">
        <w:trPr>
          <w:trHeight w:val="680"/>
        </w:trPr>
        <w:tc>
          <w:tcPr>
            <w:tcW w:w="462" w:type="dxa"/>
            <w:vAlign w:val="center"/>
          </w:tcPr>
          <w:p w:rsidR="00282739" w:rsidRDefault="00282739" w:rsidP="003C6043">
            <w:pPr>
              <w:pStyle w:val="Text"/>
              <w:spacing w:line="260" w:lineRule="exact"/>
              <w:ind w:right="0"/>
              <w:jc w:val="both"/>
            </w:pPr>
          </w:p>
        </w:tc>
        <w:tc>
          <w:tcPr>
            <w:tcW w:w="7620" w:type="dxa"/>
            <w:vAlign w:val="center"/>
          </w:tcPr>
          <w:p w:rsidR="00282739" w:rsidRDefault="00282739" w:rsidP="003C6043">
            <w:pPr>
              <w:pStyle w:val="Text"/>
              <w:tabs>
                <w:tab w:val="center" w:pos="3730"/>
                <w:tab w:val="right" w:pos="7460"/>
              </w:tabs>
              <w:spacing w:line="240" w:lineRule="auto"/>
              <w:ind w:right="0"/>
              <w:jc w:val="center"/>
            </w:pPr>
            <w:r w:rsidRPr="00DF0547">
              <w:rPr>
                <w:position w:val="-30"/>
                <w:lang w:val="en-AU"/>
              </w:rPr>
              <w:object w:dxaOrig="5760" w:dyaOrig="680">
                <v:shape id="_x0000_i1045" type="#_x0000_t75" style="width:4in;height:33pt" o:ole="">
                  <v:imagedata r:id="rId58" o:title=""/>
                </v:shape>
                <o:OLEObject Type="Embed" ProgID="Equation.DSMT4" ShapeID="_x0000_i1045" DrawAspect="Content" ObjectID="_1479886940" r:id="rId59"/>
              </w:object>
            </w:r>
          </w:p>
        </w:tc>
        <w:tc>
          <w:tcPr>
            <w:tcW w:w="639" w:type="dxa"/>
            <w:vAlign w:val="center"/>
          </w:tcPr>
          <w:p w:rsidR="00282739" w:rsidRDefault="00282739" w:rsidP="003C6043">
            <w:pPr>
              <w:pStyle w:val="Text"/>
              <w:spacing w:line="240" w:lineRule="auto"/>
              <w:ind w:right="0"/>
              <w:jc w:val="both"/>
            </w:pPr>
            <w:r>
              <w:fldChar w:fldCharType="begin"/>
            </w:r>
            <w:r>
              <w:instrText xml:space="preserve"> MACROBUTTON MTPlaceRef \* MERGEFORMAT </w:instrText>
            </w:r>
            <w:r>
              <w:fldChar w:fldCharType="begin"/>
            </w:r>
            <w:r>
              <w:instrText xml:space="preserve"> SEQ MTEqn \h \* MERGEFORMAT </w:instrText>
            </w:r>
            <w:r>
              <w:fldChar w:fldCharType="end"/>
            </w:r>
            <w:r>
              <w:instrText>(C.</w:instrText>
            </w:r>
            <w:fldSimple w:instr=" SEQ MTEqn \c \* Arabic \* MERGEFORMAT ">
              <w:r>
                <w:rPr>
                  <w:noProof/>
                </w:rPr>
                <w:instrText>7</w:instrText>
              </w:r>
            </w:fldSimple>
            <w:r>
              <w:instrText>)</w:instrText>
            </w:r>
            <w:r>
              <w:fldChar w:fldCharType="end"/>
            </w:r>
          </w:p>
        </w:tc>
      </w:tr>
      <w:tr w:rsidR="00282739" w:rsidTr="003C6043">
        <w:trPr>
          <w:trHeight w:val="680"/>
        </w:trPr>
        <w:tc>
          <w:tcPr>
            <w:tcW w:w="462" w:type="dxa"/>
            <w:vAlign w:val="center"/>
          </w:tcPr>
          <w:p w:rsidR="00282739" w:rsidRDefault="00282739" w:rsidP="003C6043">
            <w:pPr>
              <w:pStyle w:val="Text"/>
              <w:spacing w:line="260" w:lineRule="exact"/>
              <w:ind w:right="0"/>
              <w:jc w:val="both"/>
            </w:pPr>
          </w:p>
        </w:tc>
        <w:tc>
          <w:tcPr>
            <w:tcW w:w="7620" w:type="dxa"/>
            <w:vAlign w:val="center"/>
          </w:tcPr>
          <w:p w:rsidR="00282739" w:rsidRDefault="00282739" w:rsidP="003C6043">
            <w:pPr>
              <w:pStyle w:val="Text"/>
              <w:tabs>
                <w:tab w:val="center" w:pos="3730"/>
                <w:tab w:val="right" w:pos="7460"/>
              </w:tabs>
              <w:spacing w:line="240" w:lineRule="auto"/>
              <w:ind w:right="0"/>
              <w:jc w:val="center"/>
            </w:pPr>
            <w:r w:rsidRPr="001B68E7">
              <w:rPr>
                <w:position w:val="-12"/>
                <w:lang w:val="en-AU"/>
              </w:rPr>
              <w:object w:dxaOrig="2020" w:dyaOrig="360">
                <v:shape id="_x0000_i1046" type="#_x0000_t75" style="width:100.5pt;height:18pt" o:ole="">
                  <v:imagedata r:id="rId60" o:title=""/>
                </v:shape>
                <o:OLEObject Type="Embed" ProgID="Equation.DSMT4" ShapeID="_x0000_i1046" DrawAspect="Content" ObjectID="_1479886941" r:id="rId61"/>
              </w:object>
            </w:r>
          </w:p>
        </w:tc>
        <w:tc>
          <w:tcPr>
            <w:tcW w:w="639" w:type="dxa"/>
            <w:vAlign w:val="center"/>
          </w:tcPr>
          <w:p w:rsidR="00282739" w:rsidRDefault="00282739" w:rsidP="003C6043">
            <w:pPr>
              <w:pStyle w:val="Text"/>
              <w:spacing w:line="240" w:lineRule="auto"/>
              <w:ind w:right="0"/>
              <w:jc w:val="both"/>
            </w:pPr>
            <w:r>
              <w:fldChar w:fldCharType="begin"/>
            </w:r>
            <w:r>
              <w:instrText xml:space="preserve"> MACROBUTTON MTPlaceRef \* MERGEFORMAT </w:instrText>
            </w:r>
            <w:r>
              <w:fldChar w:fldCharType="begin"/>
            </w:r>
            <w:r>
              <w:instrText xml:space="preserve"> SEQ MTEqn \h \* MERGEFORMAT </w:instrText>
            </w:r>
            <w:r>
              <w:fldChar w:fldCharType="end"/>
            </w:r>
            <w:r>
              <w:instrText>(C.</w:instrText>
            </w:r>
            <w:fldSimple w:instr=" SEQ MTEqn \c \* Arabic \* MERGEFORMAT ">
              <w:r>
                <w:rPr>
                  <w:noProof/>
                </w:rPr>
                <w:instrText>8</w:instrText>
              </w:r>
            </w:fldSimple>
            <w:r>
              <w:instrText>)</w:instrText>
            </w:r>
            <w:r>
              <w:fldChar w:fldCharType="end"/>
            </w:r>
          </w:p>
        </w:tc>
      </w:tr>
      <w:tr w:rsidR="00282739" w:rsidTr="003C6043">
        <w:trPr>
          <w:trHeight w:val="680"/>
        </w:trPr>
        <w:tc>
          <w:tcPr>
            <w:tcW w:w="462" w:type="dxa"/>
            <w:vAlign w:val="center"/>
          </w:tcPr>
          <w:p w:rsidR="00282739" w:rsidRDefault="00282739" w:rsidP="003C6043">
            <w:pPr>
              <w:pStyle w:val="Text"/>
              <w:spacing w:line="260" w:lineRule="exact"/>
              <w:ind w:right="0"/>
              <w:jc w:val="both"/>
            </w:pPr>
          </w:p>
        </w:tc>
        <w:tc>
          <w:tcPr>
            <w:tcW w:w="7620" w:type="dxa"/>
            <w:vAlign w:val="center"/>
          </w:tcPr>
          <w:p w:rsidR="00282739" w:rsidRDefault="00282739" w:rsidP="003C6043">
            <w:pPr>
              <w:pStyle w:val="Text"/>
              <w:tabs>
                <w:tab w:val="center" w:pos="3730"/>
                <w:tab w:val="right" w:pos="7460"/>
              </w:tabs>
              <w:spacing w:line="240" w:lineRule="auto"/>
              <w:ind w:right="0"/>
              <w:jc w:val="center"/>
            </w:pPr>
            <w:r w:rsidRPr="00DF0547">
              <w:rPr>
                <w:position w:val="-30"/>
                <w:lang w:val="en-AU"/>
              </w:rPr>
              <w:object w:dxaOrig="3879" w:dyaOrig="680">
                <v:shape id="_x0000_i1047" type="#_x0000_t75" style="width:193.5pt;height:33pt" o:ole="">
                  <v:imagedata r:id="rId62" o:title=""/>
                </v:shape>
                <o:OLEObject Type="Embed" ProgID="Equation.DSMT4" ShapeID="_x0000_i1047" DrawAspect="Content" ObjectID="_1479886942" r:id="rId63"/>
              </w:object>
            </w:r>
          </w:p>
        </w:tc>
        <w:tc>
          <w:tcPr>
            <w:tcW w:w="639" w:type="dxa"/>
            <w:vAlign w:val="center"/>
          </w:tcPr>
          <w:p w:rsidR="00282739" w:rsidRDefault="00282739" w:rsidP="003C6043">
            <w:pPr>
              <w:pStyle w:val="Text"/>
              <w:spacing w:line="240" w:lineRule="auto"/>
              <w:ind w:right="0"/>
              <w:jc w:val="both"/>
            </w:pPr>
            <w:r>
              <w:fldChar w:fldCharType="begin"/>
            </w:r>
            <w:r>
              <w:instrText xml:space="preserve"> MACROBUTTON MTPlaceRef \* MERGEFORMAT </w:instrText>
            </w:r>
            <w:r>
              <w:fldChar w:fldCharType="begin"/>
            </w:r>
            <w:r>
              <w:instrText xml:space="preserve"> SEQ MTEqn \h \* MERGEFORMAT </w:instrText>
            </w:r>
            <w:r>
              <w:fldChar w:fldCharType="end"/>
            </w:r>
            <w:r>
              <w:instrText>(C.</w:instrText>
            </w:r>
            <w:fldSimple w:instr=" SEQ MTEqn \c \* Arabic \* MERGEFORMAT ">
              <w:r>
                <w:rPr>
                  <w:noProof/>
                </w:rPr>
                <w:instrText>9</w:instrText>
              </w:r>
            </w:fldSimple>
            <w:r>
              <w:instrText>)</w:instrText>
            </w:r>
            <w:r>
              <w:fldChar w:fldCharType="end"/>
            </w:r>
          </w:p>
        </w:tc>
      </w:tr>
    </w:tbl>
    <w:p w:rsidR="00282739" w:rsidRPr="00E40487" w:rsidRDefault="00282739" w:rsidP="00282739">
      <w:pPr>
        <w:pStyle w:val="Text"/>
      </w:pPr>
      <w:r>
        <w:rPr>
          <w:lang w:val="en-GB"/>
        </w:rPr>
        <w:t>Using average weighted scores across all general subjects from the control group to construct counterfactual outcomes implicitly assumes that the students who take a VCE VET subject would, on average, choose general subjects that are similar to those taken by the matched control group if VCE VET subjects weren’t available.</w:t>
      </w:r>
      <w:r>
        <w:rPr>
          <w:rStyle w:val="FootnoteReference"/>
          <w:lang w:val="en-GB"/>
        </w:rPr>
        <w:footnoteReference w:id="21"/>
      </w:r>
      <w:r>
        <w:rPr>
          <w:lang w:val="en-GB"/>
        </w:rPr>
        <w:t xml:space="preserve"> After matching, there are only minor differences in the choice of general subjects between treatment and matched control group members (see table D2), which validates the assumption of common general subjects between the </w:t>
      </w:r>
      <w:r w:rsidRPr="00E40487">
        <w:t>two groups.</w:t>
      </w:r>
    </w:p>
    <w:p w:rsidR="00282739" w:rsidRPr="00232785" w:rsidRDefault="00282739" w:rsidP="00282739">
      <w:pPr>
        <w:pStyle w:val="Text"/>
      </w:pPr>
      <w:r w:rsidRPr="00E40487">
        <w:t>To estimate the total, direct and indirect effects of taking a VCE VET s</w:t>
      </w:r>
      <w:r>
        <w:rPr>
          <w:lang w:val="en-GB"/>
        </w:rPr>
        <w:t>ubject involves generating three outcome variables using C.7, C.8 and C.9. The values of these outcome variables depend up</w:t>
      </w:r>
      <w:r>
        <w:t>on whether or not individuals are in the treatment or control group. For example, for the direct effect outcome, the values for the treatment group members are equal to the first term in equation C.8, while for the control group members, the direct effect outcomes are equal to the second term. After the three outcome variables are estimated, PSM is applied to select a matched control group for each VCE VET student in the sample to construct the counterfactual outcomes. Refer to the methodology section in the main text for information about the different PSM techniques used and how they derive the counterfactual outcomes.</w:t>
      </w:r>
      <w:r>
        <w:br w:type="page"/>
      </w:r>
    </w:p>
    <w:p w:rsidR="00282739" w:rsidRDefault="00282739" w:rsidP="00282739">
      <w:pPr>
        <w:pStyle w:val="Heading1"/>
      </w:pPr>
      <w:bookmarkStart w:id="79" w:name="_Toc402794971"/>
      <w:r>
        <w:lastRenderedPageBreak/>
        <w:t>Appendix D: Probit results and balancing test results</w:t>
      </w:r>
      <w:bookmarkEnd w:id="79"/>
    </w:p>
    <w:p w:rsidR="00282739" w:rsidRPr="00B12015" w:rsidRDefault="00282739" w:rsidP="00282739">
      <w:pPr>
        <w:pStyle w:val="tabletitle"/>
      </w:pPr>
      <w:bookmarkStart w:id="80" w:name="_Toc402794993"/>
      <w:r>
        <w:t>Table D1</w:t>
      </w:r>
      <w:r>
        <w:tab/>
        <w:t>Results from the probit model of participation in a VCE VET subject used in the propensity score matching</w:t>
      </w:r>
      <w:bookmarkEnd w:id="80"/>
    </w:p>
    <w:tbl>
      <w:tblPr>
        <w:tblW w:w="8789" w:type="dxa"/>
        <w:tblInd w:w="28" w:type="dxa"/>
        <w:tblLayout w:type="fixed"/>
        <w:tblCellMar>
          <w:left w:w="28" w:type="dxa"/>
          <w:right w:w="28" w:type="dxa"/>
        </w:tblCellMar>
        <w:tblLook w:val="04A0" w:firstRow="1" w:lastRow="0" w:firstColumn="1" w:lastColumn="0" w:noHBand="0" w:noVBand="1"/>
      </w:tblPr>
      <w:tblGrid>
        <w:gridCol w:w="3973"/>
        <w:gridCol w:w="1204"/>
        <w:gridCol w:w="1206"/>
        <w:gridCol w:w="1204"/>
        <w:gridCol w:w="1202"/>
      </w:tblGrid>
      <w:tr w:rsidR="00282739" w:rsidTr="003C6043">
        <w:trPr>
          <w:tblHeader/>
        </w:trPr>
        <w:tc>
          <w:tcPr>
            <w:tcW w:w="2260" w:type="pct"/>
            <w:tcBorders>
              <w:top w:val="single" w:sz="4" w:space="0" w:color="auto"/>
              <w:left w:val="nil"/>
              <w:right w:val="nil"/>
            </w:tcBorders>
            <w:shd w:val="clear" w:color="auto" w:fill="auto"/>
            <w:noWrap/>
            <w:tcMar>
              <w:top w:w="0" w:type="dxa"/>
              <w:left w:w="28" w:type="dxa"/>
              <w:bottom w:w="0" w:type="dxa"/>
              <w:right w:w="28" w:type="dxa"/>
            </w:tcMar>
            <w:hideMark/>
          </w:tcPr>
          <w:p w:rsidR="00282739" w:rsidRDefault="00282739" w:rsidP="003C6043">
            <w:pPr>
              <w:pStyle w:val="Tablehead1"/>
            </w:pPr>
          </w:p>
        </w:tc>
        <w:tc>
          <w:tcPr>
            <w:tcW w:w="1371" w:type="pct"/>
            <w:gridSpan w:val="2"/>
            <w:tcBorders>
              <w:top w:val="single" w:sz="4" w:space="0" w:color="auto"/>
              <w:left w:val="nil"/>
              <w:right w:val="nil"/>
            </w:tcBorders>
            <w:shd w:val="clear" w:color="auto" w:fill="auto"/>
            <w:noWrap/>
            <w:tcMar>
              <w:top w:w="0" w:type="dxa"/>
              <w:left w:w="28" w:type="dxa"/>
              <w:bottom w:w="0" w:type="dxa"/>
              <w:right w:w="28" w:type="dxa"/>
            </w:tcMar>
            <w:hideMark/>
          </w:tcPr>
          <w:p w:rsidR="00282739" w:rsidRDefault="00282739" w:rsidP="003C6043">
            <w:pPr>
              <w:pStyle w:val="Tablehead1"/>
              <w:jc w:val="center"/>
            </w:pPr>
            <w:r>
              <w:t>All students</w:t>
            </w:r>
          </w:p>
        </w:tc>
        <w:tc>
          <w:tcPr>
            <w:tcW w:w="1369" w:type="pct"/>
            <w:gridSpan w:val="2"/>
            <w:tcBorders>
              <w:top w:val="single" w:sz="4" w:space="0" w:color="auto"/>
              <w:left w:val="nil"/>
              <w:right w:val="nil"/>
            </w:tcBorders>
            <w:shd w:val="clear" w:color="auto" w:fill="auto"/>
            <w:tcMar>
              <w:top w:w="0" w:type="dxa"/>
              <w:left w:w="28" w:type="dxa"/>
              <w:bottom w:w="0" w:type="dxa"/>
              <w:right w:w="28" w:type="dxa"/>
            </w:tcMar>
            <w:hideMark/>
          </w:tcPr>
          <w:p w:rsidR="00282739" w:rsidRDefault="00282739" w:rsidP="003C6043">
            <w:pPr>
              <w:pStyle w:val="Tablehead1"/>
              <w:jc w:val="center"/>
            </w:pPr>
            <w:r>
              <w:t xml:space="preserve">Students that intend to </w:t>
            </w:r>
            <w:r>
              <w:br/>
              <w:t>start higher education</w:t>
            </w:r>
          </w:p>
        </w:tc>
      </w:tr>
      <w:tr w:rsidR="00282739" w:rsidTr="003C6043">
        <w:trPr>
          <w:tblHeader/>
        </w:trPr>
        <w:tc>
          <w:tcPr>
            <w:tcW w:w="2260" w:type="pct"/>
            <w:tcBorders>
              <w:left w:val="nil"/>
              <w:bottom w:val="single" w:sz="4" w:space="0" w:color="auto"/>
              <w:right w:val="nil"/>
            </w:tcBorders>
            <w:shd w:val="clear" w:color="auto" w:fill="auto"/>
            <w:noWrap/>
            <w:tcMar>
              <w:top w:w="0" w:type="dxa"/>
              <w:left w:w="28" w:type="dxa"/>
              <w:bottom w:w="0" w:type="dxa"/>
              <w:right w:w="28" w:type="dxa"/>
            </w:tcMar>
            <w:hideMark/>
          </w:tcPr>
          <w:p w:rsidR="00282739" w:rsidRDefault="00282739" w:rsidP="003C6043">
            <w:pPr>
              <w:pStyle w:val="Tablehead2"/>
            </w:pPr>
            <w:r>
              <w:t> </w:t>
            </w:r>
          </w:p>
        </w:tc>
        <w:tc>
          <w:tcPr>
            <w:tcW w:w="685" w:type="pct"/>
            <w:tcBorders>
              <w:left w:val="nil"/>
              <w:bottom w:val="single" w:sz="4" w:space="0" w:color="auto"/>
              <w:right w:val="nil"/>
            </w:tcBorders>
            <w:shd w:val="clear" w:color="auto" w:fill="auto"/>
            <w:noWrap/>
            <w:tcMar>
              <w:top w:w="0" w:type="dxa"/>
              <w:left w:w="28" w:type="dxa"/>
              <w:bottom w:w="0" w:type="dxa"/>
              <w:right w:w="28" w:type="dxa"/>
            </w:tcMar>
            <w:hideMark/>
          </w:tcPr>
          <w:p w:rsidR="00282739" w:rsidRDefault="00282739" w:rsidP="003C6043">
            <w:pPr>
              <w:pStyle w:val="Tablehead2"/>
              <w:jc w:val="center"/>
            </w:pPr>
            <w:r>
              <w:t>Marginal effect</w:t>
            </w:r>
          </w:p>
        </w:tc>
        <w:tc>
          <w:tcPr>
            <w:tcW w:w="686" w:type="pct"/>
            <w:tcBorders>
              <w:left w:val="nil"/>
              <w:bottom w:val="single" w:sz="4" w:space="0" w:color="auto"/>
              <w:right w:val="nil"/>
            </w:tcBorders>
            <w:shd w:val="clear" w:color="auto" w:fill="auto"/>
            <w:noWrap/>
            <w:tcMar>
              <w:top w:w="0" w:type="dxa"/>
              <w:left w:w="28" w:type="dxa"/>
              <w:bottom w:w="0" w:type="dxa"/>
              <w:right w:w="28" w:type="dxa"/>
            </w:tcMar>
            <w:hideMark/>
          </w:tcPr>
          <w:p w:rsidR="00282739" w:rsidRDefault="00282739" w:rsidP="003C6043">
            <w:pPr>
              <w:pStyle w:val="Tablehead2"/>
              <w:jc w:val="center"/>
            </w:pPr>
            <w:r>
              <w:t>t-stat</w:t>
            </w:r>
          </w:p>
        </w:tc>
        <w:tc>
          <w:tcPr>
            <w:tcW w:w="685" w:type="pct"/>
            <w:tcBorders>
              <w:left w:val="nil"/>
              <w:bottom w:val="single" w:sz="4" w:space="0" w:color="auto"/>
              <w:right w:val="nil"/>
            </w:tcBorders>
            <w:shd w:val="clear" w:color="auto" w:fill="auto"/>
            <w:noWrap/>
            <w:tcMar>
              <w:top w:w="0" w:type="dxa"/>
              <w:left w:w="28" w:type="dxa"/>
              <w:bottom w:w="0" w:type="dxa"/>
              <w:right w:w="28" w:type="dxa"/>
            </w:tcMar>
            <w:hideMark/>
          </w:tcPr>
          <w:p w:rsidR="00282739" w:rsidRDefault="00282739" w:rsidP="003C6043">
            <w:pPr>
              <w:pStyle w:val="Tablehead2"/>
              <w:jc w:val="center"/>
            </w:pPr>
            <w:r>
              <w:t>Marginal effect</w:t>
            </w:r>
          </w:p>
        </w:tc>
        <w:tc>
          <w:tcPr>
            <w:tcW w:w="684" w:type="pct"/>
            <w:tcBorders>
              <w:left w:val="nil"/>
              <w:bottom w:val="single" w:sz="4" w:space="0" w:color="auto"/>
              <w:right w:val="nil"/>
            </w:tcBorders>
            <w:shd w:val="clear" w:color="auto" w:fill="auto"/>
            <w:noWrap/>
            <w:tcMar>
              <w:top w:w="0" w:type="dxa"/>
              <w:left w:w="28" w:type="dxa"/>
              <w:bottom w:w="0" w:type="dxa"/>
              <w:right w:w="28" w:type="dxa"/>
            </w:tcMar>
            <w:hideMark/>
          </w:tcPr>
          <w:p w:rsidR="00282739" w:rsidRDefault="00282739" w:rsidP="003C6043">
            <w:pPr>
              <w:pStyle w:val="Tablehead2"/>
            </w:pPr>
            <w:r>
              <w:t>t-stat</w:t>
            </w:r>
          </w:p>
        </w:tc>
      </w:tr>
      <w:tr w:rsidR="00282739" w:rsidTr="003C6043">
        <w:tc>
          <w:tcPr>
            <w:tcW w:w="2260" w:type="pct"/>
            <w:tcBorders>
              <w:top w:val="single" w:sz="4" w:space="0" w:color="auto"/>
              <w:left w:val="nil"/>
              <w:bottom w:val="nil"/>
              <w:right w:val="nil"/>
            </w:tcBorders>
            <w:shd w:val="clear" w:color="auto" w:fill="auto"/>
            <w:noWrap/>
            <w:tcMar>
              <w:top w:w="0" w:type="dxa"/>
              <w:left w:w="28" w:type="dxa"/>
              <w:bottom w:w="0" w:type="dxa"/>
              <w:right w:w="28" w:type="dxa"/>
            </w:tcMar>
            <w:hideMark/>
          </w:tcPr>
          <w:p w:rsidR="00282739" w:rsidRPr="00BB50DE" w:rsidRDefault="00282739" w:rsidP="003C6043">
            <w:pPr>
              <w:pStyle w:val="Tabletext"/>
              <w:spacing w:before="80"/>
              <w:rPr>
                <w:i/>
              </w:rPr>
            </w:pPr>
            <w:r w:rsidRPr="00BB50DE">
              <w:rPr>
                <w:i/>
              </w:rPr>
              <w:t>Individual characteristics</w:t>
            </w:r>
          </w:p>
        </w:tc>
        <w:tc>
          <w:tcPr>
            <w:tcW w:w="685" w:type="pct"/>
            <w:tcBorders>
              <w:top w:val="single" w:sz="4" w:space="0" w:color="auto"/>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spacing w:before="80"/>
            </w:pPr>
          </w:p>
        </w:tc>
        <w:tc>
          <w:tcPr>
            <w:tcW w:w="686" w:type="pct"/>
            <w:tcBorders>
              <w:top w:val="single" w:sz="4" w:space="0" w:color="auto"/>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spacing w:before="80"/>
            </w:pPr>
          </w:p>
        </w:tc>
        <w:tc>
          <w:tcPr>
            <w:tcW w:w="685" w:type="pct"/>
            <w:tcBorders>
              <w:top w:val="single" w:sz="4" w:space="0" w:color="auto"/>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spacing w:before="80"/>
            </w:pPr>
          </w:p>
        </w:tc>
        <w:tc>
          <w:tcPr>
            <w:tcW w:w="684" w:type="pct"/>
            <w:tcBorders>
              <w:top w:val="single" w:sz="4" w:space="0" w:color="auto"/>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spacing w:before="80"/>
            </w:pPr>
          </w:p>
        </w:tc>
      </w:tr>
      <w:tr w:rsidR="00282739" w:rsidRPr="000E701F"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Pr="000E701F" w:rsidRDefault="00282739" w:rsidP="003C6043">
            <w:pPr>
              <w:pStyle w:val="Tabletext"/>
            </w:pPr>
            <w:r w:rsidRPr="000E701F">
              <w:t>Respondent is male</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Pr="000E701F" w:rsidRDefault="00282739" w:rsidP="003C6043">
            <w:pPr>
              <w:pStyle w:val="Tabletext"/>
              <w:tabs>
                <w:tab w:val="decimal" w:pos="227"/>
              </w:tabs>
            </w:pPr>
            <w:r w:rsidRPr="000E701F">
              <w:t>0.00211***</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Pr="000E701F" w:rsidRDefault="00282739" w:rsidP="003C6043">
            <w:pPr>
              <w:pStyle w:val="Tabletext"/>
              <w:tabs>
                <w:tab w:val="decimal" w:pos="539"/>
              </w:tabs>
            </w:pPr>
            <w:r w:rsidRPr="000E701F">
              <w:t>(2.59)</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Pr="000E701F" w:rsidRDefault="00282739" w:rsidP="003C6043">
            <w:pPr>
              <w:pStyle w:val="Tabletext"/>
              <w:tabs>
                <w:tab w:val="decimal" w:pos="227"/>
              </w:tabs>
            </w:pPr>
            <w:r w:rsidRPr="000E701F">
              <w:t>0.00116*</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Pr="000E701F" w:rsidRDefault="00282739" w:rsidP="003C6043">
            <w:pPr>
              <w:pStyle w:val="Tabletext"/>
              <w:tabs>
                <w:tab w:val="decimal" w:pos="539"/>
              </w:tabs>
            </w:pPr>
            <w:r w:rsidRPr="000E701F">
              <w:t>(1.87)</w:t>
            </w:r>
          </w:p>
        </w:tc>
      </w:tr>
      <w:tr w:rsidR="00282739" w:rsidRPr="000E701F"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Pr="000E701F" w:rsidRDefault="00282739" w:rsidP="003C6043">
            <w:pPr>
              <w:pStyle w:val="Tabletext"/>
            </w:pPr>
            <w:r w:rsidRPr="000E701F">
              <w:t>Age of respondent</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Pr="000E701F" w:rsidRDefault="00282739" w:rsidP="003C6043">
            <w:pPr>
              <w:pStyle w:val="Tabletext"/>
              <w:tabs>
                <w:tab w:val="decimal" w:pos="227"/>
              </w:tabs>
            </w:pPr>
            <w:r w:rsidRPr="000E701F">
              <w:t>-0.00107</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Pr="000E701F" w:rsidRDefault="00282739" w:rsidP="003C6043">
            <w:pPr>
              <w:pStyle w:val="Tabletext"/>
              <w:tabs>
                <w:tab w:val="decimal" w:pos="539"/>
              </w:tabs>
            </w:pPr>
            <w:r w:rsidRPr="000E701F">
              <w:t>(-1.42)</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Pr="000E701F" w:rsidRDefault="00282739" w:rsidP="003C6043">
            <w:pPr>
              <w:pStyle w:val="Tabletext"/>
              <w:tabs>
                <w:tab w:val="decimal" w:pos="227"/>
              </w:tabs>
            </w:pPr>
            <w:r w:rsidRPr="000E701F">
              <w:t>-0.000684</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Pr="000E701F" w:rsidRDefault="00282739" w:rsidP="003C6043">
            <w:pPr>
              <w:pStyle w:val="Tabletext"/>
              <w:tabs>
                <w:tab w:val="decimal" w:pos="539"/>
              </w:tabs>
            </w:pPr>
            <w:r w:rsidRPr="000E701F">
              <w:t>(-1.22)</w:t>
            </w:r>
          </w:p>
        </w:tc>
      </w:tr>
      <w:tr w:rsidR="00282739" w:rsidRPr="000E701F"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Pr="000E701F" w:rsidRDefault="00282739" w:rsidP="003C6043">
            <w:pPr>
              <w:pStyle w:val="Tabletext"/>
            </w:pPr>
            <w:r w:rsidRPr="000E701F">
              <w:t>Indigenous status</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Pr="000E701F" w:rsidRDefault="00282739" w:rsidP="003C6043">
            <w:pPr>
              <w:pStyle w:val="Tabletext"/>
              <w:tabs>
                <w:tab w:val="decimal" w:pos="227"/>
              </w:tabs>
            </w:pPr>
            <w:r w:rsidRPr="000E701F">
              <w:t>-0.00461</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Pr="000E701F" w:rsidRDefault="00282739" w:rsidP="003C6043">
            <w:pPr>
              <w:pStyle w:val="Tabletext"/>
              <w:tabs>
                <w:tab w:val="decimal" w:pos="539"/>
              </w:tabs>
            </w:pPr>
            <w:r w:rsidRPr="000E701F">
              <w:t>(-1.33)</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Pr="000E701F" w:rsidRDefault="00282739" w:rsidP="003C6043">
            <w:pPr>
              <w:pStyle w:val="Tabletext"/>
              <w:tabs>
                <w:tab w:val="decimal" w:pos="227"/>
              </w:tabs>
            </w:pPr>
            <w:r w:rsidRPr="000E701F">
              <w:t>-0.00312</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Pr="000E701F" w:rsidRDefault="00282739" w:rsidP="003C6043">
            <w:pPr>
              <w:pStyle w:val="Tabletext"/>
              <w:tabs>
                <w:tab w:val="decimal" w:pos="539"/>
              </w:tabs>
            </w:pPr>
            <w:r w:rsidRPr="000E701F">
              <w:t>(-1.48)</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Non-English speaking background</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0.000547</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(0.60)</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-0.000264</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(-0.41)</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Rural area</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-0.000922***</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(-3.29)</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-0.000582***</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(-2.69)</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Unemployment rate in SLA</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-0.000173</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(-1.12)</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-0.00000621</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(-0.05)</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NAPLAN numeracy score in Year 9</w:t>
            </w:r>
          </w:p>
        </w:tc>
        <w:tc>
          <w:tcPr>
            <w:tcW w:w="685" w:type="pct"/>
            <w:tcBorders>
              <w:top w:val="nil"/>
              <w:left w:val="nil"/>
              <w:bottom w:val="nil"/>
              <w:right w:val="nil"/>
            </w:tcBorders>
            <w:shd w:val="clear" w:color="auto" w:fill="auto"/>
            <w:tcMar>
              <w:top w:w="0" w:type="dxa"/>
              <w:left w:w="28" w:type="dxa"/>
              <w:bottom w:w="0" w:type="dxa"/>
              <w:right w:w="28" w:type="dxa"/>
            </w:tcMar>
            <w:hideMark/>
          </w:tcPr>
          <w:p w:rsidR="00282739" w:rsidRDefault="00282739" w:rsidP="003C6043">
            <w:pPr>
              <w:pStyle w:val="Tabletext"/>
              <w:tabs>
                <w:tab w:val="decimal" w:pos="227"/>
              </w:tabs>
            </w:pPr>
            <w:r>
              <w:t>-0.00004***</w:t>
            </w:r>
          </w:p>
        </w:tc>
        <w:tc>
          <w:tcPr>
            <w:tcW w:w="686" w:type="pct"/>
            <w:tcBorders>
              <w:top w:val="nil"/>
              <w:left w:val="nil"/>
              <w:bottom w:val="nil"/>
              <w:right w:val="nil"/>
            </w:tcBorders>
            <w:shd w:val="clear" w:color="auto" w:fill="auto"/>
            <w:tcMar>
              <w:top w:w="0" w:type="dxa"/>
              <w:left w:w="28" w:type="dxa"/>
              <w:bottom w:w="0" w:type="dxa"/>
              <w:right w:w="28" w:type="dxa"/>
            </w:tcMar>
            <w:hideMark/>
          </w:tcPr>
          <w:p w:rsidR="00282739" w:rsidRDefault="00282739" w:rsidP="003C6043">
            <w:pPr>
              <w:pStyle w:val="Tabletext"/>
              <w:tabs>
                <w:tab w:val="decimal" w:pos="539"/>
              </w:tabs>
            </w:pPr>
            <w:r>
              <w:t>(-4.60)</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-0.000024***</w:t>
            </w:r>
          </w:p>
        </w:tc>
        <w:tc>
          <w:tcPr>
            <w:tcW w:w="684" w:type="pct"/>
            <w:tcBorders>
              <w:top w:val="nil"/>
              <w:left w:val="nil"/>
              <w:bottom w:val="nil"/>
              <w:right w:val="nil"/>
            </w:tcBorders>
            <w:shd w:val="clear" w:color="auto" w:fill="auto"/>
            <w:tcMar>
              <w:top w:w="0" w:type="dxa"/>
              <w:left w:w="28" w:type="dxa"/>
              <w:bottom w:w="0" w:type="dxa"/>
              <w:right w:w="28" w:type="dxa"/>
            </w:tcMar>
            <w:hideMark/>
          </w:tcPr>
          <w:p w:rsidR="00282739" w:rsidRDefault="00282739" w:rsidP="003C6043">
            <w:pPr>
              <w:pStyle w:val="Tabletext"/>
              <w:tabs>
                <w:tab w:val="decimal" w:pos="539"/>
              </w:tabs>
            </w:pPr>
            <w:r>
              <w:t>(-3.75)</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NAPLAN reading score in Year 9</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-0.0000154*</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(-1.92)</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-0.0000131**</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(-2.19)</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Number of subjects taken in VCE</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0.0165***</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(7.68)</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0.0104***</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(6.45)</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Taken VET subjects at unit 1 or 2 level</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0.00275***</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(15.72)</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0.00174***</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(11.36)</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Pr="00BB50DE" w:rsidRDefault="00282739" w:rsidP="003C6043">
            <w:pPr>
              <w:pStyle w:val="Tabletext"/>
              <w:spacing w:before="120"/>
              <w:rPr>
                <w:i/>
              </w:rPr>
            </w:pPr>
            <w:r w:rsidRPr="00BB50DE">
              <w:rPr>
                <w:i/>
              </w:rPr>
              <w:t>School-level factors</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spacing w:before="120"/>
            </w:pP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spacing w:before="120"/>
            </w:pP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spacing w:before="120"/>
            </w:pP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spacing w:before="120"/>
            </w:pP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Non-government school</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0.00585***</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(6.02)</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0.00352***</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(4.97)</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School average NAPLAN numeracy score</w:t>
            </w:r>
            <w:r w:rsidRPr="000E701F">
              <w:rPr>
                <w:vertAlign w:val="superscript"/>
              </w:rPr>
              <w:t>a</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-0.0000214</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(-0.75)</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-0.000009</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(-0.48)</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School average NAPLAN numeracy score</w:t>
            </w:r>
            <w:r w:rsidRPr="000E701F">
              <w:rPr>
                <w:vertAlign w:val="superscript"/>
              </w:rPr>
              <w:t>a</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-0.0000648*</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(-1.80)</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-0.0000265</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(-1.00)</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School average % of students taking VCE VET</w:t>
            </w:r>
            <w:r w:rsidRPr="000E701F">
              <w:rPr>
                <w:vertAlign w:val="superscript"/>
              </w:rPr>
              <w:t>a</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-0.0000009</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(-0.01)</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0.000120*</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(1.69)</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Number of students in the school</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0.0000353***</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(7.59)</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0.0000217***</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(6.06)</w:t>
            </w:r>
          </w:p>
        </w:tc>
      </w:tr>
      <w:tr w:rsidR="00282739" w:rsidTr="003C6043">
        <w:tc>
          <w:tcPr>
            <w:tcW w:w="5000" w:type="pct"/>
            <w:gridSpan w:val="5"/>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spacing w:before="120"/>
            </w:pPr>
            <w:r>
              <w:rPr>
                <w:i/>
                <w:iCs/>
              </w:rPr>
              <w:t>Highest ANZSCO occupation among parents (ref. case: senior managers, qualified professionals)</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Not stated</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0.00357</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(1.42)</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0.00112</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(0.68)</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Not in paid work</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0.00377</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(1.53)</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0.00405*</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(1.81)</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Labourer</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0.00374*</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(1.95)</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0.00250*</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(1.66)</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Tradesman/clerk</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0.00140</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(0.97)</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0.00157</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(1.36)</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Other manager</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0.00308**</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(2.22)</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0.00181*</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(1.81)</w:t>
            </w:r>
          </w:p>
        </w:tc>
      </w:tr>
      <w:tr w:rsidR="00282739" w:rsidTr="003C6043">
        <w:tc>
          <w:tcPr>
            <w:tcW w:w="5000" w:type="pct"/>
            <w:gridSpan w:val="5"/>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spacing w:before="120"/>
            </w:pPr>
            <w:r>
              <w:rPr>
                <w:i/>
                <w:iCs/>
              </w:rPr>
              <w:t>Highest ASCED education level among parents (ref. case: Bachelor degree or above)</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Not known</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0.00122</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(0.63)</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0.00242</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(1.39)</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Year 9 or below</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-0.00256</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(-1.43)</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-0.00163</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(-1.29)</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rsidRPr="00485623">
              <w:t>Year 10/11</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-0.000156</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(-0.11)</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-0.000468</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(-0.46)</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Pr="00485623" w:rsidRDefault="00282739" w:rsidP="003C6043">
            <w:pPr>
              <w:pStyle w:val="Tabletext"/>
            </w:pPr>
            <w:r w:rsidRPr="00485623">
              <w:t>Year 12</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-0.00104</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(-0.79)</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-0.00132</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(-1.54)</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Pr="00485623" w:rsidRDefault="00282739" w:rsidP="003C6043">
            <w:pPr>
              <w:pStyle w:val="Tabletext"/>
            </w:pPr>
            <w:r w:rsidRPr="00485623">
              <w:t>Certificates I</w:t>
            </w:r>
            <w:r>
              <w:rPr>
                <w:rFonts w:cs="Arial"/>
              </w:rPr>
              <w:t>–</w:t>
            </w:r>
            <w:r w:rsidRPr="00485623">
              <w:t>IV</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-0.000986</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(-0.89)</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-0.000472</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(-0.58)</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Diploma</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-0.00165</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(-1.53)</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-0.00102</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(-1.33)</w:t>
            </w:r>
          </w:p>
        </w:tc>
      </w:tr>
      <w:tr w:rsidR="00282739" w:rsidTr="003C6043">
        <w:tc>
          <w:tcPr>
            <w:tcW w:w="5000" w:type="pct"/>
            <w:gridSpan w:val="5"/>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spacing w:before="120"/>
            </w:pPr>
            <w:r>
              <w:rPr>
                <w:i/>
                <w:iCs/>
              </w:rPr>
              <w:t xml:space="preserve">Intended field of education at university (ASCED code for VTAC first preference. ref. category: </w:t>
            </w:r>
            <w:r>
              <w:rPr>
                <w:rFonts w:cs="Arial"/>
                <w:i/>
                <w:iCs/>
                <w:color w:val="000000"/>
                <w:szCs w:val="16"/>
              </w:rPr>
              <w:t>maths and science)</w:t>
            </w:r>
            <w:r w:rsidRPr="000E701F">
              <w:rPr>
                <w:rFonts w:cs="Arial"/>
                <w:i/>
                <w:iCs/>
                <w:color w:val="000000"/>
                <w:szCs w:val="16"/>
                <w:vertAlign w:val="superscript"/>
              </w:rPr>
              <w:t>b</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Other natural and physical sciences</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-0.00636***</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(-6.18)</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-0.00473***</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(-8.54)</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Computer science and it systems</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-0.00599***</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(-6.16)</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-0.00635***</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(-5.68)</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Other IT</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0.000694</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(0.24)</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-0.00438***</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(-5.88)</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Engineering, manufacturing and technology</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0.0194***</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(3.05)</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-0.00323</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(-1.38)</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Maritime engineering and technology</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-0.00298</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(-1.51)</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-0.00466***</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(-7.32)</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Other engineering and technology</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-0.00347**</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(-2.06)</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-0.00471***</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(-8.42)</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Architecture and building</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-0.00389**</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(-2.21)</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-0.00470***</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(-8.09)</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Agriculture; natural resources and environment</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-0.00429***</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(-3.66)</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-0.00491***</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(-7.38)</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Other agriculture and related studies</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-0.00462***</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(-3.40)</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-0.00479***</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(-8.19)</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Medical studies; pharmacy and nursing</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-0.00497</w:t>
            </w:r>
          </w:p>
        </w:tc>
        <w:tc>
          <w:tcPr>
            <w:tcW w:w="686"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(-1.52)</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-0.00450***</w:t>
            </w:r>
          </w:p>
        </w:tc>
        <w:tc>
          <w:tcPr>
            <w:tcW w:w="684"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(-8.69)</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lastRenderedPageBreak/>
              <w:t>Veterinary studies; public health and related</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-0.00528***</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(-5.70)</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-0.00645***</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(-5.03)</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Other health</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-0.00471***</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(-4.21)</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-0.00541***</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(-6.69)</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Teacher education; curriculum and education studies</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-0.00335***</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(-2.58)</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-0.00511***</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(-6.47)</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Other education</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-0.000384</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(-0.25)</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-0.00515***</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(-4.90)</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Accounting, business, marketing and related</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0.000788</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(0.22)</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-0.00438***</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(-6.57)</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Banking and finance and related</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-0.00139</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(-1.16)</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-0.00604***</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(-4.33)</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Other management and commerce</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-0.00439</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(-1.39)</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-0.00449***</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(-8.64)</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Behavioural science; law and related</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-0.00662***</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(-7.55)</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-0.00553***</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(-7.33)</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Language and literature; economics; philosophy and related</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-0.00314***</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(-2.71)</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-0.00630***</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(-4.61)</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Sport and recreation</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-0.00115</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(-0.47)</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-0.00454***</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(-7.72)</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Other society and culture</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0.00208</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(0.76)</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-0.00439***</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(-6.03)</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Arts; design; media studies and related</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-0.00566***</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(-6.23)</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-0.00614***</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(-5.65)</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Other creative arts</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0.00256</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(1.58)</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-0.00534***</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(-3.47)</w:t>
            </w:r>
          </w:p>
        </w:tc>
      </w:tr>
      <w:tr w:rsidR="00282739" w:rsidTr="003C6043">
        <w:tc>
          <w:tcPr>
            <w:tcW w:w="2260"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pPr>
            <w:r>
              <w:t>Personal services</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0.0158*</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(1.88)</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227"/>
              </w:tabs>
            </w:pPr>
            <w:r>
              <w:t>-0.00383***</w:t>
            </w:r>
          </w:p>
        </w:tc>
        <w:tc>
          <w:tcPr>
            <w:tcW w:w="685" w:type="pct"/>
            <w:tcBorders>
              <w:top w:val="nil"/>
              <w:left w:val="nil"/>
              <w:bottom w:val="nil"/>
              <w:right w:val="nil"/>
            </w:tcBorders>
            <w:shd w:val="clear" w:color="auto" w:fill="auto"/>
            <w:noWrap/>
            <w:tcMar>
              <w:top w:w="0" w:type="dxa"/>
              <w:left w:w="28" w:type="dxa"/>
              <w:bottom w:w="0" w:type="dxa"/>
              <w:right w:w="28" w:type="dxa"/>
            </w:tcMar>
            <w:hideMark/>
          </w:tcPr>
          <w:p w:rsidR="00282739" w:rsidRDefault="00282739" w:rsidP="003C6043">
            <w:pPr>
              <w:pStyle w:val="Tabletext"/>
              <w:tabs>
                <w:tab w:val="decimal" w:pos="539"/>
              </w:tabs>
            </w:pPr>
            <w:r>
              <w:t>(-2.79)</w:t>
            </w:r>
          </w:p>
        </w:tc>
      </w:tr>
      <w:tr w:rsidR="00282739" w:rsidRPr="00BB50DE" w:rsidTr="003C6043">
        <w:tc>
          <w:tcPr>
            <w:tcW w:w="2260" w:type="pct"/>
            <w:tcBorders>
              <w:top w:val="nil"/>
              <w:left w:val="nil"/>
              <w:bottom w:val="single" w:sz="8" w:space="0" w:color="auto"/>
              <w:right w:val="nil"/>
            </w:tcBorders>
            <w:shd w:val="clear" w:color="auto" w:fill="auto"/>
            <w:noWrap/>
            <w:tcMar>
              <w:top w:w="0" w:type="dxa"/>
              <w:left w:w="28" w:type="dxa"/>
              <w:bottom w:w="0" w:type="dxa"/>
              <w:right w:w="28" w:type="dxa"/>
            </w:tcMar>
            <w:hideMark/>
          </w:tcPr>
          <w:p w:rsidR="00282739" w:rsidRPr="00BB50DE" w:rsidRDefault="00282739" w:rsidP="003C6043">
            <w:pPr>
              <w:pStyle w:val="Tabletext"/>
              <w:rPr>
                <w:b/>
                <w:iCs/>
              </w:rPr>
            </w:pPr>
            <w:r w:rsidRPr="00BB50DE">
              <w:rPr>
                <w:b/>
                <w:iCs/>
              </w:rPr>
              <w:t>Observations</w:t>
            </w:r>
          </w:p>
        </w:tc>
        <w:tc>
          <w:tcPr>
            <w:tcW w:w="1370" w:type="pct"/>
            <w:gridSpan w:val="2"/>
            <w:tcBorders>
              <w:top w:val="nil"/>
              <w:left w:val="nil"/>
              <w:bottom w:val="single" w:sz="8" w:space="0" w:color="auto"/>
              <w:right w:val="nil"/>
            </w:tcBorders>
            <w:shd w:val="clear" w:color="auto" w:fill="auto"/>
            <w:noWrap/>
            <w:tcMar>
              <w:top w:w="0" w:type="dxa"/>
              <w:left w:w="28" w:type="dxa"/>
              <w:bottom w:w="0" w:type="dxa"/>
              <w:right w:w="28" w:type="dxa"/>
            </w:tcMar>
            <w:hideMark/>
          </w:tcPr>
          <w:p w:rsidR="00282739" w:rsidRPr="00BB50DE" w:rsidRDefault="00282739" w:rsidP="003C6043">
            <w:pPr>
              <w:pStyle w:val="Tabletext"/>
              <w:jc w:val="center"/>
              <w:rPr>
                <w:b/>
                <w:iCs/>
              </w:rPr>
            </w:pPr>
            <w:r w:rsidRPr="00BB50DE">
              <w:rPr>
                <w:b/>
                <w:iCs/>
              </w:rPr>
              <w:t>32 562</w:t>
            </w:r>
          </w:p>
        </w:tc>
        <w:tc>
          <w:tcPr>
            <w:tcW w:w="1370" w:type="pct"/>
            <w:gridSpan w:val="2"/>
            <w:tcBorders>
              <w:top w:val="nil"/>
              <w:left w:val="nil"/>
              <w:bottom w:val="single" w:sz="8" w:space="0" w:color="auto"/>
              <w:right w:val="nil"/>
            </w:tcBorders>
            <w:shd w:val="clear" w:color="auto" w:fill="auto"/>
            <w:noWrap/>
            <w:tcMar>
              <w:top w:w="0" w:type="dxa"/>
              <w:left w:w="28" w:type="dxa"/>
              <w:bottom w:w="0" w:type="dxa"/>
              <w:right w:w="28" w:type="dxa"/>
            </w:tcMar>
            <w:hideMark/>
          </w:tcPr>
          <w:p w:rsidR="00282739" w:rsidRPr="00BB50DE" w:rsidRDefault="00282739" w:rsidP="003C6043">
            <w:pPr>
              <w:pStyle w:val="Tabletext"/>
              <w:jc w:val="center"/>
              <w:rPr>
                <w:b/>
                <w:iCs/>
              </w:rPr>
            </w:pPr>
            <w:r w:rsidRPr="00BB50DE">
              <w:rPr>
                <w:b/>
                <w:iCs/>
              </w:rPr>
              <w:t>27 437</w:t>
            </w:r>
          </w:p>
        </w:tc>
      </w:tr>
    </w:tbl>
    <w:p w:rsidR="00282739" w:rsidRPr="00B12015" w:rsidRDefault="00282739" w:rsidP="00282739">
      <w:pPr>
        <w:pStyle w:val="Source"/>
        <w:tabs>
          <w:tab w:val="left" w:pos="993"/>
        </w:tabs>
      </w:pPr>
      <w:r>
        <w:t>Notes:</w:t>
      </w:r>
      <w:r>
        <w:tab/>
        <w:t>***</w:t>
      </w:r>
      <w:r>
        <w:tab/>
        <w:t xml:space="preserve">Significant at 1%, ** significant at 5%, *significant at 10%. </w:t>
      </w:r>
      <w:r>
        <w:br/>
      </w:r>
      <w:r w:rsidRPr="00147EEA">
        <w:t>a</w:t>
      </w:r>
      <w:r>
        <w:tab/>
      </w:r>
      <w:r w:rsidRPr="00B12015">
        <w:t>Excluding student</w:t>
      </w:r>
      <w:r>
        <w:t>’</w:t>
      </w:r>
      <w:r w:rsidRPr="00B12015">
        <w:t>s own outcome.</w:t>
      </w:r>
      <w:r>
        <w:t xml:space="preserve"> </w:t>
      </w:r>
      <w:r>
        <w:br/>
      </w:r>
      <w:r w:rsidRPr="00147EEA">
        <w:t>b</w:t>
      </w:r>
      <w:r>
        <w:tab/>
      </w:r>
      <w:r w:rsidRPr="00B12015">
        <w:t xml:space="preserve">These headings reflect the 2-digit ASCED fields of study based on the 4-digit headings that makeup the 2-digit </w:t>
      </w:r>
      <w:r>
        <w:br/>
      </w:r>
      <w:r>
        <w:tab/>
        <w:t>categories.</w:t>
      </w:r>
      <w:r>
        <w:br/>
        <w:t>SLA = statistical local area.</w:t>
      </w:r>
    </w:p>
    <w:p w:rsidR="00282739" w:rsidRDefault="00282739" w:rsidP="00282739">
      <w:r>
        <w:br w:type="page"/>
      </w:r>
    </w:p>
    <w:p w:rsidR="00282739" w:rsidRPr="00F8319B" w:rsidRDefault="00282739" w:rsidP="00282739">
      <w:pPr>
        <w:pStyle w:val="tabletitle"/>
      </w:pPr>
      <w:bookmarkStart w:id="81" w:name="_Toc402794994"/>
      <w:r>
        <w:lastRenderedPageBreak/>
        <w:t>Table D2</w:t>
      </w:r>
      <w:r>
        <w:tab/>
        <w:t>The ten most common general subjects taken by students who do and do not take a VCE VET subject</w:t>
      </w:r>
      <w:bookmarkEnd w:id="81"/>
    </w:p>
    <w:tbl>
      <w:tblPr>
        <w:tblW w:w="8790" w:type="dxa"/>
        <w:tblInd w:w="113" w:type="dxa"/>
        <w:tblLayout w:type="fixed"/>
        <w:tblCellMar>
          <w:left w:w="113" w:type="dxa"/>
          <w:right w:w="113" w:type="dxa"/>
        </w:tblCellMar>
        <w:tblLook w:val="04A0" w:firstRow="1" w:lastRow="0" w:firstColumn="1" w:lastColumn="0" w:noHBand="0" w:noVBand="1"/>
      </w:tblPr>
      <w:tblGrid>
        <w:gridCol w:w="2249"/>
        <w:gridCol w:w="724"/>
        <w:gridCol w:w="2127"/>
        <w:gridCol w:w="708"/>
        <w:gridCol w:w="2268"/>
        <w:gridCol w:w="714"/>
      </w:tblGrid>
      <w:tr w:rsidR="00282739" w:rsidRPr="00830F4B" w:rsidTr="003C6043">
        <w:tc>
          <w:tcPr>
            <w:tcW w:w="1691" w:type="pct"/>
            <w:gridSpan w:val="2"/>
            <w:tcBorders>
              <w:top w:val="single" w:sz="4" w:space="0" w:color="auto"/>
            </w:tcBorders>
            <w:noWrap/>
            <w:tcMar>
              <w:top w:w="0" w:type="dxa"/>
              <w:left w:w="108" w:type="dxa"/>
              <w:bottom w:w="0" w:type="dxa"/>
              <w:right w:w="108" w:type="dxa"/>
            </w:tcMar>
            <w:hideMark/>
          </w:tcPr>
          <w:p w:rsidR="00282739" w:rsidRPr="00830F4B" w:rsidRDefault="00282739" w:rsidP="003C6043">
            <w:pPr>
              <w:pStyle w:val="Tablehead1"/>
              <w:rPr>
                <w:rFonts w:eastAsiaTheme="minorHAnsi"/>
              </w:rPr>
            </w:pPr>
            <w:r w:rsidRPr="00830F4B">
              <w:t>Students who take a VCE VET subject (treatment group)</w:t>
            </w:r>
          </w:p>
        </w:tc>
        <w:tc>
          <w:tcPr>
            <w:tcW w:w="1613" w:type="pct"/>
            <w:gridSpan w:val="2"/>
            <w:tcBorders>
              <w:top w:val="single" w:sz="4" w:space="0" w:color="auto"/>
            </w:tcBorders>
            <w:noWrap/>
            <w:tcMar>
              <w:top w:w="0" w:type="dxa"/>
              <w:left w:w="108" w:type="dxa"/>
              <w:bottom w:w="0" w:type="dxa"/>
              <w:right w:w="0" w:type="dxa"/>
            </w:tcMar>
            <w:hideMark/>
          </w:tcPr>
          <w:p w:rsidR="00282739" w:rsidRPr="00830F4B" w:rsidRDefault="00282739" w:rsidP="003C6043">
            <w:pPr>
              <w:pStyle w:val="Tablehead1"/>
              <w:rPr>
                <w:rFonts w:eastAsiaTheme="minorHAnsi"/>
              </w:rPr>
            </w:pPr>
            <w:r w:rsidRPr="00830F4B">
              <w:t>Students who don’t take a VCE</w:t>
            </w:r>
            <w:r>
              <w:t> </w:t>
            </w:r>
            <w:r w:rsidRPr="00830F4B">
              <w:t>VET subject (control group)</w:t>
            </w:r>
          </w:p>
        </w:tc>
        <w:tc>
          <w:tcPr>
            <w:tcW w:w="1696" w:type="pct"/>
            <w:gridSpan w:val="2"/>
            <w:tcBorders>
              <w:top w:val="single" w:sz="4" w:space="0" w:color="auto"/>
            </w:tcBorders>
            <w:noWrap/>
            <w:tcMar>
              <w:top w:w="0" w:type="dxa"/>
              <w:left w:w="108" w:type="dxa"/>
              <w:bottom w:w="0" w:type="dxa"/>
              <w:right w:w="108" w:type="dxa"/>
            </w:tcMar>
            <w:hideMark/>
          </w:tcPr>
          <w:p w:rsidR="00282739" w:rsidRPr="00830F4B" w:rsidRDefault="00282739" w:rsidP="003C6043">
            <w:pPr>
              <w:pStyle w:val="Tablehead1"/>
              <w:rPr>
                <w:rFonts w:eastAsiaTheme="minorHAnsi"/>
              </w:rPr>
            </w:pPr>
            <w:r w:rsidRPr="00830F4B">
              <w:t>Matched control group</w:t>
            </w:r>
          </w:p>
        </w:tc>
      </w:tr>
      <w:tr w:rsidR="00282739" w:rsidTr="003C6043">
        <w:tc>
          <w:tcPr>
            <w:tcW w:w="1279" w:type="pct"/>
            <w:tcBorders>
              <w:left w:val="nil"/>
              <w:bottom w:val="single" w:sz="4" w:space="0" w:color="auto"/>
              <w:right w:val="nil"/>
            </w:tcBorders>
            <w:noWrap/>
            <w:tcMar>
              <w:top w:w="0" w:type="dxa"/>
              <w:left w:w="108" w:type="dxa"/>
              <w:bottom w:w="0" w:type="dxa"/>
              <w:right w:w="108" w:type="dxa"/>
            </w:tcMar>
            <w:hideMark/>
          </w:tcPr>
          <w:p w:rsidR="00282739" w:rsidRDefault="00282739" w:rsidP="003C6043">
            <w:pPr>
              <w:pStyle w:val="Tablehead2"/>
              <w:rPr>
                <w:rFonts w:eastAsiaTheme="minorHAnsi"/>
              </w:rPr>
            </w:pPr>
          </w:p>
        </w:tc>
        <w:tc>
          <w:tcPr>
            <w:tcW w:w="412" w:type="pct"/>
            <w:tcBorders>
              <w:left w:val="nil"/>
              <w:bottom w:val="single" w:sz="4" w:space="0" w:color="auto"/>
              <w:right w:val="nil"/>
            </w:tcBorders>
            <w:noWrap/>
            <w:tcMar>
              <w:top w:w="0" w:type="dxa"/>
              <w:left w:w="108" w:type="dxa"/>
              <w:bottom w:w="0" w:type="dxa"/>
              <w:right w:w="108" w:type="dxa"/>
            </w:tcMar>
            <w:hideMark/>
          </w:tcPr>
          <w:p w:rsidR="00282739" w:rsidRDefault="00282739" w:rsidP="003C6043">
            <w:pPr>
              <w:pStyle w:val="Tablehead2"/>
              <w:ind w:right="57"/>
              <w:jc w:val="right"/>
              <w:rPr>
                <w:rFonts w:eastAsiaTheme="minorHAnsi"/>
              </w:rPr>
            </w:pPr>
            <w:r>
              <w:t>%</w:t>
            </w:r>
          </w:p>
        </w:tc>
        <w:tc>
          <w:tcPr>
            <w:tcW w:w="1210" w:type="pct"/>
            <w:tcBorders>
              <w:left w:val="nil"/>
              <w:bottom w:val="single" w:sz="4" w:space="0" w:color="auto"/>
              <w:right w:val="nil"/>
            </w:tcBorders>
            <w:noWrap/>
            <w:tcMar>
              <w:top w:w="0" w:type="dxa"/>
              <w:left w:w="108" w:type="dxa"/>
              <w:bottom w:w="0" w:type="dxa"/>
              <w:right w:w="108" w:type="dxa"/>
            </w:tcMar>
            <w:hideMark/>
          </w:tcPr>
          <w:p w:rsidR="00282739" w:rsidRDefault="00282739" w:rsidP="003C6043">
            <w:pPr>
              <w:pStyle w:val="Tablehead2"/>
              <w:rPr>
                <w:rFonts w:eastAsiaTheme="minorHAnsi"/>
              </w:rPr>
            </w:pPr>
          </w:p>
        </w:tc>
        <w:tc>
          <w:tcPr>
            <w:tcW w:w="403" w:type="pct"/>
            <w:tcBorders>
              <w:left w:val="nil"/>
              <w:bottom w:val="single" w:sz="4" w:space="0" w:color="auto"/>
              <w:right w:val="nil"/>
            </w:tcBorders>
            <w:noWrap/>
            <w:tcMar>
              <w:top w:w="0" w:type="dxa"/>
              <w:left w:w="108" w:type="dxa"/>
              <w:bottom w:w="0" w:type="dxa"/>
              <w:right w:w="108" w:type="dxa"/>
            </w:tcMar>
            <w:hideMark/>
          </w:tcPr>
          <w:p w:rsidR="00282739" w:rsidRDefault="00282739" w:rsidP="003C6043">
            <w:pPr>
              <w:pStyle w:val="Tablehead2"/>
              <w:ind w:right="57"/>
              <w:jc w:val="right"/>
              <w:rPr>
                <w:rFonts w:eastAsiaTheme="minorHAnsi"/>
              </w:rPr>
            </w:pPr>
            <w:r>
              <w:t>%</w:t>
            </w:r>
          </w:p>
        </w:tc>
        <w:tc>
          <w:tcPr>
            <w:tcW w:w="1290" w:type="pct"/>
            <w:tcBorders>
              <w:left w:val="nil"/>
              <w:bottom w:val="single" w:sz="4" w:space="0" w:color="auto"/>
              <w:right w:val="nil"/>
            </w:tcBorders>
            <w:noWrap/>
            <w:tcMar>
              <w:top w:w="0" w:type="dxa"/>
              <w:left w:w="108" w:type="dxa"/>
              <w:bottom w:w="0" w:type="dxa"/>
              <w:right w:w="108" w:type="dxa"/>
            </w:tcMar>
            <w:hideMark/>
          </w:tcPr>
          <w:p w:rsidR="00282739" w:rsidRDefault="00282739" w:rsidP="003C6043">
            <w:pPr>
              <w:pStyle w:val="Tablehead2"/>
              <w:rPr>
                <w:rFonts w:eastAsiaTheme="minorHAnsi"/>
              </w:rPr>
            </w:pPr>
          </w:p>
        </w:tc>
        <w:tc>
          <w:tcPr>
            <w:tcW w:w="403" w:type="pct"/>
            <w:tcBorders>
              <w:left w:val="nil"/>
              <w:bottom w:val="single" w:sz="4" w:space="0" w:color="auto"/>
              <w:right w:val="nil"/>
            </w:tcBorders>
            <w:noWrap/>
            <w:tcMar>
              <w:top w:w="0" w:type="dxa"/>
              <w:left w:w="108" w:type="dxa"/>
              <w:bottom w:w="0" w:type="dxa"/>
              <w:right w:w="108" w:type="dxa"/>
            </w:tcMar>
            <w:hideMark/>
          </w:tcPr>
          <w:p w:rsidR="00282739" w:rsidRDefault="00282739" w:rsidP="003C6043">
            <w:pPr>
              <w:pStyle w:val="Tablehead2"/>
              <w:ind w:right="57"/>
              <w:jc w:val="right"/>
              <w:rPr>
                <w:rFonts w:eastAsiaTheme="minorHAnsi"/>
              </w:rPr>
            </w:pPr>
            <w:r>
              <w:t>%</w:t>
            </w:r>
          </w:p>
        </w:tc>
      </w:tr>
      <w:tr w:rsidR="00282739" w:rsidTr="003C6043">
        <w:tc>
          <w:tcPr>
            <w:tcW w:w="1279" w:type="pct"/>
            <w:tcBorders>
              <w:top w:val="single" w:sz="4" w:space="0" w:color="auto"/>
            </w:tcBorders>
            <w:noWrap/>
            <w:tcMar>
              <w:top w:w="0" w:type="dxa"/>
              <w:left w:w="108" w:type="dxa"/>
              <w:bottom w:w="0" w:type="dxa"/>
              <w:right w:w="108" w:type="dxa"/>
            </w:tcMar>
            <w:hideMark/>
          </w:tcPr>
          <w:p w:rsidR="00282739" w:rsidRDefault="00282739" w:rsidP="003C6043">
            <w:pPr>
              <w:pStyle w:val="Tabletext"/>
              <w:rPr>
                <w:rFonts w:eastAsiaTheme="minorHAnsi"/>
              </w:rPr>
            </w:pPr>
            <w:r>
              <w:t>Further mathematics</w:t>
            </w:r>
          </w:p>
        </w:tc>
        <w:tc>
          <w:tcPr>
            <w:tcW w:w="412" w:type="pct"/>
            <w:tcBorders>
              <w:top w:val="single" w:sz="4" w:space="0" w:color="auto"/>
            </w:tcBorders>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19.81</w:t>
            </w:r>
          </w:p>
        </w:tc>
        <w:tc>
          <w:tcPr>
            <w:tcW w:w="1210" w:type="pct"/>
            <w:tcBorders>
              <w:top w:val="single" w:sz="4" w:space="0" w:color="auto"/>
            </w:tcBorders>
            <w:noWrap/>
            <w:tcMar>
              <w:top w:w="0" w:type="dxa"/>
              <w:left w:w="108" w:type="dxa"/>
              <w:bottom w:w="0" w:type="dxa"/>
              <w:right w:w="108" w:type="dxa"/>
            </w:tcMar>
            <w:hideMark/>
          </w:tcPr>
          <w:p w:rsidR="00282739" w:rsidRDefault="00282739" w:rsidP="003C6043">
            <w:pPr>
              <w:pStyle w:val="Tabletext"/>
              <w:rPr>
                <w:rFonts w:eastAsiaTheme="minorHAnsi"/>
              </w:rPr>
            </w:pPr>
            <w:r>
              <w:t>Further mathematics</w:t>
            </w:r>
          </w:p>
        </w:tc>
        <w:tc>
          <w:tcPr>
            <w:tcW w:w="403" w:type="pct"/>
            <w:tcBorders>
              <w:top w:val="single" w:sz="4" w:space="0" w:color="auto"/>
            </w:tcBorders>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14.32</w:t>
            </w:r>
          </w:p>
        </w:tc>
        <w:tc>
          <w:tcPr>
            <w:tcW w:w="1290" w:type="pct"/>
            <w:tcBorders>
              <w:top w:val="single" w:sz="4" w:space="0" w:color="auto"/>
            </w:tcBorders>
            <w:noWrap/>
            <w:tcMar>
              <w:top w:w="0" w:type="dxa"/>
              <w:left w:w="108" w:type="dxa"/>
              <w:bottom w:w="0" w:type="dxa"/>
              <w:right w:w="108" w:type="dxa"/>
            </w:tcMar>
            <w:hideMark/>
          </w:tcPr>
          <w:p w:rsidR="00282739" w:rsidRDefault="00282739" w:rsidP="003C6043">
            <w:pPr>
              <w:pStyle w:val="Tabletext"/>
              <w:rPr>
                <w:rFonts w:eastAsiaTheme="minorHAnsi"/>
              </w:rPr>
            </w:pPr>
            <w:r>
              <w:t>Further mathematics</w:t>
            </w:r>
          </w:p>
        </w:tc>
        <w:tc>
          <w:tcPr>
            <w:tcW w:w="403" w:type="pct"/>
            <w:tcBorders>
              <w:top w:val="single" w:sz="4" w:space="0" w:color="auto"/>
            </w:tcBorders>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16.19</w:t>
            </w:r>
          </w:p>
        </w:tc>
      </w:tr>
      <w:tr w:rsidR="00282739" w:rsidTr="003C6043">
        <w:tc>
          <w:tcPr>
            <w:tcW w:w="1279" w:type="pct"/>
            <w:noWrap/>
            <w:tcMar>
              <w:top w:w="0" w:type="dxa"/>
              <w:left w:w="108" w:type="dxa"/>
              <w:bottom w:w="0" w:type="dxa"/>
              <w:right w:w="108" w:type="dxa"/>
            </w:tcMar>
            <w:hideMark/>
          </w:tcPr>
          <w:p w:rsidR="00282739" w:rsidRDefault="00282739" w:rsidP="003C6043">
            <w:pPr>
              <w:pStyle w:val="Tabletext"/>
              <w:rPr>
                <w:rFonts w:eastAsiaTheme="minorHAnsi"/>
              </w:rPr>
            </w:pPr>
            <w:r>
              <w:t>Health and human development</w:t>
            </w:r>
          </w:p>
        </w:tc>
        <w:tc>
          <w:tcPr>
            <w:tcW w:w="412"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7.66</w:t>
            </w:r>
          </w:p>
        </w:tc>
        <w:tc>
          <w:tcPr>
            <w:tcW w:w="1210" w:type="pct"/>
            <w:noWrap/>
            <w:tcMar>
              <w:top w:w="0" w:type="dxa"/>
              <w:left w:w="108" w:type="dxa"/>
              <w:bottom w:w="0" w:type="dxa"/>
              <w:right w:w="108" w:type="dxa"/>
            </w:tcMar>
            <w:hideMark/>
          </w:tcPr>
          <w:p w:rsidR="00282739" w:rsidRDefault="00282739" w:rsidP="003C6043">
            <w:pPr>
              <w:pStyle w:val="Tabletext"/>
              <w:rPr>
                <w:rFonts w:eastAsiaTheme="minorHAnsi"/>
              </w:rPr>
            </w:pPr>
            <w:r>
              <w:t>Mathematical methods (CAS)</w:t>
            </w:r>
          </w:p>
        </w:tc>
        <w:tc>
          <w:tcPr>
            <w:tcW w:w="403"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8.86</w:t>
            </w:r>
          </w:p>
        </w:tc>
        <w:tc>
          <w:tcPr>
            <w:tcW w:w="1290" w:type="pct"/>
            <w:noWrap/>
            <w:tcMar>
              <w:top w:w="0" w:type="dxa"/>
              <w:left w:w="108" w:type="dxa"/>
              <w:bottom w:w="0" w:type="dxa"/>
              <w:right w:w="108" w:type="dxa"/>
            </w:tcMar>
            <w:hideMark/>
          </w:tcPr>
          <w:p w:rsidR="00282739" w:rsidRDefault="00282739" w:rsidP="003C6043">
            <w:pPr>
              <w:pStyle w:val="Tabletext"/>
              <w:rPr>
                <w:rFonts w:eastAsiaTheme="minorHAnsi"/>
              </w:rPr>
            </w:pPr>
            <w:r>
              <w:t>Business management</w:t>
            </w:r>
          </w:p>
        </w:tc>
        <w:tc>
          <w:tcPr>
            <w:tcW w:w="403"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7.74</w:t>
            </w:r>
          </w:p>
        </w:tc>
      </w:tr>
      <w:tr w:rsidR="00282739" w:rsidTr="003C6043">
        <w:tc>
          <w:tcPr>
            <w:tcW w:w="1279" w:type="pct"/>
            <w:noWrap/>
            <w:tcMar>
              <w:top w:w="0" w:type="dxa"/>
              <w:left w:w="108" w:type="dxa"/>
              <w:bottom w:w="0" w:type="dxa"/>
              <w:right w:w="108" w:type="dxa"/>
            </w:tcMar>
            <w:hideMark/>
          </w:tcPr>
          <w:p w:rsidR="00282739" w:rsidRDefault="00282739" w:rsidP="003C6043">
            <w:pPr>
              <w:pStyle w:val="Tabletext"/>
              <w:rPr>
                <w:rFonts w:eastAsiaTheme="minorHAnsi"/>
              </w:rPr>
            </w:pPr>
            <w:r>
              <w:t>Business management</w:t>
            </w:r>
          </w:p>
        </w:tc>
        <w:tc>
          <w:tcPr>
            <w:tcW w:w="412"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7.56</w:t>
            </w:r>
          </w:p>
        </w:tc>
        <w:tc>
          <w:tcPr>
            <w:tcW w:w="1210" w:type="pct"/>
            <w:noWrap/>
            <w:tcMar>
              <w:top w:w="0" w:type="dxa"/>
              <w:left w:w="108" w:type="dxa"/>
              <w:bottom w:w="0" w:type="dxa"/>
              <w:right w:w="108" w:type="dxa"/>
            </w:tcMar>
            <w:hideMark/>
          </w:tcPr>
          <w:p w:rsidR="00282739" w:rsidRDefault="00282739" w:rsidP="003C6043">
            <w:pPr>
              <w:pStyle w:val="Tabletext"/>
              <w:rPr>
                <w:rFonts w:eastAsiaTheme="minorHAnsi"/>
              </w:rPr>
            </w:pPr>
            <w:r>
              <w:t>Psychology</w:t>
            </w:r>
          </w:p>
        </w:tc>
        <w:tc>
          <w:tcPr>
            <w:tcW w:w="403"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7.09</w:t>
            </w:r>
          </w:p>
        </w:tc>
        <w:tc>
          <w:tcPr>
            <w:tcW w:w="1290" w:type="pct"/>
            <w:noWrap/>
            <w:tcMar>
              <w:top w:w="0" w:type="dxa"/>
              <w:left w:w="108" w:type="dxa"/>
              <w:bottom w:w="0" w:type="dxa"/>
              <w:right w:w="108" w:type="dxa"/>
            </w:tcMar>
            <w:hideMark/>
          </w:tcPr>
          <w:p w:rsidR="00282739" w:rsidRDefault="00282739" w:rsidP="003C6043">
            <w:pPr>
              <w:pStyle w:val="Tabletext"/>
              <w:rPr>
                <w:rFonts w:eastAsiaTheme="minorHAnsi"/>
              </w:rPr>
            </w:pPr>
            <w:r>
              <w:t>Psychology</w:t>
            </w:r>
          </w:p>
        </w:tc>
        <w:tc>
          <w:tcPr>
            <w:tcW w:w="403"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7.5</w:t>
            </w:r>
          </w:p>
        </w:tc>
      </w:tr>
      <w:tr w:rsidR="00282739" w:rsidTr="003C6043">
        <w:tc>
          <w:tcPr>
            <w:tcW w:w="1279" w:type="pct"/>
            <w:noWrap/>
            <w:tcMar>
              <w:top w:w="0" w:type="dxa"/>
              <w:left w:w="108" w:type="dxa"/>
              <w:bottom w:w="0" w:type="dxa"/>
              <w:right w:w="108" w:type="dxa"/>
            </w:tcMar>
            <w:hideMark/>
          </w:tcPr>
          <w:p w:rsidR="00282739" w:rsidRDefault="00282739" w:rsidP="003C6043">
            <w:pPr>
              <w:pStyle w:val="Tabletext"/>
              <w:rPr>
                <w:rFonts w:eastAsiaTheme="minorHAnsi"/>
              </w:rPr>
            </w:pPr>
            <w:r>
              <w:t>Psychology</w:t>
            </w:r>
          </w:p>
        </w:tc>
        <w:tc>
          <w:tcPr>
            <w:tcW w:w="412"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6.35</w:t>
            </w:r>
          </w:p>
        </w:tc>
        <w:tc>
          <w:tcPr>
            <w:tcW w:w="1210" w:type="pct"/>
            <w:noWrap/>
            <w:tcMar>
              <w:top w:w="0" w:type="dxa"/>
              <w:left w:w="108" w:type="dxa"/>
              <w:bottom w:w="0" w:type="dxa"/>
              <w:right w:w="108" w:type="dxa"/>
            </w:tcMar>
            <w:hideMark/>
          </w:tcPr>
          <w:p w:rsidR="00282739" w:rsidRDefault="00282739" w:rsidP="003C6043">
            <w:pPr>
              <w:pStyle w:val="Tabletext"/>
              <w:rPr>
                <w:rFonts w:eastAsiaTheme="minorHAnsi"/>
              </w:rPr>
            </w:pPr>
            <w:r>
              <w:t>Chemistry</w:t>
            </w:r>
          </w:p>
        </w:tc>
        <w:tc>
          <w:tcPr>
            <w:tcW w:w="403"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5.8</w:t>
            </w:r>
          </w:p>
        </w:tc>
        <w:tc>
          <w:tcPr>
            <w:tcW w:w="1290" w:type="pct"/>
            <w:noWrap/>
            <w:tcMar>
              <w:top w:w="0" w:type="dxa"/>
              <w:left w:w="108" w:type="dxa"/>
              <w:bottom w:w="0" w:type="dxa"/>
              <w:right w:w="108" w:type="dxa"/>
            </w:tcMar>
            <w:hideMark/>
          </w:tcPr>
          <w:p w:rsidR="00282739" w:rsidRDefault="00282739" w:rsidP="003C6043">
            <w:pPr>
              <w:pStyle w:val="Tabletext"/>
              <w:rPr>
                <w:rFonts w:eastAsiaTheme="minorHAnsi"/>
              </w:rPr>
            </w:pPr>
            <w:r>
              <w:t>Health and human development</w:t>
            </w:r>
          </w:p>
        </w:tc>
        <w:tc>
          <w:tcPr>
            <w:tcW w:w="403"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6.43</w:t>
            </w:r>
          </w:p>
        </w:tc>
      </w:tr>
      <w:tr w:rsidR="00282739" w:rsidTr="003C6043">
        <w:tc>
          <w:tcPr>
            <w:tcW w:w="1279" w:type="pct"/>
            <w:noWrap/>
            <w:tcMar>
              <w:top w:w="0" w:type="dxa"/>
              <w:left w:w="108" w:type="dxa"/>
              <w:bottom w:w="0" w:type="dxa"/>
              <w:right w:w="108" w:type="dxa"/>
            </w:tcMar>
            <w:hideMark/>
          </w:tcPr>
          <w:p w:rsidR="00282739" w:rsidRPr="006F0B54" w:rsidRDefault="00282739" w:rsidP="003C6043">
            <w:pPr>
              <w:pStyle w:val="Tabletext"/>
              <w:rPr>
                <w:rFonts w:eastAsiaTheme="minorHAnsi"/>
              </w:rPr>
            </w:pPr>
            <w:r w:rsidRPr="006F0B54">
              <w:t>Physical education</w:t>
            </w:r>
          </w:p>
        </w:tc>
        <w:tc>
          <w:tcPr>
            <w:tcW w:w="412" w:type="pct"/>
            <w:noWrap/>
            <w:tcMar>
              <w:top w:w="0" w:type="dxa"/>
              <w:left w:w="108" w:type="dxa"/>
              <w:bottom w:w="0" w:type="dxa"/>
              <w:right w:w="108" w:type="dxa"/>
            </w:tcMar>
            <w:hideMark/>
          </w:tcPr>
          <w:p w:rsidR="00282739" w:rsidRPr="006F0B54" w:rsidRDefault="00282739" w:rsidP="003C6043">
            <w:pPr>
              <w:pStyle w:val="Tabletext"/>
              <w:ind w:right="57"/>
              <w:jc w:val="right"/>
              <w:rPr>
                <w:rFonts w:eastAsiaTheme="minorHAnsi"/>
              </w:rPr>
            </w:pPr>
            <w:r w:rsidRPr="006F0B54">
              <w:t>5.93</w:t>
            </w:r>
          </w:p>
        </w:tc>
        <w:tc>
          <w:tcPr>
            <w:tcW w:w="1210" w:type="pct"/>
            <w:noWrap/>
            <w:tcMar>
              <w:top w:w="0" w:type="dxa"/>
              <w:left w:w="108" w:type="dxa"/>
              <w:bottom w:w="0" w:type="dxa"/>
              <w:right w:w="108" w:type="dxa"/>
            </w:tcMar>
            <w:hideMark/>
          </w:tcPr>
          <w:p w:rsidR="00282739" w:rsidRPr="006F0B54" w:rsidRDefault="00282739" w:rsidP="003C6043">
            <w:pPr>
              <w:pStyle w:val="Tabletext"/>
              <w:rPr>
                <w:rFonts w:eastAsiaTheme="minorHAnsi"/>
              </w:rPr>
            </w:pPr>
            <w:r w:rsidRPr="006F0B54">
              <w:t>Health and human development</w:t>
            </w:r>
          </w:p>
        </w:tc>
        <w:tc>
          <w:tcPr>
            <w:tcW w:w="403" w:type="pct"/>
            <w:noWrap/>
            <w:tcMar>
              <w:top w:w="0" w:type="dxa"/>
              <w:left w:w="108" w:type="dxa"/>
              <w:bottom w:w="0" w:type="dxa"/>
              <w:right w:w="108" w:type="dxa"/>
            </w:tcMar>
            <w:hideMark/>
          </w:tcPr>
          <w:p w:rsidR="00282739" w:rsidRPr="006F0B54" w:rsidRDefault="00282739" w:rsidP="003C6043">
            <w:pPr>
              <w:pStyle w:val="Tabletext"/>
              <w:ind w:right="57"/>
              <w:jc w:val="right"/>
              <w:rPr>
                <w:rFonts w:eastAsiaTheme="minorHAnsi"/>
              </w:rPr>
            </w:pPr>
            <w:r w:rsidRPr="006F0B54">
              <w:t>5.37</w:t>
            </w:r>
          </w:p>
        </w:tc>
        <w:tc>
          <w:tcPr>
            <w:tcW w:w="1290" w:type="pct"/>
            <w:noWrap/>
            <w:tcMar>
              <w:top w:w="0" w:type="dxa"/>
              <w:left w:w="108" w:type="dxa"/>
              <w:bottom w:w="0" w:type="dxa"/>
              <w:right w:w="108" w:type="dxa"/>
            </w:tcMar>
            <w:hideMark/>
          </w:tcPr>
          <w:p w:rsidR="00282739" w:rsidRPr="006F0B54" w:rsidRDefault="00282739" w:rsidP="003C6043">
            <w:pPr>
              <w:pStyle w:val="Tabletext"/>
              <w:rPr>
                <w:rFonts w:eastAsiaTheme="minorHAnsi"/>
              </w:rPr>
            </w:pPr>
            <w:r w:rsidRPr="006F0B54">
              <w:t>Physical education</w:t>
            </w:r>
          </w:p>
        </w:tc>
        <w:tc>
          <w:tcPr>
            <w:tcW w:w="403"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rsidRPr="006F0B54">
              <w:t>5.83</w:t>
            </w:r>
          </w:p>
        </w:tc>
      </w:tr>
      <w:tr w:rsidR="00282739" w:rsidTr="003C6043">
        <w:tc>
          <w:tcPr>
            <w:tcW w:w="1279" w:type="pct"/>
            <w:noWrap/>
            <w:tcMar>
              <w:top w:w="0" w:type="dxa"/>
              <w:left w:w="108" w:type="dxa"/>
              <w:bottom w:w="0" w:type="dxa"/>
              <w:right w:w="108" w:type="dxa"/>
            </w:tcMar>
            <w:hideMark/>
          </w:tcPr>
          <w:p w:rsidR="00282739" w:rsidRDefault="00282739" w:rsidP="003C6043">
            <w:pPr>
              <w:pStyle w:val="Tabletext"/>
              <w:rPr>
                <w:rFonts w:eastAsiaTheme="minorHAnsi"/>
              </w:rPr>
            </w:pPr>
            <w:r>
              <w:t>Studio arts</w:t>
            </w:r>
          </w:p>
        </w:tc>
        <w:tc>
          <w:tcPr>
            <w:tcW w:w="412"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4.17</w:t>
            </w:r>
          </w:p>
        </w:tc>
        <w:tc>
          <w:tcPr>
            <w:tcW w:w="1210" w:type="pct"/>
            <w:noWrap/>
            <w:tcMar>
              <w:top w:w="0" w:type="dxa"/>
              <w:left w:w="108" w:type="dxa"/>
              <w:bottom w:w="0" w:type="dxa"/>
              <w:right w:w="108" w:type="dxa"/>
            </w:tcMar>
            <w:hideMark/>
          </w:tcPr>
          <w:p w:rsidR="00282739" w:rsidRDefault="00282739" w:rsidP="003C6043">
            <w:pPr>
              <w:pStyle w:val="Tabletext"/>
              <w:rPr>
                <w:rFonts w:eastAsiaTheme="minorHAnsi"/>
              </w:rPr>
            </w:pPr>
            <w:r>
              <w:t>Biology</w:t>
            </w:r>
          </w:p>
        </w:tc>
        <w:tc>
          <w:tcPr>
            <w:tcW w:w="403"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5.33</w:t>
            </w:r>
          </w:p>
        </w:tc>
        <w:tc>
          <w:tcPr>
            <w:tcW w:w="1290" w:type="pct"/>
            <w:noWrap/>
            <w:tcMar>
              <w:top w:w="0" w:type="dxa"/>
              <w:left w:w="108" w:type="dxa"/>
              <w:bottom w:w="0" w:type="dxa"/>
              <w:right w:w="108" w:type="dxa"/>
            </w:tcMar>
            <w:hideMark/>
          </w:tcPr>
          <w:p w:rsidR="00282739" w:rsidRDefault="00282739" w:rsidP="003C6043">
            <w:pPr>
              <w:pStyle w:val="Tabletext"/>
              <w:rPr>
                <w:rFonts w:eastAsiaTheme="minorHAnsi"/>
              </w:rPr>
            </w:pPr>
            <w:r>
              <w:t>Biology</w:t>
            </w:r>
          </w:p>
        </w:tc>
        <w:tc>
          <w:tcPr>
            <w:tcW w:w="403"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5.24</w:t>
            </w:r>
          </w:p>
        </w:tc>
      </w:tr>
      <w:tr w:rsidR="00282739" w:rsidTr="003C6043">
        <w:tc>
          <w:tcPr>
            <w:tcW w:w="1279" w:type="pct"/>
            <w:noWrap/>
            <w:tcMar>
              <w:top w:w="0" w:type="dxa"/>
              <w:left w:w="108" w:type="dxa"/>
              <w:bottom w:w="0" w:type="dxa"/>
              <w:right w:w="108" w:type="dxa"/>
            </w:tcMar>
            <w:hideMark/>
          </w:tcPr>
          <w:p w:rsidR="00282739" w:rsidRDefault="00282739" w:rsidP="003C6043">
            <w:pPr>
              <w:pStyle w:val="Tabletext"/>
              <w:rPr>
                <w:rFonts w:eastAsiaTheme="minorHAnsi"/>
              </w:rPr>
            </w:pPr>
            <w:r>
              <w:t>Visual communication and design</w:t>
            </w:r>
          </w:p>
        </w:tc>
        <w:tc>
          <w:tcPr>
            <w:tcW w:w="412"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4.08</w:t>
            </w:r>
          </w:p>
        </w:tc>
        <w:tc>
          <w:tcPr>
            <w:tcW w:w="1210" w:type="pct"/>
            <w:noWrap/>
            <w:tcMar>
              <w:top w:w="0" w:type="dxa"/>
              <w:left w:w="108" w:type="dxa"/>
              <w:bottom w:w="0" w:type="dxa"/>
              <w:right w:w="108" w:type="dxa"/>
            </w:tcMar>
            <w:hideMark/>
          </w:tcPr>
          <w:p w:rsidR="00282739" w:rsidRDefault="00282739" w:rsidP="003C6043">
            <w:pPr>
              <w:pStyle w:val="Tabletext"/>
              <w:rPr>
                <w:rFonts w:eastAsiaTheme="minorHAnsi"/>
              </w:rPr>
            </w:pPr>
            <w:r>
              <w:t>Business management</w:t>
            </w:r>
          </w:p>
        </w:tc>
        <w:tc>
          <w:tcPr>
            <w:tcW w:w="403"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5.1</w:t>
            </w:r>
          </w:p>
        </w:tc>
        <w:tc>
          <w:tcPr>
            <w:tcW w:w="1290" w:type="pct"/>
            <w:noWrap/>
            <w:tcMar>
              <w:top w:w="0" w:type="dxa"/>
              <w:left w:w="108" w:type="dxa"/>
              <w:bottom w:w="0" w:type="dxa"/>
              <w:right w:w="108" w:type="dxa"/>
            </w:tcMar>
            <w:hideMark/>
          </w:tcPr>
          <w:p w:rsidR="00282739" w:rsidRDefault="00282739" w:rsidP="003C6043">
            <w:pPr>
              <w:pStyle w:val="Tabletext"/>
              <w:rPr>
                <w:rFonts w:eastAsiaTheme="minorHAnsi"/>
              </w:rPr>
            </w:pPr>
            <w:r>
              <w:t>Mathematical methods (CAS)</w:t>
            </w:r>
          </w:p>
        </w:tc>
        <w:tc>
          <w:tcPr>
            <w:tcW w:w="403"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4.88</w:t>
            </w:r>
          </w:p>
        </w:tc>
      </w:tr>
      <w:tr w:rsidR="00282739" w:rsidTr="003C6043">
        <w:tc>
          <w:tcPr>
            <w:tcW w:w="1279" w:type="pct"/>
            <w:noWrap/>
            <w:tcMar>
              <w:top w:w="0" w:type="dxa"/>
              <w:left w:w="108" w:type="dxa"/>
              <w:bottom w:w="0" w:type="dxa"/>
              <w:right w:w="108" w:type="dxa"/>
            </w:tcMar>
            <w:hideMark/>
          </w:tcPr>
          <w:p w:rsidR="00282739" w:rsidRDefault="00282739" w:rsidP="003C6043">
            <w:pPr>
              <w:pStyle w:val="Tabletext"/>
              <w:rPr>
                <w:rFonts w:eastAsiaTheme="minorHAnsi"/>
              </w:rPr>
            </w:pPr>
            <w:r>
              <w:t>Media</w:t>
            </w:r>
          </w:p>
        </w:tc>
        <w:tc>
          <w:tcPr>
            <w:tcW w:w="412"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3.64</w:t>
            </w:r>
          </w:p>
        </w:tc>
        <w:tc>
          <w:tcPr>
            <w:tcW w:w="1210" w:type="pct"/>
            <w:noWrap/>
            <w:tcMar>
              <w:top w:w="0" w:type="dxa"/>
              <w:left w:w="108" w:type="dxa"/>
              <w:bottom w:w="0" w:type="dxa"/>
              <w:right w:w="108" w:type="dxa"/>
            </w:tcMar>
            <w:hideMark/>
          </w:tcPr>
          <w:p w:rsidR="00282739" w:rsidRDefault="00282739" w:rsidP="003C6043">
            <w:pPr>
              <w:pStyle w:val="Tabletext"/>
              <w:rPr>
                <w:rFonts w:eastAsiaTheme="minorHAnsi"/>
              </w:rPr>
            </w:pPr>
            <w:r>
              <w:t>Physical education</w:t>
            </w:r>
          </w:p>
        </w:tc>
        <w:tc>
          <w:tcPr>
            <w:tcW w:w="403"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4.44</w:t>
            </w:r>
          </w:p>
        </w:tc>
        <w:tc>
          <w:tcPr>
            <w:tcW w:w="1290" w:type="pct"/>
            <w:noWrap/>
            <w:tcMar>
              <w:top w:w="0" w:type="dxa"/>
              <w:left w:w="108" w:type="dxa"/>
              <w:bottom w:w="0" w:type="dxa"/>
              <w:right w:w="108" w:type="dxa"/>
            </w:tcMar>
            <w:hideMark/>
          </w:tcPr>
          <w:p w:rsidR="00282739" w:rsidRDefault="00282739" w:rsidP="003C6043">
            <w:pPr>
              <w:pStyle w:val="Tabletext"/>
              <w:rPr>
                <w:rFonts w:eastAsiaTheme="minorHAnsi"/>
              </w:rPr>
            </w:pPr>
            <w:r>
              <w:t>Studio arts</w:t>
            </w:r>
          </w:p>
        </w:tc>
        <w:tc>
          <w:tcPr>
            <w:tcW w:w="403"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4.76</w:t>
            </w:r>
          </w:p>
        </w:tc>
      </w:tr>
      <w:tr w:rsidR="00282739" w:rsidTr="003C6043">
        <w:tc>
          <w:tcPr>
            <w:tcW w:w="1279" w:type="pct"/>
            <w:noWrap/>
            <w:tcMar>
              <w:top w:w="0" w:type="dxa"/>
              <w:left w:w="108" w:type="dxa"/>
              <w:bottom w:w="0" w:type="dxa"/>
              <w:right w:w="108" w:type="dxa"/>
            </w:tcMar>
            <w:hideMark/>
          </w:tcPr>
          <w:p w:rsidR="00282739" w:rsidRDefault="00282739" w:rsidP="003C6043">
            <w:pPr>
              <w:pStyle w:val="Tabletext"/>
              <w:rPr>
                <w:rFonts w:eastAsiaTheme="minorHAnsi"/>
              </w:rPr>
            </w:pPr>
            <w:r>
              <w:t>Mathematical methods (CAS)</w:t>
            </w:r>
          </w:p>
        </w:tc>
        <w:tc>
          <w:tcPr>
            <w:tcW w:w="412"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3.58</w:t>
            </w:r>
          </w:p>
        </w:tc>
        <w:tc>
          <w:tcPr>
            <w:tcW w:w="1210" w:type="pct"/>
            <w:noWrap/>
            <w:tcMar>
              <w:top w:w="0" w:type="dxa"/>
              <w:left w:w="108" w:type="dxa"/>
              <w:bottom w:w="0" w:type="dxa"/>
              <w:right w:w="108" w:type="dxa"/>
            </w:tcMar>
            <w:hideMark/>
          </w:tcPr>
          <w:p w:rsidR="00282739" w:rsidRDefault="00282739" w:rsidP="003C6043">
            <w:pPr>
              <w:pStyle w:val="Tabletext"/>
              <w:rPr>
                <w:rFonts w:eastAsiaTheme="minorHAnsi"/>
              </w:rPr>
            </w:pPr>
            <w:r>
              <w:t>Physics</w:t>
            </w:r>
          </w:p>
        </w:tc>
        <w:tc>
          <w:tcPr>
            <w:tcW w:w="403"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3.81</w:t>
            </w:r>
          </w:p>
        </w:tc>
        <w:tc>
          <w:tcPr>
            <w:tcW w:w="1290" w:type="pct"/>
            <w:noWrap/>
            <w:tcMar>
              <w:top w:w="0" w:type="dxa"/>
              <w:left w:w="108" w:type="dxa"/>
              <w:bottom w:w="0" w:type="dxa"/>
              <w:right w:w="108" w:type="dxa"/>
            </w:tcMar>
            <w:hideMark/>
          </w:tcPr>
          <w:p w:rsidR="00282739" w:rsidRDefault="00282739" w:rsidP="003C6043">
            <w:pPr>
              <w:pStyle w:val="Tabletext"/>
              <w:rPr>
                <w:rFonts w:eastAsiaTheme="minorHAnsi"/>
              </w:rPr>
            </w:pPr>
            <w:r>
              <w:t>Visual communication and design</w:t>
            </w:r>
          </w:p>
        </w:tc>
        <w:tc>
          <w:tcPr>
            <w:tcW w:w="403" w:type="pct"/>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4.52</w:t>
            </w:r>
          </w:p>
        </w:tc>
      </w:tr>
      <w:tr w:rsidR="00282739" w:rsidTr="003C6043">
        <w:tc>
          <w:tcPr>
            <w:tcW w:w="1279" w:type="pct"/>
            <w:tcBorders>
              <w:top w:val="nil"/>
              <w:left w:val="nil"/>
              <w:bottom w:val="single" w:sz="8" w:space="0" w:color="auto"/>
              <w:right w:val="nil"/>
            </w:tcBorders>
            <w:noWrap/>
            <w:tcMar>
              <w:top w:w="0" w:type="dxa"/>
              <w:left w:w="108" w:type="dxa"/>
              <w:bottom w:w="0" w:type="dxa"/>
              <w:right w:w="108" w:type="dxa"/>
            </w:tcMar>
            <w:hideMark/>
          </w:tcPr>
          <w:p w:rsidR="00282739" w:rsidRDefault="00282739" w:rsidP="003C6043">
            <w:pPr>
              <w:pStyle w:val="Tabletext"/>
              <w:rPr>
                <w:rFonts w:eastAsiaTheme="minorHAnsi"/>
              </w:rPr>
            </w:pPr>
            <w:r>
              <w:t>Food and technology</w:t>
            </w:r>
          </w:p>
        </w:tc>
        <w:tc>
          <w:tcPr>
            <w:tcW w:w="412" w:type="pct"/>
            <w:tcBorders>
              <w:top w:val="nil"/>
              <w:left w:val="nil"/>
              <w:bottom w:val="single" w:sz="8" w:space="0" w:color="auto"/>
              <w:right w:val="nil"/>
            </w:tcBorders>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3.23</w:t>
            </w:r>
          </w:p>
        </w:tc>
        <w:tc>
          <w:tcPr>
            <w:tcW w:w="1210" w:type="pct"/>
            <w:tcBorders>
              <w:top w:val="nil"/>
              <w:left w:val="nil"/>
              <w:bottom w:val="single" w:sz="8" w:space="0" w:color="auto"/>
              <w:right w:val="nil"/>
            </w:tcBorders>
            <w:noWrap/>
            <w:tcMar>
              <w:top w:w="0" w:type="dxa"/>
              <w:left w:w="108" w:type="dxa"/>
              <w:bottom w:w="0" w:type="dxa"/>
              <w:right w:w="108" w:type="dxa"/>
            </w:tcMar>
            <w:hideMark/>
          </w:tcPr>
          <w:p w:rsidR="00282739" w:rsidRDefault="00282739" w:rsidP="003C6043">
            <w:pPr>
              <w:pStyle w:val="Tabletext"/>
              <w:rPr>
                <w:rFonts w:eastAsiaTheme="minorHAnsi"/>
              </w:rPr>
            </w:pPr>
            <w:r>
              <w:t>Legal studies</w:t>
            </w:r>
          </w:p>
        </w:tc>
        <w:tc>
          <w:tcPr>
            <w:tcW w:w="403" w:type="pct"/>
            <w:tcBorders>
              <w:top w:val="nil"/>
              <w:left w:val="nil"/>
              <w:bottom w:val="single" w:sz="8" w:space="0" w:color="auto"/>
              <w:right w:val="nil"/>
            </w:tcBorders>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3.76</w:t>
            </w:r>
          </w:p>
        </w:tc>
        <w:tc>
          <w:tcPr>
            <w:tcW w:w="1290" w:type="pct"/>
            <w:tcBorders>
              <w:top w:val="nil"/>
              <w:left w:val="nil"/>
              <w:bottom w:val="single" w:sz="8" w:space="0" w:color="auto"/>
              <w:right w:val="nil"/>
            </w:tcBorders>
            <w:noWrap/>
            <w:tcMar>
              <w:top w:w="0" w:type="dxa"/>
              <w:left w:w="108" w:type="dxa"/>
              <w:bottom w:w="0" w:type="dxa"/>
              <w:right w:w="108" w:type="dxa"/>
            </w:tcMar>
            <w:hideMark/>
          </w:tcPr>
          <w:p w:rsidR="00282739" w:rsidRDefault="00282739" w:rsidP="003C6043">
            <w:pPr>
              <w:pStyle w:val="Tabletext"/>
              <w:rPr>
                <w:rFonts w:eastAsiaTheme="minorHAnsi"/>
              </w:rPr>
            </w:pPr>
            <w:r>
              <w:t>Legal studies</w:t>
            </w:r>
          </w:p>
        </w:tc>
        <w:tc>
          <w:tcPr>
            <w:tcW w:w="403" w:type="pct"/>
            <w:tcBorders>
              <w:top w:val="nil"/>
              <w:left w:val="nil"/>
              <w:bottom w:val="single" w:sz="8" w:space="0" w:color="auto"/>
              <w:right w:val="nil"/>
            </w:tcBorders>
            <w:noWrap/>
            <w:tcMar>
              <w:top w:w="0" w:type="dxa"/>
              <w:left w:w="108" w:type="dxa"/>
              <w:bottom w:w="0" w:type="dxa"/>
              <w:right w:w="108" w:type="dxa"/>
            </w:tcMar>
            <w:hideMark/>
          </w:tcPr>
          <w:p w:rsidR="00282739" w:rsidRDefault="00282739" w:rsidP="003C6043">
            <w:pPr>
              <w:pStyle w:val="Tabletext"/>
              <w:ind w:right="57"/>
              <w:jc w:val="right"/>
              <w:rPr>
                <w:rFonts w:eastAsiaTheme="minorHAnsi"/>
              </w:rPr>
            </w:pPr>
            <w:r>
              <w:t>3.93</w:t>
            </w:r>
          </w:p>
        </w:tc>
      </w:tr>
    </w:tbl>
    <w:p w:rsidR="00282739" w:rsidRDefault="00282739" w:rsidP="00282739">
      <w:pPr>
        <w:pStyle w:val="tabletitle"/>
      </w:pPr>
      <w:bookmarkStart w:id="82" w:name="_Toc402794995"/>
      <w:r>
        <w:t>Table D3</w:t>
      </w:r>
      <w:r>
        <w:tab/>
        <w:t xml:space="preserve">Estimated impacts from taking a VCE VET subject on university entry </w:t>
      </w:r>
      <w:r w:rsidRPr="00830F4B">
        <w:t>scores</w:t>
      </w:r>
      <w:r>
        <w:t xml:space="preserve"> (out of a maximum of </w:t>
      </w:r>
      <w:r w:rsidRPr="006F0B54">
        <w:t>205)</w:t>
      </w:r>
      <w:r>
        <w:t xml:space="preserve"> of those who intend to go to university, alternative PSM methods</w:t>
      </w:r>
      <w:bookmarkEnd w:id="82"/>
    </w:p>
    <w:tbl>
      <w:tblPr>
        <w:tblW w:w="8789" w:type="dxa"/>
        <w:tblInd w:w="108" w:type="dxa"/>
        <w:tblLayout w:type="fixed"/>
        <w:tblLook w:val="04A0" w:firstRow="1" w:lastRow="0" w:firstColumn="1" w:lastColumn="0" w:noHBand="0" w:noVBand="1"/>
      </w:tblPr>
      <w:tblGrid>
        <w:gridCol w:w="2552"/>
        <w:gridCol w:w="874"/>
        <w:gridCol w:w="874"/>
        <w:gridCol w:w="875"/>
        <w:gridCol w:w="874"/>
        <w:gridCol w:w="874"/>
        <w:gridCol w:w="875"/>
        <w:gridCol w:w="991"/>
      </w:tblGrid>
      <w:tr w:rsidR="00282739" w:rsidTr="003C6043">
        <w:tc>
          <w:tcPr>
            <w:tcW w:w="1452" w:type="pct"/>
            <w:tcBorders>
              <w:top w:val="single" w:sz="4" w:space="0" w:color="auto"/>
              <w:left w:val="nil"/>
              <w:right w:val="nil"/>
            </w:tcBorders>
            <w:shd w:val="clear" w:color="000000" w:fill="FFFFFF"/>
            <w:noWrap/>
            <w:tcMar>
              <w:top w:w="0" w:type="dxa"/>
              <w:left w:w="108" w:type="dxa"/>
              <w:bottom w:w="0" w:type="dxa"/>
              <w:right w:w="108" w:type="dxa"/>
            </w:tcMar>
            <w:hideMark/>
          </w:tcPr>
          <w:p w:rsidR="00282739" w:rsidRDefault="00282739" w:rsidP="003C6043">
            <w:pPr>
              <w:pStyle w:val="Tablehead1"/>
            </w:pPr>
            <w:r>
              <w:t> </w:t>
            </w:r>
          </w:p>
        </w:tc>
        <w:tc>
          <w:tcPr>
            <w:tcW w:w="994" w:type="pct"/>
            <w:gridSpan w:val="2"/>
            <w:tcBorders>
              <w:top w:val="single" w:sz="4" w:space="0" w:color="auto"/>
              <w:left w:val="nil"/>
              <w:right w:val="nil"/>
            </w:tcBorders>
            <w:shd w:val="clear" w:color="000000" w:fill="FFFFFF"/>
            <w:tcMar>
              <w:top w:w="0" w:type="dxa"/>
              <w:left w:w="108" w:type="dxa"/>
              <w:bottom w:w="0" w:type="dxa"/>
              <w:right w:w="108" w:type="dxa"/>
            </w:tcMar>
            <w:hideMark/>
          </w:tcPr>
          <w:p w:rsidR="00282739" w:rsidRPr="006F0B54" w:rsidRDefault="00282739" w:rsidP="003C6043">
            <w:pPr>
              <w:pStyle w:val="Tablehead1"/>
              <w:jc w:val="center"/>
            </w:pPr>
            <w:r w:rsidRPr="006F0B54">
              <w:t>Enrolled in a VCE VET subject</w:t>
            </w:r>
          </w:p>
        </w:tc>
        <w:tc>
          <w:tcPr>
            <w:tcW w:w="995" w:type="pct"/>
            <w:gridSpan w:val="2"/>
            <w:tcBorders>
              <w:top w:val="single" w:sz="4" w:space="0" w:color="auto"/>
              <w:left w:val="nil"/>
              <w:right w:val="nil"/>
            </w:tcBorders>
            <w:shd w:val="clear" w:color="000000" w:fill="FFFFFF"/>
            <w:tcMar>
              <w:top w:w="0" w:type="dxa"/>
              <w:left w:w="108" w:type="dxa"/>
              <w:bottom w:w="0" w:type="dxa"/>
              <w:right w:w="108" w:type="dxa"/>
            </w:tcMar>
            <w:hideMark/>
          </w:tcPr>
          <w:p w:rsidR="00282739" w:rsidRDefault="00282739" w:rsidP="003C6043">
            <w:pPr>
              <w:pStyle w:val="Tablehead1"/>
              <w:jc w:val="center"/>
            </w:pPr>
            <w:r>
              <w:t>Did not enrol in a VCE VET subject</w:t>
            </w:r>
          </w:p>
        </w:tc>
        <w:tc>
          <w:tcPr>
            <w:tcW w:w="995" w:type="pct"/>
            <w:gridSpan w:val="2"/>
            <w:tcBorders>
              <w:top w:val="single" w:sz="4" w:space="0" w:color="auto"/>
              <w:left w:val="nil"/>
              <w:right w:val="nil"/>
            </w:tcBorders>
            <w:shd w:val="clear" w:color="000000" w:fill="FFFFFF"/>
            <w:tcMar>
              <w:top w:w="0" w:type="dxa"/>
              <w:left w:w="108" w:type="dxa"/>
              <w:bottom w:w="0" w:type="dxa"/>
              <w:right w:w="108" w:type="dxa"/>
            </w:tcMar>
            <w:hideMark/>
          </w:tcPr>
          <w:p w:rsidR="00282739" w:rsidRDefault="00282739" w:rsidP="003C6043">
            <w:pPr>
              <w:pStyle w:val="Tablehead1"/>
              <w:jc w:val="center"/>
            </w:pPr>
            <w:r>
              <w:t xml:space="preserve">Difference </w:t>
            </w:r>
            <w:r>
              <w:br/>
              <w:t>(ATET)</w:t>
            </w:r>
          </w:p>
        </w:tc>
        <w:tc>
          <w:tcPr>
            <w:tcW w:w="564" w:type="pct"/>
            <w:tcBorders>
              <w:top w:val="single" w:sz="4" w:space="0" w:color="auto"/>
              <w:left w:val="nil"/>
              <w:right w:val="nil"/>
            </w:tcBorders>
            <w:shd w:val="clear" w:color="auto" w:fill="auto"/>
            <w:tcMar>
              <w:top w:w="0" w:type="dxa"/>
              <w:left w:w="108" w:type="dxa"/>
              <w:bottom w:w="0" w:type="dxa"/>
              <w:right w:w="108" w:type="dxa"/>
            </w:tcMar>
            <w:hideMark/>
          </w:tcPr>
          <w:p w:rsidR="00282739" w:rsidRDefault="00282739" w:rsidP="003C6043">
            <w:pPr>
              <w:pStyle w:val="Tablehead1"/>
              <w:jc w:val="center"/>
            </w:pPr>
            <w:r w:rsidRPr="006F0B54">
              <w:t>Number of obs</w:t>
            </w:r>
          </w:p>
        </w:tc>
      </w:tr>
      <w:tr w:rsidR="00282739" w:rsidTr="003C6043">
        <w:tc>
          <w:tcPr>
            <w:tcW w:w="1452" w:type="pct"/>
            <w:tcBorders>
              <w:left w:val="nil"/>
              <w:bottom w:val="single" w:sz="4" w:space="0" w:color="auto"/>
              <w:right w:val="nil"/>
            </w:tcBorders>
            <w:shd w:val="clear" w:color="000000" w:fill="FFFFFF"/>
            <w:noWrap/>
            <w:tcMar>
              <w:top w:w="0" w:type="dxa"/>
              <w:left w:w="108" w:type="dxa"/>
              <w:bottom w:w="0" w:type="dxa"/>
              <w:right w:w="108" w:type="dxa"/>
            </w:tcMar>
            <w:hideMark/>
          </w:tcPr>
          <w:p w:rsidR="00282739" w:rsidRDefault="00282739" w:rsidP="003C6043">
            <w:pPr>
              <w:pStyle w:val="Tablehead2"/>
            </w:pPr>
            <w:r>
              <w:t> </w:t>
            </w:r>
          </w:p>
        </w:tc>
        <w:tc>
          <w:tcPr>
            <w:tcW w:w="497" w:type="pct"/>
            <w:tcBorders>
              <w:left w:val="nil"/>
              <w:bottom w:val="single" w:sz="4" w:space="0" w:color="auto"/>
              <w:right w:val="nil"/>
            </w:tcBorders>
            <w:shd w:val="clear" w:color="000000" w:fill="FFFFFF"/>
            <w:noWrap/>
            <w:tcMar>
              <w:top w:w="0" w:type="dxa"/>
              <w:left w:w="0" w:type="dxa"/>
              <w:bottom w:w="0" w:type="dxa"/>
              <w:right w:w="0" w:type="dxa"/>
            </w:tcMar>
            <w:hideMark/>
          </w:tcPr>
          <w:p w:rsidR="00282739" w:rsidRDefault="00282739" w:rsidP="003C6043">
            <w:pPr>
              <w:pStyle w:val="Tablehead2"/>
              <w:jc w:val="center"/>
            </w:pPr>
            <w:r>
              <w:t>Avg. entry score</w:t>
            </w:r>
          </w:p>
        </w:tc>
        <w:tc>
          <w:tcPr>
            <w:tcW w:w="497" w:type="pct"/>
            <w:tcBorders>
              <w:left w:val="nil"/>
              <w:bottom w:val="single" w:sz="4" w:space="0" w:color="auto"/>
              <w:right w:val="nil"/>
            </w:tcBorders>
            <w:shd w:val="clear" w:color="000000" w:fill="FFFFFF"/>
            <w:tcMar>
              <w:top w:w="0" w:type="dxa"/>
              <w:left w:w="0" w:type="dxa"/>
              <w:bottom w:w="0" w:type="dxa"/>
              <w:right w:w="0" w:type="dxa"/>
            </w:tcMar>
            <w:hideMark/>
          </w:tcPr>
          <w:p w:rsidR="00282739" w:rsidRDefault="00282739" w:rsidP="003C6043">
            <w:pPr>
              <w:pStyle w:val="Tablehead2"/>
              <w:jc w:val="center"/>
            </w:pPr>
            <w:r>
              <w:t>s.e.</w:t>
            </w:r>
          </w:p>
        </w:tc>
        <w:tc>
          <w:tcPr>
            <w:tcW w:w="498" w:type="pct"/>
            <w:tcBorders>
              <w:left w:val="nil"/>
              <w:bottom w:val="single" w:sz="4" w:space="0" w:color="auto"/>
              <w:right w:val="nil"/>
            </w:tcBorders>
            <w:shd w:val="clear" w:color="000000" w:fill="FFFFFF"/>
            <w:tcMar>
              <w:top w:w="0" w:type="dxa"/>
              <w:left w:w="0" w:type="dxa"/>
              <w:bottom w:w="0" w:type="dxa"/>
              <w:right w:w="0" w:type="dxa"/>
            </w:tcMar>
            <w:hideMark/>
          </w:tcPr>
          <w:p w:rsidR="00282739" w:rsidRDefault="00282739" w:rsidP="003C6043">
            <w:pPr>
              <w:pStyle w:val="Tablehead2"/>
              <w:jc w:val="center"/>
            </w:pPr>
            <w:r>
              <w:t>Avg. entry score</w:t>
            </w:r>
          </w:p>
        </w:tc>
        <w:tc>
          <w:tcPr>
            <w:tcW w:w="497" w:type="pct"/>
            <w:tcBorders>
              <w:left w:val="nil"/>
              <w:bottom w:val="single" w:sz="4" w:space="0" w:color="auto"/>
              <w:right w:val="nil"/>
            </w:tcBorders>
            <w:shd w:val="clear" w:color="000000" w:fill="FFFFFF"/>
            <w:tcMar>
              <w:top w:w="0" w:type="dxa"/>
              <w:left w:w="0" w:type="dxa"/>
              <w:bottom w:w="0" w:type="dxa"/>
              <w:right w:w="0" w:type="dxa"/>
            </w:tcMar>
            <w:hideMark/>
          </w:tcPr>
          <w:p w:rsidR="00282739" w:rsidRDefault="00282739" w:rsidP="003C6043">
            <w:pPr>
              <w:pStyle w:val="Tablehead2"/>
              <w:jc w:val="center"/>
            </w:pPr>
            <w:r>
              <w:t>s.e.</w:t>
            </w:r>
          </w:p>
        </w:tc>
        <w:tc>
          <w:tcPr>
            <w:tcW w:w="497" w:type="pct"/>
            <w:tcBorders>
              <w:left w:val="nil"/>
              <w:bottom w:val="single" w:sz="4" w:space="0" w:color="auto"/>
              <w:right w:val="nil"/>
            </w:tcBorders>
            <w:shd w:val="clear" w:color="000000" w:fill="FFFFFF"/>
            <w:tcMar>
              <w:top w:w="0" w:type="dxa"/>
              <w:left w:w="0" w:type="dxa"/>
              <w:bottom w:w="0" w:type="dxa"/>
              <w:right w:w="0" w:type="dxa"/>
            </w:tcMar>
            <w:hideMark/>
          </w:tcPr>
          <w:p w:rsidR="00282739" w:rsidRDefault="00282739" w:rsidP="003C6043">
            <w:pPr>
              <w:pStyle w:val="Tablehead2"/>
              <w:jc w:val="center"/>
            </w:pPr>
            <w:r>
              <w:t>Avg. entry score</w:t>
            </w:r>
          </w:p>
        </w:tc>
        <w:tc>
          <w:tcPr>
            <w:tcW w:w="498" w:type="pct"/>
            <w:tcBorders>
              <w:left w:val="nil"/>
              <w:bottom w:val="single" w:sz="4" w:space="0" w:color="auto"/>
              <w:right w:val="nil"/>
            </w:tcBorders>
            <w:shd w:val="clear" w:color="000000" w:fill="FFFFFF"/>
            <w:tcMar>
              <w:top w:w="0" w:type="dxa"/>
              <w:left w:w="0" w:type="dxa"/>
              <w:bottom w:w="0" w:type="dxa"/>
              <w:right w:w="0" w:type="dxa"/>
            </w:tcMar>
            <w:hideMark/>
          </w:tcPr>
          <w:p w:rsidR="00282739" w:rsidRDefault="00282739" w:rsidP="003C6043">
            <w:pPr>
              <w:pStyle w:val="Tablehead2"/>
              <w:jc w:val="center"/>
            </w:pPr>
            <w:r>
              <w:t>s.e.</w:t>
            </w:r>
          </w:p>
        </w:tc>
        <w:tc>
          <w:tcPr>
            <w:tcW w:w="564" w:type="pct"/>
            <w:tcBorders>
              <w:left w:val="nil"/>
              <w:bottom w:val="single" w:sz="4" w:space="0" w:color="auto"/>
              <w:right w:val="nil"/>
            </w:tcBorders>
            <w:shd w:val="clear" w:color="000000" w:fill="FFFFFF"/>
            <w:noWrap/>
            <w:tcMar>
              <w:top w:w="0" w:type="dxa"/>
              <w:left w:w="108" w:type="dxa"/>
              <w:bottom w:w="0" w:type="dxa"/>
              <w:right w:w="108" w:type="dxa"/>
            </w:tcMar>
            <w:hideMark/>
          </w:tcPr>
          <w:p w:rsidR="00282739" w:rsidRDefault="00282739" w:rsidP="003C6043">
            <w:pPr>
              <w:pStyle w:val="Tablehead2"/>
              <w:jc w:val="center"/>
              <w:rPr>
                <w:rFonts w:ascii="Calibri" w:hAnsi="Calibri" w:cs="Calibri"/>
              </w:rPr>
            </w:pPr>
          </w:p>
        </w:tc>
      </w:tr>
      <w:tr w:rsidR="00282739" w:rsidRPr="00EF10AA" w:rsidTr="003C6043">
        <w:tc>
          <w:tcPr>
            <w:tcW w:w="1452" w:type="pct"/>
            <w:tcBorders>
              <w:top w:val="single" w:sz="4" w:space="0" w:color="auto"/>
              <w:left w:val="nil"/>
              <w:bottom w:val="nil"/>
              <w:right w:val="nil"/>
            </w:tcBorders>
            <w:shd w:val="clear" w:color="000000" w:fill="FFFFFF"/>
            <w:noWrap/>
            <w:tcMar>
              <w:top w:w="0" w:type="dxa"/>
              <w:left w:w="108" w:type="dxa"/>
              <w:bottom w:w="0" w:type="dxa"/>
              <w:right w:w="108" w:type="dxa"/>
            </w:tcMar>
            <w:hideMark/>
          </w:tcPr>
          <w:p w:rsidR="00282739" w:rsidRPr="00EF10AA" w:rsidRDefault="00282739" w:rsidP="003C6043">
            <w:pPr>
              <w:pStyle w:val="Tabletext"/>
            </w:pPr>
            <w:r w:rsidRPr="00EF10AA">
              <w:t>Unmatched</w:t>
            </w:r>
          </w:p>
        </w:tc>
        <w:tc>
          <w:tcPr>
            <w:tcW w:w="497" w:type="pct"/>
            <w:tcBorders>
              <w:top w:val="single" w:sz="4" w:space="0" w:color="auto"/>
              <w:left w:val="nil"/>
              <w:bottom w:val="nil"/>
              <w:right w:val="nil"/>
            </w:tcBorders>
            <w:shd w:val="clear" w:color="000000" w:fill="FFFFFF"/>
            <w:noWrap/>
            <w:tcMar>
              <w:top w:w="0" w:type="dxa"/>
              <w:left w:w="108" w:type="dxa"/>
              <w:bottom w:w="0" w:type="dxa"/>
              <w:right w:w="108" w:type="dxa"/>
            </w:tcMar>
            <w:hideMark/>
          </w:tcPr>
          <w:p w:rsidR="00282739" w:rsidRPr="00EF10AA" w:rsidRDefault="00282739" w:rsidP="003C6043">
            <w:pPr>
              <w:pStyle w:val="Tabletext"/>
              <w:ind w:right="57"/>
              <w:jc w:val="right"/>
            </w:pPr>
            <w:r w:rsidRPr="00EF10AA">
              <w:t>111.320</w:t>
            </w:r>
          </w:p>
        </w:tc>
        <w:tc>
          <w:tcPr>
            <w:tcW w:w="497" w:type="pct"/>
            <w:tcBorders>
              <w:top w:val="single" w:sz="4" w:space="0" w:color="auto"/>
              <w:left w:val="nil"/>
              <w:bottom w:val="nil"/>
              <w:right w:val="nil"/>
            </w:tcBorders>
            <w:shd w:val="clear" w:color="000000" w:fill="FFFFFF"/>
            <w:tcMar>
              <w:top w:w="0" w:type="dxa"/>
              <w:left w:w="108" w:type="dxa"/>
              <w:bottom w:w="0" w:type="dxa"/>
              <w:right w:w="108" w:type="dxa"/>
            </w:tcMar>
            <w:hideMark/>
          </w:tcPr>
          <w:p w:rsidR="00282739" w:rsidRPr="00EF10AA" w:rsidRDefault="00282739" w:rsidP="003C6043">
            <w:pPr>
              <w:pStyle w:val="Tabletext"/>
              <w:ind w:right="85"/>
              <w:jc w:val="right"/>
            </w:pPr>
            <w:r w:rsidRPr="00EF10AA">
              <w:t>23.186</w:t>
            </w:r>
          </w:p>
        </w:tc>
        <w:tc>
          <w:tcPr>
            <w:tcW w:w="498" w:type="pct"/>
            <w:tcBorders>
              <w:top w:val="single" w:sz="4" w:space="0" w:color="auto"/>
              <w:left w:val="nil"/>
              <w:bottom w:val="nil"/>
              <w:right w:val="nil"/>
            </w:tcBorders>
            <w:shd w:val="clear" w:color="000000" w:fill="FFFFFF"/>
            <w:tcMar>
              <w:top w:w="0" w:type="dxa"/>
              <w:left w:w="108" w:type="dxa"/>
              <w:bottom w:w="0" w:type="dxa"/>
              <w:right w:w="108" w:type="dxa"/>
            </w:tcMar>
            <w:hideMark/>
          </w:tcPr>
          <w:p w:rsidR="00282739" w:rsidRPr="00EF10AA" w:rsidRDefault="00282739" w:rsidP="003C6043">
            <w:pPr>
              <w:pStyle w:val="Tabletext"/>
              <w:ind w:right="57"/>
              <w:jc w:val="right"/>
            </w:pPr>
            <w:r w:rsidRPr="00EF10AA">
              <w:t>128.578</w:t>
            </w:r>
          </w:p>
        </w:tc>
        <w:tc>
          <w:tcPr>
            <w:tcW w:w="497" w:type="pct"/>
            <w:tcBorders>
              <w:top w:val="single" w:sz="4" w:space="0" w:color="auto"/>
              <w:left w:val="nil"/>
              <w:bottom w:val="nil"/>
              <w:right w:val="nil"/>
            </w:tcBorders>
            <w:shd w:val="clear" w:color="000000" w:fill="FFFFFF"/>
            <w:tcMar>
              <w:top w:w="0" w:type="dxa"/>
              <w:left w:w="108" w:type="dxa"/>
              <w:bottom w:w="0" w:type="dxa"/>
              <w:right w:w="108" w:type="dxa"/>
            </w:tcMar>
            <w:hideMark/>
          </w:tcPr>
          <w:p w:rsidR="00282739" w:rsidRPr="00EF10AA" w:rsidRDefault="00282739" w:rsidP="003C6043">
            <w:pPr>
              <w:pStyle w:val="Tabletext"/>
              <w:ind w:right="85"/>
              <w:jc w:val="right"/>
            </w:pPr>
            <w:r w:rsidRPr="00EF10AA">
              <w:t>27.123</w:t>
            </w:r>
          </w:p>
        </w:tc>
        <w:tc>
          <w:tcPr>
            <w:tcW w:w="497" w:type="pct"/>
            <w:tcBorders>
              <w:top w:val="single" w:sz="4" w:space="0" w:color="auto"/>
              <w:left w:val="nil"/>
              <w:bottom w:val="nil"/>
              <w:right w:val="nil"/>
            </w:tcBorders>
            <w:shd w:val="clear" w:color="000000" w:fill="FFFFFF"/>
            <w:tcMar>
              <w:top w:w="0" w:type="dxa"/>
              <w:left w:w="57" w:type="dxa"/>
              <w:bottom w:w="0" w:type="dxa"/>
              <w:right w:w="57" w:type="dxa"/>
            </w:tcMar>
            <w:hideMark/>
          </w:tcPr>
          <w:p w:rsidR="00282739" w:rsidRPr="00EF10AA" w:rsidRDefault="00282739" w:rsidP="003C6043">
            <w:pPr>
              <w:pStyle w:val="Tabletext"/>
              <w:ind w:right="28"/>
              <w:jc w:val="right"/>
            </w:pPr>
            <w:r w:rsidRPr="00EF10AA">
              <w:t>-17.257***</w:t>
            </w:r>
          </w:p>
        </w:tc>
        <w:tc>
          <w:tcPr>
            <w:tcW w:w="498" w:type="pct"/>
            <w:tcBorders>
              <w:top w:val="single" w:sz="4" w:space="0" w:color="auto"/>
              <w:left w:val="nil"/>
              <w:bottom w:val="nil"/>
              <w:right w:val="nil"/>
            </w:tcBorders>
            <w:shd w:val="clear" w:color="000000" w:fill="FFFFFF"/>
            <w:tcMar>
              <w:top w:w="0" w:type="dxa"/>
              <w:left w:w="108" w:type="dxa"/>
              <w:bottom w:w="0" w:type="dxa"/>
              <w:right w:w="108" w:type="dxa"/>
            </w:tcMar>
            <w:hideMark/>
          </w:tcPr>
          <w:p w:rsidR="00282739" w:rsidRPr="00EF10AA" w:rsidRDefault="00282739" w:rsidP="003C6043">
            <w:pPr>
              <w:pStyle w:val="Tabletext"/>
              <w:ind w:right="113"/>
              <w:jc w:val="right"/>
            </w:pPr>
            <w:r w:rsidRPr="00EF10AA">
              <w:t>0.714</w:t>
            </w:r>
          </w:p>
        </w:tc>
        <w:tc>
          <w:tcPr>
            <w:tcW w:w="564" w:type="pct"/>
            <w:tcBorders>
              <w:top w:val="single" w:sz="4" w:space="0" w:color="auto"/>
              <w:left w:val="nil"/>
              <w:bottom w:val="nil"/>
              <w:right w:val="nil"/>
            </w:tcBorders>
            <w:shd w:val="clear" w:color="000000" w:fill="FFFFFF"/>
            <w:noWrap/>
            <w:tcMar>
              <w:top w:w="0" w:type="dxa"/>
              <w:left w:w="108" w:type="dxa"/>
              <w:bottom w:w="0" w:type="dxa"/>
              <w:right w:w="108" w:type="dxa"/>
            </w:tcMar>
            <w:hideMark/>
          </w:tcPr>
          <w:p w:rsidR="00282739" w:rsidRPr="00EF10AA" w:rsidRDefault="00282739" w:rsidP="003C6043">
            <w:pPr>
              <w:pStyle w:val="Tabletext"/>
              <w:jc w:val="center"/>
            </w:pPr>
            <w:r w:rsidRPr="00EF10AA">
              <w:t>27 437</w:t>
            </w:r>
          </w:p>
        </w:tc>
      </w:tr>
      <w:tr w:rsidR="00282739" w:rsidRPr="00EF10AA" w:rsidTr="003C6043">
        <w:tc>
          <w:tcPr>
            <w:tcW w:w="1452" w:type="pct"/>
            <w:tcBorders>
              <w:top w:val="nil"/>
              <w:left w:val="nil"/>
              <w:bottom w:val="nil"/>
              <w:right w:val="nil"/>
            </w:tcBorders>
            <w:shd w:val="clear" w:color="000000" w:fill="FFFFFF"/>
            <w:noWrap/>
            <w:tcMar>
              <w:top w:w="0" w:type="dxa"/>
              <w:left w:w="108" w:type="dxa"/>
              <w:bottom w:w="0" w:type="dxa"/>
              <w:right w:w="108" w:type="dxa"/>
            </w:tcMar>
            <w:hideMark/>
          </w:tcPr>
          <w:p w:rsidR="00282739" w:rsidRPr="00EF10AA" w:rsidRDefault="00282739" w:rsidP="003C6043">
            <w:pPr>
              <w:pStyle w:val="Tabletext"/>
            </w:pPr>
            <w:r w:rsidRPr="00EF10AA">
              <w:t>Kernel matching</w:t>
            </w:r>
            <w:r w:rsidRPr="00E179E6">
              <w:rPr>
                <w:vertAlign w:val="superscript"/>
              </w:rPr>
              <w:t>a</w:t>
            </w:r>
          </w:p>
        </w:tc>
        <w:tc>
          <w:tcPr>
            <w:tcW w:w="497" w:type="pct"/>
            <w:tcBorders>
              <w:top w:val="nil"/>
              <w:left w:val="nil"/>
              <w:bottom w:val="nil"/>
              <w:right w:val="nil"/>
            </w:tcBorders>
            <w:shd w:val="clear" w:color="000000" w:fill="FFFFFF"/>
            <w:noWrap/>
            <w:tcMar>
              <w:top w:w="0" w:type="dxa"/>
              <w:left w:w="108" w:type="dxa"/>
              <w:bottom w:w="0" w:type="dxa"/>
              <w:right w:w="108" w:type="dxa"/>
            </w:tcMar>
            <w:hideMark/>
          </w:tcPr>
          <w:p w:rsidR="00282739" w:rsidRPr="00EF10AA" w:rsidRDefault="00282739" w:rsidP="003C6043">
            <w:pPr>
              <w:pStyle w:val="Tabletext"/>
              <w:ind w:right="57"/>
              <w:jc w:val="right"/>
            </w:pPr>
            <w:r w:rsidRPr="00EF10AA">
              <w:t>111.320</w:t>
            </w:r>
          </w:p>
        </w:tc>
        <w:tc>
          <w:tcPr>
            <w:tcW w:w="497" w:type="pct"/>
            <w:tcBorders>
              <w:top w:val="nil"/>
              <w:left w:val="nil"/>
              <w:bottom w:val="nil"/>
              <w:right w:val="nil"/>
            </w:tcBorders>
            <w:shd w:val="clear" w:color="000000" w:fill="FFFFFF"/>
            <w:tcMar>
              <w:top w:w="0" w:type="dxa"/>
              <w:left w:w="108" w:type="dxa"/>
              <w:bottom w:w="0" w:type="dxa"/>
              <w:right w:w="108" w:type="dxa"/>
            </w:tcMar>
            <w:hideMark/>
          </w:tcPr>
          <w:p w:rsidR="00282739" w:rsidRPr="00EF10AA" w:rsidRDefault="00282739" w:rsidP="003C6043">
            <w:pPr>
              <w:pStyle w:val="Tabletext"/>
              <w:ind w:right="85"/>
              <w:jc w:val="right"/>
            </w:pPr>
            <w:r w:rsidRPr="00EF10AA">
              <w:t>23.186</w:t>
            </w:r>
          </w:p>
        </w:tc>
        <w:tc>
          <w:tcPr>
            <w:tcW w:w="498" w:type="pct"/>
            <w:tcBorders>
              <w:top w:val="nil"/>
              <w:left w:val="nil"/>
              <w:bottom w:val="nil"/>
              <w:right w:val="nil"/>
            </w:tcBorders>
            <w:shd w:val="clear" w:color="000000" w:fill="FFFFFF"/>
            <w:tcMar>
              <w:top w:w="0" w:type="dxa"/>
              <w:left w:w="108" w:type="dxa"/>
              <w:bottom w:w="0" w:type="dxa"/>
              <w:right w:w="108" w:type="dxa"/>
            </w:tcMar>
            <w:hideMark/>
          </w:tcPr>
          <w:p w:rsidR="00282739" w:rsidRPr="00EF10AA" w:rsidRDefault="00282739" w:rsidP="003C6043">
            <w:pPr>
              <w:pStyle w:val="Tabletext"/>
              <w:ind w:right="57"/>
              <w:jc w:val="right"/>
            </w:pPr>
            <w:r w:rsidRPr="00EF10AA">
              <w:t>116.791</w:t>
            </w:r>
          </w:p>
        </w:tc>
        <w:tc>
          <w:tcPr>
            <w:tcW w:w="497" w:type="pct"/>
            <w:tcBorders>
              <w:top w:val="nil"/>
              <w:left w:val="nil"/>
              <w:bottom w:val="nil"/>
              <w:right w:val="nil"/>
            </w:tcBorders>
            <w:shd w:val="clear" w:color="000000" w:fill="FFFFFF"/>
            <w:tcMar>
              <w:top w:w="0" w:type="dxa"/>
              <w:left w:w="108" w:type="dxa"/>
              <w:bottom w:w="0" w:type="dxa"/>
              <w:right w:w="108" w:type="dxa"/>
            </w:tcMar>
            <w:hideMark/>
          </w:tcPr>
          <w:p w:rsidR="00282739" w:rsidRPr="00EF10AA" w:rsidRDefault="00282739" w:rsidP="003C6043">
            <w:pPr>
              <w:pStyle w:val="Tabletext"/>
              <w:ind w:right="85"/>
              <w:jc w:val="right"/>
            </w:pPr>
            <w:r w:rsidRPr="00EF10AA">
              <w:t>4.340</w:t>
            </w:r>
          </w:p>
        </w:tc>
        <w:tc>
          <w:tcPr>
            <w:tcW w:w="497" w:type="pct"/>
            <w:tcBorders>
              <w:top w:val="nil"/>
              <w:left w:val="nil"/>
              <w:bottom w:val="nil"/>
              <w:right w:val="nil"/>
            </w:tcBorders>
            <w:shd w:val="clear" w:color="000000" w:fill="FFFFFF"/>
            <w:tcMar>
              <w:top w:w="0" w:type="dxa"/>
              <w:left w:w="57" w:type="dxa"/>
              <w:bottom w:w="0" w:type="dxa"/>
              <w:right w:w="57" w:type="dxa"/>
            </w:tcMar>
            <w:hideMark/>
          </w:tcPr>
          <w:p w:rsidR="00282739" w:rsidRPr="00EF10AA" w:rsidRDefault="00282739" w:rsidP="003C6043">
            <w:pPr>
              <w:pStyle w:val="Tabletext"/>
              <w:ind w:right="28"/>
              <w:jc w:val="right"/>
            </w:pPr>
            <w:r w:rsidRPr="00EF10AA">
              <w:t>-5.470***</w:t>
            </w:r>
          </w:p>
        </w:tc>
        <w:tc>
          <w:tcPr>
            <w:tcW w:w="498" w:type="pct"/>
            <w:tcBorders>
              <w:top w:val="nil"/>
              <w:left w:val="nil"/>
              <w:bottom w:val="nil"/>
              <w:right w:val="nil"/>
            </w:tcBorders>
            <w:shd w:val="clear" w:color="000000" w:fill="FFFFFF"/>
            <w:tcMar>
              <w:top w:w="0" w:type="dxa"/>
              <w:left w:w="108" w:type="dxa"/>
              <w:bottom w:w="0" w:type="dxa"/>
              <w:right w:w="108" w:type="dxa"/>
            </w:tcMar>
            <w:hideMark/>
          </w:tcPr>
          <w:p w:rsidR="00282739" w:rsidRPr="00EF10AA" w:rsidRDefault="00282739" w:rsidP="003C6043">
            <w:pPr>
              <w:pStyle w:val="Tabletext"/>
              <w:ind w:right="113"/>
              <w:jc w:val="right"/>
            </w:pPr>
            <w:r w:rsidRPr="00EF10AA">
              <w:t>0.982</w:t>
            </w:r>
          </w:p>
        </w:tc>
        <w:tc>
          <w:tcPr>
            <w:tcW w:w="564" w:type="pct"/>
            <w:tcBorders>
              <w:top w:val="nil"/>
              <w:left w:val="nil"/>
              <w:bottom w:val="nil"/>
              <w:right w:val="nil"/>
            </w:tcBorders>
            <w:shd w:val="clear" w:color="000000" w:fill="FFFFFF"/>
            <w:noWrap/>
            <w:tcMar>
              <w:top w:w="0" w:type="dxa"/>
              <w:left w:w="108" w:type="dxa"/>
              <w:bottom w:w="0" w:type="dxa"/>
              <w:right w:w="108" w:type="dxa"/>
            </w:tcMar>
            <w:hideMark/>
          </w:tcPr>
          <w:p w:rsidR="00282739" w:rsidRPr="00EF10AA" w:rsidRDefault="00282739" w:rsidP="003C6043">
            <w:pPr>
              <w:pStyle w:val="Tabletext"/>
              <w:jc w:val="center"/>
            </w:pPr>
            <w:r w:rsidRPr="00EF10AA">
              <w:t>27 437</w:t>
            </w:r>
          </w:p>
        </w:tc>
      </w:tr>
      <w:tr w:rsidR="00282739" w:rsidRPr="00EF10AA" w:rsidTr="003C6043">
        <w:tc>
          <w:tcPr>
            <w:tcW w:w="1452" w:type="pct"/>
            <w:tcBorders>
              <w:top w:val="nil"/>
              <w:left w:val="nil"/>
              <w:bottom w:val="single" w:sz="4" w:space="0" w:color="auto"/>
              <w:right w:val="nil"/>
            </w:tcBorders>
            <w:shd w:val="clear" w:color="000000" w:fill="FFFFFF"/>
            <w:noWrap/>
            <w:tcMar>
              <w:top w:w="0" w:type="dxa"/>
              <w:left w:w="108" w:type="dxa"/>
              <w:bottom w:w="0" w:type="dxa"/>
              <w:right w:w="108" w:type="dxa"/>
            </w:tcMar>
            <w:hideMark/>
          </w:tcPr>
          <w:p w:rsidR="00282739" w:rsidRPr="00EF10AA" w:rsidRDefault="00282739" w:rsidP="003C6043">
            <w:pPr>
              <w:pStyle w:val="Tabletext"/>
            </w:pPr>
            <w:r w:rsidRPr="00EF10AA">
              <w:t>Nearest Neighbour, top 5 match</w:t>
            </w:r>
          </w:p>
        </w:tc>
        <w:tc>
          <w:tcPr>
            <w:tcW w:w="497" w:type="pct"/>
            <w:tcBorders>
              <w:top w:val="nil"/>
              <w:left w:val="nil"/>
              <w:bottom w:val="single" w:sz="4" w:space="0" w:color="auto"/>
              <w:right w:val="nil"/>
            </w:tcBorders>
            <w:shd w:val="clear" w:color="000000" w:fill="FFFFFF"/>
            <w:noWrap/>
            <w:tcMar>
              <w:top w:w="0" w:type="dxa"/>
              <w:left w:w="108" w:type="dxa"/>
              <w:bottom w:w="0" w:type="dxa"/>
              <w:right w:w="108" w:type="dxa"/>
            </w:tcMar>
            <w:hideMark/>
          </w:tcPr>
          <w:p w:rsidR="00282739" w:rsidRPr="00EF10AA" w:rsidRDefault="00282739" w:rsidP="003C6043">
            <w:pPr>
              <w:pStyle w:val="Tabletext"/>
              <w:ind w:right="57"/>
              <w:jc w:val="right"/>
            </w:pPr>
            <w:r w:rsidRPr="00EF10AA">
              <w:t>111.320</w:t>
            </w:r>
          </w:p>
        </w:tc>
        <w:tc>
          <w:tcPr>
            <w:tcW w:w="497" w:type="pct"/>
            <w:tcBorders>
              <w:top w:val="nil"/>
              <w:left w:val="nil"/>
              <w:bottom w:val="single" w:sz="4" w:space="0" w:color="auto"/>
              <w:right w:val="nil"/>
            </w:tcBorders>
            <w:shd w:val="clear" w:color="000000" w:fill="FFFFFF"/>
            <w:tcMar>
              <w:top w:w="0" w:type="dxa"/>
              <w:left w:w="108" w:type="dxa"/>
              <w:bottom w:w="0" w:type="dxa"/>
              <w:right w:w="108" w:type="dxa"/>
            </w:tcMar>
            <w:hideMark/>
          </w:tcPr>
          <w:p w:rsidR="00282739" w:rsidRPr="00EF10AA" w:rsidRDefault="00282739" w:rsidP="003C6043">
            <w:pPr>
              <w:pStyle w:val="Tabletext"/>
              <w:ind w:right="85"/>
              <w:jc w:val="right"/>
            </w:pPr>
            <w:r w:rsidRPr="00EF10AA">
              <w:t>23.186</w:t>
            </w:r>
          </w:p>
        </w:tc>
        <w:tc>
          <w:tcPr>
            <w:tcW w:w="498" w:type="pct"/>
            <w:tcBorders>
              <w:top w:val="nil"/>
              <w:left w:val="nil"/>
              <w:bottom w:val="single" w:sz="4" w:space="0" w:color="auto"/>
              <w:right w:val="nil"/>
            </w:tcBorders>
            <w:shd w:val="clear" w:color="000000" w:fill="FFFFFF"/>
            <w:tcMar>
              <w:top w:w="0" w:type="dxa"/>
              <w:left w:w="108" w:type="dxa"/>
              <w:bottom w:w="0" w:type="dxa"/>
              <w:right w:w="108" w:type="dxa"/>
            </w:tcMar>
            <w:hideMark/>
          </w:tcPr>
          <w:p w:rsidR="00282739" w:rsidRPr="00EF10AA" w:rsidRDefault="00282739" w:rsidP="003C6043">
            <w:pPr>
              <w:pStyle w:val="Tabletext"/>
              <w:ind w:right="57"/>
              <w:jc w:val="right"/>
            </w:pPr>
            <w:r w:rsidRPr="00EF10AA">
              <w:t>116.634</w:t>
            </w:r>
          </w:p>
        </w:tc>
        <w:tc>
          <w:tcPr>
            <w:tcW w:w="497" w:type="pct"/>
            <w:tcBorders>
              <w:top w:val="nil"/>
              <w:left w:val="nil"/>
              <w:bottom w:val="single" w:sz="4" w:space="0" w:color="auto"/>
              <w:right w:val="nil"/>
            </w:tcBorders>
            <w:shd w:val="clear" w:color="000000" w:fill="FFFFFF"/>
            <w:tcMar>
              <w:top w:w="0" w:type="dxa"/>
              <w:left w:w="108" w:type="dxa"/>
              <w:bottom w:w="0" w:type="dxa"/>
              <w:right w:w="108" w:type="dxa"/>
            </w:tcMar>
            <w:hideMark/>
          </w:tcPr>
          <w:p w:rsidR="00282739" w:rsidRPr="00EF10AA" w:rsidRDefault="00282739" w:rsidP="003C6043">
            <w:pPr>
              <w:pStyle w:val="Tabletext"/>
              <w:ind w:right="85"/>
              <w:jc w:val="right"/>
            </w:pPr>
            <w:r w:rsidRPr="00EF10AA">
              <w:t>10.825</w:t>
            </w:r>
          </w:p>
        </w:tc>
        <w:tc>
          <w:tcPr>
            <w:tcW w:w="497" w:type="pct"/>
            <w:tcBorders>
              <w:top w:val="nil"/>
              <w:left w:val="nil"/>
              <w:bottom w:val="single" w:sz="4" w:space="0" w:color="auto"/>
              <w:right w:val="nil"/>
            </w:tcBorders>
            <w:shd w:val="clear" w:color="000000" w:fill="FFFFFF"/>
            <w:tcMar>
              <w:top w:w="0" w:type="dxa"/>
              <w:left w:w="57" w:type="dxa"/>
              <w:bottom w:w="0" w:type="dxa"/>
              <w:right w:w="57" w:type="dxa"/>
            </w:tcMar>
            <w:hideMark/>
          </w:tcPr>
          <w:p w:rsidR="00282739" w:rsidRPr="00EF10AA" w:rsidRDefault="00282739" w:rsidP="003C6043">
            <w:pPr>
              <w:pStyle w:val="Tabletext"/>
              <w:ind w:right="28"/>
              <w:jc w:val="right"/>
            </w:pPr>
            <w:r w:rsidRPr="00EF10AA">
              <w:t>-5.313***</w:t>
            </w:r>
          </w:p>
        </w:tc>
        <w:tc>
          <w:tcPr>
            <w:tcW w:w="498" w:type="pct"/>
            <w:tcBorders>
              <w:top w:val="nil"/>
              <w:left w:val="nil"/>
              <w:bottom w:val="single" w:sz="4" w:space="0" w:color="auto"/>
              <w:right w:val="nil"/>
            </w:tcBorders>
            <w:shd w:val="clear" w:color="000000" w:fill="FFFFFF"/>
            <w:tcMar>
              <w:top w:w="0" w:type="dxa"/>
              <w:left w:w="108" w:type="dxa"/>
              <w:bottom w:w="0" w:type="dxa"/>
              <w:right w:w="108" w:type="dxa"/>
            </w:tcMar>
            <w:hideMark/>
          </w:tcPr>
          <w:p w:rsidR="00282739" w:rsidRPr="00EF10AA" w:rsidRDefault="00282739" w:rsidP="003C6043">
            <w:pPr>
              <w:pStyle w:val="Tabletext"/>
              <w:ind w:right="113"/>
              <w:jc w:val="right"/>
            </w:pPr>
            <w:r w:rsidRPr="00EF10AA">
              <w:t>0.964</w:t>
            </w:r>
          </w:p>
        </w:tc>
        <w:tc>
          <w:tcPr>
            <w:tcW w:w="564" w:type="pct"/>
            <w:tcBorders>
              <w:top w:val="nil"/>
              <w:left w:val="nil"/>
              <w:bottom w:val="single" w:sz="4" w:space="0" w:color="auto"/>
              <w:right w:val="nil"/>
            </w:tcBorders>
            <w:shd w:val="clear" w:color="000000" w:fill="FFFFFF"/>
            <w:noWrap/>
            <w:tcMar>
              <w:top w:w="0" w:type="dxa"/>
              <w:left w:w="108" w:type="dxa"/>
              <w:bottom w:w="0" w:type="dxa"/>
              <w:right w:w="108" w:type="dxa"/>
            </w:tcMar>
            <w:hideMark/>
          </w:tcPr>
          <w:p w:rsidR="00282739" w:rsidRPr="00EF10AA" w:rsidRDefault="00282739" w:rsidP="003C6043">
            <w:pPr>
              <w:pStyle w:val="Tabletext"/>
              <w:jc w:val="center"/>
            </w:pPr>
            <w:r w:rsidRPr="00EF10AA">
              <w:t>27 437</w:t>
            </w:r>
          </w:p>
        </w:tc>
      </w:tr>
    </w:tbl>
    <w:p w:rsidR="00282739" w:rsidRDefault="00282739" w:rsidP="00282739">
      <w:pPr>
        <w:pStyle w:val="Source"/>
        <w:tabs>
          <w:tab w:val="left" w:pos="993"/>
        </w:tabs>
        <w:rPr>
          <w:i/>
          <w:iCs/>
        </w:rPr>
      </w:pPr>
      <w:r>
        <w:t>Notes:</w:t>
      </w:r>
      <w:r>
        <w:tab/>
        <w:t>***</w:t>
      </w:r>
      <w:r>
        <w:tab/>
        <w:t xml:space="preserve">Significant at 1%. </w:t>
      </w:r>
      <w:r>
        <w:br/>
      </w:r>
      <w:r w:rsidRPr="00830F4B">
        <w:t>a</w:t>
      </w:r>
      <w:r>
        <w:tab/>
        <w:t>Estimated using a bandwidth of 0.2.</w:t>
      </w:r>
    </w:p>
    <w:p w:rsidR="00282739" w:rsidRDefault="00282739" w:rsidP="00282739">
      <w:pPr>
        <w:pStyle w:val="tabletitle"/>
      </w:pPr>
      <w:bookmarkStart w:id="83" w:name="_Toc402794996"/>
      <w:r>
        <w:t>Table D4</w:t>
      </w:r>
      <w:r>
        <w:tab/>
        <w:t>Estimated total, direct and indirect impacts from taking a VCE VET subject university entry scores (out of a maximum of 205) of those who intend to go to university</w:t>
      </w:r>
      <w:bookmarkEnd w:id="83"/>
    </w:p>
    <w:tbl>
      <w:tblPr>
        <w:tblW w:w="8789" w:type="dxa"/>
        <w:tblInd w:w="108" w:type="dxa"/>
        <w:tblLayout w:type="fixed"/>
        <w:tblLook w:val="04A0" w:firstRow="1" w:lastRow="0" w:firstColumn="1" w:lastColumn="0" w:noHBand="0" w:noVBand="1"/>
      </w:tblPr>
      <w:tblGrid>
        <w:gridCol w:w="2061"/>
        <w:gridCol w:w="957"/>
        <w:gridCol w:w="956"/>
        <w:gridCol w:w="956"/>
        <w:gridCol w:w="956"/>
        <w:gridCol w:w="956"/>
        <w:gridCol w:w="956"/>
        <w:gridCol w:w="991"/>
      </w:tblGrid>
      <w:tr w:rsidR="00282739" w:rsidTr="003C6043">
        <w:tc>
          <w:tcPr>
            <w:tcW w:w="1172" w:type="pct"/>
            <w:tcBorders>
              <w:top w:val="single" w:sz="4" w:space="0" w:color="auto"/>
              <w:left w:val="nil"/>
              <w:right w:val="nil"/>
            </w:tcBorders>
            <w:shd w:val="clear" w:color="000000" w:fill="FFFFFF"/>
            <w:noWrap/>
            <w:tcMar>
              <w:top w:w="0" w:type="dxa"/>
              <w:left w:w="108" w:type="dxa"/>
              <w:bottom w:w="0" w:type="dxa"/>
              <w:right w:w="108" w:type="dxa"/>
            </w:tcMar>
            <w:hideMark/>
          </w:tcPr>
          <w:p w:rsidR="00282739" w:rsidRDefault="00282739" w:rsidP="003C6043">
            <w:pPr>
              <w:pStyle w:val="Tablehead1"/>
            </w:pPr>
          </w:p>
        </w:tc>
        <w:tc>
          <w:tcPr>
            <w:tcW w:w="1088" w:type="pct"/>
            <w:gridSpan w:val="2"/>
            <w:tcBorders>
              <w:top w:val="single" w:sz="4" w:space="0" w:color="auto"/>
              <w:left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head1"/>
              <w:jc w:val="center"/>
              <w:rPr>
                <w:bCs/>
              </w:rPr>
            </w:pPr>
            <w:r w:rsidRPr="00035E05">
              <w:rPr>
                <w:bCs/>
              </w:rPr>
              <w:t>Enrolled in a VCE VET subject</w:t>
            </w:r>
          </w:p>
        </w:tc>
        <w:tc>
          <w:tcPr>
            <w:tcW w:w="1088" w:type="pct"/>
            <w:gridSpan w:val="2"/>
            <w:tcBorders>
              <w:top w:val="single" w:sz="4" w:space="0" w:color="auto"/>
              <w:left w:val="nil"/>
              <w:right w:val="nil"/>
            </w:tcBorders>
            <w:shd w:val="clear" w:color="000000" w:fill="FFFFFF"/>
            <w:tcMar>
              <w:top w:w="0" w:type="dxa"/>
              <w:left w:w="108" w:type="dxa"/>
              <w:bottom w:w="0" w:type="dxa"/>
              <w:right w:w="108" w:type="dxa"/>
            </w:tcMar>
            <w:hideMark/>
          </w:tcPr>
          <w:p w:rsidR="00282739" w:rsidRPr="00035E05" w:rsidRDefault="00282739" w:rsidP="003C6043">
            <w:pPr>
              <w:pStyle w:val="Tablehead1"/>
              <w:jc w:val="center"/>
              <w:rPr>
                <w:bCs/>
              </w:rPr>
            </w:pPr>
            <w:r w:rsidRPr="00035E05">
              <w:rPr>
                <w:bCs/>
              </w:rPr>
              <w:t>Did not enrol in a VCE VET subject</w:t>
            </w:r>
          </w:p>
        </w:tc>
        <w:tc>
          <w:tcPr>
            <w:tcW w:w="1088" w:type="pct"/>
            <w:gridSpan w:val="2"/>
            <w:tcBorders>
              <w:top w:val="single" w:sz="4" w:space="0" w:color="auto"/>
              <w:left w:val="nil"/>
              <w:right w:val="nil"/>
            </w:tcBorders>
            <w:shd w:val="clear" w:color="000000" w:fill="FFFFFF"/>
            <w:tcMar>
              <w:top w:w="0" w:type="dxa"/>
              <w:left w:w="108" w:type="dxa"/>
              <w:bottom w:w="0" w:type="dxa"/>
              <w:right w:w="108" w:type="dxa"/>
            </w:tcMar>
            <w:hideMark/>
          </w:tcPr>
          <w:p w:rsidR="00282739" w:rsidRPr="00035E05" w:rsidRDefault="00282739" w:rsidP="003C6043">
            <w:pPr>
              <w:pStyle w:val="Tablehead1"/>
              <w:jc w:val="center"/>
              <w:rPr>
                <w:bCs/>
              </w:rPr>
            </w:pPr>
            <w:r w:rsidRPr="00035E05">
              <w:rPr>
                <w:bCs/>
              </w:rPr>
              <w:t>Difference (ATET)</w:t>
            </w:r>
          </w:p>
        </w:tc>
        <w:tc>
          <w:tcPr>
            <w:tcW w:w="564" w:type="pct"/>
            <w:tcBorders>
              <w:top w:val="single" w:sz="4" w:space="0" w:color="auto"/>
              <w:left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head1"/>
              <w:jc w:val="center"/>
              <w:rPr>
                <w:bCs/>
              </w:rPr>
            </w:pPr>
            <w:r w:rsidRPr="00035E05">
              <w:rPr>
                <w:bCs/>
              </w:rPr>
              <w:t>Number of obs</w:t>
            </w:r>
          </w:p>
        </w:tc>
      </w:tr>
      <w:tr w:rsidR="00282739" w:rsidTr="003C6043">
        <w:tc>
          <w:tcPr>
            <w:tcW w:w="1172" w:type="pct"/>
            <w:tcBorders>
              <w:left w:val="nil"/>
              <w:bottom w:val="single" w:sz="4" w:space="0" w:color="auto"/>
              <w:right w:val="nil"/>
            </w:tcBorders>
            <w:shd w:val="clear" w:color="000000" w:fill="FFFFFF"/>
            <w:noWrap/>
            <w:tcMar>
              <w:top w:w="0" w:type="dxa"/>
              <w:left w:w="108" w:type="dxa"/>
              <w:bottom w:w="0" w:type="dxa"/>
              <w:right w:w="108" w:type="dxa"/>
            </w:tcMar>
            <w:hideMark/>
          </w:tcPr>
          <w:p w:rsidR="00282739" w:rsidRDefault="00282739" w:rsidP="003C6043">
            <w:pPr>
              <w:pStyle w:val="Tablehead2"/>
            </w:pPr>
            <w:r>
              <w:t>Total</w:t>
            </w:r>
          </w:p>
        </w:tc>
        <w:tc>
          <w:tcPr>
            <w:tcW w:w="544" w:type="pct"/>
            <w:tcBorders>
              <w:left w:val="nil"/>
              <w:bottom w:val="single" w:sz="4" w:space="0" w:color="auto"/>
              <w:right w:val="nil"/>
            </w:tcBorders>
            <w:shd w:val="clear" w:color="000000" w:fill="FFFFFF"/>
            <w:noWrap/>
            <w:tcMar>
              <w:top w:w="0" w:type="dxa"/>
              <w:left w:w="0" w:type="dxa"/>
              <w:bottom w:w="0" w:type="dxa"/>
              <w:right w:w="0" w:type="dxa"/>
            </w:tcMar>
            <w:hideMark/>
          </w:tcPr>
          <w:p w:rsidR="00282739" w:rsidRDefault="00282739" w:rsidP="003C6043">
            <w:pPr>
              <w:pStyle w:val="Tablehead2"/>
              <w:jc w:val="center"/>
            </w:pPr>
            <w:r>
              <w:t>Avg. entry score</w:t>
            </w:r>
          </w:p>
        </w:tc>
        <w:tc>
          <w:tcPr>
            <w:tcW w:w="544" w:type="pct"/>
            <w:tcBorders>
              <w:left w:val="nil"/>
              <w:bottom w:val="single" w:sz="4" w:space="0" w:color="auto"/>
              <w:right w:val="nil"/>
            </w:tcBorders>
            <w:shd w:val="clear" w:color="000000" w:fill="FFFFFF"/>
            <w:tcMar>
              <w:top w:w="0" w:type="dxa"/>
              <w:left w:w="0" w:type="dxa"/>
              <w:bottom w:w="0" w:type="dxa"/>
              <w:right w:w="0" w:type="dxa"/>
            </w:tcMar>
            <w:hideMark/>
          </w:tcPr>
          <w:p w:rsidR="00282739" w:rsidRDefault="00282739" w:rsidP="003C6043">
            <w:pPr>
              <w:pStyle w:val="Tablehead2"/>
              <w:jc w:val="center"/>
            </w:pPr>
            <w:r>
              <w:t>s.e.</w:t>
            </w:r>
          </w:p>
        </w:tc>
        <w:tc>
          <w:tcPr>
            <w:tcW w:w="544" w:type="pct"/>
            <w:tcBorders>
              <w:left w:val="nil"/>
              <w:bottom w:val="single" w:sz="4" w:space="0" w:color="auto"/>
              <w:right w:val="nil"/>
            </w:tcBorders>
            <w:shd w:val="clear" w:color="000000" w:fill="FFFFFF"/>
            <w:tcMar>
              <w:top w:w="0" w:type="dxa"/>
              <w:left w:w="0" w:type="dxa"/>
              <w:bottom w:w="0" w:type="dxa"/>
              <w:right w:w="0" w:type="dxa"/>
            </w:tcMar>
            <w:hideMark/>
          </w:tcPr>
          <w:p w:rsidR="00282739" w:rsidRDefault="00282739" w:rsidP="003C6043">
            <w:pPr>
              <w:pStyle w:val="Tablehead2"/>
              <w:jc w:val="center"/>
            </w:pPr>
            <w:r>
              <w:t>Avg. entry score</w:t>
            </w:r>
          </w:p>
        </w:tc>
        <w:tc>
          <w:tcPr>
            <w:tcW w:w="544" w:type="pct"/>
            <w:tcBorders>
              <w:left w:val="nil"/>
              <w:bottom w:val="single" w:sz="4" w:space="0" w:color="auto"/>
              <w:right w:val="nil"/>
            </w:tcBorders>
            <w:shd w:val="clear" w:color="000000" w:fill="FFFFFF"/>
            <w:tcMar>
              <w:top w:w="0" w:type="dxa"/>
              <w:left w:w="0" w:type="dxa"/>
              <w:bottom w:w="0" w:type="dxa"/>
              <w:right w:w="0" w:type="dxa"/>
            </w:tcMar>
            <w:hideMark/>
          </w:tcPr>
          <w:p w:rsidR="00282739" w:rsidRDefault="00282739" w:rsidP="003C6043">
            <w:pPr>
              <w:pStyle w:val="Tablehead2"/>
              <w:jc w:val="center"/>
            </w:pPr>
            <w:r>
              <w:t>s.e.</w:t>
            </w:r>
          </w:p>
        </w:tc>
        <w:tc>
          <w:tcPr>
            <w:tcW w:w="544" w:type="pct"/>
            <w:tcBorders>
              <w:left w:val="nil"/>
              <w:bottom w:val="single" w:sz="4" w:space="0" w:color="auto"/>
              <w:right w:val="nil"/>
            </w:tcBorders>
            <w:shd w:val="clear" w:color="000000" w:fill="FFFFFF"/>
            <w:tcMar>
              <w:top w:w="0" w:type="dxa"/>
              <w:left w:w="0" w:type="dxa"/>
              <w:bottom w:w="0" w:type="dxa"/>
              <w:right w:w="0" w:type="dxa"/>
            </w:tcMar>
            <w:hideMark/>
          </w:tcPr>
          <w:p w:rsidR="00282739" w:rsidRDefault="00282739" w:rsidP="003C6043">
            <w:pPr>
              <w:pStyle w:val="Tablehead2"/>
              <w:jc w:val="center"/>
            </w:pPr>
            <w:r>
              <w:t>Avg. entry score</w:t>
            </w:r>
          </w:p>
        </w:tc>
        <w:tc>
          <w:tcPr>
            <w:tcW w:w="544" w:type="pct"/>
            <w:tcBorders>
              <w:left w:val="nil"/>
              <w:bottom w:val="single" w:sz="4" w:space="0" w:color="auto"/>
              <w:right w:val="nil"/>
            </w:tcBorders>
            <w:shd w:val="clear" w:color="000000" w:fill="FFFFFF"/>
            <w:tcMar>
              <w:top w:w="0" w:type="dxa"/>
              <w:left w:w="0" w:type="dxa"/>
              <w:bottom w:w="0" w:type="dxa"/>
              <w:right w:w="0" w:type="dxa"/>
            </w:tcMar>
            <w:hideMark/>
          </w:tcPr>
          <w:p w:rsidR="00282739" w:rsidRDefault="00282739" w:rsidP="003C6043">
            <w:pPr>
              <w:pStyle w:val="Tablehead2"/>
              <w:jc w:val="center"/>
            </w:pPr>
            <w:r>
              <w:t>s.e.</w:t>
            </w:r>
          </w:p>
        </w:tc>
        <w:tc>
          <w:tcPr>
            <w:tcW w:w="564" w:type="pct"/>
            <w:tcBorders>
              <w:left w:val="nil"/>
              <w:bottom w:val="single" w:sz="4" w:space="0" w:color="auto"/>
              <w:right w:val="nil"/>
            </w:tcBorders>
            <w:shd w:val="clear" w:color="000000" w:fill="FFFFFF"/>
            <w:noWrap/>
            <w:tcMar>
              <w:top w:w="0" w:type="dxa"/>
              <w:left w:w="108" w:type="dxa"/>
              <w:bottom w:w="0" w:type="dxa"/>
              <w:right w:w="108" w:type="dxa"/>
            </w:tcMar>
            <w:hideMark/>
          </w:tcPr>
          <w:p w:rsidR="00282739" w:rsidRDefault="00282739" w:rsidP="003C6043">
            <w:pPr>
              <w:pStyle w:val="Tablehead2"/>
              <w:jc w:val="center"/>
              <w:rPr>
                <w:rFonts w:cs="Arial"/>
                <w:color w:val="000000"/>
                <w:sz w:val="16"/>
                <w:szCs w:val="16"/>
              </w:rPr>
            </w:pPr>
          </w:p>
        </w:tc>
      </w:tr>
      <w:tr w:rsidR="00282739" w:rsidTr="003C6043">
        <w:tc>
          <w:tcPr>
            <w:tcW w:w="1172" w:type="pct"/>
            <w:tcBorders>
              <w:top w:val="single" w:sz="4" w:space="0" w:color="auto"/>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pPr>
            <w:r w:rsidRPr="00035E05">
              <w:t>Unmatched</w:t>
            </w:r>
          </w:p>
        </w:tc>
        <w:tc>
          <w:tcPr>
            <w:tcW w:w="544" w:type="pct"/>
            <w:tcBorders>
              <w:top w:val="single" w:sz="4" w:space="0" w:color="auto"/>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312"/>
              </w:tabs>
            </w:pPr>
            <w:r w:rsidRPr="00035E05">
              <w:t>111.320</w:t>
            </w:r>
          </w:p>
        </w:tc>
        <w:tc>
          <w:tcPr>
            <w:tcW w:w="544" w:type="pct"/>
            <w:tcBorders>
              <w:top w:val="single" w:sz="4" w:space="0" w:color="auto"/>
              <w:left w:val="nil"/>
              <w:bottom w:val="nil"/>
              <w:right w:val="nil"/>
            </w:tcBorders>
            <w:shd w:val="clear" w:color="000000" w:fill="FFFFFF"/>
            <w:tcMar>
              <w:top w:w="0" w:type="dxa"/>
              <w:left w:w="108" w:type="dxa"/>
              <w:bottom w:w="0" w:type="dxa"/>
              <w:right w:w="108" w:type="dxa"/>
            </w:tcMar>
            <w:hideMark/>
          </w:tcPr>
          <w:p w:rsidR="00282739" w:rsidRPr="00035E05" w:rsidRDefault="00282739" w:rsidP="003C6043">
            <w:pPr>
              <w:pStyle w:val="Tabletext"/>
              <w:tabs>
                <w:tab w:val="decimal" w:pos="284"/>
              </w:tabs>
            </w:pPr>
            <w:r w:rsidRPr="00035E05">
              <w:t>23.186</w:t>
            </w:r>
          </w:p>
        </w:tc>
        <w:tc>
          <w:tcPr>
            <w:tcW w:w="544" w:type="pct"/>
            <w:tcBorders>
              <w:top w:val="single" w:sz="4" w:space="0" w:color="auto"/>
              <w:left w:val="nil"/>
              <w:bottom w:val="nil"/>
              <w:right w:val="nil"/>
            </w:tcBorders>
            <w:shd w:val="clear" w:color="000000" w:fill="FFFFFF"/>
            <w:tcMar>
              <w:top w:w="0" w:type="dxa"/>
              <w:left w:w="108" w:type="dxa"/>
              <w:bottom w:w="0" w:type="dxa"/>
              <w:right w:w="108" w:type="dxa"/>
            </w:tcMar>
            <w:hideMark/>
          </w:tcPr>
          <w:p w:rsidR="00282739" w:rsidRPr="00035E05" w:rsidRDefault="00282739" w:rsidP="003C6043">
            <w:pPr>
              <w:pStyle w:val="Tabletext"/>
              <w:tabs>
                <w:tab w:val="decimal" w:pos="312"/>
              </w:tabs>
            </w:pPr>
            <w:r w:rsidRPr="00035E05">
              <w:t>128.578</w:t>
            </w:r>
          </w:p>
        </w:tc>
        <w:tc>
          <w:tcPr>
            <w:tcW w:w="544" w:type="pct"/>
            <w:tcBorders>
              <w:top w:val="single" w:sz="4" w:space="0" w:color="auto"/>
              <w:left w:val="nil"/>
              <w:bottom w:val="nil"/>
              <w:right w:val="nil"/>
            </w:tcBorders>
            <w:shd w:val="clear" w:color="000000" w:fill="FFFFFF"/>
            <w:tcMar>
              <w:top w:w="0" w:type="dxa"/>
              <w:left w:w="108" w:type="dxa"/>
              <w:bottom w:w="0" w:type="dxa"/>
              <w:right w:w="108" w:type="dxa"/>
            </w:tcMar>
            <w:hideMark/>
          </w:tcPr>
          <w:p w:rsidR="00282739" w:rsidRPr="00035E05" w:rsidRDefault="00282739" w:rsidP="003C6043">
            <w:pPr>
              <w:pStyle w:val="Tabletext"/>
              <w:tabs>
                <w:tab w:val="decimal" w:pos="284"/>
              </w:tabs>
            </w:pPr>
            <w:r w:rsidRPr="00035E05">
              <w:t>27.123</w:t>
            </w:r>
          </w:p>
        </w:tc>
        <w:tc>
          <w:tcPr>
            <w:tcW w:w="544" w:type="pct"/>
            <w:tcBorders>
              <w:top w:val="single" w:sz="4" w:space="0" w:color="auto"/>
              <w:left w:val="nil"/>
              <w:bottom w:val="nil"/>
              <w:right w:val="nil"/>
            </w:tcBorders>
            <w:shd w:val="clear" w:color="000000" w:fill="FFFFFF"/>
            <w:tcMar>
              <w:top w:w="0" w:type="dxa"/>
              <w:left w:w="57" w:type="dxa"/>
              <w:bottom w:w="0" w:type="dxa"/>
              <w:right w:w="57" w:type="dxa"/>
            </w:tcMar>
            <w:hideMark/>
          </w:tcPr>
          <w:p w:rsidR="00282739" w:rsidRPr="00035E05" w:rsidRDefault="00282739" w:rsidP="003C6043">
            <w:pPr>
              <w:pStyle w:val="Tabletext"/>
              <w:tabs>
                <w:tab w:val="decimal" w:pos="255"/>
              </w:tabs>
            </w:pPr>
            <w:r w:rsidRPr="00035E05">
              <w:t>-17.257***</w:t>
            </w:r>
          </w:p>
        </w:tc>
        <w:tc>
          <w:tcPr>
            <w:tcW w:w="544" w:type="pct"/>
            <w:tcBorders>
              <w:top w:val="single" w:sz="4" w:space="0" w:color="auto"/>
              <w:left w:val="nil"/>
              <w:bottom w:val="nil"/>
              <w:right w:val="nil"/>
            </w:tcBorders>
            <w:shd w:val="clear" w:color="000000" w:fill="FFFFFF"/>
            <w:tcMar>
              <w:top w:w="0" w:type="dxa"/>
              <w:left w:w="108" w:type="dxa"/>
              <w:bottom w:w="0" w:type="dxa"/>
              <w:right w:w="108" w:type="dxa"/>
            </w:tcMar>
            <w:hideMark/>
          </w:tcPr>
          <w:p w:rsidR="00282739" w:rsidRPr="00035E05" w:rsidRDefault="00282739" w:rsidP="003C6043">
            <w:pPr>
              <w:pStyle w:val="Tabletext"/>
              <w:tabs>
                <w:tab w:val="decimal" w:pos="255"/>
              </w:tabs>
            </w:pPr>
            <w:r w:rsidRPr="00035E05">
              <w:t>0.701</w:t>
            </w:r>
          </w:p>
        </w:tc>
        <w:tc>
          <w:tcPr>
            <w:tcW w:w="564" w:type="pct"/>
            <w:tcBorders>
              <w:top w:val="single" w:sz="4" w:space="0" w:color="auto"/>
              <w:left w:val="nil"/>
              <w:bottom w:val="nil"/>
              <w:right w:val="nil"/>
            </w:tcBorders>
            <w:shd w:val="clear" w:color="000000" w:fill="FFFFFF"/>
            <w:tcMar>
              <w:top w:w="0" w:type="dxa"/>
              <w:left w:w="108" w:type="dxa"/>
              <w:bottom w:w="0" w:type="dxa"/>
              <w:right w:w="108" w:type="dxa"/>
            </w:tcMar>
            <w:hideMark/>
          </w:tcPr>
          <w:p w:rsidR="00282739" w:rsidRPr="00035E05" w:rsidRDefault="00282739" w:rsidP="003C6043">
            <w:pPr>
              <w:pStyle w:val="Tabletext"/>
              <w:tabs>
                <w:tab w:val="decimal" w:pos="284"/>
              </w:tabs>
            </w:pPr>
            <w:r w:rsidRPr="00035E05">
              <w:t>27 437</w:t>
            </w:r>
          </w:p>
        </w:tc>
      </w:tr>
      <w:tr w:rsidR="00282739" w:rsidTr="003C6043">
        <w:tc>
          <w:tcPr>
            <w:tcW w:w="1172"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pPr>
            <w:r w:rsidRPr="00035E05">
              <w:t>Kernel matching</w:t>
            </w:r>
            <w:r w:rsidRPr="00BE09AB">
              <w:rPr>
                <w:vertAlign w:val="superscript"/>
              </w:rPr>
              <w:t>a</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312"/>
              </w:tabs>
            </w:pPr>
            <w:r w:rsidRPr="00035E05">
              <w:t>111.320</w:t>
            </w:r>
          </w:p>
        </w:tc>
        <w:tc>
          <w:tcPr>
            <w:tcW w:w="544" w:type="pct"/>
            <w:tcBorders>
              <w:top w:val="nil"/>
              <w:left w:val="nil"/>
              <w:bottom w:val="nil"/>
              <w:right w:val="nil"/>
            </w:tcBorders>
            <w:shd w:val="clear" w:color="000000" w:fill="FFFFFF"/>
            <w:tcMar>
              <w:top w:w="0" w:type="dxa"/>
              <w:left w:w="108" w:type="dxa"/>
              <w:bottom w:w="0" w:type="dxa"/>
              <w:right w:w="108" w:type="dxa"/>
            </w:tcMar>
            <w:hideMark/>
          </w:tcPr>
          <w:p w:rsidR="00282739" w:rsidRPr="00035E05" w:rsidRDefault="00282739" w:rsidP="003C6043">
            <w:pPr>
              <w:pStyle w:val="Tabletext"/>
              <w:tabs>
                <w:tab w:val="decimal" w:pos="284"/>
              </w:tabs>
            </w:pPr>
            <w:r w:rsidRPr="00035E05">
              <w:t>23.186</w:t>
            </w:r>
          </w:p>
        </w:tc>
        <w:tc>
          <w:tcPr>
            <w:tcW w:w="544" w:type="pct"/>
            <w:tcBorders>
              <w:top w:val="nil"/>
              <w:left w:val="nil"/>
              <w:bottom w:val="nil"/>
              <w:right w:val="nil"/>
            </w:tcBorders>
            <w:shd w:val="clear" w:color="000000" w:fill="FFFFFF"/>
            <w:tcMar>
              <w:top w:w="0" w:type="dxa"/>
              <w:left w:w="108" w:type="dxa"/>
              <w:bottom w:w="0" w:type="dxa"/>
              <w:right w:w="108" w:type="dxa"/>
            </w:tcMar>
            <w:hideMark/>
          </w:tcPr>
          <w:p w:rsidR="00282739" w:rsidRPr="00035E05" w:rsidRDefault="00282739" w:rsidP="003C6043">
            <w:pPr>
              <w:pStyle w:val="Tabletext"/>
              <w:tabs>
                <w:tab w:val="decimal" w:pos="312"/>
              </w:tabs>
            </w:pPr>
            <w:r w:rsidRPr="00035E05">
              <w:t>116.791</w:t>
            </w:r>
          </w:p>
        </w:tc>
        <w:tc>
          <w:tcPr>
            <w:tcW w:w="544" w:type="pct"/>
            <w:tcBorders>
              <w:top w:val="nil"/>
              <w:left w:val="nil"/>
              <w:bottom w:val="nil"/>
              <w:right w:val="nil"/>
            </w:tcBorders>
            <w:shd w:val="clear" w:color="000000" w:fill="FFFFFF"/>
            <w:tcMar>
              <w:top w:w="0" w:type="dxa"/>
              <w:left w:w="108" w:type="dxa"/>
              <w:bottom w:w="0" w:type="dxa"/>
              <w:right w:w="108" w:type="dxa"/>
            </w:tcMar>
            <w:hideMark/>
          </w:tcPr>
          <w:p w:rsidR="00282739" w:rsidRPr="00035E05" w:rsidRDefault="00282739" w:rsidP="003C6043">
            <w:pPr>
              <w:pStyle w:val="Tabletext"/>
              <w:tabs>
                <w:tab w:val="decimal" w:pos="284"/>
              </w:tabs>
            </w:pPr>
            <w:r w:rsidRPr="00035E05">
              <w:t>4.340</w:t>
            </w:r>
          </w:p>
        </w:tc>
        <w:tc>
          <w:tcPr>
            <w:tcW w:w="544" w:type="pct"/>
            <w:tcBorders>
              <w:top w:val="nil"/>
              <w:left w:val="nil"/>
              <w:bottom w:val="nil"/>
              <w:right w:val="nil"/>
            </w:tcBorders>
            <w:shd w:val="clear" w:color="000000" w:fill="FFFFFF"/>
            <w:tcMar>
              <w:top w:w="0" w:type="dxa"/>
              <w:left w:w="57" w:type="dxa"/>
              <w:bottom w:w="0" w:type="dxa"/>
              <w:right w:w="57" w:type="dxa"/>
            </w:tcMar>
            <w:hideMark/>
          </w:tcPr>
          <w:p w:rsidR="00282739" w:rsidRPr="00035E05" w:rsidRDefault="00282739" w:rsidP="003C6043">
            <w:pPr>
              <w:pStyle w:val="Tabletext"/>
              <w:tabs>
                <w:tab w:val="decimal" w:pos="255"/>
              </w:tabs>
            </w:pPr>
            <w:r w:rsidRPr="00035E05">
              <w:t>-5.470***</w:t>
            </w:r>
          </w:p>
        </w:tc>
        <w:tc>
          <w:tcPr>
            <w:tcW w:w="544" w:type="pct"/>
            <w:tcBorders>
              <w:top w:val="nil"/>
              <w:left w:val="nil"/>
              <w:bottom w:val="nil"/>
              <w:right w:val="nil"/>
            </w:tcBorders>
            <w:shd w:val="clear" w:color="000000" w:fill="FFFFFF"/>
            <w:tcMar>
              <w:top w:w="0" w:type="dxa"/>
              <w:left w:w="108" w:type="dxa"/>
              <w:bottom w:w="0" w:type="dxa"/>
              <w:right w:w="108" w:type="dxa"/>
            </w:tcMar>
            <w:hideMark/>
          </w:tcPr>
          <w:p w:rsidR="00282739" w:rsidRPr="00035E05" w:rsidRDefault="00282739" w:rsidP="003C6043">
            <w:pPr>
              <w:pStyle w:val="Tabletext"/>
              <w:tabs>
                <w:tab w:val="decimal" w:pos="255"/>
              </w:tabs>
            </w:pPr>
            <w:r w:rsidRPr="00035E05">
              <w:t>0.982</w:t>
            </w:r>
          </w:p>
        </w:tc>
        <w:tc>
          <w:tcPr>
            <w:tcW w:w="564" w:type="pct"/>
            <w:tcBorders>
              <w:top w:val="nil"/>
              <w:left w:val="nil"/>
              <w:bottom w:val="nil"/>
              <w:right w:val="nil"/>
            </w:tcBorders>
            <w:shd w:val="clear" w:color="000000" w:fill="FFFFFF"/>
            <w:tcMar>
              <w:top w:w="0" w:type="dxa"/>
              <w:left w:w="108" w:type="dxa"/>
              <w:bottom w:w="0" w:type="dxa"/>
              <w:right w:w="108" w:type="dxa"/>
            </w:tcMar>
            <w:hideMark/>
          </w:tcPr>
          <w:p w:rsidR="00282739" w:rsidRPr="00035E05" w:rsidRDefault="00282739" w:rsidP="003C6043">
            <w:pPr>
              <w:pStyle w:val="Tabletext"/>
              <w:tabs>
                <w:tab w:val="decimal" w:pos="284"/>
              </w:tabs>
            </w:pPr>
            <w:r w:rsidRPr="00035E05">
              <w:t>27 437</w:t>
            </w:r>
          </w:p>
        </w:tc>
      </w:tr>
      <w:tr w:rsidR="00282739" w:rsidTr="003C6043">
        <w:tc>
          <w:tcPr>
            <w:tcW w:w="1172"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pPr>
            <w:r w:rsidRPr="00035E05">
              <w:t xml:space="preserve">Nearest Neighbour, </w:t>
            </w:r>
            <w:r w:rsidRPr="00035E05">
              <w:br/>
              <w:t>one-to-one match</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312"/>
              </w:tabs>
            </w:pPr>
            <w:r w:rsidRPr="00035E05">
              <w:t>111.320</w:t>
            </w:r>
          </w:p>
        </w:tc>
        <w:tc>
          <w:tcPr>
            <w:tcW w:w="544" w:type="pct"/>
            <w:tcBorders>
              <w:top w:val="nil"/>
              <w:left w:val="nil"/>
              <w:bottom w:val="nil"/>
              <w:right w:val="nil"/>
            </w:tcBorders>
            <w:shd w:val="clear" w:color="000000" w:fill="FFFFFF"/>
            <w:tcMar>
              <w:top w:w="0" w:type="dxa"/>
              <w:left w:w="108" w:type="dxa"/>
              <w:bottom w:w="0" w:type="dxa"/>
              <w:right w:w="108" w:type="dxa"/>
            </w:tcMar>
            <w:hideMark/>
          </w:tcPr>
          <w:p w:rsidR="00282739" w:rsidRPr="00035E05" w:rsidRDefault="00282739" w:rsidP="003C6043">
            <w:pPr>
              <w:pStyle w:val="Tabletext"/>
              <w:tabs>
                <w:tab w:val="decimal" w:pos="284"/>
              </w:tabs>
            </w:pPr>
            <w:r w:rsidRPr="00035E05">
              <w:t>23.186</w:t>
            </w:r>
          </w:p>
        </w:tc>
        <w:tc>
          <w:tcPr>
            <w:tcW w:w="544" w:type="pct"/>
            <w:tcBorders>
              <w:top w:val="nil"/>
              <w:left w:val="nil"/>
              <w:bottom w:val="nil"/>
              <w:right w:val="nil"/>
            </w:tcBorders>
            <w:shd w:val="clear" w:color="000000" w:fill="FFFFFF"/>
            <w:tcMar>
              <w:top w:w="0" w:type="dxa"/>
              <w:left w:w="108" w:type="dxa"/>
              <w:bottom w:w="0" w:type="dxa"/>
              <w:right w:w="108" w:type="dxa"/>
            </w:tcMar>
            <w:hideMark/>
          </w:tcPr>
          <w:p w:rsidR="00282739" w:rsidRPr="00035E05" w:rsidRDefault="00282739" w:rsidP="003C6043">
            <w:pPr>
              <w:pStyle w:val="Tabletext"/>
              <w:tabs>
                <w:tab w:val="decimal" w:pos="312"/>
              </w:tabs>
            </w:pPr>
            <w:r w:rsidRPr="00035E05">
              <w:t>116.939</w:t>
            </w:r>
          </w:p>
        </w:tc>
        <w:tc>
          <w:tcPr>
            <w:tcW w:w="544" w:type="pct"/>
            <w:tcBorders>
              <w:top w:val="nil"/>
              <w:left w:val="nil"/>
              <w:bottom w:val="nil"/>
              <w:right w:val="nil"/>
            </w:tcBorders>
            <w:shd w:val="clear" w:color="000000" w:fill="FFFFFF"/>
            <w:tcMar>
              <w:top w:w="0" w:type="dxa"/>
              <w:left w:w="108" w:type="dxa"/>
              <w:bottom w:w="0" w:type="dxa"/>
              <w:right w:w="108" w:type="dxa"/>
            </w:tcMar>
            <w:hideMark/>
          </w:tcPr>
          <w:p w:rsidR="00282739" w:rsidRPr="00035E05" w:rsidRDefault="00282739" w:rsidP="003C6043">
            <w:pPr>
              <w:pStyle w:val="Tabletext"/>
              <w:tabs>
                <w:tab w:val="decimal" w:pos="284"/>
              </w:tabs>
            </w:pPr>
            <w:r w:rsidRPr="00035E05">
              <w:t>24.058</w:t>
            </w:r>
          </w:p>
        </w:tc>
        <w:tc>
          <w:tcPr>
            <w:tcW w:w="544" w:type="pct"/>
            <w:tcBorders>
              <w:top w:val="nil"/>
              <w:left w:val="nil"/>
              <w:bottom w:val="nil"/>
              <w:right w:val="nil"/>
            </w:tcBorders>
            <w:shd w:val="clear" w:color="000000" w:fill="FFFFFF"/>
            <w:tcMar>
              <w:top w:w="0" w:type="dxa"/>
              <w:left w:w="57" w:type="dxa"/>
              <w:bottom w:w="0" w:type="dxa"/>
              <w:right w:w="57" w:type="dxa"/>
            </w:tcMar>
            <w:hideMark/>
          </w:tcPr>
          <w:p w:rsidR="00282739" w:rsidRPr="00035E05" w:rsidRDefault="00282739" w:rsidP="003C6043">
            <w:pPr>
              <w:pStyle w:val="Tabletext"/>
              <w:tabs>
                <w:tab w:val="decimal" w:pos="255"/>
              </w:tabs>
            </w:pPr>
            <w:r w:rsidRPr="00035E05">
              <w:t>-5.618***</w:t>
            </w:r>
          </w:p>
        </w:tc>
        <w:tc>
          <w:tcPr>
            <w:tcW w:w="544" w:type="pct"/>
            <w:tcBorders>
              <w:top w:val="nil"/>
              <w:left w:val="nil"/>
              <w:bottom w:val="nil"/>
              <w:right w:val="nil"/>
            </w:tcBorders>
            <w:shd w:val="clear" w:color="000000" w:fill="FFFFFF"/>
            <w:tcMar>
              <w:top w:w="0" w:type="dxa"/>
              <w:left w:w="108" w:type="dxa"/>
              <w:bottom w:w="0" w:type="dxa"/>
              <w:right w:w="108" w:type="dxa"/>
            </w:tcMar>
            <w:hideMark/>
          </w:tcPr>
          <w:p w:rsidR="00282739" w:rsidRPr="00035E05" w:rsidRDefault="00282739" w:rsidP="003C6043">
            <w:pPr>
              <w:pStyle w:val="Tabletext"/>
              <w:tabs>
                <w:tab w:val="decimal" w:pos="255"/>
              </w:tabs>
            </w:pPr>
            <w:r w:rsidRPr="00035E05">
              <w:t>1.149</w:t>
            </w:r>
          </w:p>
        </w:tc>
        <w:tc>
          <w:tcPr>
            <w:tcW w:w="564" w:type="pct"/>
            <w:tcBorders>
              <w:top w:val="nil"/>
              <w:left w:val="nil"/>
              <w:bottom w:val="nil"/>
              <w:right w:val="nil"/>
            </w:tcBorders>
            <w:shd w:val="clear" w:color="000000" w:fill="FFFFFF"/>
            <w:tcMar>
              <w:top w:w="0" w:type="dxa"/>
              <w:left w:w="108" w:type="dxa"/>
              <w:bottom w:w="0" w:type="dxa"/>
              <w:right w:w="108" w:type="dxa"/>
            </w:tcMar>
            <w:hideMark/>
          </w:tcPr>
          <w:p w:rsidR="00282739" w:rsidRPr="00035E05" w:rsidRDefault="00282739" w:rsidP="003C6043">
            <w:pPr>
              <w:pStyle w:val="Tabletext"/>
              <w:tabs>
                <w:tab w:val="decimal" w:pos="284"/>
              </w:tabs>
            </w:pPr>
            <w:r w:rsidRPr="00035E05">
              <w:t>27 437</w:t>
            </w:r>
          </w:p>
        </w:tc>
      </w:tr>
      <w:tr w:rsidR="00282739" w:rsidTr="003C6043">
        <w:tc>
          <w:tcPr>
            <w:tcW w:w="1172" w:type="pct"/>
            <w:tcBorders>
              <w:top w:val="nil"/>
              <w:left w:val="nil"/>
              <w:bottom w:val="nil"/>
              <w:right w:val="nil"/>
            </w:tcBorders>
            <w:shd w:val="clear" w:color="000000" w:fill="FFFFFF"/>
            <w:noWrap/>
            <w:tcMar>
              <w:top w:w="0" w:type="dxa"/>
              <w:left w:w="108" w:type="dxa"/>
              <w:bottom w:w="0" w:type="dxa"/>
              <w:right w:w="108" w:type="dxa"/>
            </w:tcMar>
            <w:hideMark/>
          </w:tcPr>
          <w:p w:rsidR="00282739" w:rsidRPr="00605200" w:rsidRDefault="00282739" w:rsidP="003C6043">
            <w:pPr>
              <w:pStyle w:val="Tabletext"/>
              <w:spacing w:before="120"/>
              <w:rPr>
                <w:i/>
              </w:rPr>
            </w:pPr>
            <w:r w:rsidRPr="00605200">
              <w:rPr>
                <w:i/>
              </w:rPr>
              <w:t>Direct effect</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Default="00282739" w:rsidP="003C6043">
            <w:pPr>
              <w:pStyle w:val="Tabletext"/>
              <w:tabs>
                <w:tab w:val="decimal" w:pos="312"/>
              </w:tabs>
              <w:spacing w:before="120"/>
              <w:rPr>
                <w:rFonts w:cs="Arial"/>
                <w:color w:val="000000"/>
                <w:szCs w:val="16"/>
              </w:rPr>
            </w:pP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Default="00282739" w:rsidP="003C6043">
            <w:pPr>
              <w:pStyle w:val="Tabletext"/>
              <w:tabs>
                <w:tab w:val="decimal" w:pos="284"/>
              </w:tabs>
              <w:spacing w:before="120"/>
              <w:rPr>
                <w:rFonts w:cs="Arial"/>
                <w:color w:val="000000"/>
                <w:szCs w:val="16"/>
              </w:rPr>
            </w:pP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Default="00282739" w:rsidP="003C6043">
            <w:pPr>
              <w:pStyle w:val="Tabletext"/>
              <w:tabs>
                <w:tab w:val="decimal" w:pos="312"/>
              </w:tabs>
              <w:spacing w:before="120"/>
              <w:rPr>
                <w:rFonts w:cs="Arial"/>
                <w:color w:val="000000"/>
                <w:szCs w:val="16"/>
              </w:rPr>
            </w:pP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Default="00282739" w:rsidP="003C6043">
            <w:pPr>
              <w:pStyle w:val="Tabletext"/>
              <w:tabs>
                <w:tab w:val="decimal" w:pos="284"/>
              </w:tabs>
              <w:spacing w:before="120"/>
              <w:rPr>
                <w:rFonts w:cs="Arial"/>
                <w:color w:val="000000"/>
                <w:szCs w:val="16"/>
              </w:rPr>
            </w:pPr>
          </w:p>
        </w:tc>
        <w:tc>
          <w:tcPr>
            <w:tcW w:w="544" w:type="pct"/>
            <w:tcBorders>
              <w:top w:val="nil"/>
              <w:left w:val="nil"/>
              <w:bottom w:val="nil"/>
              <w:right w:val="nil"/>
            </w:tcBorders>
            <w:shd w:val="clear" w:color="000000" w:fill="FFFFFF"/>
            <w:noWrap/>
            <w:tcMar>
              <w:top w:w="0" w:type="dxa"/>
              <w:left w:w="57" w:type="dxa"/>
              <w:bottom w:w="0" w:type="dxa"/>
              <w:right w:w="57" w:type="dxa"/>
            </w:tcMar>
            <w:hideMark/>
          </w:tcPr>
          <w:p w:rsidR="00282739" w:rsidRDefault="00282739" w:rsidP="003C6043">
            <w:pPr>
              <w:pStyle w:val="Tabletext"/>
              <w:tabs>
                <w:tab w:val="decimal" w:pos="255"/>
              </w:tabs>
              <w:spacing w:before="120"/>
              <w:rPr>
                <w:rFonts w:cs="Arial"/>
                <w:color w:val="000000"/>
                <w:szCs w:val="16"/>
              </w:rPr>
            </w:pP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Default="00282739" w:rsidP="003C6043">
            <w:pPr>
              <w:pStyle w:val="Tabletext"/>
              <w:tabs>
                <w:tab w:val="decimal" w:pos="255"/>
              </w:tabs>
              <w:spacing w:before="120"/>
              <w:rPr>
                <w:rFonts w:cs="Arial"/>
                <w:color w:val="000000"/>
                <w:szCs w:val="16"/>
              </w:rPr>
            </w:pPr>
          </w:p>
        </w:tc>
        <w:tc>
          <w:tcPr>
            <w:tcW w:w="564" w:type="pct"/>
            <w:tcBorders>
              <w:top w:val="nil"/>
              <w:left w:val="nil"/>
              <w:bottom w:val="nil"/>
              <w:right w:val="nil"/>
            </w:tcBorders>
            <w:shd w:val="clear" w:color="000000" w:fill="FFFFFF"/>
            <w:noWrap/>
            <w:tcMar>
              <w:top w:w="0" w:type="dxa"/>
              <w:left w:w="108" w:type="dxa"/>
              <w:bottom w:w="0" w:type="dxa"/>
              <w:right w:w="108" w:type="dxa"/>
            </w:tcMar>
            <w:hideMark/>
          </w:tcPr>
          <w:p w:rsidR="00282739" w:rsidRDefault="00282739" w:rsidP="003C6043">
            <w:pPr>
              <w:pStyle w:val="Tabletext"/>
              <w:tabs>
                <w:tab w:val="decimal" w:pos="284"/>
              </w:tabs>
              <w:spacing w:before="120"/>
              <w:rPr>
                <w:rFonts w:cs="Arial"/>
                <w:color w:val="000000"/>
                <w:szCs w:val="16"/>
              </w:rPr>
            </w:pPr>
          </w:p>
        </w:tc>
      </w:tr>
      <w:tr w:rsidR="00282739" w:rsidTr="003C6043">
        <w:tc>
          <w:tcPr>
            <w:tcW w:w="1172"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ind w:firstLine="171"/>
            </w:pPr>
            <w:r w:rsidRPr="00035E05">
              <w:t>Unmatched</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312"/>
              </w:tabs>
            </w:pPr>
            <w:r w:rsidRPr="00035E05">
              <w:t>19.311</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84"/>
              </w:tabs>
            </w:pPr>
            <w:r w:rsidRPr="00035E05">
              <w:t>13.480</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312"/>
              </w:tabs>
            </w:pPr>
            <w:r w:rsidRPr="00035E05">
              <w:t>25.628</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84"/>
              </w:tabs>
            </w:pPr>
            <w:r w:rsidRPr="00035E05">
              <w:t>5.430</w:t>
            </w:r>
          </w:p>
        </w:tc>
        <w:tc>
          <w:tcPr>
            <w:tcW w:w="544" w:type="pct"/>
            <w:tcBorders>
              <w:top w:val="nil"/>
              <w:left w:val="nil"/>
              <w:bottom w:val="nil"/>
              <w:right w:val="nil"/>
            </w:tcBorders>
            <w:shd w:val="clear" w:color="000000" w:fill="FFFFFF"/>
            <w:noWrap/>
            <w:tcMar>
              <w:top w:w="0" w:type="dxa"/>
              <w:left w:w="57" w:type="dxa"/>
              <w:bottom w:w="0" w:type="dxa"/>
              <w:right w:w="57" w:type="dxa"/>
            </w:tcMar>
            <w:hideMark/>
          </w:tcPr>
          <w:p w:rsidR="00282739" w:rsidRPr="00035E05" w:rsidRDefault="00282739" w:rsidP="003C6043">
            <w:pPr>
              <w:pStyle w:val="Tabletext"/>
              <w:tabs>
                <w:tab w:val="decimal" w:pos="255"/>
              </w:tabs>
            </w:pPr>
            <w:r w:rsidRPr="00035E05">
              <w:t>-6.316***</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55"/>
              </w:tabs>
            </w:pPr>
            <w:r w:rsidRPr="00035E05">
              <w:t>0.161</w:t>
            </w:r>
          </w:p>
        </w:tc>
        <w:tc>
          <w:tcPr>
            <w:tcW w:w="56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84"/>
              </w:tabs>
            </w:pPr>
            <w:r w:rsidRPr="00035E05">
              <w:t>27 437</w:t>
            </w:r>
          </w:p>
        </w:tc>
      </w:tr>
      <w:tr w:rsidR="00282739" w:rsidTr="003C6043">
        <w:tc>
          <w:tcPr>
            <w:tcW w:w="1172"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ind w:firstLine="171"/>
            </w:pPr>
            <w:r w:rsidRPr="00035E05">
              <w:t>Kernel matching</w:t>
            </w:r>
            <w:r w:rsidRPr="00BE09AB">
              <w:rPr>
                <w:vertAlign w:val="superscript"/>
              </w:rPr>
              <w:t>a</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312"/>
              </w:tabs>
            </w:pPr>
            <w:r w:rsidRPr="00035E05">
              <w:t>19.318</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84"/>
              </w:tabs>
            </w:pPr>
            <w:r w:rsidRPr="00035E05">
              <w:t>13.486</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312"/>
              </w:tabs>
            </w:pPr>
            <w:r w:rsidRPr="00035E05">
              <w:t>23.266</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84"/>
              </w:tabs>
            </w:pPr>
            <w:r w:rsidRPr="00035E05">
              <w:t>0.870</w:t>
            </w:r>
          </w:p>
        </w:tc>
        <w:tc>
          <w:tcPr>
            <w:tcW w:w="544" w:type="pct"/>
            <w:tcBorders>
              <w:top w:val="nil"/>
              <w:left w:val="nil"/>
              <w:bottom w:val="nil"/>
              <w:right w:val="nil"/>
            </w:tcBorders>
            <w:shd w:val="clear" w:color="000000" w:fill="FFFFFF"/>
            <w:noWrap/>
            <w:tcMar>
              <w:top w:w="0" w:type="dxa"/>
              <w:left w:w="57" w:type="dxa"/>
              <w:bottom w:w="0" w:type="dxa"/>
              <w:right w:w="57" w:type="dxa"/>
            </w:tcMar>
            <w:hideMark/>
          </w:tcPr>
          <w:p w:rsidR="00282739" w:rsidRPr="00035E05" w:rsidRDefault="00282739" w:rsidP="003C6043">
            <w:pPr>
              <w:pStyle w:val="Tabletext"/>
              <w:tabs>
                <w:tab w:val="decimal" w:pos="255"/>
              </w:tabs>
            </w:pPr>
            <w:r w:rsidRPr="00035E05">
              <w:t>-3.947***</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55"/>
              </w:tabs>
            </w:pPr>
            <w:r w:rsidRPr="00035E05">
              <w:t>0.376</w:t>
            </w:r>
          </w:p>
        </w:tc>
        <w:tc>
          <w:tcPr>
            <w:tcW w:w="56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84"/>
              </w:tabs>
            </w:pPr>
            <w:r w:rsidRPr="00035E05">
              <w:t>27 437</w:t>
            </w:r>
          </w:p>
        </w:tc>
      </w:tr>
      <w:tr w:rsidR="00282739" w:rsidTr="003C6043">
        <w:tc>
          <w:tcPr>
            <w:tcW w:w="1172"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ind w:left="176"/>
            </w:pPr>
            <w:r w:rsidRPr="00035E05">
              <w:t xml:space="preserve">Nearest Neighbour, </w:t>
            </w:r>
            <w:r>
              <w:br/>
            </w:r>
            <w:r w:rsidRPr="00035E05">
              <w:t>one-to-one match</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312"/>
              </w:tabs>
            </w:pPr>
            <w:r w:rsidRPr="00035E05">
              <w:t>19.311</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84"/>
              </w:tabs>
            </w:pPr>
            <w:r w:rsidRPr="00035E05">
              <w:t>13.480</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312"/>
              </w:tabs>
            </w:pPr>
            <w:r w:rsidRPr="00035E05">
              <w:t>23.297</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84"/>
              </w:tabs>
            </w:pPr>
            <w:r w:rsidRPr="00035E05">
              <w:t>4.801</w:t>
            </w:r>
          </w:p>
        </w:tc>
        <w:tc>
          <w:tcPr>
            <w:tcW w:w="544" w:type="pct"/>
            <w:tcBorders>
              <w:top w:val="nil"/>
              <w:left w:val="nil"/>
              <w:bottom w:val="nil"/>
              <w:right w:val="nil"/>
            </w:tcBorders>
            <w:shd w:val="clear" w:color="000000" w:fill="FFFFFF"/>
            <w:noWrap/>
            <w:tcMar>
              <w:top w:w="0" w:type="dxa"/>
              <w:left w:w="57" w:type="dxa"/>
              <w:bottom w:w="0" w:type="dxa"/>
              <w:right w:w="57" w:type="dxa"/>
            </w:tcMar>
            <w:hideMark/>
          </w:tcPr>
          <w:p w:rsidR="00282739" w:rsidRPr="00035E05" w:rsidRDefault="00282739" w:rsidP="003C6043">
            <w:pPr>
              <w:pStyle w:val="Tabletext"/>
              <w:tabs>
                <w:tab w:val="decimal" w:pos="255"/>
              </w:tabs>
            </w:pPr>
            <w:r w:rsidRPr="00035E05">
              <w:t>-3.985***</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55"/>
              </w:tabs>
            </w:pPr>
            <w:r w:rsidRPr="00035E05">
              <w:t>0.394</w:t>
            </w:r>
          </w:p>
        </w:tc>
        <w:tc>
          <w:tcPr>
            <w:tcW w:w="56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84"/>
              </w:tabs>
            </w:pPr>
            <w:r w:rsidRPr="00035E05">
              <w:t>27 437</w:t>
            </w:r>
          </w:p>
        </w:tc>
      </w:tr>
      <w:tr w:rsidR="00282739" w:rsidTr="003C6043">
        <w:tc>
          <w:tcPr>
            <w:tcW w:w="1172" w:type="pct"/>
            <w:tcBorders>
              <w:top w:val="nil"/>
              <w:left w:val="nil"/>
              <w:bottom w:val="nil"/>
              <w:right w:val="nil"/>
            </w:tcBorders>
            <w:shd w:val="clear" w:color="000000" w:fill="FFFFFF"/>
            <w:noWrap/>
            <w:tcMar>
              <w:top w:w="0" w:type="dxa"/>
              <w:left w:w="108" w:type="dxa"/>
              <w:bottom w:w="0" w:type="dxa"/>
              <w:right w:w="108" w:type="dxa"/>
            </w:tcMar>
            <w:hideMark/>
          </w:tcPr>
          <w:p w:rsidR="00282739" w:rsidRPr="00605200" w:rsidRDefault="00282739" w:rsidP="003C6043">
            <w:pPr>
              <w:pStyle w:val="Tabletext"/>
              <w:spacing w:before="120"/>
              <w:rPr>
                <w:i/>
              </w:rPr>
            </w:pPr>
            <w:r w:rsidRPr="00605200">
              <w:rPr>
                <w:i/>
              </w:rPr>
              <w:t>Indirect effect</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Default="00282739" w:rsidP="003C6043">
            <w:pPr>
              <w:pStyle w:val="Tabletext"/>
              <w:tabs>
                <w:tab w:val="decimal" w:pos="312"/>
              </w:tabs>
              <w:spacing w:before="120"/>
              <w:rPr>
                <w:rFonts w:cs="Arial"/>
                <w:color w:val="000000"/>
                <w:szCs w:val="16"/>
              </w:rPr>
            </w:pP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Default="00282739" w:rsidP="003C6043">
            <w:pPr>
              <w:pStyle w:val="Tabletext"/>
              <w:tabs>
                <w:tab w:val="decimal" w:pos="284"/>
              </w:tabs>
              <w:spacing w:before="120"/>
              <w:rPr>
                <w:rFonts w:cs="Arial"/>
                <w:color w:val="000000"/>
                <w:szCs w:val="16"/>
              </w:rPr>
            </w:pP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Default="00282739" w:rsidP="003C6043">
            <w:pPr>
              <w:pStyle w:val="Tabletext"/>
              <w:tabs>
                <w:tab w:val="decimal" w:pos="312"/>
              </w:tabs>
              <w:spacing w:before="120"/>
              <w:rPr>
                <w:rFonts w:cs="Arial"/>
                <w:color w:val="000000"/>
                <w:szCs w:val="16"/>
              </w:rPr>
            </w:pP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Default="00282739" w:rsidP="003C6043">
            <w:pPr>
              <w:pStyle w:val="Tabletext"/>
              <w:tabs>
                <w:tab w:val="decimal" w:pos="284"/>
              </w:tabs>
              <w:spacing w:before="120"/>
              <w:rPr>
                <w:rFonts w:cs="Arial"/>
                <w:color w:val="000000"/>
                <w:szCs w:val="16"/>
              </w:rPr>
            </w:pPr>
          </w:p>
        </w:tc>
        <w:tc>
          <w:tcPr>
            <w:tcW w:w="544" w:type="pct"/>
            <w:tcBorders>
              <w:top w:val="nil"/>
              <w:left w:val="nil"/>
              <w:bottom w:val="nil"/>
              <w:right w:val="nil"/>
            </w:tcBorders>
            <w:shd w:val="clear" w:color="000000" w:fill="FFFFFF"/>
            <w:noWrap/>
            <w:tcMar>
              <w:top w:w="0" w:type="dxa"/>
              <w:left w:w="57" w:type="dxa"/>
              <w:bottom w:w="0" w:type="dxa"/>
              <w:right w:w="57" w:type="dxa"/>
            </w:tcMar>
            <w:hideMark/>
          </w:tcPr>
          <w:p w:rsidR="00282739" w:rsidRDefault="00282739" w:rsidP="003C6043">
            <w:pPr>
              <w:pStyle w:val="Tabletext"/>
              <w:tabs>
                <w:tab w:val="decimal" w:pos="255"/>
              </w:tabs>
              <w:spacing w:before="120"/>
              <w:rPr>
                <w:rFonts w:cs="Arial"/>
                <w:color w:val="000000"/>
                <w:szCs w:val="16"/>
              </w:rPr>
            </w:pP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Default="00282739" w:rsidP="003C6043">
            <w:pPr>
              <w:pStyle w:val="Tabletext"/>
              <w:tabs>
                <w:tab w:val="decimal" w:pos="255"/>
              </w:tabs>
              <w:spacing w:before="120"/>
              <w:rPr>
                <w:rFonts w:cs="Arial"/>
                <w:color w:val="000000"/>
                <w:szCs w:val="16"/>
              </w:rPr>
            </w:pPr>
          </w:p>
        </w:tc>
        <w:tc>
          <w:tcPr>
            <w:tcW w:w="564" w:type="pct"/>
            <w:tcBorders>
              <w:top w:val="nil"/>
              <w:left w:val="nil"/>
              <w:bottom w:val="nil"/>
              <w:right w:val="nil"/>
            </w:tcBorders>
            <w:shd w:val="clear" w:color="000000" w:fill="FFFFFF"/>
            <w:noWrap/>
            <w:tcMar>
              <w:top w:w="0" w:type="dxa"/>
              <w:left w:w="108" w:type="dxa"/>
              <w:bottom w:w="0" w:type="dxa"/>
              <w:right w:w="108" w:type="dxa"/>
            </w:tcMar>
            <w:hideMark/>
          </w:tcPr>
          <w:p w:rsidR="00282739" w:rsidRDefault="00282739" w:rsidP="003C6043">
            <w:pPr>
              <w:pStyle w:val="Tabletext"/>
              <w:tabs>
                <w:tab w:val="decimal" w:pos="284"/>
              </w:tabs>
              <w:spacing w:before="120"/>
              <w:rPr>
                <w:rFonts w:cs="Arial"/>
                <w:color w:val="000000"/>
                <w:szCs w:val="16"/>
              </w:rPr>
            </w:pPr>
          </w:p>
        </w:tc>
      </w:tr>
      <w:tr w:rsidR="00282739" w:rsidTr="003C6043">
        <w:tc>
          <w:tcPr>
            <w:tcW w:w="1172"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ind w:firstLine="171"/>
            </w:pPr>
            <w:r w:rsidRPr="00035E05">
              <w:t>Unmatched</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312"/>
              </w:tabs>
            </w:pPr>
            <w:r w:rsidRPr="00035E05">
              <w:t>92.008</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84"/>
              </w:tabs>
            </w:pPr>
            <w:r w:rsidRPr="00035E05">
              <w:t>23.746</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312"/>
              </w:tabs>
            </w:pPr>
            <w:r w:rsidRPr="00035E05">
              <w:t>102.949</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84"/>
              </w:tabs>
            </w:pPr>
            <w:r w:rsidRPr="00035E05">
              <w:t>21.739</w:t>
            </w:r>
          </w:p>
        </w:tc>
        <w:tc>
          <w:tcPr>
            <w:tcW w:w="544" w:type="pct"/>
            <w:tcBorders>
              <w:top w:val="nil"/>
              <w:left w:val="nil"/>
              <w:bottom w:val="nil"/>
              <w:right w:val="nil"/>
            </w:tcBorders>
            <w:shd w:val="clear" w:color="000000" w:fill="FFFFFF"/>
            <w:noWrap/>
            <w:tcMar>
              <w:top w:w="0" w:type="dxa"/>
              <w:left w:w="57" w:type="dxa"/>
              <w:bottom w:w="0" w:type="dxa"/>
              <w:right w:w="57" w:type="dxa"/>
            </w:tcMar>
            <w:hideMark/>
          </w:tcPr>
          <w:p w:rsidR="00282739" w:rsidRPr="00035E05" w:rsidRDefault="00282739" w:rsidP="003C6043">
            <w:pPr>
              <w:pStyle w:val="Tabletext"/>
              <w:tabs>
                <w:tab w:val="decimal" w:pos="255"/>
              </w:tabs>
            </w:pPr>
            <w:r w:rsidRPr="00035E05">
              <w:t>-10.941***</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55"/>
              </w:tabs>
            </w:pPr>
            <w:r w:rsidRPr="00035E05">
              <w:t>0.570</w:t>
            </w:r>
          </w:p>
        </w:tc>
        <w:tc>
          <w:tcPr>
            <w:tcW w:w="56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84"/>
              </w:tabs>
            </w:pPr>
            <w:r w:rsidRPr="00035E05">
              <w:t>27 437</w:t>
            </w:r>
          </w:p>
        </w:tc>
      </w:tr>
      <w:tr w:rsidR="00282739" w:rsidTr="003C6043">
        <w:tc>
          <w:tcPr>
            <w:tcW w:w="1172"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ind w:firstLine="171"/>
            </w:pPr>
            <w:r w:rsidRPr="00035E05">
              <w:t>Kernel matching</w:t>
            </w:r>
            <w:r w:rsidRPr="00BE09AB">
              <w:rPr>
                <w:vertAlign w:val="superscript"/>
              </w:rPr>
              <w:t>a</w:t>
            </w:r>
          </w:p>
        </w:tc>
        <w:tc>
          <w:tcPr>
            <w:tcW w:w="544" w:type="pct"/>
            <w:tcBorders>
              <w:top w:val="nil"/>
              <w:left w:val="nil"/>
              <w:bottom w:val="nil"/>
              <w:right w:val="nil"/>
            </w:tcBorders>
            <w:shd w:val="clear" w:color="auto" w:fill="auto"/>
            <w:noWrap/>
            <w:tcMar>
              <w:top w:w="0" w:type="dxa"/>
              <w:left w:w="108" w:type="dxa"/>
              <w:bottom w:w="0" w:type="dxa"/>
              <w:right w:w="108" w:type="dxa"/>
            </w:tcMar>
            <w:hideMark/>
          </w:tcPr>
          <w:p w:rsidR="00282739" w:rsidRPr="00035E05" w:rsidRDefault="00282739" w:rsidP="003C6043">
            <w:pPr>
              <w:pStyle w:val="Tabletext"/>
              <w:tabs>
                <w:tab w:val="decimal" w:pos="312"/>
              </w:tabs>
            </w:pPr>
            <w:r w:rsidRPr="00035E05">
              <w:t>92.002</w:t>
            </w:r>
          </w:p>
        </w:tc>
        <w:tc>
          <w:tcPr>
            <w:tcW w:w="544" w:type="pct"/>
            <w:tcBorders>
              <w:top w:val="nil"/>
              <w:left w:val="nil"/>
              <w:bottom w:val="nil"/>
              <w:right w:val="nil"/>
            </w:tcBorders>
            <w:shd w:val="clear" w:color="auto" w:fill="auto"/>
            <w:noWrap/>
            <w:tcMar>
              <w:top w:w="0" w:type="dxa"/>
              <w:left w:w="108" w:type="dxa"/>
              <w:bottom w:w="0" w:type="dxa"/>
              <w:right w:w="108" w:type="dxa"/>
            </w:tcMar>
            <w:hideMark/>
          </w:tcPr>
          <w:p w:rsidR="00282739" w:rsidRPr="00035E05" w:rsidRDefault="00282739" w:rsidP="003C6043">
            <w:pPr>
              <w:pStyle w:val="Tabletext"/>
              <w:tabs>
                <w:tab w:val="decimal" w:pos="284"/>
              </w:tabs>
            </w:pPr>
            <w:r w:rsidRPr="00035E05">
              <w:t>23.704</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312"/>
              </w:tabs>
            </w:pPr>
            <w:r w:rsidRPr="00035E05">
              <w:t>93.524</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84"/>
              </w:tabs>
            </w:pPr>
            <w:r w:rsidRPr="00035E05">
              <w:t>3.478</w:t>
            </w:r>
          </w:p>
        </w:tc>
        <w:tc>
          <w:tcPr>
            <w:tcW w:w="544" w:type="pct"/>
            <w:tcBorders>
              <w:top w:val="nil"/>
              <w:left w:val="nil"/>
              <w:bottom w:val="nil"/>
              <w:right w:val="nil"/>
            </w:tcBorders>
            <w:shd w:val="clear" w:color="000000" w:fill="FFFFFF"/>
            <w:noWrap/>
            <w:tcMar>
              <w:top w:w="0" w:type="dxa"/>
              <w:left w:w="57" w:type="dxa"/>
              <w:bottom w:w="0" w:type="dxa"/>
              <w:right w:w="57" w:type="dxa"/>
            </w:tcMar>
            <w:hideMark/>
          </w:tcPr>
          <w:p w:rsidR="00282739" w:rsidRPr="00035E05" w:rsidRDefault="00282739" w:rsidP="003C6043">
            <w:pPr>
              <w:pStyle w:val="Tabletext"/>
              <w:tabs>
                <w:tab w:val="decimal" w:pos="255"/>
              </w:tabs>
            </w:pPr>
            <w:r w:rsidRPr="00035E05">
              <w:t>-1.522**</w:t>
            </w:r>
          </w:p>
        </w:tc>
        <w:tc>
          <w:tcPr>
            <w:tcW w:w="54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55"/>
              </w:tabs>
            </w:pPr>
            <w:r w:rsidRPr="00035E05">
              <w:t>0.871</w:t>
            </w:r>
          </w:p>
        </w:tc>
        <w:tc>
          <w:tcPr>
            <w:tcW w:w="564" w:type="pct"/>
            <w:tcBorders>
              <w:top w:val="nil"/>
              <w:left w:val="nil"/>
              <w:bottom w:val="nil"/>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84"/>
              </w:tabs>
            </w:pPr>
            <w:r w:rsidRPr="00035E05">
              <w:t>27 437</w:t>
            </w:r>
          </w:p>
        </w:tc>
      </w:tr>
      <w:tr w:rsidR="00282739" w:rsidTr="003C6043">
        <w:tc>
          <w:tcPr>
            <w:tcW w:w="1172" w:type="pct"/>
            <w:tcBorders>
              <w:top w:val="nil"/>
              <w:left w:val="nil"/>
              <w:bottom w:val="single" w:sz="8" w:space="0" w:color="auto"/>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ind w:left="176" w:hanging="5"/>
            </w:pPr>
            <w:r w:rsidRPr="00035E05">
              <w:t>Nearest Neighbour,</w:t>
            </w:r>
            <w:r>
              <w:br/>
            </w:r>
            <w:r w:rsidRPr="00035E05">
              <w:t>one-to-one match</w:t>
            </w:r>
          </w:p>
        </w:tc>
        <w:tc>
          <w:tcPr>
            <w:tcW w:w="544" w:type="pct"/>
            <w:tcBorders>
              <w:top w:val="nil"/>
              <w:left w:val="nil"/>
              <w:bottom w:val="single" w:sz="8" w:space="0" w:color="auto"/>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312"/>
              </w:tabs>
            </w:pPr>
            <w:r w:rsidRPr="00035E05">
              <w:t>92.008</w:t>
            </w:r>
          </w:p>
        </w:tc>
        <w:tc>
          <w:tcPr>
            <w:tcW w:w="544" w:type="pct"/>
            <w:tcBorders>
              <w:top w:val="nil"/>
              <w:left w:val="nil"/>
              <w:bottom w:val="single" w:sz="8" w:space="0" w:color="auto"/>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84"/>
              </w:tabs>
            </w:pPr>
            <w:r w:rsidRPr="00035E05">
              <w:t>23.746</w:t>
            </w:r>
          </w:p>
        </w:tc>
        <w:tc>
          <w:tcPr>
            <w:tcW w:w="544" w:type="pct"/>
            <w:tcBorders>
              <w:top w:val="nil"/>
              <w:left w:val="nil"/>
              <w:bottom w:val="single" w:sz="8" w:space="0" w:color="auto"/>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312"/>
              </w:tabs>
            </w:pPr>
            <w:r w:rsidRPr="00035E05">
              <w:t>93.641</w:t>
            </w:r>
          </w:p>
        </w:tc>
        <w:tc>
          <w:tcPr>
            <w:tcW w:w="544" w:type="pct"/>
            <w:tcBorders>
              <w:top w:val="nil"/>
              <w:left w:val="nil"/>
              <w:bottom w:val="single" w:sz="8" w:space="0" w:color="auto"/>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84"/>
              </w:tabs>
            </w:pPr>
            <w:r w:rsidRPr="00035E05">
              <w:t>19.306</w:t>
            </w:r>
          </w:p>
        </w:tc>
        <w:tc>
          <w:tcPr>
            <w:tcW w:w="544" w:type="pct"/>
            <w:tcBorders>
              <w:top w:val="nil"/>
              <w:left w:val="nil"/>
              <w:bottom w:val="single" w:sz="8" w:space="0" w:color="auto"/>
              <w:right w:val="nil"/>
            </w:tcBorders>
            <w:shd w:val="clear" w:color="000000" w:fill="FFFFFF"/>
            <w:noWrap/>
            <w:tcMar>
              <w:top w:w="0" w:type="dxa"/>
              <w:left w:w="57" w:type="dxa"/>
              <w:bottom w:w="0" w:type="dxa"/>
              <w:right w:w="57" w:type="dxa"/>
            </w:tcMar>
            <w:hideMark/>
          </w:tcPr>
          <w:p w:rsidR="00282739" w:rsidRPr="00035E05" w:rsidRDefault="00282739" w:rsidP="003C6043">
            <w:pPr>
              <w:pStyle w:val="Tabletext"/>
              <w:tabs>
                <w:tab w:val="decimal" w:pos="255"/>
              </w:tabs>
            </w:pPr>
            <w:r w:rsidRPr="00035E05">
              <w:t>-1.632***</w:t>
            </w:r>
          </w:p>
        </w:tc>
        <w:tc>
          <w:tcPr>
            <w:tcW w:w="544" w:type="pct"/>
            <w:tcBorders>
              <w:top w:val="nil"/>
              <w:left w:val="nil"/>
              <w:bottom w:val="single" w:sz="8" w:space="0" w:color="auto"/>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55"/>
              </w:tabs>
            </w:pPr>
            <w:r w:rsidRPr="00035E05">
              <w:t>0.994</w:t>
            </w:r>
          </w:p>
        </w:tc>
        <w:tc>
          <w:tcPr>
            <w:tcW w:w="564" w:type="pct"/>
            <w:tcBorders>
              <w:top w:val="nil"/>
              <w:left w:val="nil"/>
              <w:bottom w:val="single" w:sz="8" w:space="0" w:color="auto"/>
              <w:right w:val="nil"/>
            </w:tcBorders>
            <w:shd w:val="clear" w:color="000000" w:fill="FFFFFF"/>
            <w:noWrap/>
            <w:tcMar>
              <w:top w:w="0" w:type="dxa"/>
              <w:left w:w="108" w:type="dxa"/>
              <w:bottom w:w="0" w:type="dxa"/>
              <w:right w:w="108" w:type="dxa"/>
            </w:tcMar>
            <w:hideMark/>
          </w:tcPr>
          <w:p w:rsidR="00282739" w:rsidRPr="00035E05" w:rsidRDefault="00282739" w:rsidP="003C6043">
            <w:pPr>
              <w:pStyle w:val="Tabletext"/>
              <w:tabs>
                <w:tab w:val="decimal" w:pos="284"/>
              </w:tabs>
            </w:pPr>
            <w:r w:rsidRPr="00035E05">
              <w:t>27 437</w:t>
            </w:r>
          </w:p>
        </w:tc>
      </w:tr>
    </w:tbl>
    <w:p w:rsidR="00282739" w:rsidRPr="009A5126" w:rsidRDefault="00282739" w:rsidP="00282739">
      <w:pPr>
        <w:pStyle w:val="Source"/>
        <w:tabs>
          <w:tab w:val="left" w:pos="993"/>
        </w:tabs>
        <w:rPr>
          <w:i/>
          <w:iCs/>
        </w:rPr>
      </w:pPr>
      <w:r>
        <w:t>Notes:</w:t>
      </w:r>
      <w:r>
        <w:tab/>
        <w:t>***</w:t>
      </w:r>
      <w:r>
        <w:tab/>
        <w:t xml:space="preserve">Significant at 1%, ** significant at 5%. </w:t>
      </w:r>
      <w:r>
        <w:br/>
      </w:r>
      <w:r w:rsidRPr="00830F4B">
        <w:t>a</w:t>
      </w:r>
      <w:r>
        <w:tab/>
        <w:t xml:space="preserve">Using a bandwidth of 0.02. </w:t>
      </w:r>
    </w:p>
    <w:p w:rsidR="00282739" w:rsidRDefault="00282739" w:rsidP="00282739">
      <w:pPr>
        <w:pStyle w:val="Heading1"/>
      </w:pPr>
      <w:bookmarkStart w:id="84" w:name="_Toc402794972"/>
      <w:r>
        <w:lastRenderedPageBreak/>
        <w:t>Appendix E: Sensitivity analysis</w:t>
      </w:r>
      <w:bookmarkEnd w:id="84"/>
    </w:p>
    <w:p w:rsidR="00282739" w:rsidRDefault="00282739" w:rsidP="00282739">
      <w:pPr>
        <w:pStyle w:val="tabletitle"/>
      </w:pPr>
      <w:bookmarkStart w:id="85" w:name="_Toc402794997"/>
      <w:r>
        <w:t>Table E1</w:t>
      </w:r>
      <w:r>
        <w:tab/>
        <w:t>Estimated impacts from taking a VCE VET subject on university entry scores (out of a maximum of 205) under various assumptions</w:t>
      </w:r>
      <w:bookmarkEnd w:id="85"/>
    </w:p>
    <w:tbl>
      <w:tblPr>
        <w:tblW w:w="8789" w:type="dxa"/>
        <w:tblInd w:w="57" w:type="dxa"/>
        <w:tblLayout w:type="fixed"/>
        <w:tblCellMar>
          <w:left w:w="57" w:type="dxa"/>
          <w:right w:w="57" w:type="dxa"/>
        </w:tblCellMar>
        <w:tblLook w:val="04A0" w:firstRow="1" w:lastRow="0" w:firstColumn="1" w:lastColumn="0" w:noHBand="0" w:noVBand="1"/>
      </w:tblPr>
      <w:tblGrid>
        <w:gridCol w:w="2414"/>
        <w:gridCol w:w="897"/>
        <w:gridCol w:w="898"/>
        <w:gridCol w:w="898"/>
        <w:gridCol w:w="898"/>
        <w:gridCol w:w="898"/>
        <w:gridCol w:w="898"/>
        <w:gridCol w:w="988"/>
      </w:tblGrid>
      <w:tr w:rsidR="00282739" w:rsidTr="003C6043">
        <w:tc>
          <w:tcPr>
            <w:tcW w:w="1373" w:type="pct"/>
            <w:tcBorders>
              <w:top w:val="single" w:sz="4" w:space="0" w:color="auto"/>
              <w:left w:val="nil"/>
              <w:right w:val="nil"/>
            </w:tcBorders>
            <w:shd w:val="clear" w:color="000000" w:fill="FFFFFF"/>
            <w:noWrap/>
            <w:tcMar>
              <w:top w:w="0" w:type="dxa"/>
              <w:left w:w="57" w:type="dxa"/>
              <w:bottom w:w="0" w:type="dxa"/>
              <w:right w:w="57" w:type="dxa"/>
            </w:tcMar>
            <w:hideMark/>
          </w:tcPr>
          <w:p w:rsidR="00282739" w:rsidRPr="006F0B54" w:rsidRDefault="00282739" w:rsidP="003C6043">
            <w:pPr>
              <w:pStyle w:val="Tablehead1"/>
            </w:pPr>
            <w:r w:rsidRPr="006F0B54">
              <w:t> </w:t>
            </w:r>
          </w:p>
        </w:tc>
        <w:tc>
          <w:tcPr>
            <w:tcW w:w="1021" w:type="pct"/>
            <w:gridSpan w:val="2"/>
            <w:tcBorders>
              <w:top w:val="single" w:sz="4" w:space="0" w:color="auto"/>
              <w:left w:val="nil"/>
              <w:right w:val="nil"/>
            </w:tcBorders>
            <w:shd w:val="clear" w:color="000000" w:fill="FFFFFF"/>
            <w:tcMar>
              <w:top w:w="0" w:type="dxa"/>
              <w:left w:w="57" w:type="dxa"/>
              <w:bottom w:w="0" w:type="dxa"/>
              <w:right w:w="57" w:type="dxa"/>
            </w:tcMar>
            <w:hideMark/>
          </w:tcPr>
          <w:p w:rsidR="00282739" w:rsidRPr="006F0B54" w:rsidRDefault="00282739" w:rsidP="003C6043">
            <w:pPr>
              <w:pStyle w:val="Tablehead1"/>
              <w:jc w:val="center"/>
              <w:rPr>
                <w:vertAlign w:val="superscript"/>
              </w:rPr>
            </w:pPr>
            <w:r w:rsidRPr="006F0B54">
              <w:t>Enrolled in a VCE VET subject</w:t>
            </w:r>
          </w:p>
        </w:tc>
        <w:tc>
          <w:tcPr>
            <w:tcW w:w="1022" w:type="pct"/>
            <w:gridSpan w:val="2"/>
            <w:tcBorders>
              <w:top w:val="single" w:sz="4" w:space="0" w:color="auto"/>
              <w:left w:val="nil"/>
              <w:right w:val="nil"/>
            </w:tcBorders>
            <w:shd w:val="clear" w:color="000000" w:fill="FFFFFF"/>
            <w:tcMar>
              <w:top w:w="0" w:type="dxa"/>
              <w:left w:w="57" w:type="dxa"/>
              <w:bottom w:w="0" w:type="dxa"/>
              <w:right w:w="57" w:type="dxa"/>
            </w:tcMar>
            <w:hideMark/>
          </w:tcPr>
          <w:p w:rsidR="00282739" w:rsidRPr="006F0B54" w:rsidRDefault="00282739" w:rsidP="003C6043">
            <w:pPr>
              <w:pStyle w:val="Tablehead1"/>
              <w:jc w:val="center"/>
            </w:pPr>
            <w:r w:rsidRPr="006F0B54">
              <w:t>Did not enrol in a VCE VET subject</w:t>
            </w:r>
          </w:p>
        </w:tc>
        <w:tc>
          <w:tcPr>
            <w:tcW w:w="1022" w:type="pct"/>
            <w:gridSpan w:val="2"/>
            <w:tcBorders>
              <w:top w:val="single" w:sz="4" w:space="0" w:color="auto"/>
              <w:left w:val="nil"/>
              <w:right w:val="nil"/>
            </w:tcBorders>
            <w:shd w:val="clear" w:color="000000" w:fill="FFFFFF"/>
            <w:tcMar>
              <w:top w:w="0" w:type="dxa"/>
              <w:left w:w="57" w:type="dxa"/>
              <w:bottom w:w="0" w:type="dxa"/>
              <w:right w:w="57" w:type="dxa"/>
            </w:tcMar>
            <w:hideMark/>
          </w:tcPr>
          <w:p w:rsidR="00282739" w:rsidRPr="006F0B54" w:rsidRDefault="00282739" w:rsidP="003C6043">
            <w:pPr>
              <w:pStyle w:val="Tablehead1"/>
              <w:jc w:val="center"/>
            </w:pPr>
            <w:r w:rsidRPr="006F0B54">
              <w:t xml:space="preserve">Difference </w:t>
            </w:r>
            <w:r w:rsidRPr="006F0B54">
              <w:br/>
              <w:t>(ATET)</w:t>
            </w:r>
          </w:p>
        </w:tc>
        <w:tc>
          <w:tcPr>
            <w:tcW w:w="563" w:type="pct"/>
            <w:tcBorders>
              <w:top w:val="single" w:sz="4" w:space="0" w:color="auto"/>
              <w:left w:val="nil"/>
              <w:right w:val="nil"/>
            </w:tcBorders>
            <w:shd w:val="clear" w:color="auto" w:fill="auto"/>
            <w:tcMar>
              <w:top w:w="0" w:type="dxa"/>
              <w:left w:w="57" w:type="dxa"/>
              <w:bottom w:w="0" w:type="dxa"/>
              <w:right w:w="57" w:type="dxa"/>
            </w:tcMar>
            <w:hideMark/>
          </w:tcPr>
          <w:p w:rsidR="00282739" w:rsidRPr="00527BDB" w:rsidRDefault="00282739" w:rsidP="003C6043">
            <w:pPr>
              <w:pStyle w:val="Tablehead1"/>
              <w:jc w:val="center"/>
              <w:rPr>
                <w:vertAlign w:val="superscript"/>
              </w:rPr>
            </w:pPr>
            <w:r w:rsidRPr="006F0B54">
              <w:t>Number of obs</w:t>
            </w:r>
          </w:p>
        </w:tc>
      </w:tr>
      <w:tr w:rsidR="00282739" w:rsidTr="003C6043">
        <w:tc>
          <w:tcPr>
            <w:tcW w:w="1373" w:type="pct"/>
            <w:tcBorders>
              <w:left w:val="nil"/>
              <w:bottom w:val="single" w:sz="4" w:space="0" w:color="auto"/>
              <w:right w:val="nil"/>
            </w:tcBorders>
            <w:shd w:val="clear" w:color="000000" w:fill="FFFFFF"/>
            <w:noWrap/>
            <w:tcMar>
              <w:top w:w="0" w:type="dxa"/>
              <w:left w:w="57" w:type="dxa"/>
              <w:bottom w:w="0" w:type="dxa"/>
              <w:right w:w="57" w:type="dxa"/>
            </w:tcMar>
            <w:hideMark/>
          </w:tcPr>
          <w:p w:rsidR="00282739" w:rsidRDefault="00282739" w:rsidP="003C6043">
            <w:pPr>
              <w:pStyle w:val="Tablehead2"/>
            </w:pPr>
            <w:r>
              <w:t> </w:t>
            </w:r>
          </w:p>
        </w:tc>
        <w:tc>
          <w:tcPr>
            <w:tcW w:w="510" w:type="pct"/>
            <w:tcBorders>
              <w:left w:val="nil"/>
              <w:bottom w:val="single" w:sz="4" w:space="0" w:color="auto"/>
              <w:right w:val="nil"/>
            </w:tcBorders>
            <w:shd w:val="clear" w:color="000000" w:fill="FFFFFF"/>
            <w:noWrap/>
            <w:tcMar>
              <w:top w:w="0" w:type="dxa"/>
              <w:left w:w="0" w:type="dxa"/>
              <w:bottom w:w="0" w:type="dxa"/>
              <w:right w:w="0" w:type="dxa"/>
            </w:tcMar>
            <w:hideMark/>
          </w:tcPr>
          <w:p w:rsidR="00282739" w:rsidRDefault="00282739" w:rsidP="003C6043">
            <w:pPr>
              <w:pStyle w:val="Tablehead2"/>
              <w:jc w:val="center"/>
            </w:pPr>
            <w:r>
              <w:t>Avg. entry score</w:t>
            </w:r>
          </w:p>
        </w:tc>
        <w:tc>
          <w:tcPr>
            <w:tcW w:w="511" w:type="pct"/>
            <w:tcBorders>
              <w:left w:val="nil"/>
              <w:bottom w:val="single" w:sz="4" w:space="0" w:color="auto"/>
              <w:right w:val="nil"/>
            </w:tcBorders>
            <w:shd w:val="clear" w:color="000000" w:fill="FFFFFF"/>
            <w:tcMar>
              <w:top w:w="0" w:type="dxa"/>
              <w:left w:w="0" w:type="dxa"/>
              <w:bottom w:w="0" w:type="dxa"/>
              <w:right w:w="0" w:type="dxa"/>
            </w:tcMar>
            <w:hideMark/>
          </w:tcPr>
          <w:p w:rsidR="00282739" w:rsidRDefault="00282739" w:rsidP="003C6043">
            <w:pPr>
              <w:pStyle w:val="Tablehead2"/>
              <w:jc w:val="center"/>
            </w:pPr>
            <w:r>
              <w:t>s.e.</w:t>
            </w:r>
          </w:p>
        </w:tc>
        <w:tc>
          <w:tcPr>
            <w:tcW w:w="511" w:type="pct"/>
            <w:tcBorders>
              <w:left w:val="nil"/>
              <w:bottom w:val="single" w:sz="4" w:space="0" w:color="auto"/>
              <w:right w:val="nil"/>
            </w:tcBorders>
            <w:shd w:val="clear" w:color="000000" w:fill="FFFFFF"/>
            <w:tcMar>
              <w:top w:w="0" w:type="dxa"/>
              <w:left w:w="0" w:type="dxa"/>
              <w:bottom w:w="0" w:type="dxa"/>
              <w:right w:w="0" w:type="dxa"/>
            </w:tcMar>
            <w:hideMark/>
          </w:tcPr>
          <w:p w:rsidR="00282739" w:rsidRDefault="00282739" w:rsidP="003C6043">
            <w:pPr>
              <w:pStyle w:val="Tablehead2"/>
              <w:jc w:val="center"/>
            </w:pPr>
            <w:r>
              <w:t>Avg. entry score</w:t>
            </w:r>
          </w:p>
        </w:tc>
        <w:tc>
          <w:tcPr>
            <w:tcW w:w="511" w:type="pct"/>
            <w:tcBorders>
              <w:left w:val="nil"/>
              <w:bottom w:val="single" w:sz="4" w:space="0" w:color="auto"/>
              <w:right w:val="nil"/>
            </w:tcBorders>
            <w:shd w:val="clear" w:color="000000" w:fill="FFFFFF"/>
            <w:tcMar>
              <w:top w:w="0" w:type="dxa"/>
              <w:left w:w="0" w:type="dxa"/>
              <w:bottom w:w="0" w:type="dxa"/>
              <w:right w:w="0" w:type="dxa"/>
            </w:tcMar>
            <w:hideMark/>
          </w:tcPr>
          <w:p w:rsidR="00282739" w:rsidRDefault="00282739" w:rsidP="003C6043">
            <w:pPr>
              <w:pStyle w:val="Tablehead2"/>
              <w:jc w:val="center"/>
            </w:pPr>
            <w:r>
              <w:t>s.e.</w:t>
            </w:r>
          </w:p>
        </w:tc>
        <w:tc>
          <w:tcPr>
            <w:tcW w:w="511" w:type="pct"/>
            <w:tcBorders>
              <w:left w:val="nil"/>
              <w:bottom w:val="single" w:sz="4" w:space="0" w:color="auto"/>
              <w:right w:val="nil"/>
            </w:tcBorders>
            <w:shd w:val="clear" w:color="000000" w:fill="FFFFFF"/>
            <w:tcMar>
              <w:top w:w="0" w:type="dxa"/>
              <w:left w:w="0" w:type="dxa"/>
              <w:bottom w:w="0" w:type="dxa"/>
              <w:right w:w="0" w:type="dxa"/>
            </w:tcMar>
            <w:hideMark/>
          </w:tcPr>
          <w:p w:rsidR="00282739" w:rsidRDefault="00282739" w:rsidP="003C6043">
            <w:pPr>
              <w:pStyle w:val="Tablehead2"/>
              <w:jc w:val="center"/>
            </w:pPr>
            <w:r>
              <w:t>Avg. entry score</w:t>
            </w:r>
          </w:p>
        </w:tc>
        <w:tc>
          <w:tcPr>
            <w:tcW w:w="511" w:type="pct"/>
            <w:tcBorders>
              <w:left w:val="nil"/>
              <w:bottom w:val="single" w:sz="4" w:space="0" w:color="auto"/>
              <w:right w:val="nil"/>
            </w:tcBorders>
            <w:shd w:val="clear" w:color="000000" w:fill="FFFFFF"/>
            <w:tcMar>
              <w:top w:w="0" w:type="dxa"/>
              <w:left w:w="0" w:type="dxa"/>
              <w:bottom w:w="0" w:type="dxa"/>
              <w:right w:w="0" w:type="dxa"/>
            </w:tcMar>
            <w:hideMark/>
          </w:tcPr>
          <w:p w:rsidR="00282739" w:rsidRDefault="00282739" w:rsidP="003C6043">
            <w:pPr>
              <w:pStyle w:val="Tablehead2"/>
              <w:jc w:val="center"/>
            </w:pPr>
            <w:r>
              <w:t>s.e.</w:t>
            </w:r>
          </w:p>
        </w:tc>
        <w:tc>
          <w:tcPr>
            <w:tcW w:w="563" w:type="pct"/>
            <w:tcBorders>
              <w:left w:val="nil"/>
              <w:bottom w:val="single" w:sz="4" w:space="0" w:color="auto"/>
              <w:right w:val="nil"/>
            </w:tcBorders>
            <w:shd w:val="clear" w:color="000000" w:fill="FFFFFF"/>
            <w:noWrap/>
            <w:tcMar>
              <w:top w:w="0" w:type="dxa"/>
              <w:left w:w="57" w:type="dxa"/>
              <w:bottom w:w="0" w:type="dxa"/>
              <w:right w:w="57" w:type="dxa"/>
            </w:tcMar>
            <w:hideMark/>
          </w:tcPr>
          <w:p w:rsidR="00282739" w:rsidRDefault="00282739" w:rsidP="003C6043">
            <w:pPr>
              <w:pStyle w:val="Tablehead2"/>
              <w:jc w:val="center"/>
              <w:rPr>
                <w:rFonts w:ascii="Calibri" w:hAnsi="Calibri" w:cs="Calibri"/>
              </w:rPr>
            </w:pPr>
          </w:p>
        </w:tc>
      </w:tr>
      <w:tr w:rsidR="00282739" w:rsidTr="003C6043">
        <w:tc>
          <w:tcPr>
            <w:tcW w:w="1373" w:type="pct"/>
            <w:tcBorders>
              <w:top w:val="single" w:sz="4" w:space="0" w:color="auto"/>
              <w:left w:val="nil"/>
              <w:bottom w:val="nil"/>
              <w:right w:val="nil"/>
            </w:tcBorders>
            <w:shd w:val="clear" w:color="000000" w:fill="FFFFFF"/>
            <w:noWrap/>
            <w:tcMar>
              <w:top w:w="0" w:type="dxa"/>
              <w:left w:w="57" w:type="dxa"/>
              <w:bottom w:w="0" w:type="dxa"/>
              <w:right w:w="57" w:type="dxa"/>
            </w:tcMar>
            <w:hideMark/>
          </w:tcPr>
          <w:p w:rsidR="00282739" w:rsidRPr="001D684C" w:rsidRDefault="00282739" w:rsidP="003C6043">
            <w:pPr>
              <w:pStyle w:val="Tabletext"/>
              <w:spacing w:before="80"/>
              <w:rPr>
                <w:i/>
              </w:rPr>
            </w:pPr>
            <w:r w:rsidRPr="001D684C">
              <w:rPr>
                <w:i/>
              </w:rPr>
              <w:t xml:space="preserve">Standard results (from table 6) </w:t>
            </w:r>
          </w:p>
        </w:tc>
        <w:tc>
          <w:tcPr>
            <w:tcW w:w="510" w:type="pct"/>
            <w:tcBorders>
              <w:top w:val="single" w:sz="4" w:space="0" w:color="auto"/>
              <w:left w:val="nil"/>
              <w:bottom w:val="nil"/>
              <w:right w:val="nil"/>
            </w:tcBorders>
            <w:shd w:val="clear" w:color="000000" w:fill="FFFFFF"/>
            <w:noWrap/>
            <w:tcMar>
              <w:top w:w="0" w:type="dxa"/>
              <w:left w:w="57" w:type="dxa"/>
              <w:bottom w:w="0" w:type="dxa"/>
              <w:right w:w="57" w:type="dxa"/>
            </w:tcMar>
            <w:hideMark/>
          </w:tcPr>
          <w:p w:rsidR="00282739" w:rsidRDefault="00282739" w:rsidP="003C6043">
            <w:pPr>
              <w:pStyle w:val="Tabletext"/>
              <w:tabs>
                <w:tab w:val="decimal" w:pos="340"/>
              </w:tabs>
              <w:spacing w:before="80"/>
              <w:rPr>
                <w:rFonts w:cs="Arial"/>
                <w:color w:val="000000"/>
                <w:szCs w:val="16"/>
              </w:rPr>
            </w:pPr>
          </w:p>
        </w:tc>
        <w:tc>
          <w:tcPr>
            <w:tcW w:w="511" w:type="pct"/>
            <w:tcBorders>
              <w:top w:val="single" w:sz="4" w:space="0" w:color="auto"/>
              <w:left w:val="nil"/>
              <w:bottom w:val="nil"/>
              <w:right w:val="nil"/>
            </w:tcBorders>
            <w:shd w:val="clear" w:color="000000" w:fill="FFFFFF"/>
            <w:tcMar>
              <w:top w:w="0" w:type="dxa"/>
              <w:left w:w="57" w:type="dxa"/>
              <w:bottom w:w="0" w:type="dxa"/>
              <w:right w:w="57" w:type="dxa"/>
            </w:tcMar>
            <w:hideMark/>
          </w:tcPr>
          <w:p w:rsidR="00282739" w:rsidRDefault="00282739" w:rsidP="003C6043">
            <w:pPr>
              <w:pStyle w:val="Tabletext"/>
              <w:tabs>
                <w:tab w:val="decimal" w:pos="312"/>
              </w:tabs>
              <w:spacing w:before="80"/>
              <w:rPr>
                <w:rFonts w:cs="Arial"/>
                <w:color w:val="000000"/>
                <w:szCs w:val="16"/>
              </w:rPr>
            </w:pPr>
          </w:p>
        </w:tc>
        <w:tc>
          <w:tcPr>
            <w:tcW w:w="511" w:type="pct"/>
            <w:tcBorders>
              <w:top w:val="single" w:sz="4" w:space="0" w:color="auto"/>
              <w:left w:val="nil"/>
              <w:bottom w:val="nil"/>
              <w:right w:val="nil"/>
            </w:tcBorders>
            <w:shd w:val="clear" w:color="000000" w:fill="FFFFFF"/>
            <w:tcMar>
              <w:top w:w="0" w:type="dxa"/>
              <w:left w:w="57" w:type="dxa"/>
              <w:bottom w:w="0" w:type="dxa"/>
              <w:right w:w="57" w:type="dxa"/>
            </w:tcMar>
            <w:hideMark/>
          </w:tcPr>
          <w:p w:rsidR="00282739" w:rsidRDefault="00282739" w:rsidP="003C6043">
            <w:pPr>
              <w:pStyle w:val="Tabletext"/>
              <w:tabs>
                <w:tab w:val="decimal" w:pos="340"/>
              </w:tabs>
              <w:spacing w:before="80"/>
              <w:rPr>
                <w:rFonts w:cs="Arial"/>
                <w:color w:val="000000"/>
                <w:szCs w:val="16"/>
              </w:rPr>
            </w:pPr>
          </w:p>
        </w:tc>
        <w:tc>
          <w:tcPr>
            <w:tcW w:w="511" w:type="pct"/>
            <w:tcBorders>
              <w:top w:val="single" w:sz="4" w:space="0" w:color="auto"/>
              <w:left w:val="nil"/>
              <w:bottom w:val="nil"/>
              <w:right w:val="nil"/>
            </w:tcBorders>
            <w:shd w:val="clear" w:color="000000" w:fill="FFFFFF"/>
            <w:tcMar>
              <w:top w:w="0" w:type="dxa"/>
              <w:left w:w="57" w:type="dxa"/>
              <w:bottom w:w="0" w:type="dxa"/>
              <w:right w:w="57" w:type="dxa"/>
            </w:tcMar>
            <w:hideMark/>
          </w:tcPr>
          <w:p w:rsidR="00282739" w:rsidRDefault="00282739" w:rsidP="003C6043">
            <w:pPr>
              <w:pStyle w:val="Tabletext"/>
              <w:tabs>
                <w:tab w:val="decimal" w:pos="312"/>
              </w:tabs>
              <w:spacing w:before="80"/>
              <w:rPr>
                <w:rFonts w:cs="Arial"/>
                <w:color w:val="000000"/>
                <w:szCs w:val="16"/>
              </w:rPr>
            </w:pPr>
          </w:p>
        </w:tc>
        <w:tc>
          <w:tcPr>
            <w:tcW w:w="511" w:type="pct"/>
            <w:tcBorders>
              <w:top w:val="single" w:sz="4" w:space="0" w:color="auto"/>
              <w:left w:val="nil"/>
              <w:bottom w:val="nil"/>
              <w:right w:val="nil"/>
            </w:tcBorders>
            <w:shd w:val="clear" w:color="000000" w:fill="FFFFFF"/>
            <w:tcMar>
              <w:top w:w="0" w:type="dxa"/>
              <w:left w:w="0" w:type="dxa"/>
              <w:bottom w:w="0" w:type="dxa"/>
              <w:right w:w="0" w:type="dxa"/>
            </w:tcMar>
            <w:hideMark/>
          </w:tcPr>
          <w:p w:rsidR="00282739" w:rsidRDefault="00282739" w:rsidP="003C6043">
            <w:pPr>
              <w:pStyle w:val="Tabletext"/>
              <w:tabs>
                <w:tab w:val="decimal" w:pos="284"/>
              </w:tabs>
              <w:spacing w:before="80"/>
              <w:rPr>
                <w:rFonts w:cs="Arial"/>
                <w:color w:val="000000"/>
                <w:szCs w:val="16"/>
              </w:rPr>
            </w:pPr>
          </w:p>
        </w:tc>
        <w:tc>
          <w:tcPr>
            <w:tcW w:w="511" w:type="pct"/>
            <w:tcBorders>
              <w:top w:val="single" w:sz="4" w:space="0" w:color="auto"/>
              <w:left w:val="nil"/>
              <w:bottom w:val="nil"/>
              <w:right w:val="nil"/>
            </w:tcBorders>
            <w:shd w:val="clear" w:color="000000" w:fill="FFFFFF"/>
            <w:tcMar>
              <w:top w:w="0" w:type="dxa"/>
              <w:left w:w="57" w:type="dxa"/>
              <w:bottom w:w="0" w:type="dxa"/>
              <w:right w:w="57" w:type="dxa"/>
            </w:tcMar>
            <w:hideMark/>
          </w:tcPr>
          <w:p w:rsidR="00282739" w:rsidRDefault="00282739" w:rsidP="003C6043">
            <w:pPr>
              <w:pStyle w:val="Tabletext"/>
              <w:tabs>
                <w:tab w:val="decimal" w:pos="255"/>
              </w:tabs>
              <w:spacing w:before="80"/>
              <w:rPr>
                <w:rFonts w:cs="Arial"/>
                <w:color w:val="000000"/>
                <w:szCs w:val="16"/>
              </w:rPr>
            </w:pPr>
          </w:p>
        </w:tc>
        <w:tc>
          <w:tcPr>
            <w:tcW w:w="563" w:type="pct"/>
            <w:tcBorders>
              <w:top w:val="single" w:sz="4" w:space="0" w:color="auto"/>
              <w:left w:val="nil"/>
              <w:bottom w:val="nil"/>
              <w:right w:val="nil"/>
            </w:tcBorders>
            <w:shd w:val="clear" w:color="000000" w:fill="FFFFFF"/>
            <w:noWrap/>
            <w:tcMar>
              <w:top w:w="0" w:type="dxa"/>
              <w:left w:w="57" w:type="dxa"/>
              <w:bottom w:w="0" w:type="dxa"/>
              <w:right w:w="57" w:type="dxa"/>
            </w:tcMar>
            <w:hideMark/>
          </w:tcPr>
          <w:p w:rsidR="00282739" w:rsidRDefault="00282739" w:rsidP="003C6043">
            <w:pPr>
              <w:pStyle w:val="Tabletext"/>
              <w:tabs>
                <w:tab w:val="decimal" w:pos="340"/>
              </w:tabs>
              <w:spacing w:before="80"/>
              <w:rPr>
                <w:rFonts w:ascii="Calibri" w:hAnsi="Calibri" w:cs="Calibri"/>
                <w:color w:val="000000"/>
              </w:rPr>
            </w:pPr>
          </w:p>
        </w:tc>
      </w:tr>
      <w:tr w:rsidR="00282739" w:rsidTr="003C6043">
        <w:tc>
          <w:tcPr>
            <w:tcW w:w="1373" w:type="pct"/>
            <w:tcBorders>
              <w:top w:val="nil"/>
              <w:left w:val="nil"/>
              <w:bottom w:val="nil"/>
              <w:right w:val="nil"/>
            </w:tcBorders>
            <w:shd w:val="clear" w:color="000000" w:fill="FFFFFF"/>
            <w:noWrap/>
            <w:tcMar>
              <w:top w:w="0" w:type="dxa"/>
              <w:left w:w="57" w:type="dxa"/>
              <w:bottom w:w="0" w:type="dxa"/>
              <w:right w:w="57" w:type="dxa"/>
            </w:tcMar>
            <w:hideMark/>
          </w:tcPr>
          <w:p w:rsidR="00282739" w:rsidRDefault="00282739" w:rsidP="003C6043">
            <w:pPr>
              <w:pStyle w:val="Tabletext"/>
              <w:ind w:firstLine="227"/>
            </w:pPr>
            <w:r>
              <w:t>Unmatched</w:t>
            </w:r>
          </w:p>
        </w:tc>
        <w:tc>
          <w:tcPr>
            <w:tcW w:w="510" w:type="pct"/>
            <w:tcBorders>
              <w:top w:val="nil"/>
              <w:left w:val="nil"/>
              <w:bottom w:val="nil"/>
              <w:right w:val="nil"/>
            </w:tcBorders>
            <w:shd w:val="clear" w:color="000000" w:fill="FFFFFF"/>
            <w:noWrap/>
            <w:tcMar>
              <w:top w:w="0" w:type="dxa"/>
              <w:left w:w="57" w:type="dxa"/>
              <w:bottom w:w="0" w:type="dxa"/>
              <w:right w:w="57" w:type="dxa"/>
            </w:tcMar>
            <w:hideMark/>
          </w:tcPr>
          <w:p w:rsidR="00282739" w:rsidRDefault="00282739" w:rsidP="003C6043">
            <w:pPr>
              <w:pStyle w:val="Tabletext"/>
              <w:tabs>
                <w:tab w:val="decimal" w:pos="340"/>
              </w:tabs>
            </w:pPr>
            <w:r>
              <w:t>111.320</w:t>
            </w:r>
          </w:p>
        </w:tc>
        <w:tc>
          <w:tcPr>
            <w:tcW w:w="511" w:type="pct"/>
            <w:tcBorders>
              <w:top w:val="nil"/>
              <w:left w:val="nil"/>
              <w:bottom w:val="nil"/>
              <w:right w:val="nil"/>
            </w:tcBorders>
            <w:shd w:val="clear" w:color="000000" w:fill="FFFFFF"/>
            <w:tcMar>
              <w:top w:w="0" w:type="dxa"/>
              <w:left w:w="57" w:type="dxa"/>
              <w:bottom w:w="0" w:type="dxa"/>
              <w:right w:w="57" w:type="dxa"/>
            </w:tcMar>
            <w:hideMark/>
          </w:tcPr>
          <w:p w:rsidR="00282739" w:rsidRDefault="00282739" w:rsidP="003C6043">
            <w:pPr>
              <w:pStyle w:val="Tabletext"/>
              <w:tabs>
                <w:tab w:val="decimal" w:pos="312"/>
              </w:tabs>
            </w:pPr>
            <w:r>
              <w:t>23.186</w:t>
            </w:r>
          </w:p>
        </w:tc>
        <w:tc>
          <w:tcPr>
            <w:tcW w:w="511" w:type="pct"/>
            <w:tcBorders>
              <w:top w:val="nil"/>
              <w:left w:val="nil"/>
              <w:bottom w:val="nil"/>
              <w:right w:val="nil"/>
            </w:tcBorders>
            <w:shd w:val="clear" w:color="000000" w:fill="FFFFFF"/>
            <w:tcMar>
              <w:top w:w="0" w:type="dxa"/>
              <w:left w:w="57" w:type="dxa"/>
              <w:bottom w:w="0" w:type="dxa"/>
              <w:right w:w="57" w:type="dxa"/>
            </w:tcMar>
            <w:hideMark/>
          </w:tcPr>
          <w:p w:rsidR="00282739" w:rsidRDefault="00282739" w:rsidP="003C6043">
            <w:pPr>
              <w:pStyle w:val="Tabletext"/>
              <w:tabs>
                <w:tab w:val="decimal" w:pos="340"/>
              </w:tabs>
            </w:pPr>
            <w:r>
              <w:t>128.578</w:t>
            </w:r>
          </w:p>
        </w:tc>
        <w:tc>
          <w:tcPr>
            <w:tcW w:w="511" w:type="pct"/>
            <w:tcBorders>
              <w:top w:val="nil"/>
              <w:left w:val="nil"/>
              <w:bottom w:val="nil"/>
              <w:right w:val="nil"/>
            </w:tcBorders>
            <w:shd w:val="clear" w:color="000000" w:fill="FFFFFF"/>
            <w:tcMar>
              <w:top w:w="0" w:type="dxa"/>
              <w:left w:w="57" w:type="dxa"/>
              <w:bottom w:w="0" w:type="dxa"/>
              <w:right w:w="57" w:type="dxa"/>
            </w:tcMar>
            <w:hideMark/>
          </w:tcPr>
          <w:p w:rsidR="00282739" w:rsidRDefault="00282739" w:rsidP="003C6043">
            <w:pPr>
              <w:pStyle w:val="Tabletext"/>
              <w:tabs>
                <w:tab w:val="decimal" w:pos="312"/>
              </w:tabs>
            </w:pPr>
            <w:r>
              <w:t>27.123</w:t>
            </w:r>
          </w:p>
        </w:tc>
        <w:tc>
          <w:tcPr>
            <w:tcW w:w="511" w:type="pct"/>
            <w:tcBorders>
              <w:top w:val="nil"/>
              <w:left w:val="nil"/>
              <w:bottom w:val="nil"/>
              <w:right w:val="nil"/>
            </w:tcBorders>
            <w:shd w:val="clear" w:color="000000" w:fill="FFFFFF"/>
            <w:tcMar>
              <w:top w:w="0" w:type="dxa"/>
              <w:left w:w="0" w:type="dxa"/>
              <w:bottom w:w="0" w:type="dxa"/>
              <w:right w:w="0" w:type="dxa"/>
            </w:tcMar>
            <w:hideMark/>
          </w:tcPr>
          <w:p w:rsidR="00282739" w:rsidRDefault="00282739" w:rsidP="003C6043">
            <w:pPr>
              <w:pStyle w:val="Tabletext"/>
              <w:tabs>
                <w:tab w:val="decimal" w:pos="284"/>
              </w:tabs>
            </w:pPr>
            <w:r>
              <w:t>-17.257***</w:t>
            </w:r>
          </w:p>
        </w:tc>
        <w:tc>
          <w:tcPr>
            <w:tcW w:w="511" w:type="pct"/>
            <w:tcBorders>
              <w:top w:val="nil"/>
              <w:left w:val="nil"/>
              <w:bottom w:val="nil"/>
              <w:right w:val="nil"/>
            </w:tcBorders>
            <w:shd w:val="clear" w:color="000000" w:fill="FFFFFF"/>
            <w:tcMar>
              <w:top w:w="0" w:type="dxa"/>
              <w:left w:w="57" w:type="dxa"/>
              <w:bottom w:w="0" w:type="dxa"/>
              <w:right w:w="57" w:type="dxa"/>
            </w:tcMar>
            <w:hideMark/>
          </w:tcPr>
          <w:p w:rsidR="00282739" w:rsidRDefault="00282739" w:rsidP="003C6043">
            <w:pPr>
              <w:pStyle w:val="Tabletext"/>
              <w:tabs>
                <w:tab w:val="decimal" w:pos="255"/>
              </w:tabs>
            </w:pPr>
            <w:r>
              <w:t>0.714</w:t>
            </w:r>
          </w:p>
        </w:tc>
        <w:tc>
          <w:tcPr>
            <w:tcW w:w="563" w:type="pct"/>
            <w:tcBorders>
              <w:top w:val="nil"/>
              <w:left w:val="nil"/>
              <w:bottom w:val="nil"/>
              <w:right w:val="nil"/>
            </w:tcBorders>
            <w:shd w:val="clear" w:color="000000" w:fill="FFFFFF"/>
            <w:noWrap/>
            <w:tcMar>
              <w:top w:w="0" w:type="dxa"/>
              <w:left w:w="57" w:type="dxa"/>
              <w:bottom w:w="0" w:type="dxa"/>
              <w:right w:w="57" w:type="dxa"/>
            </w:tcMar>
            <w:hideMark/>
          </w:tcPr>
          <w:p w:rsidR="00282739" w:rsidRDefault="00282739" w:rsidP="003C6043">
            <w:pPr>
              <w:pStyle w:val="Tabletext"/>
              <w:tabs>
                <w:tab w:val="decimal" w:pos="340"/>
              </w:tabs>
            </w:pPr>
            <w:r>
              <w:t>27 437</w:t>
            </w:r>
          </w:p>
        </w:tc>
      </w:tr>
      <w:tr w:rsidR="00282739" w:rsidTr="003C6043">
        <w:tc>
          <w:tcPr>
            <w:tcW w:w="1373" w:type="pct"/>
            <w:tcBorders>
              <w:top w:val="nil"/>
              <w:left w:val="nil"/>
              <w:bottom w:val="nil"/>
              <w:right w:val="nil"/>
            </w:tcBorders>
            <w:shd w:val="clear" w:color="000000" w:fill="FFFFFF"/>
            <w:noWrap/>
            <w:tcMar>
              <w:top w:w="0" w:type="dxa"/>
              <w:left w:w="57" w:type="dxa"/>
              <w:bottom w:w="0" w:type="dxa"/>
              <w:right w:w="57" w:type="dxa"/>
            </w:tcMar>
            <w:hideMark/>
          </w:tcPr>
          <w:p w:rsidR="00282739" w:rsidRDefault="00282739" w:rsidP="003C6043">
            <w:pPr>
              <w:pStyle w:val="Tabletext"/>
              <w:ind w:firstLine="227"/>
            </w:pPr>
            <w:r>
              <w:t xml:space="preserve">Nearest Neighbour, </w:t>
            </w:r>
            <w:r>
              <w:br/>
              <w:t>one-to-one match</w:t>
            </w:r>
          </w:p>
        </w:tc>
        <w:tc>
          <w:tcPr>
            <w:tcW w:w="510" w:type="pct"/>
            <w:tcBorders>
              <w:top w:val="nil"/>
              <w:left w:val="nil"/>
              <w:bottom w:val="nil"/>
              <w:right w:val="nil"/>
            </w:tcBorders>
            <w:shd w:val="clear" w:color="000000" w:fill="FFFFFF"/>
            <w:noWrap/>
            <w:tcMar>
              <w:top w:w="0" w:type="dxa"/>
              <w:left w:w="57" w:type="dxa"/>
              <w:bottom w:w="0" w:type="dxa"/>
              <w:right w:w="57" w:type="dxa"/>
            </w:tcMar>
            <w:hideMark/>
          </w:tcPr>
          <w:p w:rsidR="00282739" w:rsidRDefault="00282739" w:rsidP="003C6043">
            <w:pPr>
              <w:pStyle w:val="Tabletext"/>
              <w:tabs>
                <w:tab w:val="decimal" w:pos="340"/>
              </w:tabs>
            </w:pPr>
            <w:r>
              <w:t>111.320</w:t>
            </w:r>
          </w:p>
        </w:tc>
        <w:tc>
          <w:tcPr>
            <w:tcW w:w="511" w:type="pct"/>
            <w:tcBorders>
              <w:top w:val="nil"/>
              <w:left w:val="nil"/>
              <w:bottom w:val="nil"/>
              <w:right w:val="nil"/>
            </w:tcBorders>
            <w:shd w:val="clear" w:color="000000" w:fill="FFFFFF"/>
            <w:tcMar>
              <w:top w:w="0" w:type="dxa"/>
              <w:left w:w="57" w:type="dxa"/>
              <w:bottom w:w="0" w:type="dxa"/>
              <w:right w:w="57" w:type="dxa"/>
            </w:tcMar>
            <w:hideMark/>
          </w:tcPr>
          <w:p w:rsidR="00282739" w:rsidRDefault="00282739" w:rsidP="003C6043">
            <w:pPr>
              <w:pStyle w:val="Tabletext"/>
              <w:tabs>
                <w:tab w:val="decimal" w:pos="312"/>
              </w:tabs>
            </w:pPr>
            <w:r>
              <w:t>23.186</w:t>
            </w:r>
          </w:p>
        </w:tc>
        <w:tc>
          <w:tcPr>
            <w:tcW w:w="511" w:type="pct"/>
            <w:tcBorders>
              <w:top w:val="nil"/>
              <w:left w:val="nil"/>
              <w:bottom w:val="nil"/>
              <w:right w:val="nil"/>
            </w:tcBorders>
            <w:shd w:val="clear" w:color="000000" w:fill="FFFFFF"/>
            <w:tcMar>
              <w:top w:w="0" w:type="dxa"/>
              <w:left w:w="57" w:type="dxa"/>
              <w:bottom w:w="0" w:type="dxa"/>
              <w:right w:w="57" w:type="dxa"/>
            </w:tcMar>
            <w:hideMark/>
          </w:tcPr>
          <w:p w:rsidR="00282739" w:rsidRDefault="00282739" w:rsidP="003C6043">
            <w:pPr>
              <w:pStyle w:val="Tabletext"/>
              <w:tabs>
                <w:tab w:val="decimal" w:pos="340"/>
              </w:tabs>
            </w:pPr>
            <w:r>
              <w:t>116.939</w:t>
            </w:r>
          </w:p>
        </w:tc>
        <w:tc>
          <w:tcPr>
            <w:tcW w:w="511" w:type="pct"/>
            <w:tcBorders>
              <w:top w:val="nil"/>
              <w:left w:val="nil"/>
              <w:bottom w:val="nil"/>
              <w:right w:val="nil"/>
            </w:tcBorders>
            <w:shd w:val="clear" w:color="000000" w:fill="FFFFFF"/>
            <w:tcMar>
              <w:top w:w="0" w:type="dxa"/>
              <w:left w:w="57" w:type="dxa"/>
              <w:bottom w:w="0" w:type="dxa"/>
              <w:right w:w="57" w:type="dxa"/>
            </w:tcMar>
            <w:hideMark/>
          </w:tcPr>
          <w:p w:rsidR="00282739" w:rsidRDefault="00282739" w:rsidP="003C6043">
            <w:pPr>
              <w:pStyle w:val="Tabletext"/>
              <w:tabs>
                <w:tab w:val="decimal" w:pos="312"/>
              </w:tabs>
            </w:pPr>
            <w:r>
              <w:t>24.058</w:t>
            </w:r>
          </w:p>
        </w:tc>
        <w:tc>
          <w:tcPr>
            <w:tcW w:w="511" w:type="pct"/>
            <w:tcBorders>
              <w:top w:val="nil"/>
              <w:left w:val="nil"/>
              <w:bottom w:val="nil"/>
              <w:right w:val="nil"/>
            </w:tcBorders>
            <w:shd w:val="clear" w:color="000000" w:fill="FFFFFF"/>
            <w:tcMar>
              <w:top w:w="0" w:type="dxa"/>
              <w:left w:w="0" w:type="dxa"/>
              <w:bottom w:w="0" w:type="dxa"/>
              <w:right w:w="0" w:type="dxa"/>
            </w:tcMar>
            <w:hideMark/>
          </w:tcPr>
          <w:p w:rsidR="00282739" w:rsidRDefault="00282739" w:rsidP="003C6043">
            <w:pPr>
              <w:pStyle w:val="Tabletext"/>
              <w:tabs>
                <w:tab w:val="decimal" w:pos="284"/>
              </w:tabs>
            </w:pPr>
            <w:r>
              <w:t>-5.618***</w:t>
            </w:r>
          </w:p>
        </w:tc>
        <w:tc>
          <w:tcPr>
            <w:tcW w:w="511" w:type="pct"/>
            <w:tcBorders>
              <w:top w:val="nil"/>
              <w:left w:val="nil"/>
              <w:bottom w:val="nil"/>
              <w:right w:val="nil"/>
            </w:tcBorders>
            <w:shd w:val="clear" w:color="000000" w:fill="FFFFFF"/>
            <w:tcMar>
              <w:top w:w="0" w:type="dxa"/>
              <w:left w:w="57" w:type="dxa"/>
              <w:bottom w:w="0" w:type="dxa"/>
              <w:right w:w="57" w:type="dxa"/>
            </w:tcMar>
            <w:hideMark/>
          </w:tcPr>
          <w:p w:rsidR="00282739" w:rsidRDefault="00282739" w:rsidP="003C6043">
            <w:pPr>
              <w:pStyle w:val="Tabletext"/>
              <w:tabs>
                <w:tab w:val="decimal" w:pos="255"/>
              </w:tabs>
            </w:pPr>
            <w:r>
              <w:t>1.149</w:t>
            </w:r>
          </w:p>
        </w:tc>
        <w:tc>
          <w:tcPr>
            <w:tcW w:w="563" w:type="pct"/>
            <w:tcBorders>
              <w:top w:val="nil"/>
              <w:left w:val="nil"/>
              <w:bottom w:val="nil"/>
              <w:right w:val="nil"/>
            </w:tcBorders>
            <w:shd w:val="clear" w:color="000000" w:fill="FFFFFF"/>
            <w:noWrap/>
            <w:tcMar>
              <w:top w:w="0" w:type="dxa"/>
              <w:left w:w="57" w:type="dxa"/>
              <w:bottom w:w="0" w:type="dxa"/>
              <w:right w:w="57" w:type="dxa"/>
            </w:tcMar>
            <w:hideMark/>
          </w:tcPr>
          <w:p w:rsidR="00282739" w:rsidRDefault="00282739" w:rsidP="003C6043">
            <w:pPr>
              <w:pStyle w:val="Tabletext"/>
              <w:tabs>
                <w:tab w:val="decimal" w:pos="340"/>
              </w:tabs>
            </w:pPr>
            <w:r>
              <w:t>27 437</w:t>
            </w:r>
          </w:p>
        </w:tc>
      </w:tr>
      <w:tr w:rsidR="00282739" w:rsidTr="003C6043">
        <w:tc>
          <w:tcPr>
            <w:tcW w:w="1882" w:type="pct"/>
            <w:gridSpan w:val="2"/>
            <w:tcBorders>
              <w:top w:val="nil"/>
              <w:left w:val="nil"/>
              <w:bottom w:val="nil"/>
              <w:right w:val="nil"/>
            </w:tcBorders>
            <w:shd w:val="clear" w:color="000000" w:fill="FFFFFF"/>
            <w:noWrap/>
            <w:tcMar>
              <w:top w:w="0" w:type="dxa"/>
              <w:left w:w="57" w:type="dxa"/>
              <w:bottom w:w="0" w:type="dxa"/>
              <w:right w:w="57" w:type="dxa"/>
            </w:tcMar>
          </w:tcPr>
          <w:p w:rsidR="00282739" w:rsidRDefault="00282739" w:rsidP="003C6043">
            <w:pPr>
              <w:pStyle w:val="Tabletext"/>
              <w:spacing w:before="120"/>
              <w:rPr>
                <w:rFonts w:cs="Arial"/>
                <w:color w:val="000000"/>
                <w:szCs w:val="16"/>
              </w:rPr>
            </w:pPr>
            <w:r w:rsidRPr="001D684C">
              <w:rPr>
                <w:i/>
              </w:rPr>
              <w:t>Results with alternative assumptions</w:t>
            </w:r>
          </w:p>
        </w:tc>
        <w:tc>
          <w:tcPr>
            <w:tcW w:w="511" w:type="pct"/>
            <w:tcBorders>
              <w:top w:val="nil"/>
              <w:left w:val="nil"/>
              <w:bottom w:val="nil"/>
              <w:right w:val="nil"/>
            </w:tcBorders>
            <w:shd w:val="clear" w:color="000000" w:fill="FFFFFF"/>
            <w:tcMar>
              <w:top w:w="0" w:type="dxa"/>
              <w:left w:w="57" w:type="dxa"/>
              <w:bottom w:w="0" w:type="dxa"/>
              <w:right w:w="57" w:type="dxa"/>
            </w:tcMar>
          </w:tcPr>
          <w:p w:rsidR="00282739" w:rsidRDefault="00282739" w:rsidP="003C6043">
            <w:pPr>
              <w:pStyle w:val="Tabletext"/>
              <w:tabs>
                <w:tab w:val="decimal" w:pos="312"/>
              </w:tabs>
              <w:spacing w:before="120"/>
              <w:rPr>
                <w:rFonts w:cs="Arial"/>
                <w:color w:val="000000"/>
                <w:szCs w:val="16"/>
              </w:rPr>
            </w:pPr>
          </w:p>
        </w:tc>
        <w:tc>
          <w:tcPr>
            <w:tcW w:w="511" w:type="pct"/>
            <w:tcBorders>
              <w:top w:val="nil"/>
              <w:left w:val="nil"/>
              <w:bottom w:val="nil"/>
              <w:right w:val="nil"/>
            </w:tcBorders>
            <w:shd w:val="clear" w:color="000000" w:fill="FFFFFF"/>
            <w:tcMar>
              <w:top w:w="0" w:type="dxa"/>
              <w:left w:w="57" w:type="dxa"/>
              <w:bottom w:w="0" w:type="dxa"/>
              <w:right w:w="57" w:type="dxa"/>
            </w:tcMar>
          </w:tcPr>
          <w:p w:rsidR="00282739" w:rsidRDefault="00282739" w:rsidP="003C6043">
            <w:pPr>
              <w:pStyle w:val="Tabletext"/>
              <w:tabs>
                <w:tab w:val="decimal" w:pos="340"/>
              </w:tabs>
              <w:spacing w:before="120"/>
              <w:rPr>
                <w:rFonts w:cs="Arial"/>
                <w:color w:val="000000"/>
                <w:szCs w:val="16"/>
              </w:rPr>
            </w:pPr>
          </w:p>
        </w:tc>
        <w:tc>
          <w:tcPr>
            <w:tcW w:w="511" w:type="pct"/>
            <w:tcBorders>
              <w:top w:val="nil"/>
              <w:left w:val="nil"/>
              <w:bottom w:val="nil"/>
              <w:right w:val="nil"/>
            </w:tcBorders>
            <w:shd w:val="clear" w:color="000000" w:fill="FFFFFF"/>
            <w:tcMar>
              <w:top w:w="0" w:type="dxa"/>
              <w:left w:w="57" w:type="dxa"/>
              <w:bottom w:w="0" w:type="dxa"/>
              <w:right w:w="57" w:type="dxa"/>
            </w:tcMar>
          </w:tcPr>
          <w:p w:rsidR="00282739" w:rsidRDefault="00282739" w:rsidP="003C6043">
            <w:pPr>
              <w:pStyle w:val="Tabletext"/>
              <w:tabs>
                <w:tab w:val="decimal" w:pos="312"/>
              </w:tabs>
              <w:spacing w:before="120"/>
              <w:rPr>
                <w:rFonts w:cs="Arial"/>
                <w:color w:val="000000"/>
                <w:szCs w:val="16"/>
              </w:rPr>
            </w:pPr>
          </w:p>
        </w:tc>
        <w:tc>
          <w:tcPr>
            <w:tcW w:w="511" w:type="pct"/>
            <w:tcBorders>
              <w:top w:val="nil"/>
              <w:left w:val="nil"/>
              <w:bottom w:val="nil"/>
              <w:right w:val="nil"/>
            </w:tcBorders>
            <w:shd w:val="clear" w:color="000000" w:fill="FFFFFF"/>
            <w:tcMar>
              <w:top w:w="0" w:type="dxa"/>
              <w:left w:w="0" w:type="dxa"/>
              <w:bottom w:w="0" w:type="dxa"/>
              <w:right w:w="0" w:type="dxa"/>
            </w:tcMar>
          </w:tcPr>
          <w:p w:rsidR="00282739" w:rsidRDefault="00282739" w:rsidP="003C6043">
            <w:pPr>
              <w:pStyle w:val="Tabletext"/>
              <w:tabs>
                <w:tab w:val="decimal" w:pos="284"/>
              </w:tabs>
              <w:spacing w:before="120"/>
              <w:rPr>
                <w:rFonts w:cs="Arial"/>
                <w:color w:val="000000"/>
                <w:szCs w:val="16"/>
              </w:rPr>
            </w:pPr>
          </w:p>
        </w:tc>
        <w:tc>
          <w:tcPr>
            <w:tcW w:w="511" w:type="pct"/>
            <w:tcBorders>
              <w:top w:val="nil"/>
              <w:left w:val="nil"/>
              <w:bottom w:val="nil"/>
              <w:right w:val="nil"/>
            </w:tcBorders>
            <w:shd w:val="clear" w:color="000000" w:fill="FFFFFF"/>
            <w:tcMar>
              <w:top w:w="0" w:type="dxa"/>
              <w:left w:w="57" w:type="dxa"/>
              <w:bottom w:w="0" w:type="dxa"/>
              <w:right w:w="57" w:type="dxa"/>
            </w:tcMar>
          </w:tcPr>
          <w:p w:rsidR="00282739" w:rsidRDefault="00282739" w:rsidP="003C6043">
            <w:pPr>
              <w:pStyle w:val="Tabletext"/>
              <w:tabs>
                <w:tab w:val="decimal" w:pos="255"/>
              </w:tabs>
              <w:spacing w:before="120"/>
              <w:rPr>
                <w:rFonts w:cs="Arial"/>
                <w:color w:val="000000"/>
                <w:szCs w:val="16"/>
              </w:rPr>
            </w:pPr>
          </w:p>
        </w:tc>
        <w:tc>
          <w:tcPr>
            <w:tcW w:w="563" w:type="pct"/>
            <w:tcBorders>
              <w:top w:val="nil"/>
              <w:left w:val="nil"/>
              <w:bottom w:val="nil"/>
              <w:right w:val="nil"/>
            </w:tcBorders>
            <w:shd w:val="clear" w:color="000000" w:fill="FFFFFF"/>
            <w:noWrap/>
            <w:tcMar>
              <w:top w:w="0" w:type="dxa"/>
              <w:left w:w="57" w:type="dxa"/>
              <w:bottom w:w="0" w:type="dxa"/>
              <w:right w:w="57" w:type="dxa"/>
            </w:tcMar>
          </w:tcPr>
          <w:p w:rsidR="00282739" w:rsidRDefault="00282739" w:rsidP="003C6043">
            <w:pPr>
              <w:pStyle w:val="Tabletext"/>
              <w:tabs>
                <w:tab w:val="decimal" w:pos="340"/>
              </w:tabs>
              <w:spacing w:before="120"/>
            </w:pPr>
          </w:p>
        </w:tc>
      </w:tr>
      <w:tr w:rsidR="00282739" w:rsidTr="003C6043">
        <w:tc>
          <w:tcPr>
            <w:tcW w:w="1373" w:type="pct"/>
            <w:tcBorders>
              <w:top w:val="nil"/>
              <w:left w:val="nil"/>
              <w:bottom w:val="nil"/>
              <w:right w:val="nil"/>
            </w:tcBorders>
            <w:shd w:val="clear" w:color="000000" w:fill="FFFFFF"/>
            <w:noWrap/>
            <w:tcMar>
              <w:top w:w="0" w:type="dxa"/>
              <w:left w:w="57" w:type="dxa"/>
              <w:bottom w:w="0" w:type="dxa"/>
              <w:right w:w="57" w:type="dxa"/>
            </w:tcMar>
            <w:hideMark/>
          </w:tcPr>
          <w:p w:rsidR="00282739" w:rsidRPr="0076166E" w:rsidRDefault="00282739" w:rsidP="003C6043">
            <w:pPr>
              <w:pStyle w:val="Tabletext"/>
              <w:ind w:firstLine="171"/>
            </w:pPr>
            <w:r w:rsidRPr="0076166E">
              <w:t>Alternative results 1</w:t>
            </w:r>
          </w:p>
        </w:tc>
        <w:tc>
          <w:tcPr>
            <w:tcW w:w="510" w:type="pct"/>
            <w:tcBorders>
              <w:top w:val="nil"/>
              <w:left w:val="nil"/>
              <w:bottom w:val="nil"/>
              <w:right w:val="nil"/>
            </w:tcBorders>
            <w:shd w:val="clear" w:color="000000" w:fill="FFFFFF"/>
            <w:noWrap/>
            <w:tcMar>
              <w:top w:w="0" w:type="dxa"/>
              <w:left w:w="57" w:type="dxa"/>
              <w:bottom w:w="0" w:type="dxa"/>
              <w:right w:w="57" w:type="dxa"/>
            </w:tcMar>
            <w:hideMark/>
          </w:tcPr>
          <w:p w:rsidR="00282739" w:rsidRPr="0076166E" w:rsidRDefault="00282739" w:rsidP="003C6043">
            <w:pPr>
              <w:pStyle w:val="Tabletext"/>
              <w:tabs>
                <w:tab w:val="decimal" w:pos="340"/>
              </w:tabs>
            </w:pPr>
            <w:r w:rsidRPr="0076166E">
              <w:t>111.3205</w:t>
            </w:r>
          </w:p>
        </w:tc>
        <w:tc>
          <w:tcPr>
            <w:tcW w:w="511" w:type="pct"/>
            <w:tcBorders>
              <w:top w:val="nil"/>
              <w:left w:val="nil"/>
              <w:bottom w:val="nil"/>
              <w:right w:val="nil"/>
            </w:tcBorders>
            <w:shd w:val="clear" w:color="000000" w:fill="FFFFFF"/>
            <w:tcMar>
              <w:top w:w="0" w:type="dxa"/>
              <w:left w:w="57" w:type="dxa"/>
              <w:bottom w:w="0" w:type="dxa"/>
              <w:right w:w="57" w:type="dxa"/>
            </w:tcMar>
            <w:hideMark/>
          </w:tcPr>
          <w:p w:rsidR="00282739" w:rsidRPr="0076166E" w:rsidRDefault="00282739" w:rsidP="003C6043">
            <w:pPr>
              <w:pStyle w:val="Tabletext"/>
              <w:tabs>
                <w:tab w:val="decimal" w:pos="312"/>
              </w:tabs>
            </w:pPr>
            <w:r w:rsidRPr="0076166E">
              <w:t>23.187</w:t>
            </w:r>
          </w:p>
        </w:tc>
        <w:tc>
          <w:tcPr>
            <w:tcW w:w="511" w:type="pct"/>
            <w:tcBorders>
              <w:top w:val="nil"/>
              <w:left w:val="nil"/>
              <w:bottom w:val="nil"/>
              <w:right w:val="nil"/>
            </w:tcBorders>
            <w:shd w:val="clear" w:color="000000" w:fill="FFFFFF"/>
            <w:tcMar>
              <w:top w:w="0" w:type="dxa"/>
              <w:left w:w="57" w:type="dxa"/>
              <w:bottom w:w="0" w:type="dxa"/>
              <w:right w:w="57" w:type="dxa"/>
            </w:tcMar>
            <w:hideMark/>
          </w:tcPr>
          <w:p w:rsidR="00282739" w:rsidRPr="0076166E" w:rsidRDefault="00282739" w:rsidP="003C6043">
            <w:pPr>
              <w:pStyle w:val="Tabletext"/>
              <w:tabs>
                <w:tab w:val="decimal" w:pos="340"/>
              </w:tabs>
            </w:pPr>
            <w:r w:rsidRPr="0076166E">
              <w:t>117.825</w:t>
            </w:r>
          </w:p>
        </w:tc>
        <w:tc>
          <w:tcPr>
            <w:tcW w:w="511" w:type="pct"/>
            <w:tcBorders>
              <w:top w:val="nil"/>
              <w:left w:val="nil"/>
              <w:bottom w:val="nil"/>
              <w:right w:val="nil"/>
            </w:tcBorders>
            <w:shd w:val="clear" w:color="000000" w:fill="FFFFFF"/>
            <w:tcMar>
              <w:top w:w="0" w:type="dxa"/>
              <w:left w:w="57" w:type="dxa"/>
              <w:bottom w:w="0" w:type="dxa"/>
              <w:right w:w="57" w:type="dxa"/>
            </w:tcMar>
            <w:hideMark/>
          </w:tcPr>
          <w:p w:rsidR="00282739" w:rsidRPr="0076166E" w:rsidRDefault="00282739" w:rsidP="003C6043">
            <w:pPr>
              <w:pStyle w:val="Tabletext"/>
              <w:tabs>
                <w:tab w:val="decimal" w:pos="312"/>
              </w:tabs>
            </w:pPr>
            <w:r w:rsidRPr="0076166E">
              <w:t>23.630</w:t>
            </w:r>
          </w:p>
        </w:tc>
        <w:tc>
          <w:tcPr>
            <w:tcW w:w="511" w:type="pct"/>
            <w:tcBorders>
              <w:top w:val="nil"/>
              <w:left w:val="nil"/>
              <w:bottom w:val="nil"/>
              <w:right w:val="nil"/>
            </w:tcBorders>
            <w:shd w:val="clear" w:color="000000" w:fill="FFFFFF"/>
            <w:tcMar>
              <w:top w:w="0" w:type="dxa"/>
              <w:left w:w="0" w:type="dxa"/>
              <w:bottom w:w="0" w:type="dxa"/>
              <w:right w:w="0" w:type="dxa"/>
            </w:tcMar>
            <w:hideMark/>
          </w:tcPr>
          <w:p w:rsidR="00282739" w:rsidRPr="0076166E" w:rsidRDefault="00282739" w:rsidP="003C6043">
            <w:pPr>
              <w:pStyle w:val="Tabletext"/>
              <w:tabs>
                <w:tab w:val="decimal" w:pos="284"/>
              </w:tabs>
            </w:pPr>
            <w:r w:rsidRPr="0076166E">
              <w:t>-6.505***</w:t>
            </w:r>
          </w:p>
        </w:tc>
        <w:tc>
          <w:tcPr>
            <w:tcW w:w="511" w:type="pct"/>
            <w:tcBorders>
              <w:top w:val="nil"/>
              <w:left w:val="nil"/>
              <w:bottom w:val="nil"/>
              <w:right w:val="nil"/>
            </w:tcBorders>
            <w:shd w:val="clear" w:color="000000" w:fill="FFFFFF"/>
            <w:tcMar>
              <w:top w:w="0" w:type="dxa"/>
              <w:left w:w="57" w:type="dxa"/>
              <w:bottom w:w="0" w:type="dxa"/>
              <w:right w:w="57" w:type="dxa"/>
            </w:tcMar>
            <w:hideMark/>
          </w:tcPr>
          <w:p w:rsidR="00282739" w:rsidRPr="0076166E" w:rsidRDefault="00282739" w:rsidP="003C6043">
            <w:pPr>
              <w:pStyle w:val="Tabletext"/>
              <w:tabs>
                <w:tab w:val="decimal" w:pos="255"/>
              </w:tabs>
            </w:pPr>
            <w:r w:rsidRPr="0076166E">
              <w:t>0.777</w:t>
            </w:r>
          </w:p>
        </w:tc>
        <w:tc>
          <w:tcPr>
            <w:tcW w:w="563" w:type="pct"/>
            <w:tcBorders>
              <w:top w:val="nil"/>
              <w:left w:val="nil"/>
              <w:bottom w:val="nil"/>
              <w:right w:val="nil"/>
            </w:tcBorders>
            <w:shd w:val="clear" w:color="000000" w:fill="FFFFFF"/>
            <w:noWrap/>
            <w:tcMar>
              <w:top w:w="0" w:type="dxa"/>
              <w:left w:w="57" w:type="dxa"/>
              <w:bottom w:w="0" w:type="dxa"/>
              <w:right w:w="57" w:type="dxa"/>
            </w:tcMar>
            <w:hideMark/>
          </w:tcPr>
          <w:p w:rsidR="00282739" w:rsidRPr="0076166E" w:rsidRDefault="00282739" w:rsidP="003C6043">
            <w:pPr>
              <w:pStyle w:val="Tabletext"/>
              <w:tabs>
                <w:tab w:val="decimal" w:pos="340"/>
              </w:tabs>
            </w:pPr>
            <w:r>
              <w:t>27 437</w:t>
            </w:r>
          </w:p>
        </w:tc>
      </w:tr>
      <w:tr w:rsidR="00282739" w:rsidRPr="00291BB4" w:rsidTr="003C6043">
        <w:tc>
          <w:tcPr>
            <w:tcW w:w="1373" w:type="pct"/>
            <w:tcBorders>
              <w:top w:val="nil"/>
              <w:left w:val="nil"/>
              <w:right w:val="nil"/>
            </w:tcBorders>
            <w:shd w:val="clear" w:color="000000" w:fill="FFFFFF"/>
            <w:noWrap/>
            <w:tcMar>
              <w:top w:w="0" w:type="dxa"/>
              <w:left w:w="57" w:type="dxa"/>
              <w:bottom w:w="0" w:type="dxa"/>
              <w:right w:w="57" w:type="dxa"/>
            </w:tcMar>
            <w:hideMark/>
          </w:tcPr>
          <w:p w:rsidR="00282739" w:rsidRPr="0076166E" w:rsidRDefault="00282739" w:rsidP="003C6043">
            <w:pPr>
              <w:pStyle w:val="Tabletext"/>
              <w:ind w:firstLine="171"/>
            </w:pPr>
            <w:r w:rsidRPr="0076166E">
              <w:t>Alternative results 2</w:t>
            </w:r>
          </w:p>
        </w:tc>
        <w:tc>
          <w:tcPr>
            <w:tcW w:w="510" w:type="pct"/>
            <w:tcBorders>
              <w:top w:val="nil"/>
              <w:left w:val="nil"/>
              <w:right w:val="nil"/>
            </w:tcBorders>
            <w:shd w:val="clear" w:color="000000" w:fill="FFFFFF"/>
            <w:noWrap/>
            <w:tcMar>
              <w:top w:w="0" w:type="dxa"/>
              <w:left w:w="57" w:type="dxa"/>
              <w:bottom w:w="0" w:type="dxa"/>
              <w:right w:w="57" w:type="dxa"/>
            </w:tcMar>
            <w:hideMark/>
          </w:tcPr>
          <w:p w:rsidR="00282739" w:rsidRPr="0076166E" w:rsidRDefault="00282739" w:rsidP="003C6043">
            <w:pPr>
              <w:pStyle w:val="Tabletext"/>
              <w:tabs>
                <w:tab w:val="decimal" w:pos="340"/>
              </w:tabs>
            </w:pPr>
            <w:r w:rsidRPr="0076166E">
              <w:t>111.7403</w:t>
            </w:r>
          </w:p>
        </w:tc>
        <w:tc>
          <w:tcPr>
            <w:tcW w:w="511" w:type="pct"/>
            <w:tcBorders>
              <w:top w:val="nil"/>
              <w:left w:val="nil"/>
              <w:right w:val="nil"/>
            </w:tcBorders>
            <w:shd w:val="clear" w:color="000000" w:fill="FFFFFF"/>
            <w:tcMar>
              <w:top w:w="0" w:type="dxa"/>
              <w:left w:w="57" w:type="dxa"/>
              <w:bottom w:w="0" w:type="dxa"/>
              <w:right w:w="57" w:type="dxa"/>
            </w:tcMar>
            <w:hideMark/>
          </w:tcPr>
          <w:p w:rsidR="00282739" w:rsidRPr="0076166E" w:rsidRDefault="00282739" w:rsidP="003C6043">
            <w:pPr>
              <w:pStyle w:val="Tabletext"/>
              <w:tabs>
                <w:tab w:val="decimal" w:pos="312"/>
              </w:tabs>
            </w:pPr>
            <w:r w:rsidRPr="0076166E">
              <w:t>22.809</w:t>
            </w:r>
          </w:p>
        </w:tc>
        <w:tc>
          <w:tcPr>
            <w:tcW w:w="511" w:type="pct"/>
            <w:tcBorders>
              <w:top w:val="nil"/>
              <w:left w:val="nil"/>
              <w:right w:val="nil"/>
            </w:tcBorders>
            <w:shd w:val="clear" w:color="000000" w:fill="FFFFFF"/>
            <w:tcMar>
              <w:top w:w="0" w:type="dxa"/>
              <w:left w:w="57" w:type="dxa"/>
              <w:bottom w:w="0" w:type="dxa"/>
              <w:right w:w="57" w:type="dxa"/>
            </w:tcMar>
            <w:hideMark/>
          </w:tcPr>
          <w:p w:rsidR="00282739" w:rsidRPr="0076166E" w:rsidRDefault="00282739" w:rsidP="003C6043">
            <w:pPr>
              <w:pStyle w:val="Tabletext"/>
              <w:tabs>
                <w:tab w:val="decimal" w:pos="340"/>
              </w:tabs>
            </w:pPr>
            <w:r w:rsidRPr="0076166E">
              <w:t>116.220</w:t>
            </w:r>
          </w:p>
        </w:tc>
        <w:tc>
          <w:tcPr>
            <w:tcW w:w="511" w:type="pct"/>
            <w:tcBorders>
              <w:top w:val="nil"/>
              <w:left w:val="nil"/>
              <w:right w:val="nil"/>
            </w:tcBorders>
            <w:shd w:val="clear" w:color="000000" w:fill="FFFFFF"/>
            <w:tcMar>
              <w:top w:w="0" w:type="dxa"/>
              <w:left w:w="57" w:type="dxa"/>
              <w:bottom w:w="0" w:type="dxa"/>
              <w:right w:w="57" w:type="dxa"/>
            </w:tcMar>
            <w:hideMark/>
          </w:tcPr>
          <w:p w:rsidR="00282739" w:rsidRPr="0076166E" w:rsidRDefault="00282739" w:rsidP="003C6043">
            <w:pPr>
              <w:pStyle w:val="Tabletext"/>
              <w:tabs>
                <w:tab w:val="decimal" w:pos="312"/>
              </w:tabs>
            </w:pPr>
            <w:r w:rsidRPr="0076166E">
              <w:t>22.857</w:t>
            </w:r>
          </w:p>
        </w:tc>
        <w:tc>
          <w:tcPr>
            <w:tcW w:w="511" w:type="pct"/>
            <w:tcBorders>
              <w:top w:val="nil"/>
              <w:left w:val="nil"/>
              <w:right w:val="nil"/>
            </w:tcBorders>
            <w:shd w:val="clear" w:color="000000" w:fill="FFFFFF"/>
            <w:tcMar>
              <w:top w:w="0" w:type="dxa"/>
              <w:left w:w="0" w:type="dxa"/>
              <w:bottom w:w="0" w:type="dxa"/>
              <w:right w:w="0" w:type="dxa"/>
            </w:tcMar>
            <w:hideMark/>
          </w:tcPr>
          <w:p w:rsidR="00282739" w:rsidRPr="0076166E" w:rsidRDefault="00282739" w:rsidP="003C6043">
            <w:pPr>
              <w:pStyle w:val="Tabletext"/>
              <w:tabs>
                <w:tab w:val="decimal" w:pos="284"/>
              </w:tabs>
            </w:pPr>
            <w:r w:rsidRPr="0076166E">
              <w:t>-4.479***</w:t>
            </w:r>
          </w:p>
        </w:tc>
        <w:tc>
          <w:tcPr>
            <w:tcW w:w="511" w:type="pct"/>
            <w:tcBorders>
              <w:top w:val="nil"/>
              <w:left w:val="nil"/>
              <w:right w:val="nil"/>
            </w:tcBorders>
            <w:shd w:val="clear" w:color="000000" w:fill="FFFFFF"/>
            <w:tcMar>
              <w:top w:w="0" w:type="dxa"/>
              <w:left w:w="57" w:type="dxa"/>
              <w:bottom w:w="0" w:type="dxa"/>
              <w:right w:w="57" w:type="dxa"/>
            </w:tcMar>
            <w:hideMark/>
          </w:tcPr>
          <w:p w:rsidR="00282739" w:rsidRPr="0076166E" w:rsidRDefault="00282739" w:rsidP="003C6043">
            <w:pPr>
              <w:pStyle w:val="Tabletext"/>
              <w:tabs>
                <w:tab w:val="decimal" w:pos="255"/>
              </w:tabs>
            </w:pPr>
            <w:r w:rsidRPr="0076166E">
              <w:t>0.785</w:t>
            </w:r>
          </w:p>
        </w:tc>
        <w:tc>
          <w:tcPr>
            <w:tcW w:w="563" w:type="pct"/>
            <w:tcBorders>
              <w:top w:val="nil"/>
              <w:left w:val="nil"/>
              <w:right w:val="nil"/>
            </w:tcBorders>
            <w:shd w:val="clear" w:color="000000" w:fill="FFFFFF"/>
            <w:noWrap/>
            <w:tcMar>
              <w:top w:w="0" w:type="dxa"/>
              <w:left w:w="57" w:type="dxa"/>
              <w:bottom w:w="0" w:type="dxa"/>
              <w:right w:w="57" w:type="dxa"/>
            </w:tcMar>
          </w:tcPr>
          <w:p w:rsidR="00282739" w:rsidRPr="0076166E" w:rsidRDefault="00282739" w:rsidP="003C6043">
            <w:pPr>
              <w:pStyle w:val="Tabletext"/>
              <w:tabs>
                <w:tab w:val="decimal" w:pos="340"/>
              </w:tabs>
            </w:pPr>
            <w:r w:rsidRPr="0076166E">
              <w:t>21 516</w:t>
            </w:r>
          </w:p>
        </w:tc>
      </w:tr>
      <w:tr w:rsidR="00282739" w:rsidTr="003C6043">
        <w:tc>
          <w:tcPr>
            <w:tcW w:w="1373" w:type="pct"/>
            <w:tcBorders>
              <w:top w:val="nil"/>
              <w:left w:val="nil"/>
              <w:bottom w:val="nil"/>
              <w:right w:val="nil"/>
            </w:tcBorders>
            <w:shd w:val="clear" w:color="000000" w:fill="FFFFFF"/>
            <w:noWrap/>
            <w:tcMar>
              <w:top w:w="0" w:type="dxa"/>
              <w:left w:w="57" w:type="dxa"/>
              <w:bottom w:w="0" w:type="dxa"/>
              <w:right w:w="57" w:type="dxa"/>
            </w:tcMar>
            <w:hideMark/>
          </w:tcPr>
          <w:p w:rsidR="00282739" w:rsidRPr="0076166E" w:rsidRDefault="00282739" w:rsidP="003C6043">
            <w:pPr>
              <w:pStyle w:val="Tabletext"/>
              <w:ind w:firstLine="171"/>
            </w:pPr>
            <w:r w:rsidRPr="0076166E">
              <w:t>Alternative results 3</w:t>
            </w:r>
          </w:p>
        </w:tc>
        <w:tc>
          <w:tcPr>
            <w:tcW w:w="510" w:type="pct"/>
            <w:tcBorders>
              <w:top w:val="nil"/>
              <w:left w:val="nil"/>
              <w:bottom w:val="nil"/>
              <w:right w:val="nil"/>
            </w:tcBorders>
            <w:shd w:val="clear" w:color="000000" w:fill="FFFFFF"/>
            <w:noWrap/>
            <w:tcMar>
              <w:top w:w="0" w:type="dxa"/>
              <w:left w:w="57" w:type="dxa"/>
              <w:bottom w:w="0" w:type="dxa"/>
              <w:right w:w="57" w:type="dxa"/>
            </w:tcMar>
            <w:hideMark/>
          </w:tcPr>
          <w:p w:rsidR="00282739" w:rsidRPr="0076166E" w:rsidRDefault="00282739" w:rsidP="003C6043">
            <w:pPr>
              <w:pStyle w:val="Tabletext"/>
              <w:tabs>
                <w:tab w:val="decimal" w:pos="340"/>
              </w:tabs>
            </w:pPr>
            <w:r w:rsidRPr="0076166E">
              <w:t>111.3205</w:t>
            </w:r>
          </w:p>
        </w:tc>
        <w:tc>
          <w:tcPr>
            <w:tcW w:w="511" w:type="pct"/>
            <w:tcBorders>
              <w:top w:val="nil"/>
              <w:left w:val="nil"/>
              <w:bottom w:val="nil"/>
              <w:right w:val="nil"/>
            </w:tcBorders>
            <w:shd w:val="clear" w:color="000000" w:fill="FFFFFF"/>
            <w:tcMar>
              <w:top w:w="0" w:type="dxa"/>
              <w:left w:w="57" w:type="dxa"/>
              <w:bottom w:w="0" w:type="dxa"/>
              <w:right w:w="57" w:type="dxa"/>
            </w:tcMar>
            <w:hideMark/>
          </w:tcPr>
          <w:p w:rsidR="00282739" w:rsidRPr="0076166E" w:rsidRDefault="00282739" w:rsidP="003C6043">
            <w:pPr>
              <w:pStyle w:val="Tabletext"/>
              <w:tabs>
                <w:tab w:val="decimal" w:pos="312"/>
              </w:tabs>
            </w:pPr>
            <w:r w:rsidRPr="0076166E">
              <w:t>23.187</w:t>
            </w:r>
          </w:p>
        </w:tc>
        <w:tc>
          <w:tcPr>
            <w:tcW w:w="511" w:type="pct"/>
            <w:tcBorders>
              <w:top w:val="nil"/>
              <w:left w:val="nil"/>
              <w:bottom w:val="nil"/>
              <w:right w:val="nil"/>
            </w:tcBorders>
            <w:shd w:val="clear" w:color="000000" w:fill="FFFFFF"/>
            <w:tcMar>
              <w:top w:w="0" w:type="dxa"/>
              <w:left w:w="57" w:type="dxa"/>
              <w:bottom w:w="0" w:type="dxa"/>
              <w:right w:w="57" w:type="dxa"/>
            </w:tcMar>
            <w:hideMark/>
          </w:tcPr>
          <w:p w:rsidR="00282739" w:rsidRPr="0076166E" w:rsidRDefault="00282739" w:rsidP="003C6043">
            <w:pPr>
              <w:pStyle w:val="Tabletext"/>
              <w:tabs>
                <w:tab w:val="decimal" w:pos="340"/>
              </w:tabs>
            </w:pPr>
            <w:r w:rsidRPr="0076166E">
              <w:t>117.267</w:t>
            </w:r>
          </w:p>
        </w:tc>
        <w:tc>
          <w:tcPr>
            <w:tcW w:w="511" w:type="pct"/>
            <w:tcBorders>
              <w:top w:val="nil"/>
              <w:left w:val="nil"/>
              <w:bottom w:val="nil"/>
              <w:right w:val="nil"/>
            </w:tcBorders>
            <w:shd w:val="clear" w:color="000000" w:fill="FFFFFF"/>
            <w:tcMar>
              <w:top w:w="0" w:type="dxa"/>
              <w:left w:w="57" w:type="dxa"/>
              <w:bottom w:w="0" w:type="dxa"/>
              <w:right w:w="57" w:type="dxa"/>
            </w:tcMar>
            <w:hideMark/>
          </w:tcPr>
          <w:p w:rsidR="00282739" w:rsidRPr="0076166E" w:rsidRDefault="00282739" w:rsidP="003C6043">
            <w:pPr>
              <w:pStyle w:val="Tabletext"/>
              <w:tabs>
                <w:tab w:val="decimal" w:pos="312"/>
              </w:tabs>
            </w:pPr>
            <w:r w:rsidRPr="0076166E">
              <w:t>23.181</w:t>
            </w:r>
          </w:p>
        </w:tc>
        <w:tc>
          <w:tcPr>
            <w:tcW w:w="511" w:type="pct"/>
            <w:tcBorders>
              <w:top w:val="nil"/>
              <w:left w:val="nil"/>
              <w:bottom w:val="nil"/>
              <w:right w:val="nil"/>
            </w:tcBorders>
            <w:shd w:val="clear" w:color="000000" w:fill="FFFFFF"/>
            <w:tcMar>
              <w:top w:w="0" w:type="dxa"/>
              <w:left w:w="0" w:type="dxa"/>
              <w:bottom w:w="0" w:type="dxa"/>
              <w:right w:w="0" w:type="dxa"/>
            </w:tcMar>
            <w:hideMark/>
          </w:tcPr>
          <w:p w:rsidR="00282739" w:rsidRPr="0076166E" w:rsidRDefault="00282739" w:rsidP="003C6043">
            <w:pPr>
              <w:pStyle w:val="Tabletext"/>
              <w:tabs>
                <w:tab w:val="decimal" w:pos="284"/>
              </w:tabs>
            </w:pPr>
            <w:r w:rsidRPr="0076166E">
              <w:t>-5.946***</w:t>
            </w:r>
          </w:p>
        </w:tc>
        <w:tc>
          <w:tcPr>
            <w:tcW w:w="511" w:type="pct"/>
            <w:tcBorders>
              <w:top w:val="nil"/>
              <w:left w:val="nil"/>
              <w:bottom w:val="nil"/>
              <w:right w:val="nil"/>
            </w:tcBorders>
            <w:shd w:val="clear" w:color="000000" w:fill="FFFFFF"/>
            <w:tcMar>
              <w:top w:w="0" w:type="dxa"/>
              <w:left w:w="57" w:type="dxa"/>
              <w:bottom w:w="0" w:type="dxa"/>
              <w:right w:w="57" w:type="dxa"/>
            </w:tcMar>
            <w:hideMark/>
          </w:tcPr>
          <w:p w:rsidR="00282739" w:rsidRPr="0076166E" w:rsidRDefault="00282739" w:rsidP="003C6043">
            <w:pPr>
              <w:pStyle w:val="Tabletext"/>
              <w:tabs>
                <w:tab w:val="decimal" w:pos="255"/>
              </w:tabs>
            </w:pPr>
            <w:r w:rsidRPr="0076166E">
              <w:t>1.252</w:t>
            </w:r>
          </w:p>
        </w:tc>
        <w:tc>
          <w:tcPr>
            <w:tcW w:w="563" w:type="pct"/>
            <w:tcBorders>
              <w:top w:val="nil"/>
              <w:left w:val="nil"/>
              <w:bottom w:val="nil"/>
              <w:right w:val="nil"/>
            </w:tcBorders>
            <w:shd w:val="clear" w:color="000000" w:fill="FFFFFF"/>
            <w:noWrap/>
            <w:tcMar>
              <w:top w:w="0" w:type="dxa"/>
              <w:left w:w="57" w:type="dxa"/>
              <w:bottom w:w="0" w:type="dxa"/>
              <w:right w:w="57" w:type="dxa"/>
            </w:tcMar>
            <w:hideMark/>
          </w:tcPr>
          <w:p w:rsidR="00282739" w:rsidRPr="0076166E" w:rsidRDefault="00282739" w:rsidP="003C6043">
            <w:pPr>
              <w:pStyle w:val="Tabletext"/>
              <w:tabs>
                <w:tab w:val="decimal" w:pos="340"/>
              </w:tabs>
            </w:pPr>
            <w:r w:rsidRPr="0076166E">
              <w:t>21 517</w:t>
            </w:r>
          </w:p>
        </w:tc>
      </w:tr>
      <w:tr w:rsidR="00282739" w:rsidTr="003C6043">
        <w:tc>
          <w:tcPr>
            <w:tcW w:w="1373" w:type="pct"/>
            <w:tcBorders>
              <w:top w:val="nil"/>
              <w:left w:val="nil"/>
              <w:bottom w:val="single" w:sz="4" w:space="0" w:color="auto"/>
              <w:right w:val="nil"/>
            </w:tcBorders>
            <w:shd w:val="clear" w:color="000000" w:fill="FFFFFF"/>
            <w:noWrap/>
            <w:tcMar>
              <w:top w:w="0" w:type="dxa"/>
              <w:left w:w="57" w:type="dxa"/>
              <w:bottom w:w="0" w:type="dxa"/>
              <w:right w:w="57" w:type="dxa"/>
            </w:tcMar>
          </w:tcPr>
          <w:p w:rsidR="00282739" w:rsidRPr="0076166E" w:rsidRDefault="00282739" w:rsidP="003C6043">
            <w:pPr>
              <w:pStyle w:val="Tabletext"/>
              <w:ind w:firstLine="171"/>
            </w:pPr>
            <w:r w:rsidRPr="0076166E">
              <w:t>Alternative results 4</w:t>
            </w:r>
          </w:p>
        </w:tc>
        <w:tc>
          <w:tcPr>
            <w:tcW w:w="510" w:type="pct"/>
            <w:tcBorders>
              <w:top w:val="nil"/>
              <w:left w:val="nil"/>
              <w:bottom w:val="single" w:sz="4" w:space="0" w:color="auto"/>
              <w:right w:val="nil"/>
            </w:tcBorders>
            <w:shd w:val="clear" w:color="000000" w:fill="FFFFFF"/>
            <w:noWrap/>
            <w:tcMar>
              <w:top w:w="0" w:type="dxa"/>
              <w:left w:w="57" w:type="dxa"/>
              <w:bottom w:w="0" w:type="dxa"/>
              <w:right w:w="57" w:type="dxa"/>
            </w:tcMar>
          </w:tcPr>
          <w:p w:rsidR="00282739" w:rsidRDefault="00282739" w:rsidP="003C6043">
            <w:pPr>
              <w:pStyle w:val="Tabletext"/>
              <w:tabs>
                <w:tab w:val="decimal" w:pos="340"/>
              </w:tabs>
            </w:pPr>
            <w:r>
              <w:t>105.123</w:t>
            </w:r>
          </w:p>
        </w:tc>
        <w:tc>
          <w:tcPr>
            <w:tcW w:w="511" w:type="pct"/>
            <w:tcBorders>
              <w:top w:val="nil"/>
              <w:left w:val="nil"/>
              <w:bottom w:val="single" w:sz="4" w:space="0" w:color="auto"/>
              <w:right w:val="nil"/>
            </w:tcBorders>
            <w:shd w:val="clear" w:color="000000" w:fill="FFFFFF"/>
            <w:tcMar>
              <w:top w:w="0" w:type="dxa"/>
              <w:left w:w="57" w:type="dxa"/>
              <w:bottom w:w="0" w:type="dxa"/>
              <w:right w:w="57" w:type="dxa"/>
            </w:tcMar>
          </w:tcPr>
          <w:p w:rsidR="00282739" w:rsidRDefault="00282739" w:rsidP="003C6043">
            <w:pPr>
              <w:pStyle w:val="Tabletext"/>
              <w:tabs>
                <w:tab w:val="decimal" w:pos="312"/>
              </w:tabs>
            </w:pPr>
            <w:r>
              <w:t>23.606</w:t>
            </w:r>
          </w:p>
        </w:tc>
        <w:tc>
          <w:tcPr>
            <w:tcW w:w="511" w:type="pct"/>
            <w:tcBorders>
              <w:top w:val="nil"/>
              <w:left w:val="nil"/>
              <w:bottom w:val="single" w:sz="4" w:space="0" w:color="auto"/>
              <w:right w:val="nil"/>
            </w:tcBorders>
            <w:shd w:val="clear" w:color="000000" w:fill="FFFFFF"/>
            <w:tcMar>
              <w:top w:w="0" w:type="dxa"/>
              <w:left w:w="57" w:type="dxa"/>
              <w:bottom w:w="0" w:type="dxa"/>
              <w:right w:w="57" w:type="dxa"/>
            </w:tcMar>
          </w:tcPr>
          <w:p w:rsidR="00282739" w:rsidRDefault="00282739" w:rsidP="003C6043">
            <w:pPr>
              <w:pStyle w:val="Tabletext"/>
              <w:tabs>
                <w:tab w:val="decimal" w:pos="340"/>
              </w:tabs>
            </w:pPr>
            <w:r>
              <w:t>109.890</w:t>
            </w:r>
          </w:p>
        </w:tc>
        <w:tc>
          <w:tcPr>
            <w:tcW w:w="511" w:type="pct"/>
            <w:tcBorders>
              <w:top w:val="nil"/>
              <w:left w:val="nil"/>
              <w:bottom w:val="single" w:sz="4" w:space="0" w:color="auto"/>
              <w:right w:val="nil"/>
            </w:tcBorders>
            <w:shd w:val="clear" w:color="000000" w:fill="FFFFFF"/>
            <w:tcMar>
              <w:top w:w="0" w:type="dxa"/>
              <w:left w:w="57" w:type="dxa"/>
              <w:bottom w:w="0" w:type="dxa"/>
              <w:right w:w="57" w:type="dxa"/>
            </w:tcMar>
          </w:tcPr>
          <w:p w:rsidR="00282739" w:rsidRDefault="00282739" w:rsidP="003C6043">
            <w:pPr>
              <w:pStyle w:val="Tabletext"/>
              <w:tabs>
                <w:tab w:val="decimal" w:pos="312"/>
              </w:tabs>
            </w:pPr>
            <w:r>
              <w:t>26.342</w:t>
            </w:r>
          </w:p>
        </w:tc>
        <w:tc>
          <w:tcPr>
            <w:tcW w:w="511" w:type="pct"/>
            <w:tcBorders>
              <w:top w:val="nil"/>
              <w:left w:val="nil"/>
              <w:bottom w:val="single" w:sz="4" w:space="0" w:color="auto"/>
              <w:right w:val="nil"/>
            </w:tcBorders>
            <w:shd w:val="clear" w:color="000000" w:fill="FFFFFF"/>
            <w:tcMar>
              <w:top w:w="0" w:type="dxa"/>
              <w:left w:w="0" w:type="dxa"/>
              <w:bottom w:w="0" w:type="dxa"/>
              <w:right w:w="0" w:type="dxa"/>
            </w:tcMar>
          </w:tcPr>
          <w:p w:rsidR="00282739" w:rsidRDefault="00282739" w:rsidP="003C6043">
            <w:pPr>
              <w:pStyle w:val="Tabletext"/>
              <w:tabs>
                <w:tab w:val="decimal" w:pos="284"/>
              </w:tabs>
            </w:pPr>
            <w:r>
              <w:t>-4.766***</w:t>
            </w:r>
          </w:p>
        </w:tc>
        <w:tc>
          <w:tcPr>
            <w:tcW w:w="511" w:type="pct"/>
            <w:tcBorders>
              <w:top w:val="nil"/>
              <w:left w:val="nil"/>
              <w:bottom w:val="single" w:sz="4" w:space="0" w:color="auto"/>
              <w:right w:val="nil"/>
            </w:tcBorders>
            <w:shd w:val="clear" w:color="000000" w:fill="FFFFFF"/>
            <w:tcMar>
              <w:top w:w="0" w:type="dxa"/>
              <w:left w:w="57" w:type="dxa"/>
              <w:bottom w:w="0" w:type="dxa"/>
              <w:right w:w="57" w:type="dxa"/>
            </w:tcMar>
          </w:tcPr>
          <w:p w:rsidR="00282739" w:rsidRDefault="00282739" w:rsidP="003C6043">
            <w:pPr>
              <w:pStyle w:val="Tabletext"/>
              <w:tabs>
                <w:tab w:val="decimal" w:pos="255"/>
              </w:tabs>
            </w:pPr>
            <w:r>
              <w:t>1.078</w:t>
            </w:r>
          </w:p>
        </w:tc>
        <w:tc>
          <w:tcPr>
            <w:tcW w:w="563" w:type="pct"/>
            <w:tcBorders>
              <w:top w:val="nil"/>
              <w:left w:val="nil"/>
              <w:bottom w:val="single" w:sz="4" w:space="0" w:color="auto"/>
              <w:right w:val="nil"/>
            </w:tcBorders>
            <w:shd w:val="clear" w:color="000000" w:fill="FFFFFF"/>
            <w:noWrap/>
            <w:tcMar>
              <w:top w:w="0" w:type="dxa"/>
              <w:left w:w="57" w:type="dxa"/>
              <w:bottom w:w="0" w:type="dxa"/>
              <w:right w:w="57" w:type="dxa"/>
            </w:tcMar>
          </w:tcPr>
          <w:p w:rsidR="00282739" w:rsidRDefault="00282739" w:rsidP="003C6043">
            <w:pPr>
              <w:pStyle w:val="Tabletext"/>
              <w:tabs>
                <w:tab w:val="decimal" w:pos="340"/>
              </w:tabs>
            </w:pPr>
            <w:r>
              <w:t>32 562</w:t>
            </w:r>
          </w:p>
        </w:tc>
      </w:tr>
    </w:tbl>
    <w:p w:rsidR="00282739" w:rsidRDefault="00282739" w:rsidP="00282739">
      <w:pPr>
        <w:pStyle w:val="Source"/>
        <w:tabs>
          <w:tab w:val="left" w:pos="993"/>
        </w:tabs>
        <w:rPr>
          <w:i/>
          <w:iCs/>
        </w:rPr>
      </w:pPr>
      <w:r>
        <w:t>Notes:</w:t>
      </w:r>
      <w:r>
        <w:tab/>
        <w:t>***</w:t>
      </w:r>
      <w:r>
        <w:tab/>
        <w:t xml:space="preserve">Significant at 1%. </w:t>
      </w:r>
    </w:p>
    <w:p w:rsidR="00282739" w:rsidRDefault="00282739" w:rsidP="00282739">
      <w:pPr>
        <w:pStyle w:val="Textmorebefore"/>
      </w:pPr>
      <w:r>
        <w:t xml:space="preserve">The results presented in the main body of the report (table 6) hinge on key assumptions in the modelling. The most important assumption is that the counterfactual outcome (taking a VCE VET subject) can be constructed from the outcomes from a matched control group who do not take a VCE VET subject. Underlying this assumption is the notion that if they had not taken a VCE VET subject, students would have chosen a set of subjects that are, on average, the same as those taken by the matched control group. If, instead of choosing a VCE VET subject, students had chosen subjects that were completely different from their matched control group counterparts, then the counterfactual outcomes used here may not be valid. We test the robustness of our results by re-estimating the one-to-one Nearest Neighbour results presented in table 6, but with different restrictions on the choice of counterfactual outcomes. The alternative models and their added restrictions are: </w:t>
      </w:r>
    </w:p>
    <w:p w:rsidR="00282739" w:rsidRDefault="00282739" w:rsidP="00282739">
      <w:pPr>
        <w:pStyle w:val="Text"/>
      </w:pPr>
      <w:r w:rsidRPr="00A004A3">
        <w:rPr>
          <w:b/>
        </w:rPr>
        <w:t>Alternative 1:</w:t>
      </w:r>
      <w:r>
        <w:rPr>
          <w:b/>
        </w:rPr>
        <w:t xml:space="preserve"> </w:t>
      </w:r>
      <w:r>
        <w:t xml:space="preserve">restrict each match (called exact matching) to the students who have exactly the same university field of education preference (ASCED 2-digit) and also are from the same area (either metropolitan or rural). </w:t>
      </w:r>
    </w:p>
    <w:p w:rsidR="00282739" w:rsidRDefault="00282739" w:rsidP="00282739">
      <w:pPr>
        <w:pStyle w:val="Text"/>
      </w:pPr>
      <w:r>
        <w:t>To the extent that there are regional differences in the availability of subjects, exact matching on region will help to ensure that the subjects taken by the matched control group reflect the alternatives foregone by the VCE VET student.</w:t>
      </w:r>
    </w:p>
    <w:p w:rsidR="00282739" w:rsidRDefault="00282739" w:rsidP="00282739">
      <w:pPr>
        <w:pStyle w:val="Text"/>
      </w:pPr>
      <w:r w:rsidRPr="00A004A3">
        <w:rPr>
          <w:b/>
        </w:rPr>
        <w:t>Alternative 2:</w:t>
      </w:r>
      <w:r>
        <w:t xml:space="preserve"> include</w:t>
      </w:r>
      <w:r w:rsidRPr="00963A45">
        <w:t xml:space="preserve"> </w:t>
      </w:r>
      <w:r>
        <w:t xml:space="preserve">information in the standard one-to-one Nearest Neighbour matching on the preferred subject’s required cut-off score from 2010. Generally speaking, the subject cut-off score from the previous year is a good guide to the performance needed to attain entry in 2011. </w:t>
      </w:r>
    </w:p>
    <w:p w:rsidR="00282739" w:rsidRDefault="00282739" w:rsidP="00282739">
      <w:pPr>
        <w:pStyle w:val="Text"/>
      </w:pPr>
      <w:r>
        <w:t xml:space="preserve">While in the standard results we have controlled for differences in the field of study of the student’s university course of preference, we have not controlled for differences in the level of university subject aspirations. To the extent that students who aspire to a higher-ranked subject are more ambitious and more committed to hard work, they may attain a higher aggregate study score. If differences in aspiration level are related to taking a VCE VET subject, then such differences should not be causally attributed to taking a VCE VET subject, but to the differences in the preferences of the students who do and who do not take VCE VET subjects. </w:t>
      </w:r>
      <w:r w:rsidRPr="00C923FF">
        <w:t xml:space="preserve">This information is not included in the standard results because there </w:t>
      </w:r>
      <w:r>
        <w:t>is</w:t>
      </w:r>
      <w:r w:rsidRPr="00C923FF">
        <w:t xml:space="preserve"> a large number of preferences for which no cut-off could be found.</w:t>
      </w:r>
    </w:p>
    <w:p w:rsidR="00282739" w:rsidRDefault="00282739" w:rsidP="00282739">
      <w:pPr>
        <w:pStyle w:val="Text"/>
      </w:pPr>
      <w:r w:rsidRPr="00A004A3">
        <w:rPr>
          <w:b/>
        </w:rPr>
        <w:lastRenderedPageBreak/>
        <w:t>Alternative 3:</w:t>
      </w:r>
      <w:r>
        <w:t xml:space="preserve"> exclude all individuals from the counterfactual group who attended schools that did not offer VCE VET in school subjects. </w:t>
      </w:r>
    </w:p>
    <w:p w:rsidR="00282739" w:rsidRDefault="00282739" w:rsidP="00282739">
      <w:pPr>
        <w:pStyle w:val="Text"/>
      </w:pPr>
      <w:r>
        <w:t>An important assumption underlying the analysis is that there are no uncontrolled school-level factors that may explain the selection of a VCE VET subject and university entry scores. By excluding observations from schools that do not offer VCE VET, we are removing observations that may have different outcomes because of the nature of the schools these students attend.</w:t>
      </w:r>
    </w:p>
    <w:p w:rsidR="00282739" w:rsidRDefault="00282739" w:rsidP="00282739">
      <w:pPr>
        <w:pStyle w:val="Text"/>
      </w:pPr>
      <w:r w:rsidRPr="00A004A3">
        <w:rPr>
          <w:b/>
        </w:rPr>
        <w:t xml:space="preserve">Alternative 4: </w:t>
      </w:r>
      <w:r>
        <w:t xml:space="preserve">relax the sample restriction to those who lodge a first preference for a university course. </w:t>
      </w:r>
    </w:p>
    <w:p w:rsidR="00282739" w:rsidRDefault="00282739" w:rsidP="00282739">
      <w:pPr>
        <w:pStyle w:val="Text"/>
      </w:pPr>
      <w:r>
        <w:t>From the results presented in table E1, we can conclude that the results presented in table 6 are robust to the range of alternative assumptions underpinning the generation of counterfactual outcomes. There is only a noticeable fall in impacts under alternative 2</w:t>
      </w:r>
      <w:r w:rsidRPr="00262C78">
        <w:t>,</w:t>
      </w:r>
      <w:r>
        <w:t xml:space="preserve"> but</w:t>
      </w:r>
      <w:r w:rsidRPr="00262C78">
        <w:t xml:space="preserve"> this may be because there </w:t>
      </w:r>
      <w:r>
        <w:t>is</w:t>
      </w:r>
      <w:r w:rsidRPr="00262C78">
        <w:t xml:space="preserve"> a large number of missing observations under this scenario.</w:t>
      </w:r>
      <w:r>
        <w:t xml:space="preserve"> </w:t>
      </w:r>
    </w:p>
    <w:p w:rsidR="00282739" w:rsidRDefault="00282739" w:rsidP="00282739">
      <w:pPr>
        <w:spacing w:before="0" w:line="240" w:lineRule="auto"/>
        <w:rPr>
          <w:rFonts w:ascii="Tahoma" w:hAnsi="Tahoma" w:cs="Tahoma"/>
          <w:color w:val="000000"/>
          <w:kern w:val="28"/>
          <w:sz w:val="56"/>
          <w:szCs w:val="56"/>
        </w:rPr>
      </w:pPr>
      <w:r>
        <w:br w:type="page"/>
      </w:r>
      <w:bookmarkStart w:id="86" w:name="_Toc188077644"/>
      <w:bookmarkEnd w:id="76"/>
      <w:bookmarkEnd w:id="77"/>
      <w:bookmarkEnd w:id="78"/>
    </w:p>
    <w:p w:rsidR="00282739" w:rsidRDefault="00282739" w:rsidP="00282739">
      <w:pPr>
        <w:pStyle w:val="Heading1"/>
      </w:pPr>
      <w:bookmarkStart w:id="87" w:name="_Toc402794973"/>
      <w:bookmarkEnd w:id="86"/>
      <w:r>
        <w:lastRenderedPageBreak/>
        <w:t>NVETR Program funding</w:t>
      </w:r>
      <w:bookmarkEnd w:id="87"/>
      <w:r>
        <w:t xml:space="preserve"> </w:t>
      </w:r>
    </w:p>
    <w:p w:rsidR="00282739" w:rsidRPr="00C82840" w:rsidRDefault="00282739" w:rsidP="00282739">
      <w:pPr>
        <w:pStyle w:val="Text"/>
        <w:ind w:right="283"/>
      </w:pPr>
      <w:r w:rsidRPr="003716FE">
        <w:t xml:space="preserve">This work has been produced by NCVER under the National Vocational Education and Training Research (NVETR) program, which is coordinated and managed by NCVER on behalf of the Australian Government and state and territory governments. </w:t>
      </w:r>
      <w:r w:rsidRPr="00C82840">
        <w:t xml:space="preserve">Funding is provided through the Department of Industry. </w:t>
      </w:r>
    </w:p>
    <w:p w:rsidR="00282739" w:rsidRPr="003716FE" w:rsidRDefault="00282739" w:rsidP="00282739">
      <w:pPr>
        <w:pStyle w:val="Text"/>
        <w:ind w:right="283"/>
      </w:pPr>
      <w:r w:rsidRPr="00C82840">
        <w:t>The NVETR program is based on priorities approved by</w:t>
      </w:r>
      <w:r w:rsidRPr="003716FE">
        <w:t xml:space="preserve"> ministers with responsibility for vocational education and training (VET). This research aims to improve policy and practice in the VET sector. For further information about the program go to the NCVER website &lt;http://www.ncver.edu.au&gt;. The author/project team was funded to undertake this resear</w:t>
      </w:r>
      <w:r>
        <w:t>ch via a grant under the NVETR P</w:t>
      </w:r>
      <w:r w:rsidRPr="003716FE">
        <w:t xml:space="preserve">rogram. These grants are awarded to organisations through a competitive process, in which NCVER does not participate. </w:t>
      </w:r>
    </w:p>
    <w:p w:rsidR="00282739" w:rsidRPr="00FF41C9" w:rsidRDefault="00282739" w:rsidP="00282739">
      <w:pPr>
        <w:pStyle w:val="Text"/>
      </w:pPr>
    </w:p>
    <w:p w:rsidR="005F39C2" w:rsidRDefault="005F39C2"/>
    <w:sectPr w:rsidR="005F39C2" w:rsidSect="00CC51C5">
      <w:footerReference w:type="even" r:id="rId64"/>
      <w:footerReference w:type="default" r:id="rId65"/>
      <w:pgSz w:w="11907" w:h="16840" w:code="9"/>
      <w:pgMar w:top="1276" w:right="1701" w:bottom="1276"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739" w:rsidRDefault="00282739" w:rsidP="00282739">
      <w:pPr>
        <w:spacing w:before="0" w:line="240" w:lineRule="auto"/>
      </w:pPr>
      <w:r>
        <w:separator/>
      </w:r>
    </w:p>
  </w:endnote>
  <w:endnote w:type="continuationSeparator" w:id="0">
    <w:p w:rsidR="00282739" w:rsidRDefault="00282739" w:rsidP="0028273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739" w:rsidRPr="008C0A74" w:rsidRDefault="00282739" w:rsidP="00FF5931">
    <w:pPr>
      <w:pStyle w:val="Footer"/>
      <w:tabs>
        <w:tab w:val="clear" w:pos="8505"/>
        <w:tab w:val="right" w:pos="8789"/>
      </w:tabs>
      <w:rPr>
        <w:b/>
      </w:rPr>
    </w:pPr>
    <w:r>
      <w:rPr>
        <w:b/>
        <w:noProof/>
        <w:color w:val="FFFFFF" w:themeColor="background1"/>
        <w:lang w:eastAsia="en-AU"/>
      </w:rPr>
      <mc:AlternateContent>
        <mc:Choice Requires="wps">
          <w:drawing>
            <wp:anchor distT="0" distB="0" distL="114300" distR="114300" simplePos="0" relativeHeight="251656192" behindDoc="1" locked="0" layoutInCell="1" allowOverlap="1" wp14:anchorId="12015D85" wp14:editId="596D774E">
              <wp:simplePos x="0" y="0"/>
              <wp:positionH relativeFrom="column">
                <wp:posOffset>-1080135</wp:posOffset>
              </wp:positionH>
              <wp:positionV relativeFrom="paragraph">
                <wp:posOffset>-31115</wp:posOffset>
              </wp:positionV>
              <wp:extent cx="1257300" cy="238125"/>
              <wp:effectExtent l="0" t="0" r="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5.05pt;margin-top:-2.45pt;width:99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0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RVG&#10;igxwRF9ANKLWkqPT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X/qH9JgCAABoBQAADgAAAAAAAAAAAAAAAAAuAgAAZHJzL2Uy&#10;b0RvYy54bWxQSwECLQAUAAYACAAAACEA/ZB0tuEAAAAJAQAADwAAAAAAAAAAAAAAAADyBAAAZHJz&#10;L2Rvd25yZXYueG1sUEsFBgAAAAAEAAQA8wAAAAAGAAAAAA==&#10;" fillcolor="black [3213]" stroked="f" strokecolor="#bfbfbf [2412]"/>
          </w:pict>
        </mc:Fallback>
      </mc:AlternateContent>
    </w:r>
    <w:r w:rsidRPr="008C0A74">
      <w:rPr>
        <w:b/>
        <w:color w:val="FFFFFF" w:themeColor="background1"/>
      </w:rPr>
      <w:fldChar w:fldCharType="begin"/>
    </w:r>
    <w:r w:rsidRPr="008C0A74">
      <w:rPr>
        <w:b/>
        <w:color w:val="FFFFFF" w:themeColor="background1"/>
      </w:rPr>
      <w:instrText xml:space="preserve"> PAGE </w:instrText>
    </w:r>
    <w:r w:rsidRPr="008C0A74">
      <w:rPr>
        <w:b/>
        <w:color w:val="FFFFFF" w:themeColor="background1"/>
      </w:rPr>
      <w:fldChar w:fldCharType="separate"/>
    </w:r>
    <w:r>
      <w:rPr>
        <w:b/>
        <w:noProof/>
        <w:color w:val="FFFFFF" w:themeColor="background1"/>
      </w:rPr>
      <w:t>22</w:t>
    </w:r>
    <w:r w:rsidRPr="008C0A74">
      <w:rPr>
        <w:b/>
        <w:color w:val="FFFFFF" w:themeColor="background1"/>
      </w:rPr>
      <w:fldChar w:fldCharType="end"/>
    </w:r>
    <w:r w:rsidRPr="008C0A74">
      <w:rPr>
        <w:b/>
        <w:color w:val="FFFFFF" w:themeColor="background1"/>
      </w:rPr>
      <w:tab/>
    </w:r>
    <w:r>
      <w:rPr>
        <w:b/>
      </w:rPr>
      <w:t>Does scored VET in Schools help or hinder access to higher education in Victoria?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739" w:rsidRPr="009775C7" w:rsidRDefault="00282739" w:rsidP="008C0A74">
    <w:pPr>
      <w:pStyle w:val="Footer"/>
      <w:tabs>
        <w:tab w:val="clear" w:pos="8505"/>
        <w:tab w:val="right" w:pos="8789"/>
      </w:tabs>
      <w:rPr>
        <w:color w:val="FFFFFF" w:themeColor="background1"/>
      </w:rPr>
    </w:pPr>
    <w:r>
      <w:rPr>
        <w:b/>
        <w:noProof/>
        <w:lang w:eastAsia="en-AU"/>
      </w:rPr>
      <mc:AlternateContent>
        <mc:Choice Requires="wps">
          <w:drawing>
            <wp:anchor distT="0" distB="0" distL="114300" distR="114300" simplePos="0" relativeHeight="251658240" behindDoc="1" locked="0" layoutInCell="1" allowOverlap="1" wp14:anchorId="40D83B6D" wp14:editId="426CAA0D">
              <wp:simplePos x="0" y="0"/>
              <wp:positionH relativeFrom="column">
                <wp:posOffset>5405120</wp:posOffset>
              </wp:positionH>
              <wp:positionV relativeFrom="paragraph">
                <wp:posOffset>-31115</wp:posOffset>
              </wp:positionV>
              <wp:extent cx="1257300" cy="238125"/>
              <wp:effectExtent l="0" t="0" r="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25.6pt;margin-top:-2.45pt;width:99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O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acY&#10;KTLAEX0B0YhaS46q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" fillcolor="black [3213]" stroked="f" strokecolor="#bfbfbf [2412]"/>
          </w:pict>
        </mc:Fallback>
      </mc:AlternateContent>
    </w:r>
    <w:r w:rsidRPr="009775C7">
      <w:rPr>
        <w:b/>
      </w:rPr>
      <w:t>NCVER</w:t>
    </w:r>
    <w:r w:rsidRPr="009775C7">
      <w:tab/>
    </w:r>
    <w:r w:rsidRPr="009775C7">
      <w:rPr>
        <w:rStyle w:val="PageNumber"/>
        <w:rFonts w:cs="Tahoma"/>
        <w:b/>
        <w:color w:val="FFFFFF" w:themeColor="background1"/>
        <w:sz w:val="17"/>
      </w:rPr>
      <w:fldChar w:fldCharType="begin"/>
    </w:r>
    <w:r w:rsidRPr="009775C7">
      <w:rPr>
        <w:rStyle w:val="PageNumber"/>
        <w:rFonts w:cs="Tahoma"/>
        <w:color w:val="FFFFFF" w:themeColor="background1"/>
        <w:sz w:val="17"/>
      </w:rPr>
      <w:instrText xml:space="preserve"> PAGE </w:instrText>
    </w:r>
    <w:r w:rsidRPr="009775C7">
      <w:rPr>
        <w:rStyle w:val="PageNumber"/>
        <w:rFonts w:cs="Tahoma"/>
        <w:b/>
        <w:color w:val="FFFFFF" w:themeColor="background1"/>
        <w:sz w:val="17"/>
      </w:rPr>
      <w:fldChar w:fldCharType="separate"/>
    </w:r>
    <w:r w:rsidR="000E6CC0">
      <w:rPr>
        <w:rStyle w:val="PageNumber"/>
        <w:rFonts w:cs="Tahoma"/>
        <w:noProof/>
        <w:color w:val="FFFFFF" w:themeColor="background1"/>
        <w:sz w:val="17"/>
      </w:rPr>
      <w:t>23</w:t>
    </w:r>
    <w:r w:rsidRPr="009775C7">
      <w:rPr>
        <w:rStyle w:val="PageNumber"/>
        <w:rFonts w:cs="Tahoma"/>
        <w:b/>
        <w:color w:val="FFFFFF" w:themeColor="background1"/>
        <w:sz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739" w:rsidRPr="008C0A74" w:rsidRDefault="00282739" w:rsidP="00FF5931">
    <w:pPr>
      <w:pStyle w:val="Footer"/>
      <w:tabs>
        <w:tab w:val="clear" w:pos="8505"/>
        <w:tab w:val="right" w:pos="8789"/>
      </w:tabs>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739" w:rsidRPr="009775C7" w:rsidRDefault="00282739"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F03" w:rsidRPr="008C0A74" w:rsidRDefault="00282739" w:rsidP="00FF5931">
    <w:pPr>
      <w:pStyle w:val="Footer"/>
      <w:tabs>
        <w:tab w:val="clear" w:pos="8505"/>
        <w:tab w:val="right" w:pos="8789"/>
      </w:tabs>
      <w:rPr>
        <w:b/>
      </w:rPr>
    </w:pPr>
    <w:r>
      <w:rPr>
        <w:b/>
        <w:noProof/>
        <w:color w:val="FFFFFF" w:themeColor="background1"/>
        <w:lang w:eastAsia="en-AU"/>
      </w:rPr>
      <mc:AlternateContent>
        <mc:Choice Requires="wps">
          <w:drawing>
            <wp:anchor distT="0" distB="0" distL="114300" distR="114300" simplePos="0" relativeHeight="251657216" behindDoc="1" locked="0" layoutInCell="1" allowOverlap="1" wp14:anchorId="6C3B6FAC" wp14:editId="3F380B9A">
              <wp:simplePos x="0" y="0"/>
              <wp:positionH relativeFrom="column">
                <wp:posOffset>-1080135</wp:posOffset>
              </wp:positionH>
              <wp:positionV relativeFrom="paragraph">
                <wp:posOffset>-31115</wp:posOffset>
              </wp:positionV>
              <wp:extent cx="1257300" cy="238125"/>
              <wp:effectExtent l="0" t="0" r="0" b="9525"/>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5.05pt;margin-top:-2.45pt;width:99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" fillcolor="black [3213]" stroked="f" strokecolor="#bfbfbf [2412]"/>
          </w:pict>
        </mc:Fallback>
      </mc:AlternateContent>
    </w:r>
    <w:r w:rsidRPr="008C0A74">
      <w:rPr>
        <w:b/>
        <w:color w:val="FFFFFF" w:themeColor="background1"/>
      </w:rPr>
      <w:fldChar w:fldCharType="begin"/>
    </w:r>
    <w:r w:rsidRPr="008C0A74">
      <w:rPr>
        <w:b/>
        <w:color w:val="FFFFFF" w:themeColor="background1"/>
      </w:rPr>
      <w:instrText xml:space="preserve"> PAGE </w:instrText>
    </w:r>
    <w:r w:rsidRPr="008C0A74">
      <w:rPr>
        <w:b/>
        <w:color w:val="FFFFFF" w:themeColor="background1"/>
      </w:rPr>
      <w:fldChar w:fldCharType="separate"/>
    </w:r>
    <w:r>
      <w:rPr>
        <w:b/>
        <w:noProof/>
        <w:color w:val="FFFFFF" w:themeColor="background1"/>
      </w:rPr>
      <w:t>50</w:t>
    </w:r>
    <w:r w:rsidRPr="008C0A74">
      <w:rPr>
        <w:b/>
        <w:color w:val="FFFFFF" w:themeColor="background1"/>
      </w:rPr>
      <w:fldChar w:fldCharType="end"/>
    </w:r>
    <w:r w:rsidRPr="008C0A74">
      <w:rPr>
        <w:b/>
        <w:color w:val="FFFFFF" w:themeColor="background1"/>
      </w:rPr>
      <w:tab/>
    </w:r>
    <w:r>
      <w:rPr>
        <w:b/>
      </w:rPr>
      <w:t>Does scored VET in Schools help or hinder access to higher education in Victoria?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F03" w:rsidRPr="009775C7" w:rsidRDefault="00282739" w:rsidP="008C0A74">
    <w:pPr>
      <w:pStyle w:val="Footer"/>
      <w:tabs>
        <w:tab w:val="clear" w:pos="8505"/>
        <w:tab w:val="right" w:pos="8789"/>
      </w:tabs>
      <w:rPr>
        <w:color w:val="FFFFFF" w:themeColor="background1"/>
      </w:rPr>
    </w:pPr>
    <w:r>
      <w:rPr>
        <w:b/>
        <w:noProof/>
        <w:lang w:eastAsia="en-AU"/>
      </w:rPr>
      <mc:AlternateContent>
        <mc:Choice Requires="wps">
          <w:drawing>
            <wp:anchor distT="0" distB="0" distL="114300" distR="114300" simplePos="0" relativeHeight="251659264" behindDoc="1" locked="0" layoutInCell="1" allowOverlap="1" wp14:anchorId="54A2BFCF" wp14:editId="02A53E39">
              <wp:simplePos x="0" y="0"/>
              <wp:positionH relativeFrom="column">
                <wp:posOffset>5405120</wp:posOffset>
              </wp:positionH>
              <wp:positionV relativeFrom="paragraph">
                <wp:posOffset>-31115</wp:posOffset>
              </wp:positionV>
              <wp:extent cx="1257300" cy="238125"/>
              <wp:effectExtent l="0" t="0" r="0" b="9525"/>
              <wp:wrapNone/>
              <wp:docPr id="2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25.6pt;margin-top:-2.45pt;width:99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HGmQIAAGo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" fillcolor="black [3213]" stroked="f" strokecolor="#bfbfbf [2412]"/>
          </w:pict>
        </mc:Fallback>
      </mc:AlternateContent>
    </w:r>
    <w:r w:rsidRPr="009775C7">
      <w:rPr>
        <w:b/>
      </w:rPr>
      <w:t>NCVER</w:t>
    </w:r>
    <w:r w:rsidRPr="009775C7">
      <w:tab/>
    </w:r>
    <w:r w:rsidRPr="009775C7">
      <w:rPr>
        <w:rStyle w:val="PageNumber"/>
        <w:rFonts w:cs="Tahoma"/>
        <w:b/>
        <w:color w:val="FFFFFF" w:themeColor="background1"/>
        <w:sz w:val="17"/>
      </w:rPr>
      <w:fldChar w:fldCharType="begin"/>
    </w:r>
    <w:r w:rsidRPr="009775C7">
      <w:rPr>
        <w:rStyle w:val="PageNumber"/>
        <w:rFonts w:cs="Tahoma"/>
        <w:color w:val="FFFFFF" w:themeColor="background1"/>
        <w:sz w:val="17"/>
      </w:rPr>
      <w:instrText xml:space="preserve"> PAGE </w:instrText>
    </w:r>
    <w:r w:rsidRPr="009775C7">
      <w:rPr>
        <w:rStyle w:val="PageNumber"/>
        <w:rFonts w:cs="Tahoma"/>
        <w:b/>
        <w:color w:val="FFFFFF" w:themeColor="background1"/>
        <w:sz w:val="17"/>
      </w:rPr>
      <w:fldChar w:fldCharType="separate"/>
    </w:r>
    <w:r w:rsidR="000E6CC0">
      <w:rPr>
        <w:rStyle w:val="PageNumber"/>
        <w:rFonts w:cs="Tahoma"/>
        <w:noProof/>
        <w:color w:val="FFFFFF" w:themeColor="background1"/>
        <w:sz w:val="17"/>
      </w:rPr>
      <w:t>50</w:t>
    </w:r>
    <w:r w:rsidRPr="009775C7">
      <w:rPr>
        <w:rStyle w:val="PageNumber"/>
        <w:rFonts w:cs="Tahoma"/>
        <w:b/>
        <w:color w:val="FFFFFF" w:themeColor="background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739" w:rsidRDefault="00282739" w:rsidP="00282739">
      <w:pPr>
        <w:spacing w:before="0" w:line="240" w:lineRule="auto"/>
      </w:pPr>
      <w:r>
        <w:separator/>
      </w:r>
    </w:p>
  </w:footnote>
  <w:footnote w:type="continuationSeparator" w:id="0">
    <w:p w:rsidR="00282739" w:rsidRDefault="00282739" w:rsidP="00282739">
      <w:pPr>
        <w:spacing w:before="0" w:line="240" w:lineRule="auto"/>
      </w:pPr>
      <w:r>
        <w:continuationSeparator/>
      </w:r>
    </w:p>
  </w:footnote>
  <w:footnote w:id="1">
    <w:p w:rsidR="00282739" w:rsidRDefault="00282739" w:rsidP="00282739">
      <w:pPr>
        <w:pStyle w:val="FootnoteText"/>
      </w:pPr>
      <w:r>
        <w:rPr>
          <w:rStyle w:val="FootnoteReference"/>
        </w:rPr>
        <w:footnoteRef/>
      </w:r>
      <w:r>
        <w:t xml:space="preserve"> </w:t>
      </w:r>
      <w:r>
        <w:tab/>
        <w:t>The course cut-off score to control for the level of academic aspiration is from 2010, which was the latest available at the time students lodged their university course preferences. This control is not included in the standard results because there are a number of missing student preferences. This control is added as part of the sensitivity analysis (see appendix E).</w:t>
      </w:r>
    </w:p>
  </w:footnote>
  <w:footnote w:id="2">
    <w:p w:rsidR="00282739" w:rsidRDefault="00282739" w:rsidP="00282739">
      <w:pPr>
        <w:pStyle w:val="FootnoteText"/>
      </w:pPr>
      <w:r>
        <w:rPr>
          <w:rStyle w:val="FootnoteReference"/>
        </w:rPr>
        <w:footnoteRef/>
      </w:r>
      <w:r>
        <w:t xml:space="preserve"> </w:t>
      </w:r>
      <w:r>
        <w:tab/>
        <w:t>If we assume that all of the indirect effect is due to differences in uncontrolled-for factors and that these factors have the same negative effect on all subject scores, then we can say that 0.408 (1.632/4) percentage points of the 3.985-percentage-point gap due the direct effect is also explained by uncontrolled-for factors. Therefore, at the most, uncontrolled-for factors would explain 2.04 out of 5.618-percentage-point gap.</w:t>
      </w:r>
    </w:p>
  </w:footnote>
  <w:footnote w:id="3">
    <w:p w:rsidR="00282739" w:rsidRPr="00163107" w:rsidRDefault="00282739" w:rsidP="00282739">
      <w:pPr>
        <w:pStyle w:val="FootnoteText"/>
        <w:rPr>
          <w:rFonts w:ascii="Arial" w:hAnsi="Arial"/>
          <w:sz w:val="18"/>
          <w:szCs w:val="18"/>
        </w:rPr>
      </w:pPr>
      <w:r w:rsidRPr="00163107">
        <w:rPr>
          <w:rStyle w:val="FootnoteReference"/>
          <w:rFonts w:ascii="Arial" w:hAnsi="Arial" w:cs="Arial"/>
          <w:sz w:val="18"/>
          <w:szCs w:val="18"/>
        </w:rPr>
        <w:footnoteRef/>
      </w:r>
      <w:r w:rsidRPr="00163107">
        <w:rPr>
          <w:rFonts w:ascii="Arial" w:hAnsi="Arial"/>
          <w:sz w:val="18"/>
          <w:szCs w:val="18"/>
        </w:rPr>
        <w:t xml:space="preserve"> </w:t>
      </w:r>
      <w:r>
        <w:rPr>
          <w:rFonts w:ascii="Arial" w:hAnsi="Arial"/>
          <w:sz w:val="18"/>
          <w:szCs w:val="18"/>
        </w:rPr>
        <w:tab/>
      </w:r>
      <w:r w:rsidRPr="00801790">
        <w:t xml:space="preserve">To achieve this end, the </w:t>
      </w:r>
      <w:r w:rsidRPr="001C2209">
        <w:t>New Framework</w:t>
      </w:r>
      <w:r w:rsidRPr="00801790">
        <w:t xml:space="preserve"> underlines the importance of course competency counting towards both the attainment of a VET qualification and </w:t>
      </w:r>
      <w:r>
        <w:t>university entry scores. In practic</w:t>
      </w:r>
      <w:r w:rsidRPr="00801790">
        <w:t>e, the group of vocational courses that count towards a qualification and a university entry score vary across states.</w:t>
      </w:r>
    </w:p>
  </w:footnote>
  <w:footnote w:id="4">
    <w:p w:rsidR="00282739" w:rsidRPr="00AF4935" w:rsidRDefault="00282739" w:rsidP="00282739">
      <w:pPr>
        <w:pStyle w:val="FootnoteText"/>
      </w:pPr>
      <w:r>
        <w:rPr>
          <w:rStyle w:val="FootnoteReference"/>
        </w:rPr>
        <w:footnoteRef/>
      </w:r>
      <w:r>
        <w:t xml:space="preserve"> </w:t>
      </w:r>
      <w:r>
        <w:tab/>
      </w:r>
      <w:r w:rsidRPr="00EC76DB">
        <w:t xml:space="preserve">It is also possible in Victoria to undertake a VET </w:t>
      </w:r>
      <w:r>
        <w:t>subject</w:t>
      </w:r>
      <w:r w:rsidRPr="00EC76DB">
        <w:t xml:space="preserve"> in Year 12 that counts towards a national VET qualification, but does not attract a study score. In these cases, students who receive a university study score get a 10% bonus on their </w:t>
      </w:r>
      <w:r>
        <w:t>‘</w:t>
      </w:r>
      <w:r w:rsidRPr="00EC76DB">
        <w:t>primary four</w:t>
      </w:r>
      <w:r>
        <w:t>’</w:t>
      </w:r>
      <w:r w:rsidRPr="00EC76DB">
        <w:t xml:space="preserve"> subjects (English score plus their top three courses). However, to simplify things, we restrict the analysis to examining the effects of undertaking VCE VET subjects.</w:t>
      </w:r>
    </w:p>
  </w:footnote>
  <w:footnote w:id="5">
    <w:p w:rsidR="00282739" w:rsidRPr="000952A2" w:rsidRDefault="00282739" w:rsidP="00282739">
      <w:pPr>
        <w:pStyle w:val="FootnoteText"/>
      </w:pPr>
      <w:r>
        <w:rPr>
          <w:rStyle w:val="FootnoteReference"/>
        </w:rPr>
        <w:footnoteRef/>
      </w:r>
      <w:r>
        <w:t xml:space="preserve"> </w:t>
      </w:r>
      <w:r>
        <w:tab/>
      </w:r>
      <w:r w:rsidRPr="000952A2">
        <w:t xml:space="preserve">On Track surveys school leavers </w:t>
      </w:r>
      <w:r>
        <w:t>who have left school in the previous</w:t>
      </w:r>
      <w:r w:rsidRPr="000952A2">
        <w:t xml:space="preserve"> six months to </w:t>
      </w:r>
      <w:r>
        <w:t>ascertain whether</w:t>
      </w:r>
      <w:r w:rsidRPr="000952A2">
        <w:t xml:space="preserve"> they are on a path to further education, training or employment. It also enables young people to seek further advice and assistance via</w:t>
      </w:r>
      <w:r>
        <w:t xml:space="preserve"> a referral service if required.</w:t>
      </w:r>
    </w:p>
  </w:footnote>
  <w:footnote w:id="6">
    <w:p w:rsidR="00282739" w:rsidRPr="00F71FCF" w:rsidRDefault="00282739" w:rsidP="00282739">
      <w:pPr>
        <w:pStyle w:val="FootnoteText"/>
        <w:rPr>
          <w:lang w:val="en-US"/>
        </w:rPr>
      </w:pPr>
      <w:r>
        <w:rPr>
          <w:rStyle w:val="FootnoteReference"/>
        </w:rPr>
        <w:footnoteRef/>
      </w:r>
      <w:r>
        <w:t xml:space="preserve"> </w:t>
      </w:r>
      <w:r>
        <w:tab/>
        <w:t>Following the Victorian Certificate of Education review.</w:t>
      </w:r>
    </w:p>
  </w:footnote>
  <w:footnote w:id="7">
    <w:p w:rsidR="00282739" w:rsidRPr="00A2363D" w:rsidRDefault="00282739" w:rsidP="00282739">
      <w:pPr>
        <w:pStyle w:val="FootnoteText"/>
        <w:rPr>
          <w:lang w:val="en-US"/>
        </w:rPr>
      </w:pPr>
      <w:r>
        <w:rPr>
          <w:rStyle w:val="FootnoteReference"/>
        </w:rPr>
        <w:footnoteRef/>
      </w:r>
      <w:r>
        <w:t xml:space="preserve"> </w:t>
      </w:r>
      <w:r>
        <w:tab/>
      </w:r>
      <w:r w:rsidRPr="00BD7155">
        <w:t>VCE subjects at units 1 and 2 contribute towards a secondary school certificate, but do not attract a university score.</w:t>
      </w:r>
    </w:p>
  </w:footnote>
  <w:footnote w:id="8">
    <w:p w:rsidR="00282739" w:rsidRDefault="00282739" w:rsidP="00282739">
      <w:pPr>
        <w:pStyle w:val="FootnoteText"/>
      </w:pPr>
      <w:r>
        <w:rPr>
          <w:rStyle w:val="FootnoteReference"/>
        </w:rPr>
        <w:footnoteRef/>
      </w:r>
      <w:r>
        <w:t xml:space="preserve"> </w:t>
      </w:r>
      <w:r>
        <w:tab/>
      </w:r>
      <w:r w:rsidRPr="00BD7155">
        <w:rPr>
          <w:rStyle w:val="FootnoteTextChar"/>
          <w:lang w:val="en-US"/>
        </w:rPr>
        <w:t>I</w:t>
      </w:r>
      <w:r w:rsidRPr="00BD7155">
        <w:rPr>
          <w:rStyle w:val="FootnoteTextChar"/>
        </w:rPr>
        <w:t xml:space="preserve">n such cases, students will not receive an increment of 10% of their primary four subjects, which is available to students who complete </w:t>
      </w:r>
      <w:r>
        <w:rPr>
          <w:rStyle w:val="FootnoteTextChar"/>
        </w:rPr>
        <w:t xml:space="preserve">VCE </w:t>
      </w:r>
      <w:r w:rsidRPr="00BD7155">
        <w:rPr>
          <w:rStyle w:val="FootnoteTextChar"/>
        </w:rPr>
        <w:t>VET subjects that are not scored.</w:t>
      </w:r>
    </w:p>
  </w:footnote>
  <w:footnote w:id="9">
    <w:p w:rsidR="00282739" w:rsidRPr="003B374D" w:rsidRDefault="00282739" w:rsidP="00282739">
      <w:pPr>
        <w:pStyle w:val="FootnoteText"/>
        <w:rPr>
          <w:lang w:val="en-US"/>
        </w:rPr>
      </w:pPr>
      <w:r>
        <w:rPr>
          <w:rStyle w:val="FootnoteReference"/>
        </w:rPr>
        <w:footnoteRef/>
      </w:r>
      <w:r>
        <w:t xml:space="preserve"> </w:t>
      </w:r>
      <w:r>
        <w:tab/>
      </w:r>
      <w:r>
        <w:rPr>
          <w:lang w:val="en-US"/>
        </w:rPr>
        <w:t>Except for dance, where assessment is 50% examination and 50% coursework. The higher weighting given to internal assessment is in contrast to assessment in general courses, where external assessment is given greater weight.</w:t>
      </w:r>
    </w:p>
  </w:footnote>
  <w:footnote w:id="10">
    <w:p w:rsidR="00282739" w:rsidRPr="00C92E04" w:rsidRDefault="00282739" w:rsidP="00282739">
      <w:pPr>
        <w:pStyle w:val="FootnoteText"/>
        <w:rPr>
          <w:lang w:val="en-US"/>
        </w:rPr>
      </w:pPr>
      <w:r>
        <w:rPr>
          <w:rStyle w:val="FootnoteReference"/>
        </w:rPr>
        <w:footnoteRef/>
      </w:r>
      <w:r>
        <w:t xml:space="preserve"> </w:t>
      </w:r>
      <w:r>
        <w:tab/>
        <w:t xml:space="preserve">Only students who attain at least minimum competency in all units attain a study score. </w:t>
      </w:r>
      <w:r>
        <w:rPr>
          <w:lang w:val="en-US"/>
        </w:rPr>
        <w:t>Students who attain a minimum competency can also opt not to receive a study score.</w:t>
      </w:r>
    </w:p>
  </w:footnote>
  <w:footnote w:id="11">
    <w:p w:rsidR="00282739" w:rsidRPr="00987BE2" w:rsidRDefault="00282739" w:rsidP="00282739">
      <w:pPr>
        <w:pStyle w:val="FootnoteText"/>
      </w:pPr>
      <w:r w:rsidRPr="00665FD5">
        <w:rPr>
          <w:rStyle w:val="FootnoteReference"/>
          <w:szCs w:val="16"/>
        </w:rPr>
        <w:footnoteRef/>
      </w:r>
      <w:r w:rsidRPr="00665FD5">
        <w:t xml:space="preserve"> </w:t>
      </w:r>
      <w:r>
        <w:tab/>
      </w:r>
      <w:r w:rsidRPr="00987BE2">
        <w:t xml:space="preserve">Whether or not students intend to go to university is determined by whether </w:t>
      </w:r>
      <w:r w:rsidRPr="00987BE2">
        <w:rPr>
          <w:lang w:val="en-GB"/>
        </w:rPr>
        <w:t>students apply to the Victorian Tertiary Admissions Centre for entry to tertiary study with a university course as their first preference.</w:t>
      </w:r>
    </w:p>
  </w:footnote>
  <w:footnote w:id="12">
    <w:p w:rsidR="00282739" w:rsidRPr="00D966A6" w:rsidRDefault="00282739" w:rsidP="00282739">
      <w:pPr>
        <w:pStyle w:val="FootnoteText"/>
        <w:rPr>
          <w:lang w:val="en-US"/>
        </w:rPr>
      </w:pPr>
      <w:r>
        <w:rPr>
          <w:rStyle w:val="FootnoteReference"/>
        </w:rPr>
        <w:footnoteRef/>
      </w:r>
      <w:r>
        <w:t xml:space="preserve"> </w:t>
      </w:r>
      <w:r>
        <w:tab/>
      </w:r>
      <w:r>
        <w:rPr>
          <w:lang w:val="en-US"/>
        </w:rPr>
        <w:t>Preferences entered prior to sitting their final exams can be altered in December once final results are released. Students who have not entered preferences before the final exams can also do so in December.</w:t>
      </w:r>
    </w:p>
  </w:footnote>
  <w:footnote w:id="13">
    <w:p w:rsidR="00282739" w:rsidRPr="00584A26" w:rsidRDefault="00282739" w:rsidP="00282739">
      <w:pPr>
        <w:pStyle w:val="FootnoteText"/>
        <w:rPr>
          <w:lang w:val="en-US"/>
        </w:rPr>
      </w:pPr>
      <w:r>
        <w:rPr>
          <w:rStyle w:val="FootnoteReference"/>
        </w:rPr>
        <w:footnoteRef/>
      </w:r>
      <w:r>
        <w:t xml:space="preserve"> </w:t>
      </w:r>
      <w:r>
        <w:tab/>
        <w:t>For more information on On Track, including the survey questionnaires, visit the On Track website: &lt;</w:t>
      </w:r>
      <w:r w:rsidRPr="00584A26">
        <w:t>http://www.education.vic.gov.au/about/research/Pages/ontrackdata.aspx</w:t>
      </w:r>
      <w:r>
        <w:t>&gt;.</w:t>
      </w:r>
    </w:p>
  </w:footnote>
  <w:footnote w:id="14">
    <w:p w:rsidR="00282739" w:rsidRPr="00E418A7" w:rsidRDefault="00282739" w:rsidP="00282739">
      <w:pPr>
        <w:pStyle w:val="FootnoteText"/>
        <w:rPr>
          <w:lang w:val="en-US"/>
        </w:rPr>
      </w:pPr>
      <w:r>
        <w:rPr>
          <w:rStyle w:val="FootnoteReference"/>
        </w:rPr>
        <w:footnoteRef/>
      </w:r>
      <w:r>
        <w:t xml:space="preserve"> </w:t>
      </w:r>
      <w:r>
        <w:tab/>
      </w:r>
      <w:r>
        <w:rPr>
          <w:lang w:val="en-US"/>
        </w:rPr>
        <w:t>Ideally, we would compare course preferences from VTAC with course offers from On Track. However, On Track only includes information on the field of education of course offer and cannot be accurately reconciled with course preference.</w:t>
      </w:r>
    </w:p>
  </w:footnote>
  <w:footnote w:id="15">
    <w:p w:rsidR="00282739" w:rsidRPr="000835AA" w:rsidRDefault="00282739" w:rsidP="00282739">
      <w:pPr>
        <w:pStyle w:val="FootnoteText"/>
        <w:rPr>
          <w:lang w:val="en-US"/>
        </w:rPr>
      </w:pPr>
      <w:r>
        <w:rPr>
          <w:rStyle w:val="FootnoteReference"/>
        </w:rPr>
        <w:footnoteRef/>
      </w:r>
      <w:r>
        <w:t xml:space="preserve"> </w:t>
      </w:r>
      <w:r>
        <w:tab/>
      </w:r>
      <w:r>
        <w:rPr>
          <w:lang w:val="en-US"/>
        </w:rPr>
        <w:t>Exclusion restrictions are variables that affect selection into treatment, but do not affect the variable of interest.</w:t>
      </w:r>
    </w:p>
  </w:footnote>
  <w:footnote w:id="16">
    <w:p w:rsidR="00282739" w:rsidRPr="00505728" w:rsidRDefault="00282739" w:rsidP="00282739">
      <w:pPr>
        <w:pStyle w:val="FootnoteText"/>
        <w:rPr>
          <w:lang w:val="en-US"/>
        </w:rPr>
      </w:pPr>
      <w:r>
        <w:rPr>
          <w:rStyle w:val="FootnoteReference"/>
        </w:rPr>
        <w:footnoteRef/>
      </w:r>
      <w:r>
        <w:t xml:space="preserve"> </w:t>
      </w:r>
      <w:r>
        <w:tab/>
      </w:r>
      <w:r>
        <w:rPr>
          <w:lang w:val="en-US"/>
        </w:rPr>
        <w:t>Kernel matching is conducted using a conservative bandwidth of 0.02.</w:t>
      </w:r>
    </w:p>
  </w:footnote>
  <w:footnote w:id="17">
    <w:p w:rsidR="00282739" w:rsidRDefault="00282739" w:rsidP="00282739">
      <w:pPr>
        <w:pStyle w:val="FootnoteText"/>
      </w:pPr>
      <w:r>
        <w:rPr>
          <w:rStyle w:val="FootnoteReference"/>
        </w:rPr>
        <w:footnoteRef/>
      </w:r>
      <w:r>
        <w:t xml:space="preserve"> </w:t>
      </w:r>
      <w:r>
        <w:tab/>
        <w:t xml:space="preserve">In Victoria, only English and the highest three contribute equal weight (100%) and the fifth subject (and potentially sixth) only contributes 10%. See appendix C for technical details. Note that in working out the average contributions of the indirect effect to the overall entry score, we divide by four because the vast majority students take five VCE subjects. </w:t>
      </w:r>
    </w:p>
  </w:footnote>
  <w:footnote w:id="18">
    <w:p w:rsidR="00282739" w:rsidRDefault="00282739" w:rsidP="00282739">
      <w:pPr>
        <w:pStyle w:val="FootnoteText"/>
      </w:pPr>
      <w:r>
        <w:rPr>
          <w:rStyle w:val="FootnoteReference"/>
        </w:rPr>
        <w:footnoteRef/>
      </w:r>
      <w:r>
        <w:t xml:space="preserve"> </w:t>
      </w:r>
      <w:r>
        <w:tab/>
        <w:t>If we assume that all of the indirect effect is due to differences in uncontrolled-for factors and that these factors have the same negative effect on all subject scores, then we can say that 0.408 (1.632/4) percentage points of the 3.985-percentage-p</w:t>
      </w:r>
      <w:r w:rsidRPr="00EC73B9">
        <w:t>oint gap due to the</w:t>
      </w:r>
      <w:r>
        <w:t xml:space="preserve"> direct effect is also explained by uncontrolled-for factors. Therefore, at the most, uncontrolled-for factors would explain 2.04 of the 5.618-percentage-point gap.</w:t>
      </w:r>
    </w:p>
  </w:footnote>
  <w:footnote w:id="19">
    <w:p w:rsidR="00282739" w:rsidRDefault="00282739" w:rsidP="00282739">
      <w:pPr>
        <w:pStyle w:val="FootnoteText"/>
      </w:pPr>
      <w:r>
        <w:rPr>
          <w:rStyle w:val="FootnoteReference"/>
        </w:rPr>
        <w:footnoteRef/>
      </w:r>
      <w:r>
        <w:t xml:space="preserve"> </w:t>
      </w:r>
      <w:r>
        <w:tab/>
        <w:t>Making VET in S</w:t>
      </w:r>
      <w:r w:rsidRPr="00C43327">
        <w:t>chools more accessible for students of all academic backgrounds</w:t>
      </w:r>
      <w:r>
        <w:t xml:space="preserve">, including those who intend to go on to university, is an objective of the Australian Government, as outlined in the </w:t>
      </w:r>
      <w:r w:rsidRPr="00C43327">
        <w:t>New Framework for Vocational Education in Schools (</w:t>
      </w:r>
      <w:r>
        <w:rPr>
          <w:rFonts w:eastAsia="PMingLiU"/>
        </w:rPr>
        <w:t>Ministerial Council on Education, Employment, Training and Youth Affairs</w:t>
      </w:r>
      <w:r w:rsidRPr="00C43327">
        <w:t> 2001). To achieve this end, the New Framework underlines the importance of course competency counting towards both the attainment of a VET qualification and</w:t>
      </w:r>
      <w:r>
        <w:t xml:space="preserve"> university entry scores. </w:t>
      </w:r>
    </w:p>
  </w:footnote>
  <w:footnote w:id="20">
    <w:p w:rsidR="00282739" w:rsidRPr="00542C2D" w:rsidRDefault="00282739" w:rsidP="00282739">
      <w:pPr>
        <w:pStyle w:val="FootnoteText"/>
        <w:rPr>
          <w:lang w:val="en-US"/>
        </w:rPr>
      </w:pPr>
      <w:r>
        <w:rPr>
          <w:rStyle w:val="FootnoteReference"/>
        </w:rPr>
        <w:footnoteRef/>
      </w:r>
      <w:r>
        <w:t xml:space="preserve"> </w:t>
      </w:r>
      <w:r>
        <w:tab/>
      </w:r>
      <w:r>
        <w:rPr>
          <w:lang w:val="en-GB"/>
        </w:rPr>
        <w:t>For simplicity of estimation, we assume that</w:t>
      </w:r>
      <w:r w:rsidRPr="00232785">
        <w:rPr>
          <w:position w:val="-10"/>
          <w:lang w:val="en-GB"/>
        </w:rPr>
        <w:object w:dxaOrig="999" w:dyaOrig="320">
          <v:shape id="_x0000_i1049" type="#_x0000_t75" style="width:50.25pt;height:15.75pt" o:ole="">
            <v:imagedata r:id="rId1" o:title=""/>
          </v:shape>
          <o:OLEObject Type="Embed" ProgID="Equation.DSMT4" ShapeID="_x0000_i1049" DrawAspect="Content" ObjectID="_1479886943" r:id="rId2"/>
        </w:object>
      </w:r>
      <w:r>
        <w:rPr>
          <w:lang w:val="en-GB"/>
        </w:rPr>
        <w:t>, which it is in the vast majority of cases.</w:t>
      </w:r>
    </w:p>
  </w:footnote>
  <w:footnote w:id="21">
    <w:p w:rsidR="00282739" w:rsidRPr="00D41DAA" w:rsidRDefault="00282739" w:rsidP="00282739">
      <w:pPr>
        <w:pStyle w:val="FootnoteText"/>
        <w:rPr>
          <w:lang w:val="en-US"/>
        </w:rPr>
      </w:pPr>
      <w:r>
        <w:rPr>
          <w:rStyle w:val="FootnoteReference"/>
        </w:rPr>
        <w:footnoteRef/>
      </w:r>
      <w:r>
        <w:t xml:space="preserve"> </w:t>
      </w:r>
      <w:r>
        <w:tab/>
      </w:r>
      <w:r>
        <w:rPr>
          <w:lang w:val="en-US"/>
        </w:rPr>
        <w:t>Or at least similar enough so that there are no differences in university entry scores between students who take VET courses and those who do not due to differences in general courses taken.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39"/>
    <w:rsid w:val="000062F8"/>
    <w:rsid w:val="000075A8"/>
    <w:rsid w:val="00014938"/>
    <w:rsid w:val="00015F13"/>
    <w:rsid w:val="00017D2A"/>
    <w:rsid w:val="000205AD"/>
    <w:rsid w:val="00020C65"/>
    <w:rsid w:val="00021AA4"/>
    <w:rsid w:val="0002224F"/>
    <w:rsid w:val="00024D62"/>
    <w:rsid w:val="000331A0"/>
    <w:rsid w:val="000415CA"/>
    <w:rsid w:val="00044362"/>
    <w:rsid w:val="00044DB9"/>
    <w:rsid w:val="00051F72"/>
    <w:rsid w:val="000563A1"/>
    <w:rsid w:val="00061717"/>
    <w:rsid w:val="00062B1E"/>
    <w:rsid w:val="00065EB4"/>
    <w:rsid w:val="00067816"/>
    <w:rsid w:val="000854BD"/>
    <w:rsid w:val="00093CDB"/>
    <w:rsid w:val="000A4D08"/>
    <w:rsid w:val="000A6ABA"/>
    <w:rsid w:val="000B28F4"/>
    <w:rsid w:val="000B5532"/>
    <w:rsid w:val="000B777A"/>
    <w:rsid w:val="000C359D"/>
    <w:rsid w:val="000C4309"/>
    <w:rsid w:val="000C6359"/>
    <w:rsid w:val="000D1BF0"/>
    <w:rsid w:val="000E07E9"/>
    <w:rsid w:val="000E49C1"/>
    <w:rsid w:val="000E6175"/>
    <w:rsid w:val="000E6440"/>
    <w:rsid w:val="000E6CC0"/>
    <w:rsid w:val="000F6171"/>
    <w:rsid w:val="0010098D"/>
    <w:rsid w:val="00101D1B"/>
    <w:rsid w:val="00117811"/>
    <w:rsid w:val="0012553E"/>
    <w:rsid w:val="001260C1"/>
    <w:rsid w:val="001270B6"/>
    <w:rsid w:val="00132A56"/>
    <w:rsid w:val="001356F2"/>
    <w:rsid w:val="001371FB"/>
    <w:rsid w:val="001602D3"/>
    <w:rsid w:val="00174301"/>
    <w:rsid w:val="001747D7"/>
    <w:rsid w:val="00175694"/>
    <w:rsid w:val="0018331D"/>
    <w:rsid w:val="0019697B"/>
    <w:rsid w:val="001A1343"/>
    <w:rsid w:val="001A1576"/>
    <w:rsid w:val="001A21D1"/>
    <w:rsid w:val="001B12CD"/>
    <w:rsid w:val="001B1908"/>
    <w:rsid w:val="001B4F97"/>
    <w:rsid w:val="001D25B0"/>
    <w:rsid w:val="001E55D2"/>
    <w:rsid w:val="001F0966"/>
    <w:rsid w:val="001F799B"/>
    <w:rsid w:val="002021F5"/>
    <w:rsid w:val="00205DEC"/>
    <w:rsid w:val="00206369"/>
    <w:rsid w:val="0020648A"/>
    <w:rsid w:val="002068C4"/>
    <w:rsid w:val="00221DE6"/>
    <w:rsid w:val="00223091"/>
    <w:rsid w:val="00233ACC"/>
    <w:rsid w:val="00233C5A"/>
    <w:rsid w:val="00252CCB"/>
    <w:rsid w:val="00265B0A"/>
    <w:rsid w:val="00273D9C"/>
    <w:rsid w:val="0027555E"/>
    <w:rsid w:val="00280EBC"/>
    <w:rsid w:val="00282739"/>
    <w:rsid w:val="00284C76"/>
    <w:rsid w:val="00287999"/>
    <w:rsid w:val="00287AE8"/>
    <w:rsid w:val="00291745"/>
    <w:rsid w:val="0029606A"/>
    <w:rsid w:val="002A25A8"/>
    <w:rsid w:val="002A25DE"/>
    <w:rsid w:val="002A6374"/>
    <w:rsid w:val="002B13A8"/>
    <w:rsid w:val="002B242A"/>
    <w:rsid w:val="002C29EC"/>
    <w:rsid w:val="002C5D6E"/>
    <w:rsid w:val="002C7B9B"/>
    <w:rsid w:val="002D2BE1"/>
    <w:rsid w:val="002D47F0"/>
    <w:rsid w:val="002D76B2"/>
    <w:rsid w:val="002E1ACC"/>
    <w:rsid w:val="002E1F31"/>
    <w:rsid w:val="002E2C1B"/>
    <w:rsid w:val="002E2E64"/>
    <w:rsid w:val="002F012B"/>
    <w:rsid w:val="002F0C9A"/>
    <w:rsid w:val="002F119A"/>
    <w:rsid w:val="002F3D30"/>
    <w:rsid w:val="0030298E"/>
    <w:rsid w:val="0030326B"/>
    <w:rsid w:val="003153CD"/>
    <w:rsid w:val="00322D45"/>
    <w:rsid w:val="00331E14"/>
    <w:rsid w:val="0033318E"/>
    <w:rsid w:val="00337152"/>
    <w:rsid w:val="00341CC0"/>
    <w:rsid w:val="00352BEB"/>
    <w:rsid w:val="00363E6C"/>
    <w:rsid w:val="0036552C"/>
    <w:rsid w:val="003673FF"/>
    <w:rsid w:val="0037603E"/>
    <w:rsid w:val="00394067"/>
    <w:rsid w:val="00397FD4"/>
    <w:rsid w:val="003A338D"/>
    <w:rsid w:val="003A44C3"/>
    <w:rsid w:val="003B2CE8"/>
    <w:rsid w:val="003B637F"/>
    <w:rsid w:val="003B7D9B"/>
    <w:rsid w:val="003C1E20"/>
    <w:rsid w:val="003C7163"/>
    <w:rsid w:val="003D4C00"/>
    <w:rsid w:val="003D4D22"/>
    <w:rsid w:val="003D5645"/>
    <w:rsid w:val="003D6965"/>
    <w:rsid w:val="003E1B99"/>
    <w:rsid w:val="003E46E7"/>
    <w:rsid w:val="003E7252"/>
    <w:rsid w:val="003E7AB2"/>
    <w:rsid w:val="0040419A"/>
    <w:rsid w:val="004064DC"/>
    <w:rsid w:val="004108BA"/>
    <w:rsid w:val="00425F18"/>
    <w:rsid w:val="0042688F"/>
    <w:rsid w:val="00426928"/>
    <w:rsid w:val="0043565D"/>
    <w:rsid w:val="00440D17"/>
    <w:rsid w:val="00450219"/>
    <w:rsid w:val="00457790"/>
    <w:rsid w:val="00462F0D"/>
    <w:rsid w:val="0046497B"/>
    <w:rsid w:val="00467F0D"/>
    <w:rsid w:val="004800CA"/>
    <w:rsid w:val="004802C3"/>
    <w:rsid w:val="0048328A"/>
    <w:rsid w:val="00486733"/>
    <w:rsid w:val="0049149F"/>
    <w:rsid w:val="0049272D"/>
    <w:rsid w:val="00495DF0"/>
    <w:rsid w:val="004B1B63"/>
    <w:rsid w:val="004B4B56"/>
    <w:rsid w:val="004C1395"/>
    <w:rsid w:val="004D140D"/>
    <w:rsid w:val="004D4BF0"/>
    <w:rsid w:val="004E2EEE"/>
    <w:rsid w:val="004E3532"/>
    <w:rsid w:val="004E3562"/>
    <w:rsid w:val="004E6C91"/>
    <w:rsid w:val="0050338F"/>
    <w:rsid w:val="00507988"/>
    <w:rsid w:val="005113D4"/>
    <w:rsid w:val="00517420"/>
    <w:rsid w:val="00520EF6"/>
    <w:rsid w:val="00522618"/>
    <w:rsid w:val="00526249"/>
    <w:rsid w:val="0053286F"/>
    <w:rsid w:val="005350F8"/>
    <w:rsid w:val="0054075B"/>
    <w:rsid w:val="005416F1"/>
    <w:rsid w:val="0055077A"/>
    <w:rsid w:val="0055258B"/>
    <w:rsid w:val="005605F6"/>
    <w:rsid w:val="005672FB"/>
    <w:rsid w:val="00570389"/>
    <w:rsid w:val="00572892"/>
    <w:rsid w:val="005760FE"/>
    <w:rsid w:val="00577BCB"/>
    <w:rsid w:val="00581418"/>
    <w:rsid w:val="00583316"/>
    <w:rsid w:val="00583E4E"/>
    <w:rsid w:val="00584D54"/>
    <w:rsid w:val="005904FB"/>
    <w:rsid w:val="00590859"/>
    <w:rsid w:val="00596A32"/>
    <w:rsid w:val="005A200E"/>
    <w:rsid w:val="005A4CAB"/>
    <w:rsid w:val="005A67ED"/>
    <w:rsid w:val="005B022D"/>
    <w:rsid w:val="005B0640"/>
    <w:rsid w:val="005B160E"/>
    <w:rsid w:val="005B384A"/>
    <w:rsid w:val="005C053F"/>
    <w:rsid w:val="005C23B6"/>
    <w:rsid w:val="005C3AED"/>
    <w:rsid w:val="005C5146"/>
    <w:rsid w:val="005C634C"/>
    <w:rsid w:val="005C6B88"/>
    <w:rsid w:val="005C7AD5"/>
    <w:rsid w:val="005E4E1E"/>
    <w:rsid w:val="005F39C2"/>
    <w:rsid w:val="005F7B63"/>
    <w:rsid w:val="0061370B"/>
    <w:rsid w:val="00616C5E"/>
    <w:rsid w:val="00616F6B"/>
    <w:rsid w:val="00626399"/>
    <w:rsid w:val="006303A6"/>
    <w:rsid w:val="00631841"/>
    <w:rsid w:val="0063382B"/>
    <w:rsid w:val="00635C7C"/>
    <w:rsid w:val="00641407"/>
    <w:rsid w:val="006419A3"/>
    <w:rsid w:val="006539EC"/>
    <w:rsid w:val="00657013"/>
    <w:rsid w:val="0065784D"/>
    <w:rsid w:val="00657D8D"/>
    <w:rsid w:val="006609C5"/>
    <w:rsid w:val="00663954"/>
    <w:rsid w:val="00670B95"/>
    <w:rsid w:val="00672B38"/>
    <w:rsid w:val="00676AA9"/>
    <w:rsid w:val="00680769"/>
    <w:rsid w:val="00693931"/>
    <w:rsid w:val="00693FBC"/>
    <w:rsid w:val="00694455"/>
    <w:rsid w:val="006A11AE"/>
    <w:rsid w:val="006A3E7F"/>
    <w:rsid w:val="006A70B4"/>
    <w:rsid w:val="006B2811"/>
    <w:rsid w:val="006C297B"/>
    <w:rsid w:val="006C56A5"/>
    <w:rsid w:val="006D25FD"/>
    <w:rsid w:val="006D369C"/>
    <w:rsid w:val="006D7D5E"/>
    <w:rsid w:val="006D7FF7"/>
    <w:rsid w:val="006F3CCA"/>
    <w:rsid w:val="007113B9"/>
    <w:rsid w:val="00715045"/>
    <w:rsid w:val="0071608A"/>
    <w:rsid w:val="00721BC6"/>
    <w:rsid w:val="007254B7"/>
    <w:rsid w:val="00736842"/>
    <w:rsid w:val="007403C5"/>
    <w:rsid w:val="007429EB"/>
    <w:rsid w:val="00763441"/>
    <w:rsid w:val="00763DA7"/>
    <w:rsid w:val="00766BAF"/>
    <w:rsid w:val="00774E6C"/>
    <w:rsid w:val="0078311D"/>
    <w:rsid w:val="00784353"/>
    <w:rsid w:val="0078730A"/>
    <w:rsid w:val="00795973"/>
    <w:rsid w:val="007A2918"/>
    <w:rsid w:val="007B4DF0"/>
    <w:rsid w:val="007C4CAC"/>
    <w:rsid w:val="007C6FF4"/>
    <w:rsid w:val="007D4D02"/>
    <w:rsid w:val="007D50B4"/>
    <w:rsid w:val="007E2977"/>
    <w:rsid w:val="007E38FF"/>
    <w:rsid w:val="007E6B77"/>
    <w:rsid w:val="007F144A"/>
    <w:rsid w:val="007F554F"/>
    <w:rsid w:val="00802EF9"/>
    <w:rsid w:val="00811191"/>
    <w:rsid w:val="00815252"/>
    <w:rsid w:val="008211BD"/>
    <w:rsid w:val="008235C6"/>
    <w:rsid w:val="00824ACC"/>
    <w:rsid w:val="0084155D"/>
    <w:rsid w:val="008443BA"/>
    <w:rsid w:val="00847642"/>
    <w:rsid w:val="008534B4"/>
    <w:rsid w:val="00856611"/>
    <w:rsid w:val="00864312"/>
    <w:rsid w:val="00871AFE"/>
    <w:rsid w:val="00871D96"/>
    <w:rsid w:val="0087308E"/>
    <w:rsid w:val="0087435A"/>
    <w:rsid w:val="008743B0"/>
    <w:rsid w:val="0088404D"/>
    <w:rsid w:val="00894188"/>
    <w:rsid w:val="00894EB8"/>
    <w:rsid w:val="008A59AC"/>
    <w:rsid w:val="008B3844"/>
    <w:rsid w:val="008B4012"/>
    <w:rsid w:val="008B5976"/>
    <w:rsid w:val="008B710E"/>
    <w:rsid w:val="008C3BAF"/>
    <w:rsid w:val="008D4C27"/>
    <w:rsid w:val="008E28D0"/>
    <w:rsid w:val="008E46A8"/>
    <w:rsid w:val="008F4C63"/>
    <w:rsid w:val="008F6EF8"/>
    <w:rsid w:val="00922789"/>
    <w:rsid w:val="00923A1B"/>
    <w:rsid w:val="00930B1D"/>
    <w:rsid w:val="009337B7"/>
    <w:rsid w:val="0094642B"/>
    <w:rsid w:val="009568E1"/>
    <w:rsid w:val="00964650"/>
    <w:rsid w:val="00972A9D"/>
    <w:rsid w:val="009811B3"/>
    <w:rsid w:val="009834C1"/>
    <w:rsid w:val="00984EF1"/>
    <w:rsid w:val="0098519B"/>
    <w:rsid w:val="009869F1"/>
    <w:rsid w:val="0099396F"/>
    <w:rsid w:val="009A29FA"/>
    <w:rsid w:val="009A3305"/>
    <w:rsid w:val="009A782E"/>
    <w:rsid w:val="009C25C5"/>
    <w:rsid w:val="009C2886"/>
    <w:rsid w:val="009C39C0"/>
    <w:rsid w:val="009D7DE5"/>
    <w:rsid w:val="009E5CE9"/>
    <w:rsid w:val="009F1A55"/>
    <w:rsid w:val="00A045EE"/>
    <w:rsid w:val="00A131D6"/>
    <w:rsid w:val="00A13BF0"/>
    <w:rsid w:val="00A27F22"/>
    <w:rsid w:val="00A3541F"/>
    <w:rsid w:val="00A42B92"/>
    <w:rsid w:val="00A42D95"/>
    <w:rsid w:val="00A50BA0"/>
    <w:rsid w:val="00A51894"/>
    <w:rsid w:val="00A52C20"/>
    <w:rsid w:val="00A66866"/>
    <w:rsid w:val="00A66F75"/>
    <w:rsid w:val="00A823D4"/>
    <w:rsid w:val="00A855CE"/>
    <w:rsid w:val="00A864E9"/>
    <w:rsid w:val="00A91116"/>
    <w:rsid w:val="00AA145B"/>
    <w:rsid w:val="00AA7E0D"/>
    <w:rsid w:val="00AC7351"/>
    <w:rsid w:val="00AD2B26"/>
    <w:rsid w:val="00AD5F97"/>
    <w:rsid w:val="00AD61A4"/>
    <w:rsid w:val="00AE4E57"/>
    <w:rsid w:val="00AE4FDE"/>
    <w:rsid w:val="00B041FF"/>
    <w:rsid w:val="00B042C0"/>
    <w:rsid w:val="00B0707A"/>
    <w:rsid w:val="00B07A1A"/>
    <w:rsid w:val="00B10183"/>
    <w:rsid w:val="00B2166A"/>
    <w:rsid w:val="00B24E57"/>
    <w:rsid w:val="00B34D12"/>
    <w:rsid w:val="00B555DF"/>
    <w:rsid w:val="00B61299"/>
    <w:rsid w:val="00B70F39"/>
    <w:rsid w:val="00B724E1"/>
    <w:rsid w:val="00B763F6"/>
    <w:rsid w:val="00B829C3"/>
    <w:rsid w:val="00B8501D"/>
    <w:rsid w:val="00B94D69"/>
    <w:rsid w:val="00B95862"/>
    <w:rsid w:val="00B96F8C"/>
    <w:rsid w:val="00BA03BC"/>
    <w:rsid w:val="00BA201F"/>
    <w:rsid w:val="00BA353D"/>
    <w:rsid w:val="00BA65DF"/>
    <w:rsid w:val="00BA6CCA"/>
    <w:rsid w:val="00BB0EEE"/>
    <w:rsid w:val="00BB1356"/>
    <w:rsid w:val="00BB58AD"/>
    <w:rsid w:val="00BC015F"/>
    <w:rsid w:val="00BC409D"/>
    <w:rsid w:val="00BE2111"/>
    <w:rsid w:val="00BE6A6D"/>
    <w:rsid w:val="00BE7CFB"/>
    <w:rsid w:val="00BF1339"/>
    <w:rsid w:val="00BF2A0C"/>
    <w:rsid w:val="00BF7BCE"/>
    <w:rsid w:val="00C13E32"/>
    <w:rsid w:val="00C150FE"/>
    <w:rsid w:val="00C16EB2"/>
    <w:rsid w:val="00C20866"/>
    <w:rsid w:val="00C2707B"/>
    <w:rsid w:val="00C31EEB"/>
    <w:rsid w:val="00C32F17"/>
    <w:rsid w:val="00C33649"/>
    <w:rsid w:val="00C33AD0"/>
    <w:rsid w:val="00C347EB"/>
    <w:rsid w:val="00C4114A"/>
    <w:rsid w:val="00C4451D"/>
    <w:rsid w:val="00C50E2A"/>
    <w:rsid w:val="00C51FC7"/>
    <w:rsid w:val="00C57ED3"/>
    <w:rsid w:val="00C61E7B"/>
    <w:rsid w:val="00C70F54"/>
    <w:rsid w:val="00CA1D5E"/>
    <w:rsid w:val="00CB0F28"/>
    <w:rsid w:val="00CB1A0D"/>
    <w:rsid w:val="00CB5DC9"/>
    <w:rsid w:val="00CB75BF"/>
    <w:rsid w:val="00CC3EB5"/>
    <w:rsid w:val="00CC4400"/>
    <w:rsid w:val="00CD2120"/>
    <w:rsid w:val="00CD6F50"/>
    <w:rsid w:val="00CE232E"/>
    <w:rsid w:val="00CE5838"/>
    <w:rsid w:val="00CF0345"/>
    <w:rsid w:val="00D06009"/>
    <w:rsid w:val="00D137F4"/>
    <w:rsid w:val="00D13966"/>
    <w:rsid w:val="00D17865"/>
    <w:rsid w:val="00D212DF"/>
    <w:rsid w:val="00D275FC"/>
    <w:rsid w:val="00D33D4A"/>
    <w:rsid w:val="00D35593"/>
    <w:rsid w:val="00D422F7"/>
    <w:rsid w:val="00D4400D"/>
    <w:rsid w:val="00D516DF"/>
    <w:rsid w:val="00D56DEC"/>
    <w:rsid w:val="00D625F1"/>
    <w:rsid w:val="00D7723E"/>
    <w:rsid w:val="00D866AB"/>
    <w:rsid w:val="00D912B6"/>
    <w:rsid w:val="00D91C20"/>
    <w:rsid w:val="00D94384"/>
    <w:rsid w:val="00D96875"/>
    <w:rsid w:val="00DA7173"/>
    <w:rsid w:val="00DB212B"/>
    <w:rsid w:val="00DC145B"/>
    <w:rsid w:val="00DC1A01"/>
    <w:rsid w:val="00DD07EA"/>
    <w:rsid w:val="00DD0D82"/>
    <w:rsid w:val="00DD4544"/>
    <w:rsid w:val="00DD56FA"/>
    <w:rsid w:val="00DE5940"/>
    <w:rsid w:val="00DF06C0"/>
    <w:rsid w:val="00DF294F"/>
    <w:rsid w:val="00E00229"/>
    <w:rsid w:val="00E02224"/>
    <w:rsid w:val="00E03330"/>
    <w:rsid w:val="00E13DE1"/>
    <w:rsid w:val="00E2632C"/>
    <w:rsid w:val="00E350EB"/>
    <w:rsid w:val="00E367A3"/>
    <w:rsid w:val="00E43272"/>
    <w:rsid w:val="00E43C27"/>
    <w:rsid w:val="00E45BE5"/>
    <w:rsid w:val="00E50F4F"/>
    <w:rsid w:val="00E5391F"/>
    <w:rsid w:val="00E55651"/>
    <w:rsid w:val="00E81759"/>
    <w:rsid w:val="00E86E52"/>
    <w:rsid w:val="00E87FDE"/>
    <w:rsid w:val="00E9131F"/>
    <w:rsid w:val="00E94A0C"/>
    <w:rsid w:val="00E97CA0"/>
    <w:rsid w:val="00EA22A5"/>
    <w:rsid w:val="00EB0360"/>
    <w:rsid w:val="00EB176D"/>
    <w:rsid w:val="00EB340C"/>
    <w:rsid w:val="00EB656E"/>
    <w:rsid w:val="00EC0F04"/>
    <w:rsid w:val="00EC4EAE"/>
    <w:rsid w:val="00ED3149"/>
    <w:rsid w:val="00ED3DB8"/>
    <w:rsid w:val="00ED5E53"/>
    <w:rsid w:val="00ED7694"/>
    <w:rsid w:val="00EE5B79"/>
    <w:rsid w:val="00EE61A7"/>
    <w:rsid w:val="00EF6CE7"/>
    <w:rsid w:val="00F01B63"/>
    <w:rsid w:val="00F26ACD"/>
    <w:rsid w:val="00F30F4F"/>
    <w:rsid w:val="00F3638D"/>
    <w:rsid w:val="00F456E4"/>
    <w:rsid w:val="00F46597"/>
    <w:rsid w:val="00F50A63"/>
    <w:rsid w:val="00F5124C"/>
    <w:rsid w:val="00F5394E"/>
    <w:rsid w:val="00F762A0"/>
    <w:rsid w:val="00F961C8"/>
    <w:rsid w:val="00FA5404"/>
    <w:rsid w:val="00FA5717"/>
    <w:rsid w:val="00FA5CBA"/>
    <w:rsid w:val="00FC0D7B"/>
    <w:rsid w:val="00FC4CB3"/>
    <w:rsid w:val="00FC6B0D"/>
    <w:rsid w:val="00FD0683"/>
    <w:rsid w:val="00FE1559"/>
    <w:rsid w:val="00FF4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2739"/>
    <w:pPr>
      <w:spacing w:before="160" w:after="0" w:line="260" w:lineRule="exact"/>
    </w:pPr>
    <w:rPr>
      <w:rFonts w:ascii="Trebuchet MS" w:eastAsia="Times New Roman" w:hAnsi="Trebuchet MS" w:cs="Times New Roman"/>
      <w:sz w:val="19"/>
      <w:szCs w:val="20"/>
    </w:rPr>
  </w:style>
  <w:style w:type="paragraph" w:styleId="Heading1">
    <w:name w:val="heading 1"/>
    <w:next w:val="Text"/>
    <w:link w:val="Heading1Char"/>
    <w:qFormat/>
    <w:rsid w:val="00282739"/>
    <w:pPr>
      <w:keepNext/>
      <w:spacing w:after="360" w:line="240" w:lineRule="auto"/>
      <w:outlineLvl w:val="0"/>
    </w:pPr>
    <w:rPr>
      <w:rFonts w:ascii="Tahoma" w:eastAsia="Times New Roman" w:hAnsi="Tahoma" w:cs="Tahoma"/>
      <w:color w:val="000000"/>
      <w:kern w:val="28"/>
      <w:sz w:val="56"/>
      <w:szCs w:val="56"/>
    </w:rPr>
  </w:style>
  <w:style w:type="paragraph" w:styleId="Heading2">
    <w:name w:val="heading 2"/>
    <w:next w:val="Text"/>
    <w:link w:val="Heading2Char"/>
    <w:uiPriority w:val="9"/>
    <w:qFormat/>
    <w:rsid w:val="00282739"/>
    <w:pPr>
      <w:keepNext/>
      <w:spacing w:before="360" w:after="0" w:line="240" w:lineRule="auto"/>
      <w:ind w:right="-369"/>
      <w:outlineLvl w:val="1"/>
    </w:pPr>
    <w:rPr>
      <w:rFonts w:ascii="Tahoma" w:eastAsia="Times New Roman" w:hAnsi="Tahoma" w:cs="Tahoma"/>
      <w:sz w:val="28"/>
      <w:szCs w:val="20"/>
    </w:rPr>
  </w:style>
  <w:style w:type="paragraph" w:styleId="Heading3">
    <w:name w:val="heading 3"/>
    <w:next w:val="Text"/>
    <w:link w:val="Heading3Char"/>
    <w:qFormat/>
    <w:rsid w:val="00282739"/>
    <w:pPr>
      <w:spacing w:before="280" w:after="0" w:line="320" w:lineRule="exact"/>
      <w:outlineLvl w:val="2"/>
    </w:pPr>
    <w:rPr>
      <w:rFonts w:ascii="Tahoma" w:eastAsia="Times New Roman" w:hAnsi="Tahoma" w:cs="Tahoma"/>
      <w:color w:val="000000"/>
      <w:sz w:val="24"/>
      <w:szCs w:val="20"/>
    </w:rPr>
  </w:style>
  <w:style w:type="paragraph" w:styleId="Heading4">
    <w:name w:val="heading 4"/>
    <w:next w:val="Text"/>
    <w:link w:val="Heading4Char"/>
    <w:qFormat/>
    <w:rsid w:val="00282739"/>
    <w:pPr>
      <w:spacing w:before="240" w:after="0" w:line="240" w:lineRule="auto"/>
      <w:outlineLvl w:val="3"/>
    </w:pPr>
    <w:rPr>
      <w:rFonts w:ascii="Tahoma" w:eastAsia="Times New Roman" w:hAnsi="Tahoma" w:cs="Times New Roman"/>
      <w:i/>
      <w:sz w:val="24"/>
      <w:szCs w:val="20"/>
    </w:rPr>
  </w:style>
  <w:style w:type="paragraph" w:styleId="Heading5">
    <w:name w:val="heading 5"/>
    <w:basedOn w:val="Normal"/>
    <w:next w:val="Normal"/>
    <w:link w:val="Heading5Char"/>
    <w:qFormat/>
    <w:rsid w:val="00282739"/>
    <w:pPr>
      <w:keepNext/>
      <w:outlineLvl w:val="4"/>
    </w:pPr>
    <w:rPr>
      <w:rFonts w:ascii="Tahoma" w:hAnsi="Tahoma"/>
      <w:b/>
    </w:rPr>
  </w:style>
  <w:style w:type="paragraph" w:styleId="Heading6">
    <w:name w:val="heading 6"/>
    <w:basedOn w:val="Normal"/>
    <w:next w:val="Normal"/>
    <w:link w:val="Heading6Char"/>
    <w:qFormat/>
    <w:rsid w:val="00282739"/>
    <w:pPr>
      <w:keepNext/>
      <w:ind w:left="2977"/>
      <w:outlineLvl w:val="5"/>
    </w:pPr>
    <w:rPr>
      <w:rFonts w:ascii="Tahoma" w:hAnsi="Tahoma"/>
      <w:sz w:val="20"/>
    </w:rPr>
  </w:style>
  <w:style w:type="paragraph" w:styleId="Heading7">
    <w:name w:val="heading 7"/>
    <w:basedOn w:val="Normal"/>
    <w:next w:val="Normal"/>
    <w:link w:val="Heading7Char"/>
    <w:qFormat/>
    <w:rsid w:val="00282739"/>
    <w:pPr>
      <w:keepNext/>
      <w:jc w:val="center"/>
      <w:outlineLvl w:val="6"/>
    </w:pPr>
    <w:rPr>
      <w:rFonts w:ascii="Tahoma" w:hAnsi="Tahoma"/>
      <w:spacing w:val="20"/>
      <w:sz w:val="20"/>
    </w:rPr>
  </w:style>
  <w:style w:type="paragraph" w:styleId="Heading8">
    <w:name w:val="heading 8"/>
    <w:basedOn w:val="Normal"/>
    <w:next w:val="Normal"/>
    <w:link w:val="Heading8Char"/>
    <w:qFormat/>
    <w:rsid w:val="00282739"/>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739"/>
    <w:rPr>
      <w:rFonts w:ascii="Tahoma" w:eastAsia="Times New Roman" w:hAnsi="Tahoma" w:cs="Tahoma"/>
      <w:color w:val="000000"/>
      <w:kern w:val="28"/>
      <w:sz w:val="56"/>
      <w:szCs w:val="56"/>
    </w:rPr>
  </w:style>
  <w:style w:type="character" w:customStyle="1" w:styleId="Heading2Char">
    <w:name w:val="Heading 2 Char"/>
    <w:basedOn w:val="DefaultParagraphFont"/>
    <w:link w:val="Heading2"/>
    <w:uiPriority w:val="9"/>
    <w:rsid w:val="00282739"/>
    <w:rPr>
      <w:rFonts w:ascii="Tahoma" w:eastAsia="Times New Roman" w:hAnsi="Tahoma" w:cs="Tahoma"/>
      <w:sz w:val="28"/>
      <w:szCs w:val="20"/>
    </w:rPr>
  </w:style>
  <w:style w:type="character" w:customStyle="1" w:styleId="Heading3Char">
    <w:name w:val="Heading 3 Char"/>
    <w:basedOn w:val="DefaultParagraphFont"/>
    <w:link w:val="Heading3"/>
    <w:rsid w:val="00282739"/>
    <w:rPr>
      <w:rFonts w:ascii="Tahoma" w:eastAsia="Times New Roman" w:hAnsi="Tahoma" w:cs="Tahoma"/>
      <w:color w:val="000000"/>
      <w:sz w:val="24"/>
      <w:szCs w:val="20"/>
    </w:rPr>
  </w:style>
  <w:style w:type="character" w:customStyle="1" w:styleId="Heading4Char">
    <w:name w:val="Heading 4 Char"/>
    <w:basedOn w:val="DefaultParagraphFont"/>
    <w:link w:val="Heading4"/>
    <w:rsid w:val="00282739"/>
    <w:rPr>
      <w:rFonts w:ascii="Tahoma" w:eastAsia="Times New Roman" w:hAnsi="Tahoma" w:cs="Times New Roman"/>
      <w:i/>
      <w:sz w:val="24"/>
      <w:szCs w:val="20"/>
    </w:rPr>
  </w:style>
  <w:style w:type="character" w:customStyle="1" w:styleId="Heading5Char">
    <w:name w:val="Heading 5 Char"/>
    <w:basedOn w:val="DefaultParagraphFont"/>
    <w:link w:val="Heading5"/>
    <w:rsid w:val="00282739"/>
    <w:rPr>
      <w:rFonts w:ascii="Tahoma" w:eastAsia="Times New Roman" w:hAnsi="Tahoma" w:cs="Times New Roman"/>
      <w:b/>
      <w:sz w:val="19"/>
      <w:szCs w:val="20"/>
    </w:rPr>
  </w:style>
  <w:style w:type="character" w:customStyle="1" w:styleId="Heading6Char">
    <w:name w:val="Heading 6 Char"/>
    <w:basedOn w:val="DefaultParagraphFont"/>
    <w:link w:val="Heading6"/>
    <w:rsid w:val="00282739"/>
    <w:rPr>
      <w:rFonts w:ascii="Tahoma" w:eastAsia="Times New Roman" w:hAnsi="Tahoma" w:cs="Times New Roman"/>
      <w:sz w:val="20"/>
      <w:szCs w:val="20"/>
    </w:rPr>
  </w:style>
  <w:style w:type="character" w:customStyle="1" w:styleId="Heading7Char">
    <w:name w:val="Heading 7 Char"/>
    <w:basedOn w:val="DefaultParagraphFont"/>
    <w:link w:val="Heading7"/>
    <w:rsid w:val="00282739"/>
    <w:rPr>
      <w:rFonts w:ascii="Tahoma" w:eastAsia="Times New Roman" w:hAnsi="Tahoma" w:cs="Times New Roman"/>
      <w:spacing w:val="20"/>
      <w:sz w:val="20"/>
      <w:szCs w:val="20"/>
    </w:rPr>
  </w:style>
  <w:style w:type="character" w:customStyle="1" w:styleId="Heading8Char">
    <w:name w:val="Heading 8 Char"/>
    <w:basedOn w:val="DefaultParagraphFont"/>
    <w:link w:val="Heading8"/>
    <w:rsid w:val="00282739"/>
    <w:rPr>
      <w:rFonts w:ascii="Tahoma" w:eastAsia="Times New Roman" w:hAnsi="Tahoma" w:cs="Times New Roman"/>
      <w:color w:val="C0C0C0"/>
      <w:spacing w:val="60"/>
      <w:sz w:val="20"/>
      <w:szCs w:val="20"/>
    </w:rPr>
  </w:style>
  <w:style w:type="paragraph" w:customStyle="1" w:styleId="Text">
    <w:name w:val="Text"/>
    <w:link w:val="TextChar"/>
    <w:uiPriority w:val="99"/>
    <w:rsid w:val="00282739"/>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uiPriority w:val="99"/>
    <w:rsid w:val="00282739"/>
    <w:rPr>
      <w:rFonts w:ascii="Trebuchet MS" w:eastAsia="Times New Roman" w:hAnsi="Trebuchet MS" w:cs="Times New Roman"/>
      <w:sz w:val="19"/>
      <w:szCs w:val="20"/>
    </w:rPr>
  </w:style>
  <w:style w:type="character" w:styleId="PageNumber">
    <w:name w:val="page number"/>
    <w:basedOn w:val="DefaultParagraphFont"/>
    <w:rsid w:val="00282739"/>
    <w:rPr>
      <w:rFonts w:ascii="Tahoma" w:hAnsi="Tahoma"/>
      <w:sz w:val="18"/>
    </w:rPr>
  </w:style>
  <w:style w:type="paragraph" w:styleId="Footer">
    <w:name w:val="footer"/>
    <w:basedOn w:val="Normal"/>
    <w:link w:val="FooterChar"/>
    <w:rsid w:val="00282739"/>
    <w:pPr>
      <w:tabs>
        <w:tab w:val="right" w:pos="8505"/>
      </w:tabs>
      <w:spacing w:before="0"/>
    </w:pPr>
    <w:rPr>
      <w:rFonts w:ascii="Tahoma" w:hAnsi="Tahoma"/>
      <w:sz w:val="17"/>
      <w:szCs w:val="17"/>
    </w:rPr>
  </w:style>
  <w:style w:type="character" w:customStyle="1" w:styleId="FooterChar">
    <w:name w:val="Footer Char"/>
    <w:basedOn w:val="DefaultParagraphFont"/>
    <w:link w:val="Footer"/>
    <w:rsid w:val="00282739"/>
    <w:rPr>
      <w:rFonts w:ascii="Tahoma" w:eastAsia="Times New Roman" w:hAnsi="Tahoma" w:cs="Times New Roman"/>
      <w:sz w:val="17"/>
      <w:szCs w:val="17"/>
    </w:rPr>
  </w:style>
  <w:style w:type="paragraph" w:styleId="TOC1">
    <w:name w:val="toc 1"/>
    <w:uiPriority w:val="39"/>
    <w:rsid w:val="00282739"/>
    <w:pPr>
      <w:tabs>
        <w:tab w:val="right" w:pos="6804"/>
      </w:tabs>
      <w:spacing w:before="120" w:after="0" w:line="300" w:lineRule="exact"/>
      <w:ind w:right="1984"/>
    </w:pPr>
    <w:rPr>
      <w:rFonts w:ascii="Trebuchet MS" w:eastAsia="Times New Roman" w:hAnsi="Trebuchet MS" w:cs="Times New Roman"/>
      <w:noProof/>
      <w:color w:val="000000"/>
      <w:sz w:val="19"/>
      <w:szCs w:val="19"/>
    </w:rPr>
  </w:style>
  <w:style w:type="paragraph" w:styleId="TOC2">
    <w:name w:val="toc 2"/>
    <w:basedOn w:val="Normal"/>
    <w:next w:val="Normal"/>
    <w:uiPriority w:val="39"/>
    <w:rsid w:val="00282739"/>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282739"/>
    <w:pPr>
      <w:spacing w:before="360" w:after="80" w:line="240" w:lineRule="auto"/>
      <w:ind w:left="851" w:hanging="851"/>
    </w:pPr>
    <w:rPr>
      <w:rFonts w:ascii="Tahoma" w:eastAsia="Times New Roman" w:hAnsi="Tahoma" w:cs="Times New Roman"/>
      <w:b/>
      <w:sz w:val="17"/>
      <w:szCs w:val="20"/>
    </w:rPr>
  </w:style>
  <w:style w:type="paragraph" w:customStyle="1" w:styleId="Tabletext">
    <w:name w:val="Table text"/>
    <w:next w:val="Text"/>
    <w:rsid w:val="00282739"/>
    <w:pPr>
      <w:spacing w:before="40" w:after="40" w:line="240" w:lineRule="auto"/>
    </w:pPr>
    <w:rPr>
      <w:rFonts w:ascii="Arial" w:eastAsia="Times New Roman" w:hAnsi="Arial" w:cs="Times New Roman"/>
      <w:sz w:val="16"/>
      <w:szCs w:val="20"/>
    </w:rPr>
  </w:style>
  <w:style w:type="paragraph" w:customStyle="1" w:styleId="Tablehead1">
    <w:name w:val="Tablehead1"/>
    <w:rsid w:val="00282739"/>
    <w:pPr>
      <w:spacing w:before="80" w:after="80" w:line="240" w:lineRule="auto"/>
    </w:pPr>
    <w:rPr>
      <w:rFonts w:ascii="Arial" w:eastAsia="Times New Roman" w:hAnsi="Arial" w:cs="Times New Roman"/>
      <w:b/>
      <w:sz w:val="17"/>
      <w:szCs w:val="20"/>
    </w:rPr>
  </w:style>
  <w:style w:type="paragraph" w:styleId="Quote">
    <w:name w:val="Quote"/>
    <w:basedOn w:val="Text"/>
    <w:link w:val="QuoteChar"/>
    <w:qFormat/>
    <w:rsid w:val="00282739"/>
    <w:pPr>
      <w:tabs>
        <w:tab w:val="right" w:pos="7853"/>
      </w:tabs>
      <w:spacing w:before="80"/>
      <w:ind w:left="567" w:right="652"/>
    </w:pPr>
    <w:rPr>
      <w:sz w:val="17"/>
    </w:rPr>
  </w:style>
  <w:style w:type="character" w:customStyle="1" w:styleId="QuoteChar">
    <w:name w:val="Quote Char"/>
    <w:basedOn w:val="DefaultParagraphFont"/>
    <w:link w:val="Quote"/>
    <w:rsid w:val="00282739"/>
    <w:rPr>
      <w:rFonts w:ascii="Trebuchet MS" w:eastAsia="Times New Roman" w:hAnsi="Trebuchet MS" w:cs="Times New Roman"/>
      <w:sz w:val="17"/>
      <w:szCs w:val="20"/>
    </w:rPr>
  </w:style>
  <w:style w:type="paragraph" w:customStyle="1" w:styleId="References">
    <w:name w:val="References"/>
    <w:rsid w:val="00282739"/>
    <w:pPr>
      <w:spacing w:before="80" w:after="0" w:line="240" w:lineRule="auto"/>
      <w:ind w:left="284" w:right="-369" w:hanging="284"/>
    </w:pPr>
    <w:rPr>
      <w:rFonts w:ascii="Trebuchet MS" w:eastAsia="Times New Roman" w:hAnsi="Trebuchet MS" w:cs="Times New Roman"/>
      <w:sz w:val="18"/>
      <w:szCs w:val="20"/>
    </w:rPr>
  </w:style>
  <w:style w:type="paragraph" w:customStyle="1" w:styleId="Tablehead2">
    <w:name w:val="Tablehead2"/>
    <w:basedOn w:val="Tablehead1"/>
    <w:rsid w:val="00282739"/>
    <w:pPr>
      <w:tabs>
        <w:tab w:val="left" w:pos="992"/>
      </w:tabs>
      <w:spacing w:before="20" w:after="20"/>
    </w:pPr>
    <w:rPr>
      <w:b w:val="0"/>
    </w:rPr>
  </w:style>
  <w:style w:type="paragraph" w:customStyle="1" w:styleId="Tablehead3">
    <w:name w:val="Tablehead3"/>
    <w:basedOn w:val="Tablehead2"/>
    <w:rsid w:val="00282739"/>
    <w:rPr>
      <w:i/>
    </w:rPr>
  </w:style>
  <w:style w:type="paragraph" w:styleId="TableofFigures">
    <w:name w:val="table of figures"/>
    <w:basedOn w:val="TOC1"/>
    <w:next w:val="Normal"/>
    <w:uiPriority w:val="99"/>
    <w:rsid w:val="00282739"/>
    <w:pPr>
      <w:tabs>
        <w:tab w:val="right" w:pos="425"/>
      </w:tabs>
      <w:spacing w:before="80"/>
      <w:ind w:left="425" w:right="1985" w:hanging="425"/>
    </w:pPr>
  </w:style>
  <w:style w:type="paragraph" w:customStyle="1" w:styleId="Imprint">
    <w:name w:val="Imprint"/>
    <w:basedOn w:val="Normal"/>
    <w:rsid w:val="00282739"/>
    <w:pPr>
      <w:spacing w:line="260" w:lineRule="atLeast"/>
    </w:pPr>
    <w:rPr>
      <w:sz w:val="16"/>
    </w:rPr>
  </w:style>
  <w:style w:type="paragraph" w:customStyle="1" w:styleId="Figuretitle">
    <w:name w:val="Figuretitle"/>
    <w:basedOn w:val="tabletitle"/>
    <w:rsid w:val="00282739"/>
    <w:pPr>
      <w:ind w:left="992" w:hanging="992"/>
    </w:pPr>
  </w:style>
  <w:style w:type="paragraph" w:customStyle="1" w:styleId="Dotpoint1">
    <w:name w:val="Dotpoint1"/>
    <w:rsid w:val="00282739"/>
    <w:pPr>
      <w:numPr>
        <w:numId w:val="1"/>
      </w:numPr>
      <w:tabs>
        <w:tab w:val="left" w:pos="284"/>
      </w:tabs>
      <w:spacing w:before="120" w:after="0" w:line="300" w:lineRule="exact"/>
      <w:ind w:left="284" w:hanging="284"/>
    </w:pPr>
    <w:rPr>
      <w:rFonts w:ascii="Trebuchet MS" w:eastAsia="Times New Roman" w:hAnsi="Trebuchet MS" w:cs="Times New Roman"/>
      <w:color w:val="000000"/>
      <w:sz w:val="19"/>
      <w:szCs w:val="20"/>
    </w:rPr>
  </w:style>
  <w:style w:type="paragraph" w:customStyle="1" w:styleId="Dotpoint2">
    <w:name w:val="Dotpoint2"/>
    <w:basedOn w:val="Dotpoint1"/>
    <w:rsid w:val="00282739"/>
    <w:pPr>
      <w:numPr>
        <w:numId w:val="2"/>
      </w:numPr>
      <w:tabs>
        <w:tab w:val="clear" w:pos="284"/>
        <w:tab w:val="left" w:pos="567"/>
      </w:tabs>
      <w:ind w:left="568" w:hanging="284"/>
    </w:pPr>
  </w:style>
  <w:style w:type="paragraph" w:customStyle="1" w:styleId="NumberedListContinuing">
    <w:name w:val="NumberedListContinuing"/>
    <w:rsid w:val="00282739"/>
    <w:pPr>
      <w:tabs>
        <w:tab w:val="num" w:pos="284"/>
      </w:tabs>
      <w:spacing w:before="120" w:after="0" w:line="300" w:lineRule="exact"/>
    </w:pPr>
    <w:rPr>
      <w:rFonts w:ascii="Trebuchet MS" w:eastAsia="Times New Roman" w:hAnsi="Trebuchet MS" w:cs="Times New Roman"/>
      <w:sz w:val="19"/>
      <w:szCs w:val="20"/>
      <w:lang w:eastAsia="en-AU"/>
    </w:rPr>
  </w:style>
  <w:style w:type="paragraph" w:customStyle="1" w:styleId="Source">
    <w:name w:val="Source"/>
    <w:rsid w:val="00282739"/>
    <w:pPr>
      <w:spacing w:before="40" w:after="0" w:line="240" w:lineRule="auto"/>
      <w:ind w:left="737" w:hanging="737"/>
    </w:pPr>
    <w:rPr>
      <w:rFonts w:ascii="Arial" w:eastAsia="Times New Roman" w:hAnsi="Arial" w:cs="Times New Roman"/>
      <w:sz w:val="15"/>
      <w:szCs w:val="20"/>
    </w:rPr>
  </w:style>
  <w:style w:type="paragraph" w:styleId="FootnoteText">
    <w:name w:val="footnote text"/>
    <w:basedOn w:val="Text"/>
    <w:link w:val="FootnoteTextChar"/>
    <w:rsid w:val="00282739"/>
    <w:pPr>
      <w:tabs>
        <w:tab w:val="left" w:pos="1418"/>
      </w:tabs>
      <w:spacing w:before="0" w:line="220" w:lineRule="exact"/>
      <w:ind w:left="227" w:right="0" w:hanging="227"/>
    </w:pPr>
    <w:rPr>
      <w:sz w:val="16"/>
    </w:rPr>
  </w:style>
  <w:style w:type="character" w:customStyle="1" w:styleId="FootnoteTextChar">
    <w:name w:val="Footnote Text Char"/>
    <w:basedOn w:val="DefaultParagraphFont"/>
    <w:link w:val="FootnoteText"/>
    <w:rsid w:val="00282739"/>
    <w:rPr>
      <w:rFonts w:ascii="Trebuchet MS" w:eastAsia="Times New Roman" w:hAnsi="Trebuchet MS" w:cs="Times New Roman"/>
      <w:sz w:val="16"/>
      <w:szCs w:val="20"/>
    </w:rPr>
  </w:style>
  <w:style w:type="paragraph" w:styleId="NormalWeb">
    <w:name w:val="Normal (Web)"/>
    <w:basedOn w:val="Normal"/>
    <w:uiPriority w:val="99"/>
    <w:semiHidden/>
    <w:rsid w:val="00282739"/>
    <w:pPr>
      <w:spacing w:before="100" w:beforeAutospacing="1" w:after="240"/>
    </w:pPr>
    <w:rPr>
      <w:sz w:val="18"/>
      <w:szCs w:val="18"/>
    </w:rPr>
  </w:style>
  <w:style w:type="paragraph" w:customStyle="1" w:styleId="PublicationTitle">
    <w:name w:val="Publication Title"/>
    <w:qFormat/>
    <w:rsid w:val="00282739"/>
    <w:pPr>
      <w:spacing w:before="3200" w:after="840" w:line="240" w:lineRule="auto"/>
      <w:ind w:left="1701"/>
    </w:pPr>
    <w:rPr>
      <w:rFonts w:ascii="Tahoma" w:eastAsia="Times New Roman" w:hAnsi="Tahoma" w:cs="Tahoma"/>
      <w:color w:val="000000"/>
      <w:kern w:val="28"/>
      <w:sz w:val="56"/>
      <w:szCs w:val="56"/>
    </w:rPr>
  </w:style>
  <w:style w:type="paragraph" w:styleId="TOC3">
    <w:name w:val="toc 3"/>
    <w:basedOn w:val="TOC2"/>
    <w:next w:val="Normal"/>
    <w:autoRedefine/>
    <w:semiHidden/>
    <w:unhideWhenUsed/>
    <w:rsid w:val="00282739"/>
    <w:pPr>
      <w:ind w:left="440"/>
    </w:pPr>
  </w:style>
  <w:style w:type="paragraph" w:styleId="TOC4">
    <w:name w:val="toc 4"/>
    <w:basedOn w:val="TOC3"/>
    <w:next w:val="Normal"/>
    <w:autoRedefine/>
    <w:semiHidden/>
    <w:unhideWhenUsed/>
    <w:rsid w:val="00282739"/>
    <w:pPr>
      <w:ind w:left="660"/>
    </w:pPr>
  </w:style>
  <w:style w:type="paragraph" w:styleId="BalloonText">
    <w:name w:val="Balloon Text"/>
    <w:basedOn w:val="Normal"/>
    <w:link w:val="BalloonTextChar"/>
    <w:uiPriority w:val="99"/>
    <w:semiHidden/>
    <w:rsid w:val="0028273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39"/>
    <w:rPr>
      <w:rFonts w:ascii="Tahoma" w:eastAsia="Times New Roman" w:hAnsi="Tahoma" w:cs="Tahoma"/>
      <w:sz w:val="16"/>
      <w:szCs w:val="16"/>
    </w:rPr>
  </w:style>
  <w:style w:type="table" w:styleId="TableGrid">
    <w:name w:val="Table Grid"/>
    <w:basedOn w:val="TableNormal"/>
    <w:uiPriority w:val="59"/>
    <w:rsid w:val="00282739"/>
    <w:pPr>
      <w:spacing w:after="0" w:line="240" w:lineRule="auto"/>
    </w:pPr>
    <w:rPr>
      <w:rFonts w:ascii="Times New Roman" w:eastAsia="Times New Roman" w:hAnsi="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282739"/>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282739"/>
    <w:rPr>
      <w:rFonts w:ascii="Trebuchet MS" w:eastAsia="Times New Roman" w:hAnsi="Trebuchet MS" w:cs="Times New Roman"/>
      <w:sz w:val="19"/>
      <w:szCs w:val="20"/>
    </w:rPr>
  </w:style>
  <w:style w:type="character" w:styleId="Hyperlink">
    <w:name w:val="Hyperlink"/>
    <w:basedOn w:val="DefaultParagraphFont"/>
    <w:unhideWhenUsed/>
    <w:rsid w:val="00282739"/>
    <w:rPr>
      <w:rFonts w:ascii="Trebuchet MS" w:hAnsi="Trebuchet MS"/>
      <w:color w:val="auto"/>
      <w:sz w:val="19"/>
      <w:u w:val="none"/>
    </w:rPr>
  </w:style>
  <w:style w:type="paragraph" w:styleId="ListParagraph">
    <w:name w:val="List Paragraph"/>
    <w:basedOn w:val="Normal"/>
    <w:uiPriority w:val="34"/>
    <w:qFormat/>
    <w:rsid w:val="00282739"/>
    <w:pPr>
      <w:ind w:left="720"/>
      <w:contextualSpacing/>
    </w:pPr>
  </w:style>
  <w:style w:type="paragraph" w:styleId="BodyText">
    <w:name w:val="Body Text"/>
    <w:basedOn w:val="Normal"/>
    <w:link w:val="BodyTextChar"/>
    <w:rsid w:val="00282739"/>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282739"/>
    <w:rPr>
      <w:rFonts w:ascii="Times New Roman" w:eastAsia="Times New Roman" w:hAnsi="Times New Roman" w:cs="Times New Roman"/>
      <w:b/>
      <w:sz w:val="20"/>
      <w:szCs w:val="20"/>
      <w:lang w:val="en-US" w:eastAsia="ko-KR"/>
    </w:rPr>
  </w:style>
  <w:style w:type="paragraph" w:styleId="BodyText2">
    <w:name w:val="Body Text 2"/>
    <w:basedOn w:val="Normal"/>
    <w:link w:val="BodyText2Char"/>
    <w:rsid w:val="00282739"/>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282739"/>
    <w:rPr>
      <w:rFonts w:ascii="Times New Roman" w:eastAsia="Times New Roman" w:hAnsi="Times New Roman" w:cs="Times New Roman"/>
      <w:szCs w:val="20"/>
      <w:lang w:val="en-US" w:eastAsia="ko-KR"/>
    </w:rPr>
  </w:style>
  <w:style w:type="paragraph" w:styleId="BodyTextIndent">
    <w:name w:val="Body Text Indent"/>
    <w:basedOn w:val="Normal"/>
    <w:link w:val="BodyTextIndentChar"/>
    <w:rsid w:val="00282739"/>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282739"/>
    <w:rPr>
      <w:rFonts w:ascii="Times New Roman" w:eastAsia="Times New Roman" w:hAnsi="Times New Roman" w:cs="Times New Roman"/>
      <w:szCs w:val="20"/>
      <w:lang w:eastAsia="en-AU"/>
    </w:rPr>
  </w:style>
  <w:style w:type="paragraph" w:customStyle="1" w:styleId="Authors">
    <w:name w:val="Authors"/>
    <w:qFormat/>
    <w:rsid w:val="00282739"/>
    <w:pPr>
      <w:spacing w:after="0" w:line="240" w:lineRule="auto"/>
      <w:ind w:left="1701" w:right="-1"/>
    </w:pPr>
    <w:rPr>
      <w:rFonts w:ascii="Tahoma" w:eastAsia="Times New Roman" w:hAnsi="Tahoma" w:cs="Tahoma"/>
      <w:sz w:val="28"/>
      <w:szCs w:val="20"/>
    </w:rPr>
  </w:style>
  <w:style w:type="paragraph" w:customStyle="1" w:styleId="Contents">
    <w:name w:val="Contents"/>
    <w:qFormat/>
    <w:rsid w:val="00282739"/>
    <w:pPr>
      <w:spacing w:after="360" w:line="240" w:lineRule="auto"/>
    </w:pPr>
    <w:rPr>
      <w:rFonts w:ascii="Tahoma" w:eastAsia="Times New Roman" w:hAnsi="Tahoma" w:cs="Tahoma"/>
      <w:color w:val="000000"/>
      <w:kern w:val="28"/>
      <w:sz w:val="56"/>
      <w:szCs w:val="56"/>
    </w:rPr>
  </w:style>
  <w:style w:type="paragraph" w:customStyle="1" w:styleId="Abouttheresearchpubtitle">
    <w:name w:val="About the research pub title"/>
    <w:qFormat/>
    <w:rsid w:val="00282739"/>
    <w:pPr>
      <w:spacing w:before="360" w:after="0" w:line="240" w:lineRule="auto"/>
    </w:pPr>
    <w:rPr>
      <w:rFonts w:ascii="Tahoma" w:eastAsia="Times New Roman" w:hAnsi="Tahoma" w:cs="Tahoma"/>
      <w:i/>
      <w:sz w:val="28"/>
      <w:szCs w:val="20"/>
    </w:rPr>
  </w:style>
  <w:style w:type="paragraph" w:customStyle="1" w:styleId="Abouttheresearch">
    <w:name w:val="About the research"/>
    <w:uiPriority w:val="1"/>
    <w:qFormat/>
    <w:rsid w:val="00282739"/>
    <w:pPr>
      <w:spacing w:after="0" w:line="240" w:lineRule="auto"/>
    </w:pPr>
    <w:rPr>
      <w:rFonts w:ascii="Tahoma" w:eastAsia="Times New Roman" w:hAnsi="Tahoma" w:cs="Tahoma"/>
      <w:color w:val="000000"/>
      <w:kern w:val="28"/>
      <w:sz w:val="56"/>
      <w:szCs w:val="56"/>
    </w:rPr>
  </w:style>
  <w:style w:type="paragraph" w:customStyle="1" w:styleId="Keymessages">
    <w:name w:val="Key messages"/>
    <w:uiPriority w:val="1"/>
    <w:qFormat/>
    <w:rsid w:val="00282739"/>
    <w:pPr>
      <w:spacing w:before="360" w:after="0" w:line="240" w:lineRule="auto"/>
    </w:pPr>
    <w:rPr>
      <w:rFonts w:ascii="Tahoma" w:eastAsia="Times New Roman" w:hAnsi="Tahoma" w:cs="Tahoma"/>
      <w:sz w:val="28"/>
      <w:szCs w:val="20"/>
    </w:rPr>
  </w:style>
  <w:style w:type="paragraph" w:customStyle="1" w:styleId="Organisation">
    <w:name w:val="Organisation"/>
    <w:basedOn w:val="Authors"/>
    <w:uiPriority w:val="1"/>
    <w:qFormat/>
    <w:rsid w:val="00282739"/>
    <w:pPr>
      <w:spacing w:before="120"/>
      <w:ind w:right="0"/>
    </w:pPr>
    <w:rPr>
      <w:sz w:val="24"/>
    </w:rPr>
  </w:style>
  <w:style w:type="character" w:styleId="FollowedHyperlink">
    <w:name w:val="FollowedHyperlink"/>
    <w:basedOn w:val="DefaultParagraphFont"/>
    <w:uiPriority w:val="99"/>
    <w:semiHidden/>
    <w:rsid w:val="00282739"/>
    <w:rPr>
      <w:color w:val="800080" w:themeColor="followedHyperlink"/>
      <w:u w:val="single"/>
    </w:rPr>
  </w:style>
  <w:style w:type="paragraph" w:customStyle="1" w:styleId="NumberedAlphaLevel2">
    <w:name w:val="NumberedAlphaLevel2"/>
    <w:basedOn w:val="NumberedListContinuing"/>
    <w:uiPriority w:val="1"/>
    <w:qFormat/>
    <w:rsid w:val="00282739"/>
    <w:pPr>
      <w:tabs>
        <w:tab w:val="clear" w:pos="284"/>
        <w:tab w:val="num" w:pos="567"/>
      </w:tabs>
      <w:ind w:left="567" w:hanging="283"/>
    </w:pPr>
  </w:style>
  <w:style w:type="character" w:styleId="FootnoteReference">
    <w:name w:val="footnote reference"/>
    <w:basedOn w:val="DefaultParagraphFont"/>
    <w:rsid w:val="00282739"/>
    <w:rPr>
      <w:rFonts w:cs="Times New Roman"/>
      <w:vertAlign w:val="superscript"/>
    </w:rPr>
  </w:style>
  <w:style w:type="character" w:styleId="Strong">
    <w:name w:val="Strong"/>
    <w:basedOn w:val="DefaultParagraphFont"/>
    <w:uiPriority w:val="22"/>
    <w:qFormat/>
    <w:rsid w:val="00282739"/>
    <w:rPr>
      <w:b/>
      <w:bCs/>
    </w:rPr>
  </w:style>
  <w:style w:type="paragraph" w:customStyle="1" w:styleId="Default">
    <w:name w:val="Default"/>
    <w:rsid w:val="00282739"/>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Pa3">
    <w:name w:val="Pa3"/>
    <w:basedOn w:val="Default"/>
    <w:next w:val="Default"/>
    <w:uiPriority w:val="99"/>
    <w:rsid w:val="00282739"/>
    <w:pPr>
      <w:spacing w:line="221" w:lineRule="atLeast"/>
    </w:pPr>
    <w:rPr>
      <w:rFonts w:ascii="Helvetica" w:hAnsi="Helvetica" w:cs="Times New Roman"/>
      <w:color w:val="auto"/>
    </w:rPr>
  </w:style>
  <w:style w:type="paragraph" w:customStyle="1" w:styleId="Pa6">
    <w:name w:val="Pa6"/>
    <w:basedOn w:val="Default"/>
    <w:next w:val="Default"/>
    <w:uiPriority w:val="99"/>
    <w:rsid w:val="00282739"/>
    <w:pPr>
      <w:spacing w:line="221" w:lineRule="atLeast"/>
    </w:pPr>
    <w:rPr>
      <w:rFonts w:ascii="Helvetica" w:hAnsi="Helvetica" w:cs="Times New Roman"/>
      <w:color w:val="auto"/>
    </w:rPr>
  </w:style>
  <w:style w:type="character" w:customStyle="1" w:styleId="A8">
    <w:name w:val="A8"/>
    <w:uiPriority w:val="99"/>
    <w:rsid w:val="00282739"/>
    <w:rPr>
      <w:rFonts w:cs="Helvetica"/>
      <w:color w:val="000000"/>
    </w:rPr>
  </w:style>
  <w:style w:type="character" w:customStyle="1" w:styleId="MTEquationSection">
    <w:name w:val="MTEquationSection"/>
    <w:basedOn w:val="DefaultParagraphFont"/>
    <w:rsid w:val="00282739"/>
    <w:rPr>
      <w:vanish/>
      <w:color w:val="FF0000"/>
    </w:rPr>
  </w:style>
  <w:style w:type="paragraph" w:customStyle="1" w:styleId="MTDisplayEquation">
    <w:name w:val="MTDisplayEquation"/>
    <w:basedOn w:val="Heading2"/>
    <w:next w:val="Normal"/>
    <w:link w:val="MTDisplayEquationChar"/>
    <w:rsid w:val="00282739"/>
    <w:pPr>
      <w:tabs>
        <w:tab w:val="center" w:pos="4240"/>
        <w:tab w:val="right" w:pos="8500"/>
      </w:tabs>
    </w:pPr>
    <w:rPr>
      <w:lang w:val="en-GB"/>
    </w:rPr>
  </w:style>
  <w:style w:type="character" w:customStyle="1" w:styleId="MTDisplayEquationChar">
    <w:name w:val="MTDisplayEquation Char"/>
    <w:basedOn w:val="Heading2Char"/>
    <w:link w:val="MTDisplayEquation"/>
    <w:rsid w:val="00282739"/>
    <w:rPr>
      <w:rFonts w:ascii="Tahoma" w:eastAsia="Times New Roman" w:hAnsi="Tahoma" w:cs="Tahoma"/>
      <w:sz w:val="28"/>
      <w:szCs w:val="20"/>
      <w:lang w:val="en-GB"/>
    </w:rPr>
  </w:style>
  <w:style w:type="character" w:customStyle="1" w:styleId="st1">
    <w:name w:val="st1"/>
    <w:basedOn w:val="DefaultParagraphFont"/>
    <w:rsid w:val="00282739"/>
  </w:style>
  <w:style w:type="paragraph" w:styleId="PlainText">
    <w:name w:val="Plain Text"/>
    <w:basedOn w:val="Normal"/>
    <w:link w:val="PlainTextChar"/>
    <w:rsid w:val="00282739"/>
    <w:pPr>
      <w:spacing w:before="0" w:line="240" w:lineRule="auto"/>
    </w:pPr>
    <w:rPr>
      <w:rFonts w:ascii="Courier New" w:hAnsi="Courier New" w:cs="Courier New"/>
      <w:sz w:val="20"/>
      <w:lang w:val="en-GB"/>
    </w:rPr>
  </w:style>
  <w:style w:type="character" w:customStyle="1" w:styleId="PlainTextChar">
    <w:name w:val="Plain Text Char"/>
    <w:basedOn w:val="DefaultParagraphFont"/>
    <w:link w:val="PlainText"/>
    <w:rsid w:val="00282739"/>
    <w:rPr>
      <w:rFonts w:ascii="Courier New" w:eastAsia="Times New Roman" w:hAnsi="Courier New" w:cs="Courier New"/>
      <w:sz w:val="20"/>
      <w:szCs w:val="20"/>
      <w:lang w:val="en-GB"/>
    </w:rPr>
  </w:style>
  <w:style w:type="character" w:styleId="CommentReference">
    <w:name w:val="annotation reference"/>
    <w:basedOn w:val="DefaultParagraphFont"/>
    <w:uiPriority w:val="99"/>
    <w:semiHidden/>
    <w:rsid w:val="00282739"/>
    <w:rPr>
      <w:sz w:val="16"/>
      <w:szCs w:val="16"/>
    </w:rPr>
  </w:style>
  <w:style w:type="paragraph" w:styleId="CommentText">
    <w:name w:val="annotation text"/>
    <w:basedOn w:val="Normal"/>
    <w:link w:val="CommentTextChar"/>
    <w:uiPriority w:val="99"/>
    <w:semiHidden/>
    <w:rsid w:val="00282739"/>
    <w:pPr>
      <w:spacing w:line="240" w:lineRule="auto"/>
    </w:pPr>
    <w:rPr>
      <w:sz w:val="20"/>
    </w:rPr>
  </w:style>
  <w:style w:type="character" w:customStyle="1" w:styleId="CommentTextChar">
    <w:name w:val="Comment Text Char"/>
    <w:basedOn w:val="DefaultParagraphFont"/>
    <w:link w:val="CommentText"/>
    <w:uiPriority w:val="99"/>
    <w:semiHidden/>
    <w:rsid w:val="00282739"/>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rsid w:val="00282739"/>
    <w:rPr>
      <w:b/>
      <w:bCs/>
    </w:rPr>
  </w:style>
  <w:style w:type="character" w:customStyle="1" w:styleId="CommentSubjectChar">
    <w:name w:val="Comment Subject Char"/>
    <w:basedOn w:val="CommentTextChar"/>
    <w:link w:val="CommentSubject"/>
    <w:uiPriority w:val="99"/>
    <w:semiHidden/>
    <w:rsid w:val="00282739"/>
    <w:rPr>
      <w:rFonts w:ascii="Trebuchet MS" w:eastAsia="Times New Roman" w:hAnsi="Trebuchet MS" w:cs="Times New Roman"/>
      <w:b/>
      <w:bCs/>
      <w:sz w:val="20"/>
      <w:szCs w:val="20"/>
    </w:rPr>
  </w:style>
  <w:style w:type="paragraph" w:styleId="Revision">
    <w:name w:val="Revision"/>
    <w:hidden/>
    <w:uiPriority w:val="99"/>
    <w:semiHidden/>
    <w:rsid w:val="00282739"/>
    <w:pPr>
      <w:spacing w:after="0" w:line="240" w:lineRule="auto"/>
    </w:pPr>
    <w:rPr>
      <w:rFonts w:ascii="Trebuchet MS" w:eastAsia="Times New Roman" w:hAnsi="Trebuchet MS" w:cs="Times New Roman"/>
      <w:sz w:val="19"/>
      <w:szCs w:val="20"/>
    </w:rPr>
  </w:style>
  <w:style w:type="paragraph" w:styleId="Caption">
    <w:name w:val="caption"/>
    <w:basedOn w:val="Normal"/>
    <w:next w:val="Normal"/>
    <w:uiPriority w:val="35"/>
    <w:semiHidden/>
    <w:qFormat/>
    <w:rsid w:val="00282739"/>
    <w:pPr>
      <w:spacing w:before="0" w:after="200" w:line="240" w:lineRule="auto"/>
    </w:pPr>
    <w:rPr>
      <w:b/>
      <w:bCs/>
      <w:color w:val="4F81BD" w:themeColor="accent1"/>
      <w:sz w:val="18"/>
      <w:szCs w:val="18"/>
    </w:rPr>
  </w:style>
  <w:style w:type="character" w:styleId="Emphasis">
    <w:name w:val="Emphasis"/>
    <w:basedOn w:val="DefaultParagraphFont"/>
    <w:uiPriority w:val="20"/>
    <w:qFormat/>
    <w:rsid w:val="00282739"/>
    <w:rPr>
      <w:i/>
      <w:iCs/>
    </w:rPr>
  </w:style>
  <w:style w:type="paragraph" w:customStyle="1" w:styleId="WPhding1">
    <w:name w:val="WPhding1"/>
    <w:basedOn w:val="Normal"/>
    <w:rsid w:val="00282739"/>
    <w:pPr>
      <w:spacing w:before="0" w:after="40" w:line="240" w:lineRule="atLeast"/>
      <w:ind w:right="-259"/>
      <w:jc w:val="center"/>
    </w:pPr>
    <w:rPr>
      <w:rFonts w:ascii="Times" w:hAnsi="Times"/>
      <w:b/>
      <w:sz w:val="36"/>
      <w:szCs w:val="24"/>
    </w:rPr>
  </w:style>
  <w:style w:type="paragraph" w:customStyle="1" w:styleId="Textmorebefore">
    <w:name w:val="Text more # before"/>
    <w:basedOn w:val="Text"/>
    <w:uiPriority w:val="1"/>
    <w:qFormat/>
    <w:rsid w:val="00282739"/>
    <w:pPr>
      <w:spacing w:before="360"/>
      <w:ind w:right="0"/>
    </w:pPr>
  </w:style>
  <w:style w:type="paragraph" w:customStyle="1" w:styleId="Textlessbefore">
    <w:name w:val="Text less # before"/>
    <w:basedOn w:val="Text"/>
    <w:uiPriority w:val="1"/>
    <w:qFormat/>
    <w:rsid w:val="00282739"/>
    <w:pPr>
      <w:spacing w:before="80"/>
      <w:ind w:right="0"/>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2739"/>
    <w:pPr>
      <w:spacing w:before="160" w:after="0" w:line="260" w:lineRule="exact"/>
    </w:pPr>
    <w:rPr>
      <w:rFonts w:ascii="Trebuchet MS" w:eastAsia="Times New Roman" w:hAnsi="Trebuchet MS" w:cs="Times New Roman"/>
      <w:sz w:val="19"/>
      <w:szCs w:val="20"/>
    </w:rPr>
  </w:style>
  <w:style w:type="paragraph" w:styleId="Heading1">
    <w:name w:val="heading 1"/>
    <w:next w:val="Text"/>
    <w:link w:val="Heading1Char"/>
    <w:qFormat/>
    <w:rsid w:val="00282739"/>
    <w:pPr>
      <w:keepNext/>
      <w:spacing w:after="360" w:line="240" w:lineRule="auto"/>
      <w:outlineLvl w:val="0"/>
    </w:pPr>
    <w:rPr>
      <w:rFonts w:ascii="Tahoma" w:eastAsia="Times New Roman" w:hAnsi="Tahoma" w:cs="Tahoma"/>
      <w:color w:val="000000"/>
      <w:kern w:val="28"/>
      <w:sz w:val="56"/>
      <w:szCs w:val="56"/>
    </w:rPr>
  </w:style>
  <w:style w:type="paragraph" w:styleId="Heading2">
    <w:name w:val="heading 2"/>
    <w:next w:val="Text"/>
    <w:link w:val="Heading2Char"/>
    <w:uiPriority w:val="9"/>
    <w:qFormat/>
    <w:rsid w:val="00282739"/>
    <w:pPr>
      <w:keepNext/>
      <w:spacing w:before="360" w:after="0" w:line="240" w:lineRule="auto"/>
      <w:ind w:right="-369"/>
      <w:outlineLvl w:val="1"/>
    </w:pPr>
    <w:rPr>
      <w:rFonts w:ascii="Tahoma" w:eastAsia="Times New Roman" w:hAnsi="Tahoma" w:cs="Tahoma"/>
      <w:sz w:val="28"/>
      <w:szCs w:val="20"/>
    </w:rPr>
  </w:style>
  <w:style w:type="paragraph" w:styleId="Heading3">
    <w:name w:val="heading 3"/>
    <w:next w:val="Text"/>
    <w:link w:val="Heading3Char"/>
    <w:qFormat/>
    <w:rsid w:val="00282739"/>
    <w:pPr>
      <w:spacing w:before="280" w:after="0" w:line="320" w:lineRule="exact"/>
      <w:outlineLvl w:val="2"/>
    </w:pPr>
    <w:rPr>
      <w:rFonts w:ascii="Tahoma" w:eastAsia="Times New Roman" w:hAnsi="Tahoma" w:cs="Tahoma"/>
      <w:color w:val="000000"/>
      <w:sz w:val="24"/>
      <w:szCs w:val="20"/>
    </w:rPr>
  </w:style>
  <w:style w:type="paragraph" w:styleId="Heading4">
    <w:name w:val="heading 4"/>
    <w:next w:val="Text"/>
    <w:link w:val="Heading4Char"/>
    <w:qFormat/>
    <w:rsid w:val="00282739"/>
    <w:pPr>
      <w:spacing w:before="240" w:after="0" w:line="240" w:lineRule="auto"/>
      <w:outlineLvl w:val="3"/>
    </w:pPr>
    <w:rPr>
      <w:rFonts w:ascii="Tahoma" w:eastAsia="Times New Roman" w:hAnsi="Tahoma" w:cs="Times New Roman"/>
      <w:i/>
      <w:sz w:val="24"/>
      <w:szCs w:val="20"/>
    </w:rPr>
  </w:style>
  <w:style w:type="paragraph" w:styleId="Heading5">
    <w:name w:val="heading 5"/>
    <w:basedOn w:val="Normal"/>
    <w:next w:val="Normal"/>
    <w:link w:val="Heading5Char"/>
    <w:qFormat/>
    <w:rsid w:val="00282739"/>
    <w:pPr>
      <w:keepNext/>
      <w:outlineLvl w:val="4"/>
    </w:pPr>
    <w:rPr>
      <w:rFonts w:ascii="Tahoma" w:hAnsi="Tahoma"/>
      <w:b/>
    </w:rPr>
  </w:style>
  <w:style w:type="paragraph" w:styleId="Heading6">
    <w:name w:val="heading 6"/>
    <w:basedOn w:val="Normal"/>
    <w:next w:val="Normal"/>
    <w:link w:val="Heading6Char"/>
    <w:qFormat/>
    <w:rsid w:val="00282739"/>
    <w:pPr>
      <w:keepNext/>
      <w:ind w:left="2977"/>
      <w:outlineLvl w:val="5"/>
    </w:pPr>
    <w:rPr>
      <w:rFonts w:ascii="Tahoma" w:hAnsi="Tahoma"/>
      <w:sz w:val="20"/>
    </w:rPr>
  </w:style>
  <w:style w:type="paragraph" w:styleId="Heading7">
    <w:name w:val="heading 7"/>
    <w:basedOn w:val="Normal"/>
    <w:next w:val="Normal"/>
    <w:link w:val="Heading7Char"/>
    <w:qFormat/>
    <w:rsid w:val="00282739"/>
    <w:pPr>
      <w:keepNext/>
      <w:jc w:val="center"/>
      <w:outlineLvl w:val="6"/>
    </w:pPr>
    <w:rPr>
      <w:rFonts w:ascii="Tahoma" w:hAnsi="Tahoma"/>
      <w:spacing w:val="20"/>
      <w:sz w:val="20"/>
    </w:rPr>
  </w:style>
  <w:style w:type="paragraph" w:styleId="Heading8">
    <w:name w:val="heading 8"/>
    <w:basedOn w:val="Normal"/>
    <w:next w:val="Normal"/>
    <w:link w:val="Heading8Char"/>
    <w:qFormat/>
    <w:rsid w:val="00282739"/>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739"/>
    <w:rPr>
      <w:rFonts w:ascii="Tahoma" w:eastAsia="Times New Roman" w:hAnsi="Tahoma" w:cs="Tahoma"/>
      <w:color w:val="000000"/>
      <w:kern w:val="28"/>
      <w:sz w:val="56"/>
      <w:szCs w:val="56"/>
    </w:rPr>
  </w:style>
  <w:style w:type="character" w:customStyle="1" w:styleId="Heading2Char">
    <w:name w:val="Heading 2 Char"/>
    <w:basedOn w:val="DefaultParagraphFont"/>
    <w:link w:val="Heading2"/>
    <w:uiPriority w:val="9"/>
    <w:rsid w:val="00282739"/>
    <w:rPr>
      <w:rFonts w:ascii="Tahoma" w:eastAsia="Times New Roman" w:hAnsi="Tahoma" w:cs="Tahoma"/>
      <w:sz w:val="28"/>
      <w:szCs w:val="20"/>
    </w:rPr>
  </w:style>
  <w:style w:type="character" w:customStyle="1" w:styleId="Heading3Char">
    <w:name w:val="Heading 3 Char"/>
    <w:basedOn w:val="DefaultParagraphFont"/>
    <w:link w:val="Heading3"/>
    <w:rsid w:val="00282739"/>
    <w:rPr>
      <w:rFonts w:ascii="Tahoma" w:eastAsia="Times New Roman" w:hAnsi="Tahoma" w:cs="Tahoma"/>
      <w:color w:val="000000"/>
      <w:sz w:val="24"/>
      <w:szCs w:val="20"/>
    </w:rPr>
  </w:style>
  <w:style w:type="character" w:customStyle="1" w:styleId="Heading4Char">
    <w:name w:val="Heading 4 Char"/>
    <w:basedOn w:val="DefaultParagraphFont"/>
    <w:link w:val="Heading4"/>
    <w:rsid w:val="00282739"/>
    <w:rPr>
      <w:rFonts w:ascii="Tahoma" w:eastAsia="Times New Roman" w:hAnsi="Tahoma" w:cs="Times New Roman"/>
      <w:i/>
      <w:sz w:val="24"/>
      <w:szCs w:val="20"/>
    </w:rPr>
  </w:style>
  <w:style w:type="character" w:customStyle="1" w:styleId="Heading5Char">
    <w:name w:val="Heading 5 Char"/>
    <w:basedOn w:val="DefaultParagraphFont"/>
    <w:link w:val="Heading5"/>
    <w:rsid w:val="00282739"/>
    <w:rPr>
      <w:rFonts w:ascii="Tahoma" w:eastAsia="Times New Roman" w:hAnsi="Tahoma" w:cs="Times New Roman"/>
      <w:b/>
      <w:sz w:val="19"/>
      <w:szCs w:val="20"/>
    </w:rPr>
  </w:style>
  <w:style w:type="character" w:customStyle="1" w:styleId="Heading6Char">
    <w:name w:val="Heading 6 Char"/>
    <w:basedOn w:val="DefaultParagraphFont"/>
    <w:link w:val="Heading6"/>
    <w:rsid w:val="00282739"/>
    <w:rPr>
      <w:rFonts w:ascii="Tahoma" w:eastAsia="Times New Roman" w:hAnsi="Tahoma" w:cs="Times New Roman"/>
      <w:sz w:val="20"/>
      <w:szCs w:val="20"/>
    </w:rPr>
  </w:style>
  <w:style w:type="character" w:customStyle="1" w:styleId="Heading7Char">
    <w:name w:val="Heading 7 Char"/>
    <w:basedOn w:val="DefaultParagraphFont"/>
    <w:link w:val="Heading7"/>
    <w:rsid w:val="00282739"/>
    <w:rPr>
      <w:rFonts w:ascii="Tahoma" w:eastAsia="Times New Roman" w:hAnsi="Tahoma" w:cs="Times New Roman"/>
      <w:spacing w:val="20"/>
      <w:sz w:val="20"/>
      <w:szCs w:val="20"/>
    </w:rPr>
  </w:style>
  <w:style w:type="character" w:customStyle="1" w:styleId="Heading8Char">
    <w:name w:val="Heading 8 Char"/>
    <w:basedOn w:val="DefaultParagraphFont"/>
    <w:link w:val="Heading8"/>
    <w:rsid w:val="00282739"/>
    <w:rPr>
      <w:rFonts w:ascii="Tahoma" w:eastAsia="Times New Roman" w:hAnsi="Tahoma" w:cs="Times New Roman"/>
      <w:color w:val="C0C0C0"/>
      <w:spacing w:val="60"/>
      <w:sz w:val="20"/>
      <w:szCs w:val="20"/>
    </w:rPr>
  </w:style>
  <w:style w:type="paragraph" w:customStyle="1" w:styleId="Text">
    <w:name w:val="Text"/>
    <w:link w:val="TextChar"/>
    <w:uiPriority w:val="99"/>
    <w:rsid w:val="00282739"/>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uiPriority w:val="99"/>
    <w:rsid w:val="00282739"/>
    <w:rPr>
      <w:rFonts w:ascii="Trebuchet MS" w:eastAsia="Times New Roman" w:hAnsi="Trebuchet MS" w:cs="Times New Roman"/>
      <w:sz w:val="19"/>
      <w:szCs w:val="20"/>
    </w:rPr>
  </w:style>
  <w:style w:type="character" w:styleId="PageNumber">
    <w:name w:val="page number"/>
    <w:basedOn w:val="DefaultParagraphFont"/>
    <w:rsid w:val="00282739"/>
    <w:rPr>
      <w:rFonts w:ascii="Tahoma" w:hAnsi="Tahoma"/>
      <w:sz w:val="18"/>
    </w:rPr>
  </w:style>
  <w:style w:type="paragraph" w:styleId="Footer">
    <w:name w:val="footer"/>
    <w:basedOn w:val="Normal"/>
    <w:link w:val="FooterChar"/>
    <w:rsid w:val="00282739"/>
    <w:pPr>
      <w:tabs>
        <w:tab w:val="right" w:pos="8505"/>
      </w:tabs>
      <w:spacing w:before="0"/>
    </w:pPr>
    <w:rPr>
      <w:rFonts w:ascii="Tahoma" w:hAnsi="Tahoma"/>
      <w:sz w:val="17"/>
      <w:szCs w:val="17"/>
    </w:rPr>
  </w:style>
  <w:style w:type="character" w:customStyle="1" w:styleId="FooterChar">
    <w:name w:val="Footer Char"/>
    <w:basedOn w:val="DefaultParagraphFont"/>
    <w:link w:val="Footer"/>
    <w:rsid w:val="00282739"/>
    <w:rPr>
      <w:rFonts w:ascii="Tahoma" w:eastAsia="Times New Roman" w:hAnsi="Tahoma" w:cs="Times New Roman"/>
      <w:sz w:val="17"/>
      <w:szCs w:val="17"/>
    </w:rPr>
  </w:style>
  <w:style w:type="paragraph" w:styleId="TOC1">
    <w:name w:val="toc 1"/>
    <w:uiPriority w:val="39"/>
    <w:rsid w:val="00282739"/>
    <w:pPr>
      <w:tabs>
        <w:tab w:val="right" w:pos="6804"/>
      </w:tabs>
      <w:spacing w:before="120" w:after="0" w:line="300" w:lineRule="exact"/>
      <w:ind w:right="1984"/>
    </w:pPr>
    <w:rPr>
      <w:rFonts w:ascii="Trebuchet MS" w:eastAsia="Times New Roman" w:hAnsi="Trebuchet MS" w:cs="Times New Roman"/>
      <w:noProof/>
      <w:color w:val="000000"/>
      <w:sz w:val="19"/>
      <w:szCs w:val="19"/>
    </w:rPr>
  </w:style>
  <w:style w:type="paragraph" w:styleId="TOC2">
    <w:name w:val="toc 2"/>
    <w:basedOn w:val="Normal"/>
    <w:next w:val="Normal"/>
    <w:uiPriority w:val="39"/>
    <w:rsid w:val="00282739"/>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282739"/>
    <w:pPr>
      <w:spacing w:before="360" w:after="80" w:line="240" w:lineRule="auto"/>
      <w:ind w:left="851" w:hanging="851"/>
    </w:pPr>
    <w:rPr>
      <w:rFonts w:ascii="Tahoma" w:eastAsia="Times New Roman" w:hAnsi="Tahoma" w:cs="Times New Roman"/>
      <w:b/>
      <w:sz w:val="17"/>
      <w:szCs w:val="20"/>
    </w:rPr>
  </w:style>
  <w:style w:type="paragraph" w:customStyle="1" w:styleId="Tabletext">
    <w:name w:val="Table text"/>
    <w:next w:val="Text"/>
    <w:rsid w:val="00282739"/>
    <w:pPr>
      <w:spacing w:before="40" w:after="40" w:line="240" w:lineRule="auto"/>
    </w:pPr>
    <w:rPr>
      <w:rFonts w:ascii="Arial" w:eastAsia="Times New Roman" w:hAnsi="Arial" w:cs="Times New Roman"/>
      <w:sz w:val="16"/>
      <w:szCs w:val="20"/>
    </w:rPr>
  </w:style>
  <w:style w:type="paragraph" w:customStyle="1" w:styleId="Tablehead1">
    <w:name w:val="Tablehead1"/>
    <w:rsid w:val="00282739"/>
    <w:pPr>
      <w:spacing w:before="80" w:after="80" w:line="240" w:lineRule="auto"/>
    </w:pPr>
    <w:rPr>
      <w:rFonts w:ascii="Arial" w:eastAsia="Times New Roman" w:hAnsi="Arial" w:cs="Times New Roman"/>
      <w:b/>
      <w:sz w:val="17"/>
      <w:szCs w:val="20"/>
    </w:rPr>
  </w:style>
  <w:style w:type="paragraph" w:styleId="Quote">
    <w:name w:val="Quote"/>
    <w:basedOn w:val="Text"/>
    <w:link w:val="QuoteChar"/>
    <w:qFormat/>
    <w:rsid w:val="00282739"/>
    <w:pPr>
      <w:tabs>
        <w:tab w:val="right" w:pos="7853"/>
      </w:tabs>
      <w:spacing w:before="80"/>
      <w:ind w:left="567" w:right="652"/>
    </w:pPr>
    <w:rPr>
      <w:sz w:val="17"/>
    </w:rPr>
  </w:style>
  <w:style w:type="character" w:customStyle="1" w:styleId="QuoteChar">
    <w:name w:val="Quote Char"/>
    <w:basedOn w:val="DefaultParagraphFont"/>
    <w:link w:val="Quote"/>
    <w:rsid w:val="00282739"/>
    <w:rPr>
      <w:rFonts w:ascii="Trebuchet MS" w:eastAsia="Times New Roman" w:hAnsi="Trebuchet MS" w:cs="Times New Roman"/>
      <w:sz w:val="17"/>
      <w:szCs w:val="20"/>
    </w:rPr>
  </w:style>
  <w:style w:type="paragraph" w:customStyle="1" w:styleId="References">
    <w:name w:val="References"/>
    <w:rsid w:val="00282739"/>
    <w:pPr>
      <w:spacing w:before="80" w:after="0" w:line="240" w:lineRule="auto"/>
      <w:ind w:left="284" w:right="-369" w:hanging="284"/>
    </w:pPr>
    <w:rPr>
      <w:rFonts w:ascii="Trebuchet MS" w:eastAsia="Times New Roman" w:hAnsi="Trebuchet MS" w:cs="Times New Roman"/>
      <w:sz w:val="18"/>
      <w:szCs w:val="20"/>
    </w:rPr>
  </w:style>
  <w:style w:type="paragraph" w:customStyle="1" w:styleId="Tablehead2">
    <w:name w:val="Tablehead2"/>
    <w:basedOn w:val="Tablehead1"/>
    <w:rsid w:val="00282739"/>
    <w:pPr>
      <w:tabs>
        <w:tab w:val="left" w:pos="992"/>
      </w:tabs>
      <w:spacing w:before="20" w:after="20"/>
    </w:pPr>
    <w:rPr>
      <w:b w:val="0"/>
    </w:rPr>
  </w:style>
  <w:style w:type="paragraph" w:customStyle="1" w:styleId="Tablehead3">
    <w:name w:val="Tablehead3"/>
    <w:basedOn w:val="Tablehead2"/>
    <w:rsid w:val="00282739"/>
    <w:rPr>
      <w:i/>
    </w:rPr>
  </w:style>
  <w:style w:type="paragraph" w:styleId="TableofFigures">
    <w:name w:val="table of figures"/>
    <w:basedOn w:val="TOC1"/>
    <w:next w:val="Normal"/>
    <w:uiPriority w:val="99"/>
    <w:rsid w:val="00282739"/>
    <w:pPr>
      <w:tabs>
        <w:tab w:val="right" w:pos="425"/>
      </w:tabs>
      <w:spacing w:before="80"/>
      <w:ind w:left="425" w:right="1985" w:hanging="425"/>
    </w:pPr>
  </w:style>
  <w:style w:type="paragraph" w:customStyle="1" w:styleId="Imprint">
    <w:name w:val="Imprint"/>
    <w:basedOn w:val="Normal"/>
    <w:rsid w:val="00282739"/>
    <w:pPr>
      <w:spacing w:line="260" w:lineRule="atLeast"/>
    </w:pPr>
    <w:rPr>
      <w:sz w:val="16"/>
    </w:rPr>
  </w:style>
  <w:style w:type="paragraph" w:customStyle="1" w:styleId="Figuretitle">
    <w:name w:val="Figuretitle"/>
    <w:basedOn w:val="tabletitle"/>
    <w:rsid w:val="00282739"/>
    <w:pPr>
      <w:ind w:left="992" w:hanging="992"/>
    </w:pPr>
  </w:style>
  <w:style w:type="paragraph" w:customStyle="1" w:styleId="Dotpoint1">
    <w:name w:val="Dotpoint1"/>
    <w:rsid w:val="00282739"/>
    <w:pPr>
      <w:numPr>
        <w:numId w:val="1"/>
      </w:numPr>
      <w:tabs>
        <w:tab w:val="left" w:pos="284"/>
      </w:tabs>
      <w:spacing w:before="120" w:after="0" w:line="300" w:lineRule="exact"/>
      <w:ind w:left="284" w:hanging="284"/>
    </w:pPr>
    <w:rPr>
      <w:rFonts w:ascii="Trebuchet MS" w:eastAsia="Times New Roman" w:hAnsi="Trebuchet MS" w:cs="Times New Roman"/>
      <w:color w:val="000000"/>
      <w:sz w:val="19"/>
      <w:szCs w:val="20"/>
    </w:rPr>
  </w:style>
  <w:style w:type="paragraph" w:customStyle="1" w:styleId="Dotpoint2">
    <w:name w:val="Dotpoint2"/>
    <w:basedOn w:val="Dotpoint1"/>
    <w:rsid w:val="00282739"/>
    <w:pPr>
      <w:numPr>
        <w:numId w:val="2"/>
      </w:numPr>
      <w:tabs>
        <w:tab w:val="clear" w:pos="284"/>
        <w:tab w:val="left" w:pos="567"/>
      </w:tabs>
      <w:ind w:left="568" w:hanging="284"/>
    </w:pPr>
  </w:style>
  <w:style w:type="paragraph" w:customStyle="1" w:styleId="NumberedListContinuing">
    <w:name w:val="NumberedListContinuing"/>
    <w:rsid w:val="00282739"/>
    <w:pPr>
      <w:tabs>
        <w:tab w:val="num" w:pos="284"/>
      </w:tabs>
      <w:spacing w:before="120" w:after="0" w:line="300" w:lineRule="exact"/>
    </w:pPr>
    <w:rPr>
      <w:rFonts w:ascii="Trebuchet MS" w:eastAsia="Times New Roman" w:hAnsi="Trebuchet MS" w:cs="Times New Roman"/>
      <w:sz w:val="19"/>
      <w:szCs w:val="20"/>
      <w:lang w:eastAsia="en-AU"/>
    </w:rPr>
  </w:style>
  <w:style w:type="paragraph" w:customStyle="1" w:styleId="Source">
    <w:name w:val="Source"/>
    <w:rsid w:val="00282739"/>
    <w:pPr>
      <w:spacing w:before="40" w:after="0" w:line="240" w:lineRule="auto"/>
      <w:ind w:left="737" w:hanging="737"/>
    </w:pPr>
    <w:rPr>
      <w:rFonts w:ascii="Arial" w:eastAsia="Times New Roman" w:hAnsi="Arial" w:cs="Times New Roman"/>
      <w:sz w:val="15"/>
      <w:szCs w:val="20"/>
    </w:rPr>
  </w:style>
  <w:style w:type="paragraph" w:styleId="FootnoteText">
    <w:name w:val="footnote text"/>
    <w:basedOn w:val="Text"/>
    <w:link w:val="FootnoteTextChar"/>
    <w:rsid w:val="00282739"/>
    <w:pPr>
      <w:tabs>
        <w:tab w:val="left" w:pos="1418"/>
      </w:tabs>
      <w:spacing w:before="0" w:line="220" w:lineRule="exact"/>
      <w:ind w:left="227" w:right="0" w:hanging="227"/>
    </w:pPr>
    <w:rPr>
      <w:sz w:val="16"/>
    </w:rPr>
  </w:style>
  <w:style w:type="character" w:customStyle="1" w:styleId="FootnoteTextChar">
    <w:name w:val="Footnote Text Char"/>
    <w:basedOn w:val="DefaultParagraphFont"/>
    <w:link w:val="FootnoteText"/>
    <w:rsid w:val="00282739"/>
    <w:rPr>
      <w:rFonts w:ascii="Trebuchet MS" w:eastAsia="Times New Roman" w:hAnsi="Trebuchet MS" w:cs="Times New Roman"/>
      <w:sz w:val="16"/>
      <w:szCs w:val="20"/>
    </w:rPr>
  </w:style>
  <w:style w:type="paragraph" w:styleId="NormalWeb">
    <w:name w:val="Normal (Web)"/>
    <w:basedOn w:val="Normal"/>
    <w:uiPriority w:val="99"/>
    <w:semiHidden/>
    <w:rsid w:val="00282739"/>
    <w:pPr>
      <w:spacing w:before="100" w:beforeAutospacing="1" w:after="240"/>
    </w:pPr>
    <w:rPr>
      <w:sz w:val="18"/>
      <w:szCs w:val="18"/>
    </w:rPr>
  </w:style>
  <w:style w:type="paragraph" w:customStyle="1" w:styleId="PublicationTitle">
    <w:name w:val="Publication Title"/>
    <w:qFormat/>
    <w:rsid w:val="00282739"/>
    <w:pPr>
      <w:spacing w:before="3200" w:after="840" w:line="240" w:lineRule="auto"/>
      <w:ind w:left="1701"/>
    </w:pPr>
    <w:rPr>
      <w:rFonts w:ascii="Tahoma" w:eastAsia="Times New Roman" w:hAnsi="Tahoma" w:cs="Tahoma"/>
      <w:color w:val="000000"/>
      <w:kern w:val="28"/>
      <w:sz w:val="56"/>
      <w:szCs w:val="56"/>
    </w:rPr>
  </w:style>
  <w:style w:type="paragraph" w:styleId="TOC3">
    <w:name w:val="toc 3"/>
    <w:basedOn w:val="TOC2"/>
    <w:next w:val="Normal"/>
    <w:autoRedefine/>
    <w:semiHidden/>
    <w:unhideWhenUsed/>
    <w:rsid w:val="00282739"/>
    <w:pPr>
      <w:ind w:left="440"/>
    </w:pPr>
  </w:style>
  <w:style w:type="paragraph" w:styleId="TOC4">
    <w:name w:val="toc 4"/>
    <w:basedOn w:val="TOC3"/>
    <w:next w:val="Normal"/>
    <w:autoRedefine/>
    <w:semiHidden/>
    <w:unhideWhenUsed/>
    <w:rsid w:val="00282739"/>
    <w:pPr>
      <w:ind w:left="660"/>
    </w:pPr>
  </w:style>
  <w:style w:type="paragraph" w:styleId="BalloonText">
    <w:name w:val="Balloon Text"/>
    <w:basedOn w:val="Normal"/>
    <w:link w:val="BalloonTextChar"/>
    <w:uiPriority w:val="99"/>
    <w:semiHidden/>
    <w:rsid w:val="0028273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39"/>
    <w:rPr>
      <w:rFonts w:ascii="Tahoma" w:eastAsia="Times New Roman" w:hAnsi="Tahoma" w:cs="Tahoma"/>
      <w:sz w:val="16"/>
      <w:szCs w:val="16"/>
    </w:rPr>
  </w:style>
  <w:style w:type="table" w:styleId="TableGrid">
    <w:name w:val="Table Grid"/>
    <w:basedOn w:val="TableNormal"/>
    <w:uiPriority w:val="59"/>
    <w:rsid w:val="00282739"/>
    <w:pPr>
      <w:spacing w:after="0" w:line="240" w:lineRule="auto"/>
    </w:pPr>
    <w:rPr>
      <w:rFonts w:ascii="Times New Roman" w:eastAsia="Times New Roman" w:hAnsi="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282739"/>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282739"/>
    <w:rPr>
      <w:rFonts w:ascii="Trebuchet MS" w:eastAsia="Times New Roman" w:hAnsi="Trebuchet MS" w:cs="Times New Roman"/>
      <w:sz w:val="19"/>
      <w:szCs w:val="20"/>
    </w:rPr>
  </w:style>
  <w:style w:type="character" w:styleId="Hyperlink">
    <w:name w:val="Hyperlink"/>
    <w:basedOn w:val="DefaultParagraphFont"/>
    <w:unhideWhenUsed/>
    <w:rsid w:val="00282739"/>
    <w:rPr>
      <w:rFonts w:ascii="Trebuchet MS" w:hAnsi="Trebuchet MS"/>
      <w:color w:val="auto"/>
      <w:sz w:val="19"/>
      <w:u w:val="none"/>
    </w:rPr>
  </w:style>
  <w:style w:type="paragraph" w:styleId="ListParagraph">
    <w:name w:val="List Paragraph"/>
    <w:basedOn w:val="Normal"/>
    <w:uiPriority w:val="34"/>
    <w:qFormat/>
    <w:rsid w:val="00282739"/>
    <w:pPr>
      <w:ind w:left="720"/>
      <w:contextualSpacing/>
    </w:pPr>
  </w:style>
  <w:style w:type="paragraph" w:styleId="BodyText">
    <w:name w:val="Body Text"/>
    <w:basedOn w:val="Normal"/>
    <w:link w:val="BodyTextChar"/>
    <w:rsid w:val="00282739"/>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282739"/>
    <w:rPr>
      <w:rFonts w:ascii="Times New Roman" w:eastAsia="Times New Roman" w:hAnsi="Times New Roman" w:cs="Times New Roman"/>
      <w:b/>
      <w:sz w:val="20"/>
      <w:szCs w:val="20"/>
      <w:lang w:val="en-US" w:eastAsia="ko-KR"/>
    </w:rPr>
  </w:style>
  <w:style w:type="paragraph" w:styleId="BodyText2">
    <w:name w:val="Body Text 2"/>
    <w:basedOn w:val="Normal"/>
    <w:link w:val="BodyText2Char"/>
    <w:rsid w:val="00282739"/>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282739"/>
    <w:rPr>
      <w:rFonts w:ascii="Times New Roman" w:eastAsia="Times New Roman" w:hAnsi="Times New Roman" w:cs="Times New Roman"/>
      <w:szCs w:val="20"/>
      <w:lang w:val="en-US" w:eastAsia="ko-KR"/>
    </w:rPr>
  </w:style>
  <w:style w:type="paragraph" w:styleId="BodyTextIndent">
    <w:name w:val="Body Text Indent"/>
    <w:basedOn w:val="Normal"/>
    <w:link w:val="BodyTextIndentChar"/>
    <w:rsid w:val="00282739"/>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282739"/>
    <w:rPr>
      <w:rFonts w:ascii="Times New Roman" w:eastAsia="Times New Roman" w:hAnsi="Times New Roman" w:cs="Times New Roman"/>
      <w:szCs w:val="20"/>
      <w:lang w:eastAsia="en-AU"/>
    </w:rPr>
  </w:style>
  <w:style w:type="paragraph" w:customStyle="1" w:styleId="Authors">
    <w:name w:val="Authors"/>
    <w:qFormat/>
    <w:rsid w:val="00282739"/>
    <w:pPr>
      <w:spacing w:after="0" w:line="240" w:lineRule="auto"/>
      <w:ind w:left="1701" w:right="-1"/>
    </w:pPr>
    <w:rPr>
      <w:rFonts w:ascii="Tahoma" w:eastAsia="Times New Roman" w:hAnsi="Tahoma" w:cs="Tahoma"/>
      <w:sz w:val="28"/>
      <w:szCs w:val="20"/>
    </w:rPr>
  </w:style>
  <w:style w:type="paragraph" w:customStyle="1" w:styleId="Contents">
    <w:name w:val="Contents"/>
    <w:qFormat/>
    <w:rsid w:val="00282739"/>
    <w:pPr>
      <w:spacing w:after="360" w:line="240" w:lineRule="auto"/>
    </w:pPr>
    <w:rPr>
      <w:rFonts w:ascii="Tahoma" w:eastAsia="Times New Roman" w:hAnsi="Tahoma" w:cs="Tahoma"/>
      <w:color w:val="000000"/>
      <w:kern w:val="28"/>
      <w:sz w:val="56"/>
      <w:szCs w:val="56"/>
    </w:rPr>
  </w:style>
  <w:style w:type="paragraph" w:customStyle="1" w:styleId="Abouttheresearchpubtitle">
    <w:name w:val="About the research pub title"/>
    <w:qFormat/>
    <w:rsid w:val="00282739"/>
    <w:pPr>
      <w:spacing w:before="360" w:after="0" w:line="240" w:lineRule="auto"/>
    </w:pPr>
    <w:rPr>
      <w:rFonts w:ascii="Tahoma" w:eastAsia="Times New Roman" w:hAnsi="Tahoma" w:cs="Tahoma"/>
      <w:i/>
      <w:sz w:val="28"/>
      <w:szCs w:val="20"/>
    </w:rPr>
  </w:style>
  <w:style w:type="paragraph" w:customStyle="1" w:styleId="Abouttheresearch">
    <w:name w:val="About the research"/>
    <w:uiPriority w:val="1"/>
    <w:qFormat/>
    <w:rsid w:val="00282739"/>
    <w:pPr>
      <w:spacing w:after="0" w:line="240" w:lineRule="auto"/>
    </w:pPr>
    <w:rPr>
      <w:rFonts w:ascii="Tahoma" w:eastAsia="Times New Roman" w:hAnsi="Tahoma" w:cs="Tahoma"/>
      <w:color w:val="000000"/>
      <w:kern w:val="28"/>
      <w:sz w:val="56"/>
      <w:szCs w:val="56"/>
    </w:rPr>
  </w:style>
  <w:style w:type="paragraph" w:customStyle="1" w:styleId="Keymessages">
    <w:name w:val="Key messages"/>
    <w:uiPriority w:val="1"/>
    <w:qFormat/>
    <w:rsid w:val="00282739"/>
    <w:pPr>
      <w:spacing w:before="360" w:after="0" w:line="240" w:lineRule="auto"/>
    </w:pPr>
    <w:rPr>
      <w:rFonts w:ascii="Tahoma" w:eastAsia="Times New Roman" w:hAnsi="Tahoma" w:cs="Tahoma"/>
      <w:sz w:val="28"/>
      <w:szCs w:val="20"/>
    </w:rPr>
  </w:style>
  <w:style w:type="paragraph" w:customStyle="1" w:styleId="Organisation">
    <w:name w:val="Organisation"/>
    <w:basedOn w:val="Authors"/>
    <w:uiPriority w:val="1"/>
    <w:qFormat/>
    <w:rsid w:val="00282739"/>
    <w:pPr>
      <w:spacing w:before="120"/>
      <w:ind w:right="0"/>
    </w:pPr>
    <w:rPr>
      <w:sz w:val="24"/>
    </w:rPr>
  </w:style>
  <w:style w:type="character" w:styleId="FollowedHyperlink">
    <w:name w:val="FollowedHyperlink"/>
    <w:basedOn w:val="DefaultParagraphFont"/>
    <w:uiPriority w:val="99"/>
    <w:semiHidden/>
    <w:rsid w:val="00282739"/>
    <w:rPr>
      <w:color w:val="800080" w:themeColor="followedHyperlink"/>
      <w:u w:val="single"/>
    </w:rPr>
  </w:style>
  <w:style w:type="paragraph" w:customStyle="1" w:styleId="NumberedAlphaLevel2">
    <w:name w:val="NumberedAlphaLevel2"/>
    <w:basedOn w:val="NumberedListContinuing"/>
    <w:uiPriority w:val="1"/>
    <w:qFormat/>
    <w:rsid w:val="00282739"/>
    <w:pPr>
      <w:tabs>
        <w:tab w:val="clear" w:pos="284"/>
        <w:tab w:val="num" w:pos="567"/>
      </w:tabs>
      <w:ind w:left="567" w:hanging="283"/>
    </w:pPr>
  </w:style>
  <w:style w:type="character" w:styleId="FootnoteReference">
    <w:name w:val="footnote reference"/>
    <w:basedOn w:val="DefaultParagraphFont"/>
    <w:rsid w:val="00282739"/>
    <w:rPr>
      <w:rFonts w:cs="Times New Roman"/>
      <w:vertAlign w:val="superscript"/>
    </w:rPr>
  </w:style>
  <w:style w:type="character" w:styleId="Strong">
    <w:name w:val="Strong"/>
    <w:basedOn w:val="DefaultParagraphFont"/>
    <w:uiPriority w:val="22"/>
    <w:qFormat/>
    <w:rsid w:val="00282739"/>
    <w:rPr>
      <w:b/>
      <w:bCs/>
    </w:rPr>
  </w:style>
  <w:style w:type="paragraph" w:customStyle="1" w:styleId="Default">
    <w:name w:val="Default"/>
    <w:rsid w:val="00282739"/>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Pa3">
    <w:name w:val="Pa3"/>
    <w:basedOn w:val="Default"/>
    <w:next w:val="Default"/>
    <w:uiPriority w:val="99"/>
    <w:rsid w:val="00282739"/>
    <w:pPr>
      <w:spacing w:line="221" w:lineRule="atLeast"/>
    </w:pPr>
    <w:rPr>
      <w:rFonts w:ascii="Helvetica" w:hAnsi="Helvetica" w:cs="Times New Roman"/>
      <w:color w:val="auto"/>
    </w:rPr>
  </w:style>
  <w:style w:type="paragraph" w:customStyle="1" w:styleId="Pa6">
    <w:name w:val="Pa6"/>
    <w:basedOn w:val="Default"/>
    <w:next w:val="Default"/>
    <w:uiPriority w:val="99"/>
    <w:rsid w:val="00282739"/>
    <w:pPr>
      <w:spacing w:line="221" w:lineRule="atLeast"/>
    </w:pPr>
    <w:rPr>
      <w:rFonts w:ascii="Helvetica" w:hAnsi="Helvetica" w:cs="Times New Roman"/>
      <w:color w:val="auto"/>
    </w:rPr>
  </w:style>
  <w:style w:type="character" w:customStyle="1" w:styleId="A8">
    <w:name w:val="A8"/>
    <w:uiPriority w:val="99"/>
    <w:rsid w:val="00282739"/>
    <w:rPr>
      <w:rFonts w:cs="Helvetica"/>
      <w:color w:val="000000"/>
    </w:rPr>
  </w:style>
  <w:style w:type="character" w:customStyle="1" w:styleId="MTEquationSection">
    <w:name w:val="MTEquationSection"/>
    <w:basedOn w:val="DefaultParagraphFont"/>
    <w:rsid w:val="00282739"/>
    <w:rPr>
      <w:vanish/>
      <w:color w:val="FF0000"/>
    </w:rPr>
  </w:style>
  <w:style w:type="paragraph" w:customStyle="1" w:styleId="MTDisplayEquation">
    <w:name w:val="MTDisplayEquation"/>
    <w:basedOn w:val="Heading2"/>
    <w:next w:val="Normal"/>
    <w:link w:val="MTDisplayEquationChar"/>
    <w:rsid w:val="00282739"/>
    <w:pPr>
      <w:tabs>
        <w:tab w:val="center" w:pos="4240"/>
        <w:tab w:val="right" w:pos="8500"/>
      </w:tabs>
    </w:pPr>
    <w:rPr>
      <w:lang w:val="en-GB"/>
    </w:rPr>
  </w:style>
  <w:style w:type="character" w:customStyle="1" w:styleId="MTDisplayEquationChar">
    <w:name w:val="MTDisplayEquation Char"/>
    <w:basedOn w:val="Heading2Char"/>
    <w:link w:val="MTDisplayEquation"/>
    <w:rsid w:val="00282739"/>
    <w:rPr>
      <w:rFonts w:ascii="Tahoma" w:eastAsia="Times New Roman" w:hAnsi="Tahoma" w:cs="Tahoma"/>
      <w:sz w:val="28"/>
      <w:szCs w:val="20"/>
      <w:lang w:val="en-GB"/>
    </w:rPr>
  </w:style>
  <w:style w:type="character" w:customStyle="1" w:styleId="st1">
    <w:name w:val="st1"/>
    <w:basedOn w:val="DefaultParagraphFont"/>
    <w:rsid w:val="00282739"/>
  </w:style>
  <w:style w:type="paragraph" w:styleId="PlainText">
    <w:name w:val="Plain Text"/>
    <w:basedOn w:val="Normal"/>
    <w:link w:val="PlainTextChar"/>
    <w:rsid w:val="00282739"/>
    <w:pPr>
      <w:spacing w:before="0" w:line="240" w:lineRule="auto"/>
    </w:pPr>
    <w:rPr>
      <w:rFonts w:ascii="Courier New" w:hAnsi="Courier New" w:cs="Courier New"/>
      <w:sz w:val="20"/>
      <w:lang w:val="en-GB"/>
    </w:rPr>
  </w:style>
  <w:style w:type="character" w:customStyle="1" w:styleId="PlainTextChar">
    <w:name w:val="Plain Text Char"/>
    <w:basedOn w:val="DefaultParagraphFont"/>
    <w:link w:val="PlainText"/>
    <w:rsid w:val="00282739"/>
    <w:rPr>
      <w:rFonts w:ascii="Courier New" w:eastAsia="Times New Roman" w:hAnsi="Courier New" w:cs="Courier New"/>
      <w:sz w:val="20"/>
      <w:szCs w:val="20"/>
      <w:lang w:val="en-GB"/>
    </w:rPr>
  </w:style>
  <w:style w:type="character" w:styleId="CommentReference">
    <w:name w:val="annotation reference"/>
    <w:basedOn w:val="DefaultParagraphFont"/>
    <w:uiPriority w:val="99"/>
    <w:semiHidden/>
    <w:rsid w:val="00282739"/>
    <w:rPr>
      <w:sz w:val="16"/>
      <w:szCs w:val="16"/>
    </w:rPr>
  </w:style>
  <w:style w:type="paragraph" w:styleId="CommentText">
    <w:name w:val="annotation text"/>
    <w:basedOn w:val="Normal"/>
    <w:link w:val="CommentTextChar"/>
    <w:uiPriority w:val="99"/>
    <w:semiHidden/>
    <w:rsid w:val="00282739"/>
    <w:pPr>
      <w:spacing w:line="240" w:lineRule="auto"/>
    </w:pPr>
    <w:rPr>
      <w:sz w:val="20"/>
    </w:rPr>
  </w:style>
  <w:style w:type="character" w:customStyle="1" w:styleId="CommentTextChar">
    <w:name w:val="Comment Text Char"/>
    <w:basedOn w:val="DefaultParagraphFont"/>
    <w:link w:val="CommentText"/>
    <w:uiPriority w:val="99"/>
    <w:semiHidden/>
    <w:rsid w:val="00282739"/>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rsid w:val="00282739"/>
    <w:rPr>
      <w:b/>
      <w:bCs/>
    </w:rPr>
  </w:style>
  <w:style w:type="character" w:customStyle="1" w:styleId="CommentSubjectChar">
    <w:name w:val="Comment Subject Char"/>
    <w:basedOn w:val="CommentTextChar"/>
    <w:link w:val="CommentSubject"/>
    <w:uiPriority w:val="99"/>
    <w:semiHidden/>
    <w:rsid w:val="00282739"/>
    <w:rPr>
      <w:rFonts w:ascii="Trebuchet MS" w:eastAsia="Times New Roman" w:hAnsi="Trebuchet MS" w:cs="Times New Roman"/>
      <w:b/>
      <w:bCs/>
      <w:sz w:val="20"/>
      <w:szCs w:val="20"/>
    </w:rPr>
  </w:style>
  <w:style w:type="paragraph" w:styleId="Revision">
    <w:name w:val="Revision"/>
    <w:hidden/>
    <w:uiPriority w:val="99"/>
    <w:semiHidden/>
    <w:rsid w:val="00282739"/>
    <w:pPr>
      <w:spacing w:after="0" w:line="240" w:lineRule="auto"/>
    </w:pPr>
    <w:rPr>
      <w:rFonts w:ascii="Trebuchet MS" w:eastAsia="Times New Roman" w:hAnsi="Trebuchet MS" w:cs="Times New Roman"/>
      <w:sz w:val="19"/>
      <w:szCs w:val="20"/>
    </w:rPr>
  </w:style>
  <w:style w:type="paragraph" w:styleId="Caption">
    <w:name w:val="caption"/>
    <w:basedOn w:val="Normal"/>
    <w:next w:val="Normal"/>
    <w:uiPriority w:val="35"/>
    <w:semiHidden/>
    <w:qFormat/>
    <w:rsid w:val="00282739"/>
    <w:pPr>
      <w:spacing w:before="0" w:after="200" w:line="240" w:lineRule="auto"/>
    </w:pPr>
    <w:rPr>
      <w:b/>
      <w:bCs/>
      <w:color w:val="4F81BD" w:themeColor="accent1"/>
      <w:sz w:val="18"/>
      <w:szCs w:val="18"/>
    </w:rPr>
  </w:style>
  <w:style w:type="character" w:styleId="Emphasis">
    <w:name w:val="Emphasis"/>
    <w:basedOn w:val="DefaultParagraphFont"/>
    <w:uiPriority w:val="20"/>
    <w:qFormat/>
    <w:rsid w:val="00282739"/>
    <w:rPr>
      <w:i/>
      <w:iCs/>
    </w:rPr>
  </w:style>
  <w:style w:type="paragraph" w:customStyle="1" w:styleId="WPhding1">
    <w:name w:val="WPhding1"/>
    <w:basedOn w:val="Normal"/>
    <w:rsid w:val="00282739"/>
    <w:pPr>
      <w:spacing w:before="0" w:after="40" w:line="240" w:lineRule="atLeast"/>
      <w:ind w:right="-259"/>
      <w:jc w:val="center"/>
    </w:pPr>
    <w:rPr>
      <w:rFonts w:ascii="Times" w:hAnsi="Times"/>
      <w:b/>
      <w:sz w:val="36"/>
      <w:szCs w:val="24"/>
    </w:rPr>
  </w:style>
  <w:style w:type="paragraph" w:customStyle="1" w:styleId="Textmorebefore">
    <w:name w:val="Text more # before"/>
    <w:basedOn w:val="Text"/>
    <w:uiPriority w:val="1"/>
    <w:qFormat/>
    <w:rsid w:val="00282739"/>
    <w:pPr>
      <w:spacing w:before="360"/>
      <w:ind w:right="0"/>
    </w:pPr>
  </w:style>
  <w:style w:type="paragraph" w:customStyle="1" w:styleId="Textlessbefore">
    <w:name w:val="Text less # before"/>
    <w:basedOn w:val="Text"/>
    <w:uiPriority w:val="1"/>
    <w:qFormat/>
    <w:rsid w:val="00282739"/>
    <w:pPr>
      <w:spacing w:before="80"/>
      <w:ind w:right="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witter.com/ncver" TargetMode="External"/><Relationship Id="rId18" Type="http://schemas.openxmlformats.org/officeDocument/2006/relationships/image" Target="media/image50.emf"/><Relationship Id="rId26" Type="http://schemas.openxmlformats.org/officeDocument/2006/relationships/oleObject" Target="embeddings/oleObject2.bin"/><Relationship Id="rId39" Type="http://schemas.openxmlformats.org/officeDocument/2006/relationships/image" Target="media/image13.wmf"/><Relationship Id="rId21" Type="http://schemas.openxmlformats.org/officeDocument/2006/relationships/footer" Target="footer3.xml"/><Relationship Id="rId34" Type="http://schemas.openxmlformats.org/officeDocument/2006/relationships/image" Target="media/image11.wmf"/><Relationship Id="rId42" Type="http://schemas.openxmlformats.org/officeDocument/2006/relationships/image" Target="media/image14.wmf"/><Relationship Id="rId47" Type="http://schemas.openxmlformats.org/officeDocument/2006/relationships/image" Target="media/image16.wmf"/><Relationship Id="rId50" Type="http://schemas.openxmlformats.org/officeDocument/2006/relationships/oleObject" Target="embeddings/oleObject16.bin"/><Relationship Id="rId55" Type="http://schemas.openxmlformats.org/officeDocument/2006/relationships/oleObject" Target="embeddings/oleObject19.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40.emf"/><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bin"/><Relationship Id="rId32" Type="http://schemas.openxmlformats.org/officeDocument/2006/relationships/image" Target="media/image10.wmf"/><Relationship Id="rId37" Type="http://schemas.openxmlformats.org/officeDocument/2006/relationships/oleObject" Target="embeddings/oleObject8.bin"/><Relationship Id="rId40" Type="http://schemas.openxmlformats.org/officeDocument/2006/relationships/oleObject" Target="embeddings/oleObject10.bin"/><Relationship Id="rId45" Type="http://schemas.openxmlformats.org/officeDocument/2006/relationships/image" Target="media/image15.wmf"/><Relationship Id="rId53" Type="http://schemas.openxmlformats.org/officeDocument/2006/relationships/oleObject" Target="embeddings/oleObject18.bin"/><Relationship Id="rId58" Type="http://schemas.openxmlformats.org/officeDocument/2006/relationships/image" Target="media/image22.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0.wmf"/><Relationship Id="rId23" Type="http://schemas.openxmlformats.org/officeDocument/2006/relationships/image" Target="media/image6.wmf"/><Relationship Id="rId28" Type="http://schemas.openxmlformats.org/officeDocument/2006/relationships/oleObject" Target="embeddings/oleObject3.bin"/><Relationship Id="rId36" Type="http://schemas.openxmlformats.org/officeDocument/2006/relationships/image" Target="media/image12.wmf"/><Relationship Id="rId49" Type="http://schemas.openxmlformats.org/officeDocument/2006/relationships/image" Target="media/image17.wmf"/><Relationship Id="rId57" Type="http://schemas.openxmlformats.org/officeDocument/2006/relationships/oleObject" Target="embeddings/oleObject20.bin"/><Relationship Id="rId61" Type="http://schemas.openxmlformats.org/officeDocument/2006/relationships/oleObject" Target="embeddings/oleObject23.bin"/><Relationship Id="rId10" Type="http://schemas.openxmlformats.org/officeDocument/2006/relationships/hyperlink" Target="http://www.voced.edu.au/" TargetMode="External"/><Relationship Id="rId19" Type="http://schemas.openxmlformats.org/officeDocument/2006/relationships/footer" Target="footer1.xml"/><Relationship Id="rId31" Type="http://schemas.openxmlformats.org/officeDocument/2006/relationships/oleObject" Target="embeddings/oleObject5.bin"/><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image" Target="media/image23.wmf"/><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footer" Target="footer4.xml"/><Relationship Id="rId27" Type="http://schemas.openxmlformats.org/officeDocument/2006/relationships/image" Target="media/image8.wmf"/><Relationship Id="rId30" Type="http://schemas.openxmlformats.org/officeDocument/2006/relationships/oleObject" Target="embeddings/oleObject4.bin"/><Relationship Id="rId35" Type="http://schemas.openxmlformats.org/officeDocument/2006/relationships/oleObject" Target="embeddings/oleObject7.bin"/><Relationship Id="rId43" Type="http://schemas.openxmlformats.org/officeDocument/2006/relationships/oleObject" Target="embeddings/oleObject12.bin"/><Relationship Id="rId48" Type="http://schemas.openxmlformats.org/officeDocument/2006/relationships/oleObject" Target="embeddings/oleObject15.bin"/><Relationship Id="rId56" Type="http://schemas.openxmlformats.org/officeDocument/2006/relationships/image" Target="media/image20.wmf"/><Relationship Id="rId64"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image" Target="media/image18.wmf"/><Relationship Id="rId3" Type="http://schemas.microsoft.com/office/2007/relationships/stylesWithEffects" Target="stylesWithEffects.xml"/><Relationship Id="rId12" Type="http://schemas.openxmlformats.org/officeDocument/2006/relationships/image" Target="media/image4.emf"/><Relationship Id="rId17" Type="http://schemas.openxmlformats.org/officeDocument/2006/relationships/hyperlink" Target="http://twitter.com/ncver" TargetMode="External"/><Relationship Id="rId25" Type="http://schemas.openxmlformats.org/officeDocument/2006/relationships/image" Target="media/image7.wmf"/><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oleObject" Target="embeddings/oleObject14.bin"/><Relationship Id="rId59" Type="http://schemas.openxmlformats.org/officeDocument/2006/relationships/oleObject" Target="embeddings/oleObject22.bin"/><Relationship Id="rId67"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oleObject" Target="embeddings/oleObject11.bin"/><Relationship Id="rId54" Type="http://schemas.openxmlformats.org/officeDocument/2006/relationships/image" Target="media/image19.wmf"/><Relationship Id="rId62" Type="http://schemas.openxmlformats.org/officeDocument/2006/relationships/image" Target="media/image24.wmf"/></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21.bin"/><Relationship Id="rId1"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F25C4607.dotm</Template>
  <TotalTime>2</TotalTime>
  <Pages>50</Pages>
  <Words>18441</Words>
  <Characters>105116</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McAdam</dc:creator>
  <cp:lastModifiedBy>Kaye McAdam</cp:lastModifiedBy>
  <cp:revision>2</cp:revision>
  <dcterms:created xsi:type="dcterms:W3CDTF">2014-12-11T23:54:00Z</dcterms:created>
  <dcterms:modified xsi:type="dcterms:W3CDTF">2014-12-12T00:25:00Z</dcterms:modified>
</cp:coreProperties>
</file>