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827" w:rsidRDefault="00C925E9" w:rsidP="00177827">
      <w:pPr>
        <w:pStyle w:val="PublicationTitle"/>
        <w:spacing w:before="0"/>
      </w:pPr>
      <w:bookmarkStart w:id="0" w:name="_Toc296423677"/>
      <w:bookmarkStart w:id="1" w:name="_Toc296497508"/>
      <w:r>
        <w:rPr>
          <w:noProof/>
          <w:lang w:eastAsia="en-AU"/>
        </w:rPr>
        <w:drawing>
          <wp:anchor distT="0" distB="0" distL="114300" distR="114300" simplePos="0" relativeHeight="251669504" behindDoc="0" locked="0" layoutInCell="1" allowOverlap="1">
            <wp:simplePos x="0" y="0"/>
            <wp:positionH relativeFrom="column">
              <wp:posOffset>3945255</wp:posOffset>
            </wp:positionH>
            <wp:positionV relativeFrom="paragraph">
              <wp:posOffset>-1270</wp:posOffset>
            </wp:positionV>
            <wp:extent cx="1955165" cy="659130"/>
            <wp:effectExtent l="19050" t="0" r="6985" b="0"/>
            <wp:wrapSquare wrapText="bothSides"/>
            <wp:docPr id="2" name="Picture 2" descr="P:\PublicationComponents\logos\LSAY\LSAY logo CMYK_highr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LSAY\LSAY logo CMYK_highres.eps"/>
                    <pic:cNvPicPr>
                      <a:picLocks noChangeAspect="1" noChangeArrowheads="1"/>
                    </pic:cNvPicPr>
                  </pic:nvPicPr>
                  <pic:blipFill>
                    <a:blip r:embed="rId8" cstate="print"/>
                    <a:srcRect/>
                    <a:stretch>
                      <a:fillRect/>
                    </a:stretch>
                  </pic:blipFill>
                  <pic:spPr bwMode="auto">
                    <a:xfrm>
                      <a:off x="0" y="0"/>
                      <a:ext cx="1955165" cy="659130"/>
                    </a:xfrm>
                    <a:prstGeom prst="rect">
                      <a:avLst/>
                    </a:prstGeom>
                    <a:noFill/>
                    <a:ln w="9525">
                      <a:noFill/>
                      <a:miter lim="800000"/>
                      <a:headEnd/>
                      <a:tailEnd/>
                    </a:ln>
                  </pic:spPr>
                </pic:pic>
              </a:graphicData>
            </a:graphic>
          </wp:anchor>
        </w:drawing>
      </w:r>
      <w:r w:rsidR="0048663C">
        <w:rPr>
          <w:noProof/>
          <w:lang w:eastAsia="en-AU"/>
        </w:rPr>
        <w:drawing>
          <wp:anchor distT="0" distB="0" distL="114300" distR="114300" simplePos="0" relativeHeight="251667456"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r>
        <w:tab/>
      </w:r>
    </w:p>
    <w:p w:rsidR="00177827" w:rsidRDefault="00177827" w:rsidP="00A56A4A">
      <w:pPr>
        <w:pStyle w:val="PublicationTitle"/>
        <w:spacing w:before="0" w:after="0"/>
      </w:pPr>
    </w:p>
    <w:p w:rsidR="00A56A4A" w:rsidRDefault="00A56A4A" w:rsidP="00A56A4A">
      <w:pPr>
        <w:pStyle w:val="PublicationTitle"/>
        <w:spacing w:before="0" w:after="0"/>
        <w:rPr>
          <w:noProof/>
          <w:lang w:eastAsia="en-AU"/>
        </w:rPr>
      </w:pPr>
    </w:p>
    <w:p w:rsidR="007C75D3" w:rsidRDefault="007C75D3" w:rsidP="00177827">
      <w:pPr>
        <w:pStyle w:val="PublicationTitle"/>
        <w:spacing w:before="0"/>
      </w:pPr>
    </w:p>
    <w:p w:rsidR="00C925E9" w:rsidRDefault="00C925E9" w:rsidP="00C925E9">
      <w:pPr>
        <w:pStyle w:val="Authors"/>
        <w:rPr>
          <w:color w:val="000000"/>
          <w:kern w:val="28"/>
          <w:sz w:val="56"/>
          <w:szCs w:val="56"/>
        </w:rPr>
      </w:pPr>
      <w:bookmarkStart w:id="2" w:name="_Toc98394874"/>
      <w:bookmarkStart w:id="3" w:name="_Toc296423678"/>
      <w:bookmarkStart w:id="4" w:name="_Toc296497509"/>
      <w:bookmarkEnd w:id="0"/>
      <w:bookmarkEnd w:id="1"/>
      <w:r w:rsidRPr="00C925E9">
        <w:rPr>
          <w:color w:val="000000"/>
          <w:kern w:val="28"/>
          <w:sz w:val="56"/>
          <w:szCs w:val="56"/>
        </w:rPr>
        <w:t xml:space="preserve">Bridging the gap: </w:t>
      </w:r>
      <w:r>
        <w:rPr>
          <w:color w:val="000000"/>
          <w:kern w:val="28"/>
          <w:sz w:val="56"/>
          <w:szCs w:val="56"/>
        </w:rPr>
        <w:br/>
      </w:r>
      <w:r w:rsidRPr="00C925E9">
        <w:rPr>
          <w:color w:val="000000"/>
          <w:kern w:val="28"/>
          <w:sz w:val="56"/>
          <w:szCs w:val="56"/>
        </w:rPr>
        <w:t xml:space="preserve">who takes a gap year </w:t>
      </w:r>
      <w:r>
        <w:rPr>
          <w:color w:val="000000"/>
          <w:kern w:val="28"/>
          <w:sz w:val="56"/>
          <w:szCs w:val="56"/>
        </w:rPr>
        <w:br/>
      </w:r>
      <w:r w:rsidRPr="00C925E9">
        <w:rPr>
          <w:color w:val="000000"/>
          <w:kern w:val="28"/>
          <w:sz w:val="56"/>
          <w:szCs w:val="56"/>
        </w:rPr>
        <w:t>and why?</w:t>
      </w:r>
    </w:p>
    <w:p w:rsidR="00C925E9" w:rsidRDefault="00C925E9" w:rsidP="00C925E9">
      <w:pPr>
        <w:pStyle w:val="Authors"/>
        <w:rPr>
          <w:color w:val="000000"/>
          <w:kern w:val="28"/>
          <w:sz w:val="56"/>
          <w:szCs w:val="56"/>
        </w:rPr>
      </w:pPr>
    </w:p>
    <w:bookmarkEnd w:id="2"/>
    <w:p w:rsidR="00C925E9" w:rsidRPr="00C925E9" w:rsidRDefault="00C925E9" w:rsidP="00C925E9">
      <w:pPr>
        <w:pStyle w:val="Organisation"/>
        <w:rPr>
          <w:sz w:val="28"/>
        </w:rPr>
      </w:pPr>
      <w:r w:rsidRPr="00C925E9">
        <w:rPr>
          <w:sz w:val="28"/>
        </w:rPr>
        <w:t>David D Curtis</w:t>
      </w:r>
    </w:p>
    <w:p w:rsidR="00C925E9" w:rsidRPr="00C925E9" w:rsidRDefault="00C925E9" w:rsidP="00C925E9">
      <w:pPr>
        <w:pStyle w:val="Organisation"/>
        <w:rPr>
          <w:sz w:val="28"/>
        </w:rPr>
      </w:pPr>
      <w:r w:rsidRPr="00C925E9">
        <w:rPr>
          <w:sz w:val="28"/>
        </w:rPr>
        <w:t>Peter Mlotkowski</w:t>
      </w:r>
    </w:p>
    <w:p w:rsidR="00C925E9" w:rsidRDefault="00C925E9" w:rsidP="00C925E9">
      <w:pPr>
        <w:pStyle w:val="Organisation"/>
        <w:rPr>
          <w:sz w:val="28"/>
        </w:rPr>
      </w:pPr>
      <w:r w:rsidRPr="00C925E9">
        <w:rPr>
          <w:sz w:val="28"/>
        </w:rPr>
        <w:t>Marilyn Lumsden</w:t>
      </w:r>
    </w:p>
    <w:bookmarkEnd w:id="3"/>
    <w:bookmarkEnd w:id="4"/>
    <w:p w:rsidR="009E231A" w:rsidRPr="00C925E9" w:rsidRDefault="00C925E9" w:rsidP="00C925E9">
      <w:pPr>
        <w:pStyle w:val="Organisation"/>
        <w:rPr>
          <w:b/>
        </w:rPr>
      </w:pPr>
      <w:r>
        <w:t>National Centre for Vocational Education Research</w:t>
      </w:r>
    </w:p>
    <w:p w:rsidR="000315D7" w:rsidRPr="00C925E9" w:rsidRDefault="000315D7" w:rsidP="00177827">
      <w:pPr>
        <w:pStyle w:val="Organisation"/>
        <w:rPr>
          <w:b/>
        </w:rPr>
      </w:pPr>
    </w:p>
    <w:p w:rsidR="006C5DA9" w:rsidRPr="00C925E9" w:rsidRDefault="006C5DA9" w:rsidP="0048643A">
      <w:pPr>
        <w:pStyle w:val="Text"/>
        <w:rPr>
          <w:b/>
        </w:rPr>
      </w:pPr>
    </w:p>
    <w:p w:rsidR="001B43CF" w:rsidRPr="00C925E9" w:rsidRDefault="001B43CF" w:rsidP="0048643A">
      <w:pPr>
        <w:pStyle w:val="Text"/>
        <w:rPr>
          <w:b/>
        </w:rPr>
      </w:pPr>
    </w:p>
    <w:p w:rsidR="001B43CF" w:rsidRPr="00C925E9" w:rsidRDefault="001B43CF" w:rsidP="0048643A">
      <w:pPr>
        <w:pStyle w:val="Text"/>
        <w:rPr>
          <w:b/>
        </w:rPr>
      </w:pPr>
    </w:p>
    <w:p w:rsidR="001B43CF" w:rsidRDefault="001B43CF" w:rsidP="0048643A">
      <w:pPr>
        <w:pStyle w:val="Text"/>
      </w:pPr>
    </w:p>
    <w:p w:rsidR="00DB599C" w:rsidRDefault="00DB599C" w:rsidP="0048643A">
      <w:pPr>
        <w:pStyle w:val="Text"/>
      </w:pPr>
    </w:p>
    <w:p w:rsidR="00DB599C" w:rsidRDefault="00DB599C" w:rsidP="0048643A">
      <w:pPr>
        <w:pStyle w:val="Text"/>
      </w:pPr>
    </w:p>
    <w:p w:rsidR="00DB599C" w:rsidRDefault="003D7E87"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FC1894" w:rsidRDefault="00FC1894" w:rsidP="00200C9F">
                  <w:pPr>
                    <w:pStyle w:val="Heading3"/>
                    <w:rPr>
                      <w:rFonts w:ascii="Trebuchet MS" w:hAnsi="Trebuchet MS"/>
                      <w:sz w:val="20"/>
                    </w:rPr>
                  </w:pPr>
                  <w:r>
                    <w:rPr>
                      <w:rFonts w:ascii="Trebuchet MS" w:hAnsi="Trebuchet MS"/>
                      <w:sz w:val="20"/>
                    </w:rPr>
                    <w:t>LONGITUDINAL SURVEYS OF AUSTRALIAN YOUTH</w:t>
                  </w:r>
                </w:p>
                <w:p w:rsidR="00FC1894" w:rsidRPr="003716FE" w:rsidRDefault="00FC1894" w:rsidP="00200C9F">
                  <w:pPr>
                    <w:pStyle w:val="Heading3"/>
                    <w:spacing w:before="80"/>
                    <w:rPr>
                      <w:rFonts w:ascii="Trebuchet MS" w:hAnsi="Trebuchet MS"/>
                      <w:sz w:val="20"/>
                    </w:rPr>
                  </w:pPr>
                  <w:r>
                    <w:rPr>
                      <w:rFonts w:ascii="Trebuchet MS" w:hAnsi="Trebuchet MS"/>
                      <w:b/>
                      <w:sz w:val="20"/>
                    </w:rPr>
                    <w:t>RESEARCH REPORT</w:t>
                  </w:r>
                </w:p>
                <w:p w:rsidR="00FC1894" w:rsidRPr="001B43CF" w:rsidRDefault="00FC1894" w:rsidP="00E06B95">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FC1894" w:rsidRDefault="00FC1894" w:rsidP="006C5DA9">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r>
                  <w:r w:rsidRPr="005C2FCF">
                    <w:rPr>
                      <w:color w:val="000000"/>
                    </w:rPr>
                    <w:t>state and territory governments</w:t>
                  </w:r>
                  <w:r>
                    <w:rPr>
                      <w:color w:val="000000"/>
                    </w:rPr>
                    <w:t>.</w:t>
                  </w:r>
                </w:p>
                <w:p w:rsidR="00FC1894" w:rsidRDefault="00FC1894" w:rsidP="00DB599C">
                  <w:pPr>
                    <w:ind w:left="284" w:right="294"/>
                  </w:pPr>
                </w:p>
              </w:txbxContent>
            </v:textbox>
            <w10:wrap anchory="margin"/>
          </v:shape>
        </w:pict>
      </w:r>
      <w:r w:rsidR="00DB599C">
        <w:softHyphen/>
      </w:r>
    </w:p>
    <w:p w:rsidR="00C925E9" w:rsidRDefault="00FE4A2D" w:rsidP="00200C9F">
      <w:pPr>
        <w:spacing w:before="240"/>
      </w:pPr>
      <w:r w:rsidRPr="005C2FCF">
        <w:br w:type="page"/>
      </w:r>
    </w:p>
    <w:p w:rsidR="00C925E9" w:rsidRDefault="00C925E9" w:rsidP="00200C9F">
      <w:pPr>
        <w:pStyle w:val="Heading3"/>
        <w:ind w:firstLine="3261"/>
      </w:pPr>
    </w:p>
    <w:p w:rsidR="00C925E9" w:rsidRDefault="00C925E9" w:rsidP="00200C9F">
      <w:pPr>
        <w:pStyle w:val="Text"/>
      </w:pPr>
    </w:p>
    <w:p w:rsidR="00C925E9" w:rsidRDefault="00C925E9" w:rsidP="00200C9F">
      <w:pPr>
        <w:pStyle w:val="Text"/>
      </w:pPr>
    </w:p>
    <w:p w:rsidR="00C925E9" w:rsidRDefault="00C925E9" w:rsidP="00200C9F">
      <w:pPr>
        <w:pStyle w:val="Text"/>
      </w:pPr>
    </w:p>
    <w:p w:rsidR="00C925E9" w:rsidRDefault="00C925E9" w:rsidP="00200C9F">
      <w:pPr>
        <w:pStyle w:val="Text"/>
      </w:pPr>
    </w:p>
    <w:p w:rsidR="00C925E9" w:rsidRDefault="00C925E9" w:rsidP="00200C9F">
      <w:pPr>
        <w:pStyle w:val="Text"/>
      </w:pPr>
    </w:p>
    <w:p w:rsidR="00200C9F" w:rsidRDefault="00200C9F" w:rsidP="00200C9F">
      <w:pPr>
        <w:pStyle w:val="Text"/>
      </w:pPr>
    </w:p>
    <w:p w:rsidR="00200C9F" w:rsidRDefault="00200C9F" w:rsidP="00200C9F">
      <w:pPr>
        <w:pStyle w:val="Text"/>
      </w:pPr>
    </w:p>
    <w:p w:rsidR="00200C9F" w:rsidRDefault="00200C9F" w:rsidP="00200C9F">
      <w:pPr>
        <w:pStyle w:val="Text"/>
      </w:pPr>
    </w:p>
    <w:p w:rsidR="00C925E9" w:rsidRPr="00986030" w:rsidRDefault="00C925E9" w:rsidP="00200C9F">
      <w:pPr>
        <w:pStyle w:val="Text"/>
      </w:pPr>
    </w:p>
    <w:p w:rsidR="00C925E9" w:rsidRPr="00986030" w:rsidRDefault="00C925E9" w:rsidP="0061085C">
      <w:pPr>
        <w:pStyle w:val="Imprint"/>
      </w:pPr>
      <w:r w:rsidRPr="00986030">
        <w:t>© Commonwealth of Australia,</w:t>
      </w:r>
      <w:r>
        <w:t xml:space="preserve"> 2012</w:t>
      </w:r>
    </w:p>
    <w:p w:rsidR="00C925E9" w:rsidRPr="00986030" w:rsidRDefault="003D7E87" w:rsidP="0061085C">
      <w:pPr>
        <w:pStyle w:val="Imprin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6.5pt;height:23.5pt;visibility:visible;mso-wrap-style:square">
            <v:imagedata r:id="rId10" o:title="CC BY logo"/>
          </v:shape>
        </w:pict>
      </w:r>
    </w:p>
    <w:p w:rsidR="00C925E9" w:rsidRPr="00986030" w:rsidRDefault="00C925E9" w:rsidP="0061085C">
      <w:pPr>
        <w:pStyle w:val="Imprint"/>
      </w:pPr>
      <w:r w:rsidRPr="0098603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C925E9" w:rsidRPr="00986030" w:rsidRDefault="00C925E9" w:rsidP="0061085C">
      <w:pPr>
        <w:pStyle w:val="Imprint"/>
      </w:pPr>
      <w:r w:rsidRPr="00986030">
        <w:t>The details of the relevant licence conditions are available on the Creative Commons website (accessible using the links provided) as is the full legal code for the CC BY 3.0 AU licence &lt;http://creativecommons.org/licenses/by/3.0/legalcode&gt;.</w:t>
      </w:r>
    </w:p>
    <w:p w:rsidR="00C925E9" w:rsidRPr="00986030" w:rsidRDefault="00C925E9" w:rsidP="0061085C">
      <w:pPr>
        <w:pStyle w:val="Imprint"/>
      </w:pPr>
      <w:r w:rsidRPr="00986030">
        <w:t>The Creative Commons licence conditions do not apply to all logos, graphic design, artwork and photographs. Requests and enquiries concerning other reproduction and rights should be directed to the National Centre for Vocational Education Research (NCVER).</w:t>
      </w:r>
    </w:p>
    <w:p w:rsidR="00191583" w:rsidRDefault="00191583" w:rsidP="0061085C">
      <w:pPr>
        <w:pStyle w:val="Imprint"/>
      </w:pPr>
    </w:p>
    <w:p w:rsidR="00C925E9" w:rsidRPr="00986030" w:rsidRDefault="00C925E9" w:rsidP="0061085C">
      <w:pPr>
        <w:pStyle w:val="Imprint"/>
      </w:pPr>
      <w:r w:rsidRPr="00986030">
        <w:t xml:space="preserve">This document should be attributed as </w:t>
      </w:r>
      <w:r>
        <w:t>Curtis, DD, Mlotkowski, P &amp; Lumsden, M 2012</w:t>
      </w:r>
      <w:r w:rsidRPr="00986030">
        <w:t xml:space="preserve">, </w:t>
      </w:r>
      <w:r>
        <w:rPr>
          <w:i/>
        </w:rPr>
        <w:t>Bridging the gap: who takes a gap year and why?</w:t>
      </w:r>
      <w:r w:rsidRPr="00986030">
        <w:t>, NCVER, Adelaide.</w:t>
      </w:r>
    </w:p>
    <w:p w:rsidR="00C925E9" w:rsidRPr="00986030" w:rsidRDefault="00C925E9" w:rsidP="0061085C">
      <w:pPr>
        <w:pStyle w:val="Imprint"/>
      </w:pPr>
      <w:r w:rsidRPr="0098603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C925E9" w:rsidRPr="00DC2BFE" w:rsidRDefault="00C925E9" w:rsidP="00200C9F">
      <w:pPr>
        <w:pStyle w:val="Text"/>
      </w:pPr>
    </w:p>
    <w:p w:rsidR="00200C9F" w:rsidRPr="00200C9F" w:rsidRDefault="00200C9F" w:rsidP="00200C9F">
      <w:pPr>
        <w:pStyle w:val="Imprint"/>
      </w:pPr>
      <w:r w:rsidRPr="00200C9F">
        <w:t>COVER IMAGE: GETTY IMAGES/THINKSTOCK</w:t>
      </w:r>
    </w:p>
    <w:p w:rsidR="00754C80" w:rsidRDefault="00200C9F" w:rsidP="00200C9F">
      <w:pPr>
        <w:pStyle w:val="Imprint"/>
      </w:pPr>
      <w:r w:rsidRPr="00200C9F">
        <w:t>ISBN</w:t>
      </w:r>
      <w:r w:rsidRPr="00200C9F">
        <w:tab/>
      </w:r>
      <w:r w:rsidR="00754C80" w:rsidRPr="00754C80">
        <w:t>978 1 922056 04 7</w:t>
      </w:r>
    </w:p>
    <w:p w:rsidR="00200C9F" w:rsidRPr="00200C9F" w:rsidRDefault="00200C9F" w:rsidP="00200C9F">
      <w:pPr>
        <w:pStyle w:val="Imprint"/>
      </w:pPr>
      <w:r w:rsidRPr="00200C9F">
        <w:t>TD/TNC</w:t>
      </w:r>
      <w:r w:rsidRPr="00200C9F">
        <w:tab/>
      </w:r>
      <w:r w:rsidR="00754C80">
        <w:t>108.02</w:t>
      </w:r>
    </w:p>
    <w:p w:rsidR="00200C9F" w:rsidRPr="00200C9F" w:rsidRDefault="00200C9F" w:rsidP="00200C9F">
      <w:pPr>
        <w:pStyle w:val="Imprint"/>
      </w:pPr>
      <w:r w:rsidRPr="00200C9F">
        <w:t>Published by NCVER, ABN 87 007 967 311</w:t>
      </w:r>
    </w:p>
    <w:p w:rsidR="00200C9F" w:rsidRPr="00200C9F" w:rsidRDefault="00200C9F" w:rsidP="00200C9F">
      <w:pPr>
        <w:pStyle w:val="Imprint"/>
      </w:pPr>
      <w:r w:rsidRPr="00200C9F">
        <w:t>Level 11, 33 King William Street, Adelaide, SA 5000</w:t>
      </w:r>
      <w:r w:rsidRPr="00200C9F">
        <w:br/>
        <w:t>PO Box 8288 Station Arcade, Adelaide SA 5000, Australia</w:t>
      </w:r>
    </w:p>
    <w:p w:rsidR="00200C9F" w:rsidRPr="00200C9F" w:rsidRDefault="00200C9F" w:rsidP="00200C9F">
      <w:pPr>
        <w:pStyle w:val="Imprint"/>
      </w:pPr>
      <w:r w:rsidRPr="00200C9F">
        <w:t xml:space="preserve">P +61 8 8230 8400   F +61 8 8212 3436   E </w:t>
      </w:r>
      <w:hyperlink r:id="rId11" w:history="1">
        <w:r w:rsidRPr="00200C9F">
          <w:t>ncver@ncver.edu.au</w:t>
        </w:r>
      </w:hyperlink>
      <w:r w:rsidRPr="00200C9F">
        <w:t xml:space="preserve">   W &lt;http://www.ncver.edu.au&gt; </w:t>
      </w:r>
    </w:p>
    <w:p w:rsidR="00C925E9" w:rsidRDefault="00C925E9" w:rsidP="00200C9F">
      <w:pPr>
        <w:pStyle w:val="Heading3"/>
        <w:sectPr w:rsidR="00C925E9" w:rsidSect="00200C9F">
          <w:pgSz w:w="11907" w:h="16840" w:code="9"/>
          <w:pgMar w:top="1276" w:right="1701" w:bottom="1276" w:left="1418" w:header="709" w:footer="556" w:gutter="0"/>
          <w:cols w:space="708"/>
          <w:docGrid w:linePitch="360"/>
        </w:sectPr>
      </w:pPr>
    </w:p>
    <w:p w:rsidR="00C925E9" w:rsidRDefault="00C925E9" w:rsidP="00200C9F">
      <w:pPr>
        <w:pStyle w:val="Abouttheresearch"/>
      </w:pPr>
      <w:bookmarkStart w:id="5" w:name="_Toc495748330"/>
      <w:bookmarkStart w:id="6" w:name="_Toc495810630"/>
      <w:bookmarkStart w:id="7" w:name="_Toc6031787"/>
      <w:bookmarkStart w:id="8" w:name="_Toc6031844"/>
      <w:r>
        <w:lastRenderedPageBreak/>
        <w:t>About the research</w:t>
      </w:r>
    </w:p>
    <w:p w:rsidR="00200C9F" w:rsidRDefault="00C925E9" w:rsidP="00200C9F">
      <w:pPr>
        <w:pStyle w:val="Abouttheresearchpubtitle"/>
        <w:rPr>
          <w:kern w:val="28"/>
        </w:rPr>
      </w:pPr>
      <w:r>
        <w:rPr>
          <w:kern w:val="28"/>
        </w:rPr>
        <w:t xml:space="preserve">Bridging the gap: who takes a gap year and why? </w:t>
      </w:r>
    </w:p>
    <w:p w:rsidR="00C925E9" w:rsidRPr="00200C9F" w:rsidRDefault="00200C9F" w:rsidP="00200C9F">
      <w:pPr>
        <w:pStyle w:val="Heading3"/>
        <w:spacing w:before="120"/>
      </w:pPr>
      <w:r w:rsidRPr="00200C9F">
        <w:rPr>
          <w:kern w:val="28"/>
        </w:rPr>
        <w:t>David Curtis, Peter Mlotkowski and</w:t>
      </w:r>
      <w:r w:rsidR="00C925E9" w:rsidRPr="00200C9F">
        <w:rPr>
          <w:kern w:val="28"/>
        </w:rPr>
        <w:t xml:space="preserve"> Marilyn Lumsden</w:t>
      </w:r>
      <w:r>
        <w:rPr>
          <w:kern w:val="28"/>
        </w:rPr>
        <w:t>, NCVER</w:t>
      </w:r>
    </w:p>
    <w:p w:rsidR="00C925E9" w:rsidRDefault="00C925E9" w:rsidP="00200C9F">
      <w:pPr>
        <w:pStyle w:val="Text"/>
      </w:pPr>
      <w:r>
        <w:t>Taking a break between completing high school and entering university is common overseas, and is becoming more popular in Australia. There are many reasons why young people take a gap year. It may be to travel, to take a break, to study, or to work.</w:t>
      </w:r>
      <w:r w:rsidRPr="001B35B8">
        <w:t xml:space="preserve"> </w:t>
      </w:r>
      <w:r>
        <w:t>Our definition of a ‘gapper’ is a young person who commenced university one to two years after completing Year 12.</w:t>
      </w:r>
    </w:p>
    <w:p w:rsidR="00C925E9" w:rsidRDefault="00C925E9" w:rsidP="00200C9F">
      <w:pPr>
        <w:pStyle w:val="Text"/>
        <w:spacing w:before="120"/>
        <w:ind w:right="0"/>
      </w:pPr>
      <w:r>
        <w:t>While the concept of a gap year is related to the deferral of a university offer, it is different. Some gappers have deferred, others decide to enrol during their gap year, not beforehand. Similarly, some who defer a university offer subsequently do not take up a place and are thus not defined as gappers.</w:t>
      </w:r>
    </w:p>
    <w:p w:rsidR="00C925E9" w:rsidRDefault="00C925E9" w:rsidP="00200C9F">
      <w:pPr>
        <w:pStyle w:val="Text"/>
        <w:spacing w:before="120"/>
        <w:ind w:right="0"/>
      </w:pPr>
      <w:r>
        <w:t>This report was prepared for the Department of Education, Emp</w:t>
      </w:r>
      <w:r w:rsidR="003168E4">
        <w:t>loyment and Workplace Relations</w:t>
      </w:r>
      <w:r>
        <w:t xml:space="preserve"> in 2009 </w:t>
      </w:r>
      <w:r w:rsidRPr="00293B14">
        <w:t>prior to the</w:t>
      </w:r>
      <w:r>
        <w:t xml:space="preserve"> Australian Government’s </w:t>
      </w:r>
      <w:r w:rsidRPr="00293B14">
        <w:t xml:space="preserve">announcement of </w:t>
      </w:r>
      <w:r>
        <w:t xml:space="preserve">proposed </w:t>
      </w:r>
      <w:r w:rsidRPr="00293B14">
        <w:t>changes to Youth Allowance</w:t>
      </w:r>
      <w:r>
        <w:t xml:space="preserve"> as an initiative</w:t>
      </w:r>
      <w:r w:rsidRPr="00293B14">
        <w:t xml:space="preserve"> in the 2009</w:t>
      </w:r>
      <w:r w:rsidR="00B70A39">
        <w:t>—</w:t>
      </w:r>
      <w:r w:rsidRPr="00293B14">
        <w:t>10 Budget</w:t>
      </w:r>
      <w:r>
        <w:t xml:space="preserve"> and the subsequent reforms based on recommendations from the </w:t>
      </w:r>
      <w:r w:rsidRPr="000E37EE">
        <w:rPr>
          <w:i/>
        </w:rPr>
        <w:t xml:space="preserve">Review of </w:t>
      </w:r>
      <w:r>
        <w:rPr>
          <w:i/>
        </w:rPr>
        <w:t xml:space="preserve">student </w:t>
      </w:r>
      <w:r w:rsidRPr="000E37EE">
        <w:rPr>
          <w:i/>
        </w:rPr>
        <w:t xml:space="preserve">income support </w:t>
      </w:r>
      <w:r>
        <w:rPr>
          <w:i/>
        </w:rPr>
        <w:t xml:space="preserve">reforms </w:t>
      </w:r>
      <w:r>
        <w:t xml:space="preserve">(Dow 2011). </w:t>
      </w:r>
    </w:p>
    <w:p w:rsidR="00C925E9" w:rsidRPr="008258F2" w:rsidRDefault="00C925E9" w:rsidP="00200C9F">
      <w:pPr>
        <w:pStyle w:val="Text"/>
        <w:spacing w:before="120"/>
        <w:ind w:right="0"/>
      </w:pPr>
      <w:r>
        <w:t xml:space="preserve">The research uses data from three cohorts of the Longitudinal Surveys of Australian Youth (LSAY) to </w:t>
      </w:r>
      <w:r w:rsidRPr="008258F2">
        <w:t>throw light on the incidence of gap-taking, the characteristics of those taking a gap year, the activities undertaken in the gap years</w:t>
      </w:r>
      <w:r>
        <w:t>,</w:t>
      </w:r>
      <w:r w:rsidRPr="008258F2">
        <w:t xml:space="preserve"> and subsequent study and employment outcomes. The report also looks at whether there is any evidence</w:t>
      </w:r>
      <w:r>
        <w:t xml:space="preserve"> that young people were taking a gap year in order to qualify for Youth Allowance payments. </w:t>
      </w:r>
    </w:p>
    <w:p w:rsidR="00C925E9" w:rsidRDefault="00C925E9" w:rsidP="00200C9F">
      <w:pPr>
        <w:pStyle w:val="Heading3"/>
      </w:pPr>
      <w:r>
        <w:t>Key messages</w:t>
      </w:r>
    </w:p>
    <w:p w:rsidR="00C925E9" w:rsidRPr="00130B94" w:rsidRDefault="00C925E9" w:rsidP="00200C9F">
      <w:pPr>
        <w:pStyle w:val="Dotpoint1"/>
      </w:pPr>
      <w:r w:rsidRPr="00130B94">
        <w:t>The incidence of gap-taking has increased and it is estimated that around 20% of Australian students who complete high school will take a gap year.</w:t>
      </w:r>
    </w:p>
    <w:p w:rsidR="00C925E9" w:rsidRPr="008258F2" w:rsidRDefault="00C925E9" w:rsidP="00200C9F">
      <w:pPr>
        <w:pStyle w:val="Dotpoint1"/>
        <w:spacing w:before="20"/>
      </w:pPr>
      <w:r w:rsidRPr="008258F2">
        <w:t>Gap</w:t>
      </w:r>
      <w:r>
        <w:t>-</w:t>
      </w:r>
      <w:r w:rsidRPr="008258F2">
        <w:t xml:space="preserve">takers tend to be weaker academically, with </w:t>
      </w:r>
      <w:r>
        <w:t>lower-than-</w:t>
      </w:r>
      <w:r w:rsidRPr="008258F2">
        <w:t xml:space="preserve">average tertiary entrance </w:t>
      </w:r>
      <w:r w:rsidR="00B70A39">
        <w:t xml:space="preserve">rank </w:t>
      </w:r>
      <w:r w:rsidRPr="008258F2">
        <w:t>(TER) scores, lower than average Year 9 mathematics achievement, and less favourable attitudes to school.</w:t>
      </w:r>
      <w:r>
        <w:t xml:space="preserve"> </w:t>
      </w:r>
      <w:r w:rsidRPr="008258F2">
        <w:t xml:space="preserve">In addition to academic factors, young people from English speaking backgrounds and from regional locations are more likely to take a gap year. Students who do not receive Youth Allowance payments while at school (and thus who were from higher </w:t>
      </w:r>
      <w:r>
        <w:t>socioeconomic status</w:t>
      </w:r>
      <w:r w:rsidRPr="008258F2">
        <w:t xml:space="preserve"> families) are also more likely to take a gap year. </w:t>
      </w:r>
    </w:p>
    <w:p w:rsidR="00C925E9" w:rsidRPr="00130B94" w:rsidRDefault="00C925E9" w:rsidP="00200C9F">
      <w:pPr>
        <w:pStyle w:val="Dotpoint1"/>
        <w:spacing w:before="20"/>
      </w:pPr>
      <w:r w:rsidRPr="00130B94">
        <w:t>The most common activities of Australian gap students are work (40%) and study or training (33%), with only 3% reporting travel as their main activity.</w:t>
      </w:r>
    </w:p>
    <w:p w:rsidR="00C925E9" w:rsidRPr="00940F61" w:rsidRDefault="00C925E9" w:rsidP="00200C9F">
      <w:pPr>
        <w:pStyle w:val="Dotpoint1"/>
        <w:spacing w:before="20"/>
      </w:pPr>
      <w:r w:rsidRPr="00940F61">
        <w:t>It appears that relatively few took a gap year principally to qualify for Youth Allowance: four out of 69 who deferred a university place gave ‘needing to qualify for Youth Allowance’ as a reason for their deferral.</w:t>
      </w:r>
    </w:p>
    <w:p w:rsidR="00C925E9" w:rsidRPr="00130B94" w:rsidRDefault="00C925E9" w:rsidP="00200C9F">
      <w:pPr>
        <w:pStyle w:val="Dotpoint1"/>
        <w:spacing w:before="20"/>
      </w:pPr>
      <w:r w:rsidRPr="00130B94">
        <w:t xml:space="preserve">The university completion rates of </w:t>
      </w:r>
      <w:r>
        <w:t>‘</w:t>
      </w:r>
      <w:r w:rsidRPr="00130B94">
        <w:t>gappers</w:t>
      </w:r>
      <w:r>
        <w:t xml:space="preserve">’ </w:t>
      </w:r>
      <w:r w:rsidRPr="00130B94">
        <w:t xml:space="preserve">are a little lower than </w:t>
      </w:r>
      <w:r>
        <w:t>‘</w:t>
      </w:r>
      <w:r w:rsidRPr="00130B94">
        <w:t>non-gappers</w:t>
      </w:r>
      <w:r>
        <w:t>’.</w:t>
      </w:r>
    </w:p>
    <w:p w:rsidR="00856572" w:rsidRDefault="00856572" w:rsidP="00315CB9">
      <w:pPr>
        <w:pStyle w:val="Text"/>
      </w:pPr>
    </w:p>
    <w:p w:rsidR="00C925E9" w:rsidRPr="00315CB9" w:rsidRDefault="00C925E9" w:rsidP="00315CB9">
      <w:pPr>
        <w:pStyle w:val="Text"/>
      </w:pPr>
      <w:r w:rsidRPr="00315CB9">
        <w:t>Tom Karmel</w:t>
      </w:r>
    </w:p>
    <w:p w:rsidR="00C925E9" w:rsidRPr="00315CB9" w:rsidRDefault="00200C9F" w:rsidP="009D6EB9">
      <w:pPr>
        <w:pStyle w:val="Text"/>
        <w:spacing w:before="40"/>
        <w:ind w:right="0"/>
      </w:pPr>
      <w:r w:rsidRPr="00315CB9">
        <w:t>Managing Director, NCVER</w:t>
      </w:r>
    </w:p>
    <w:p w:rsidR="00C925E9" w:rsidRDefault="00C925E9" w:rsidP="00200C9F">
      <w:pPr>
        <w:spacing w:before="0"/>
        <w:rPr>
          <w:rFonts w:ascii="Garamond" w:hAnsi="Garamond"/>
          <w:sz w:val="22"/>
          <w:szCs w:val="22"/>
        </w:rPr>
        <w:sectPr w:rsidR="00C925E9">
          <w:footerReference w:type="default" r:id="rId12"/>
          <w:pgSz w:w="11907" w:h="16840"/>
          <w:pgMar w:top="1440" w:right="1842" w:bottom="567" w:left="1418" w:header="720" w:footer="720" w:gutter="0"/>
          <w:cols w:space="720"/>
        </w:sectPr>
      </w:pPr>
    </w:p>
    <w:p w:rsidR="00C925E9" w:rsidRDefault="00C925E9" w:rsidP="00200C9F">
      <w:pPr>
        <w:pStyle w:val="Text"/>
        <w:sectPr w:rsidR="00C925E9">
          <w:footerReference w:type="even" r:id="rId13"/>
          <w:pgSz w:w="11907" w:h="16840" w:code="9"/>
          <w:pgMar w:top="1440" w:right="1985" w:bottom="567" w:left="1418" w:header="720" w:footer="720" w:gutter="0"/>
          <w:cols w:space="720" w:equalWidth="0">
            <w:col w:w="8121"/>
          </w:cols>
        </w:sectPr>
      </w:pPr>
    </w:p>
    <w:p w:rsidR="00C925E9" w:rsidRPr="00FA4E2D" w:rsidRDefault="00C925E9" w:rsidP="00200C9F">
      <w:pPr>
        <w:pStyle w:val="Abouttheresearch"/>
      </w:pPr>
      <w:bookmarkStart w:id="9" w:name="_Toc47346280"/>
      <w:bookmarkStart w:id="10" w:name="_Toc47951941"/>
      <w:bookmarkStart w:id="11" w:name="_Toc107393567"/>
      <w:r>
        <w:lastRenderedPageBreak/>
        <w:t>Contents</w:t>
      </w:r>
      <w:bookmarkEnd w:id="5"/>
      <w:bookmarkEnd w:id="6"/>
      <w:bookmarkEnd w:id="7"/>
      <w:bookmarkEnd w:id="8"/>
      <w:bookmarkEnd w:id="9"/>
      <w:bookmarkEnd w:id="10"/>
      <w:bookmarkEnd w:id="11"/>
    </w:p>
    <w:p w:rsidR="00B70A39" w:rsidRDefault="003D7E87">
      <w:pPr>
        <w:pStyle w:val="TOC1"/>
        <w:rPr>
          <w:rFonts w:asciiTheme="minorHAnsi" w:eastAsiaTheme="minorEastAsia" w:hAnsiTheme="minorHAnsi" w:cstheme="minorBidi"/>
          <w:color w:val="auto"/>
          <w:sz w:val="22"/>
          <w:szCs w:val="22"/>
          <w:lang w:eastAsia="en-AU"/>
        </w:rPr>
      </w:pPr>
      <w:r>
        <w:rPr>
          <w:rFonts w:ascii="Avant Garde" w:hAnsi="Avant Garde"/>
        </w:rPr>
        <w:fldChar w:fldCharType="begin"/>
      </w:r>
      <w:r w:rsidR="00C925E9">
        <w:rPr>
          <w:rFonts w:ascii="Avant Garde" w:hAnsi="Avant Garde"/>
        </w:rPr>
        <w:instrText xml:space="preserve"> TOC \o "1-2" </w:instrText>
      </w:r>
      <w:r>
        <w:rPr>
          <w:rFonts w:ascii="Avant Garde" w:hAnsi="Avant Garde"/>
        </w:rPr>
        <w:fldChar w:fldCharType="separate"/>
      </w:r>
      <w:r w:rsidR="00B70A39">
        <w:t>Executive summary</w:t>
      </w:r>
      <w:r w:rsidR="00B70A39">
        <w:tab/>
      </w:r>
      <w:r>
        <w:fldChar w:fldCharType="begin"/>
      </w:r>
      <w:r w:rsidR="00B70A39">
        <w:instrText xml:space="preserve"> PAGEREF _Toc323035580 \h </w:instrText>
      </w:r>
      <w:r>
        <w:fldChar w:fldCharType="separate"/>
      </w:r>
      <w:r w:rsidR="008E7CC7">
        <w:t>9</w:t>
      </w:r>
      <w:r>
        <w:fldChar w:fldCharType="end"/>
      </w:r>
    </w:p>
    <w:p w:rsidR="00B70A39" w:rsidRDefault="00B70A39">
      <w:pPr>
        <w:pStyle w:val="TOC2"/>
        <w:rPr>
          <w:rFonts w:asciiTheme="minorHAnsi" w:eastAsiaTheme="minorEastAsia" w:hAnsiTheme="minorHAnsi" w:cstheme="minorBidi"/>
          <w:color w:val="auto"/>
          <w:sz w:val="22"/>
          <w:szCs w:val="22"/>
          <w:lang w:eastAsia="en-AU"/>
        </w:rPr>
      </w:pPr>
      <w:r>
        <w:t>Definition</w:t>
      </w:r>
      <w:r>
        <w:tab/>
      </w:r>
      <w:r w:rsidR="003D7E87">
        <w:fldChar w:fldCharType="begin"/>
      </w:r>
      <w:r>
        <w:instrText xml:space="preserve"> PAGEREF _Toc323035581 \h </w:instrText>
      </w:r>
      <w:r w:rsidR="003D7E87">
        <w:fldChar w:fldCharType="separate"/>
      </w:r>
      <w:r w:rsidR="008E7CC7">
        <w:t>9</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Approach</w:t>
      </w:r>
      <w:r>
        <w:tab/>
      </w:r>
      <w:r w:rsidR="003D7E87">
        <w:fldChar w:fldCharType="begin"/>
      </w:r>
      <w:r>
        <w:instrText xml:space="preserve"> PAGEREF _Toc323035582 \h </w:instrText>
      </w:r>
      <w:r w:rsidR="003D7E87">
        <w:fldChar w:fldCharType="separate"/>
      </w:r>
      <w:r w:rsidR="008E7CC7">
        <w:t>9</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The incidence of gap-taking</w:t>
      </w:r>
      <w:r>
        <w:tab/>
      </w:r>
      <w:r w:rsidR="003D7E87">
        <w:fldChar w:fldCharType="begin"/>
      </w:r>
      <w:r>
        <w:instrText xml:space="preserve"> PAGEREF _Toc323035583 \h </w:instrText>
      </w:r>
      <w:r w:rsidR="003D7E87">
        <w:fldChar w:fldCharType="separate"/>
      </w:r>
      <w:r w:rsidR="008E7CC7">
        <w:t>10</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Characteristics of gap-takers</w:t>
      </w:r>
      <w:r>
        <w:tab/>
      </w:r>
      <w:r w:rsidR="003D7E87">
        <w:fldChar w:fldCharType="begin"/>
      </w:r>
      <w:r>
        <w:instrText xml:space="preserve"> PAGEREF _Toc323035584 \h </w:instrText>
      </w:r>
      <w:r w:rsidR="003D7E87">
        <w:fldChar w:fldCharType="separate"/>
      </w:r>
      <w:r w:rsidR="008E7CC7">
        <w:t>10</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Reasons for deferring</w:t>
      </w:r>
      <w:r>
        <w:tab/>
      </w:r>
      <w:r w:rsidR="003D7E87">
        <w:fldChar w:fldCharType="begin"/>
      </w:r>
      <w:r>
        <w:instrText xml:space="preserve"> PAGEREF _Toc323035585 \h </w:instrText>
      </w:r>
      <w:r w:rsidR="003D7E87">
        <w:fldChar w:fldCharType="separate"/>
      </w:r>
      <w:r w:rsidR="008E7CC7">
        <w:t>10</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Gap year activities</w:t>
      </w:r>
      <w:r>
        <w:tab/>
      </w:r>
      <w:r w:rsidR="003D7E87">
        <w:fldChar w:fldCharType="begin"/>
      </w:r>
      <w:r>
        <w:instrText xml:space="preserve"> PAGEREF _Toc323035586 \h </w:instrText>
      </w:r>
      <w:r w:rsidR="003D7E87">
        <w:fldChar w:fldCharType="separate"/>
      </w:r>
      <w:r w:rsidR="008E7CC7">
        <w:t>11</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Gap-taking and eligibility for Youth Allowance</w:t>
      </w:r>
      <w:r>
        <w:tab/>
      </w:r>
      <w:r w:rsidR="003D7E87">
        <w:fldChar w:fldCharType="begin"/>
      </w:r>
      <w:r>
        <w:instrText xml:space="preserve"> PAGEREF _Toc323035587 \h </w:instrText>
      </w:r>
      <w:r w:rsidR="003D7E87">
        <w:fldChar w:fldCharType="separate"/>
      </w:r>
      <w:r w:rsidR="008E7CC7">
        <w:t>11</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Course progress following a gap year</w:t>
      </w:r>
      <w:r>
        <w:tab/>
      </w:r>
      <w:r w:rsidR="003D7E87">
        <w:fldChar w:fldCharType="begin"/>
      </w:r>
      <w:r>
        <w:instrText xml:space="preserve"> PAGEREF _Toc323035588 \h </w:instrText>
      </w:r>
      <w:r w:rsidR="003D7E87">
        <w:fldChar w:fldCharType="separate"/>
      </w:r>
      <w:r w:rsidR="008E7CC7">
        <w:t>11</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Labour market outcomes for gap-takers</w:t>
      </w:r>
      <w:r>
        <w:tab/>
      </w:r>
      <w:r w:rsidR="003D7E87">
        <w:fldChar w:fldCharType="begin"/>
      </w:r>
      <w:r>
        <w:instrText xml:space="preserve"> PAGEREF _Toc323035589 \h </w:instrText>
      </w:r>
      <w:r w:rsidR="003D7E87">
        <w:fldChar w:fldCharType="separate"/>
      </w:r>
      <w:r w:rsidR="008E7CC7">
        <w:t>11</w:t>
      </w:r>
      <w:r w:rsidR="003D7E87">
        <w:fldChar w:fldCharType="end"/>
      </w:r>
    </w:p>
    <w:p w:rsidR="00B70A39" w:rsidRDefault="00B70A39">
      <w:pPr>
        <w:pStyle w:val="TOC1"/>
        <w:rPr>
          <w:rFonts w:asciiTheme="minorHAnsi" w:eastAsiaTheme="minorEastAsia" w:hAnsiTheme="minorHAnsi" w:cstheme="minorBidi"/>
          <w:color w:val="auto"/>
          <w:sz w:val="22"/>
          <w:szCs w:val="22"/>
          <w:lang w:eastAsia="en-AU"/>
        </w:rPr>
      </w:pPr>
      <w:r>
        <w:t>Introduction</w:t>
      </w:r>
      <w:r>
        <w:tab/>
      </w:r>
      <w:r w:rsidR="003D7E87">
        <w:fldChar w:fldCharType="begin"/>
      </w:r>
      <w:r>
        <w:instrText xml:space="preserve"> PAGEREF _Toc323035590 \h </w:instrText>
      </w:r>
      <w:r w:rsidR="003D7E87">
        <w:fldChar w:fldCharType="separate"/>
      </w:r>
      <w:r w:rsidR="008E7CC7">
        <w:t>13</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Definition</w:t>
      </w:r>
      <w:r>
        <w:tab/>
      </w:r>
      <w:r w:rsidR="003D7E87">
        <w:fldChar w:fldCharType="begin"/>
      </w:r>
      <w:r>
        <w:instrText xml:space="preserve"> PAGEREF _Toc323035591 \h </w:instrText>
      </w:r>
      <w:r w:rsidR="003D7E87">
        <w:fldChar w:fldCharType="separate"/>
      </w:r>
      <w:r w:rsidR="008E7CC7">
        <w:t>13</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What does other research tell us about gap-taking?</w:t>
      </w:r>
      <w:r>
        <w:tab/>
      </w:r>
      <w:r w:rsidR="003D7E87">
        <w:fldChar w:fldCharType="begin"/>
      </w:r>
      <w:r>
        <w:instrText xml:space="preserve"> PAGEREF _Toc323035592 \h </w:instrText>
      </w:r>
      <w:r w:rsidR="003D7E87">
        <w:fldChar w:fldCharType="separate"/>
      </w:r>
      <w:r w:rsidR="008E7CC7">
        <w:t>13</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Gap-taking experience overseas</w:t>
      </w:r>
      <w:r>
        <w:tab/>
      </w:r>
      <w:r w:rsidR="003D7E87">
        <w:fldChar w:fldCharType="begin"/>
      </w:r>
      <w:r>
        <w:instrText xml:space="preserve"> PAGEREF _Toc323035593 \h </w:instrText>
      </w:r>
      <w:r w:rsidR="003D7E87">
        <w:fldChar w:fldCharType="separate"/>
      </w:r>
      <w:r w:rsidR="008E7CC7">
        <w:t>13</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The Australian experience</w:t>
      </w:r>
      <w:r>
        <w:tab/>
      </w:r>
      <w:r w:rsidR="003D7E87">
        <w:fldChar w:fldCharType="begin"/>
      </w:r>
      <w:r>
        <w:instrText xml:space="preserve"> PAGEREF _Toc323035594 \h </w:instrText>
      </w:r>
      <w:r w:rsidR="003D7E87">
        <w:fldChar w:fldCharType="separate"/>
      </w:r>
      <w:r w:rsidR="008E7CC7">
        <w:t>14</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How common is gap-taking?</w:t>
      </w:r>
      <w:r>
        <w:tab/>
      </w:r>
      <w:r w:rsidR="003D7E87">
        <w:fldChar w:fldCharType="begin"/>
      </w:r>
      <w:r>
        <w:instrText xml:space="preserve"> PAGEREF _Toc323035595 \h </w:instrText>
      </w:r>
      <w:r w:rsidR="003D7E87">
        <w:fldChar w:fldCharType="separate"/>
      </w:r>
      <w:r w:rsidR="008E7CC7">
        <w:t>15</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Who take gap years?</w:t>
      </w:r>
      <w:r>
        <w:tab/>
      </w:r>
      <w:r w:rsidR="003D7E87">
        <w:fldChar w:fldCharType="begin"/>
      </w:r>
      <w:r>
        <w:instrText xml:space="preserve"> PAGEREF _Toc323035596 \h </w:instrText>
      </w:r>
      <w:r w:rsidR="003D7E87">
        <w:fldChar w:fldCharType="separate"/>
      </w:r>
      <w:r w:rsidR="008E7CC7">
        <w:t>16</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What activities do gappers undertake?</w:t>
      </w:r>
      <w:r>
        <w:tab/>
      </w:r>
      <w:r w:rsidR="003D7E87">
        <w:fldChar w:fldCharType="begin"/>
      </w:r>
      <w:r>
        <w:instrText xml:space="preserve"> PAGEREF _Toc323035597 \h </w:instrText>
      </w:r>
      <w:r w:rsidR="003D7E87">
        <w:fldChar w:fldCharType="separate"/>
      </w:r>
      <w:r w:rsidR="008E7CC7">
        <w:t>17</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What advantages accrue from the gap year experience?</w:t>
      </w:r>
      <w:r>
        <w:tab/>
      </w:r>
      <w:r w:rsidR="003D7E87">
        <w:fldChar w:fldCharType="begin"/>
      </w:r>
      <w:r>
        <w:instrText xml:space="preserve"> PAGEREF _Toc323035598 \h </w:instrText>
      </w:r>
      <w:r w:rsidR="003D7E87">
        <w:fldChar w:fldCharType="separate"/>
      </w:r>
      <w:r w:rsidR="008E7CC7">
        <w:t>17</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Does gap-taking influence later labour market outcomes?</w:t>
      </w:r>
      <w:r>
        <w:tab/>
      </w:r>
      <w:r w:rsidR="003D7E87">
        <w:fldChar w:fldCharType="begin"/>
      </w:r>
      <w:r>
        <w:instrText xml:space="preserve"> PAGEREF _Toc323035599 \h </w:instrText>
      </w:r>
      <w:r w:rsidR="003D7E87">
        <w:fldChar w:fldCharType="separate"/>
      </w:r>
      <w:r w:rsidR="008E7CC7">
        <w:t>17</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Is gap-taking beneficial?</w:t>
      </w:r>
      <w:r>
        <w:tab/>
      </w:r>
      <w:r w:rsidR="003D7E87">
        <w:fldChar w:fldCharType="begin"/>
      </w:r>
      <w:r>
        <w:instrText xml:space="preserve"> PAGEREF _Toc323035600 \h </w:instrText>
      </w:r>
      <w:r w:rsidR="003D7E87">
        <w:fldChar w:fldCharType="separate"/>
      </w:r>
      <w:r w:rsidR="008E7CC7">
        <w:t>18</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What do administrative data tell us about gap-taking in Australia?</w:t>
      </w:r>
      <w:r>
        <w:tab/>
      </w:r>
      <w:r w:rsidR="003D7E87">
        <w:fldChar w:fldCharType="begin"/>
      </w:r>
      <w:r>
        <w:instrText xml:space="preserve"> PAGEREF _Toc323035601 \h </w:instrText>
      </w:r>
      <w:r w:rsidR="003D7E87">
        <w:fldChar w:fldCharType="separate"/>
      </w:r>
      <w:r w:rsidR="008E7CC7">
        <w:t>18</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Research questions and the report structure</w:t>
      </w:r>
      <w:r>
        <w:tab/>
      </w:r>
      <w:r w:rsidR="003D7E87">
        <w:fldChar w:fldCharType="begin"/>
      </w:r>
      <w:r>
        <w:instrText xml:space="preserve"> PAGEREF _Toc323035602 \h </w:instrText>
      </w:r>
      <w:r w:rsidR="003D7E87">
        <w:fldChar w:fldCharType="separate"/>
      </w:r>
      <w:r w:rsidR="008E7CC7">
        <w:t>19</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Data sources and methods</w:t>
      </w:r>
      <w:r>
        <w:tab/>
      </w:r>
      <w:r w:rsidR="003D7E87">
        <w:fldChar w:fldCharType="begin"/>
      </w:r>
      <w:r>
        <w:instrText xml:space="preserve"> PAGEREF _Toc323035603 \h </w:instrText>
      </w:r>
      <w:r w:rsidR="003D7E87">
        <w:fldChar w:fldCharType="separate"/>
      </w:r>
      <w:r w:rsidR="008E7CC7">
        <w:t>19</w:t>
      </w:r>
      <w:r w:rsidR="003D7E87">
        <w:fldChar w:fldCharType="end"/>
      </w:r>
    </w:p>
    <w:p w:rsidR="00B70A39" w:rsidRDefault="00B70A39">
      <w:pPr>
        <w:pStyle w:val="TOC1"/>
        <w:rPr>
          <w:rFonts w:asciiTheme="minorHAnsi" w:eastAsiaTheme="minorEastAsia" w:hAnsiTheme="minorHAnsi" w:cstheme="minorBidi"/>
          <w:color w:val="auto"/>
          <w:sz w:val="22"/>
          <w:szCs w:val="22"/>
          <w:lang w:eastAsia="en-AU"/>
        </w:rPr>
      </w:pPr>
      <w:r>
        <w:t>Gap-takers and their characteristics</w:t>
      </w:r>
      <w:r>
        <w:tab/>
      </w:r>
      <w:r w:rsidR="003D7E87">
        <w:fldChar w:fldCharType="begin"/>
      </w:r>
      <w:r>
        <w:instrText xml:space="preserve"> PAGEREF _Toc323035604 \h </w:instrText>
      </w:r>
      <w:r w:rsidR="003D7E87">
        <w:fldChar w:fldCharType="separate"/>
      </w:r>
      <w:r w:rsidR="008E7CC7">
        <w:t>21</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The incidence of gap-taking</w:t>
      </w:r>
      <w:r>
        <w:tab/>
      </w:r>
      <w:r w:rsidR="003D7E87">
        <w:fldChar w:fldCharType="begin"/>
      </w:r>
      <w:r>
        <w:instrText xml:space="preserve"> PAGEREF _Toc323035605 \h </w:instrText>
      </w:r>
      <w:r w:rsidR="003D7E87">
        <w:fldChar w:fldCharType="separate"/>
      </w:r>
      <w:r w:rsidR="008E7CC7">
        <w:t>21</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An explanatory model of gap-taking</w:t>
      </w:r>
      <w:r>
        <w:tab/>
      </w:r>
      <w:r w:rsidR="003D7E87">
        <w:fldChar w:fldCharType="begin"/>
      </w:r>
      <w:r>
        <w:instrText xml:space="preserve"> PAGEREF _Toc323035606 \h </w:instrText>
      </w:r>
      <w:r w:rsidR="003D7E87">
        <w:fldChar w:fldCharType="separate"/>
      </w:r>
      <w:r w:rsidR="008E7CC7">
        <w:t>24</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Evidence for gap-taking in order to qualify for  Youth Allowance payments</w:t>
      </w:r>
      <w:r>
        <w:tab/>
      </w:r>
      <w:r w:rsidR="003D7E87">
        <w:fldChar w:fldCharType="begin"/>
      </w:r>
      <w:r>
        <w:instrText xml:space="preserve"> PAGEREF _Toc323035607 \h </w:instrText>
      </w:r>
      <w:r w:rsidR="003D7E87">
        <w:fldChar w:fldCharType="separate"/>
      </w:r>
      <w:r w:rsidR="008E7CC7">
        <w:t>26</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Summary</w:t>
      </w:r>
      <w:r>
        <w:tab/>
      </w:r>
      <w:r w:rsidR="003D7E87">
        <w:fldChar w:fldCharType="begin"/>
      </w:r>
      <w:r>
        <w:instrText xml:space="preserve"> PAGEREF _Toc323035608 \h </w:instrText>
      </w:r>
      <w:r w:rsidR="003D7E87">
        <w:fldChar w:fldCharType="separate"/>
      </w:r>
      <w:r w:rsidR="008E7CC7">
        <w:t>29</w:t>
      </w:r>
      <w:r w:rsidR="003D7E87">
        <w:fldChar w:fldCharType="end"/>
      </w:r>
    </w:p>
    <w:p w:rsidR="00B70A39" w:rsidRDefault="00B70A39">
      <w:pPr>
        <w:pStyle w:val="TOC1"/>
        <w:rPr>
          <w:rFonts w:asciiTheme="minorHAnsi" w:eastAsiaTheme="minorEastAsia" w:hAnsiTheme="minorHAnsi" w:cstheme="minorBidi"/>
          <w:color w:val="auto"/>
          <w:sz w:val="22"/>
          <w:szCs w:val="22"/>
          <w:lang w:eastAsia="en-AU"/>
        </w:rPr>
      </w:pPr>
      <w:r w:rsidRPr="00E93DE7">
        <w:rPr>
          <w:lang w:val="en-US"/>
        </w:rPr>
        <w:t>Reasons for deferring</w:t>
      </w:r>
      <w:r>
        <w:tab/>
      </w:r>
      <w:r w:rsidR="003D7E87">
        <w:fldChar w:fldCharType="begin"/>
      </w:r>
      <w:r>
        <w:instrText xml:space="preserve"> PAGEREF _Toc323035609 \h </w:instrText>
      </w:r>
      <w:r w:rsidR="003D7E87">
        <w:fldChar w:fldCharType="separate"/>
      </w:r>
      <w:r w:rsidR="008E7CC7">
        <w:t>30</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Gap-takers and deferrals</w:t>
      </w:r>
      <w:r>
        <w:tab/>
      </w:r>
      <w:r w:rsidR="003D7E87">
        <w:fldChar w:fldCharType="begin"/>
      </w:r>
      <w:r>
        <w:instrText xml:space="preserve"> PAGEREF _Toc323035610 \h </w:instrText>
      </w:r>
      <w:r w:rsidR="003D7E87">
        <w:fldChar w:fldCharType="separate"/>
      </w:r>
      <w:r w:rsidR="008E7CC7">
        <w:t>30</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Deferrals and university commencement</w:t>
      </w:r>
      <w:r>
        <w:tab/>
      </w:r>
      <w:r w:rsidR="003D7E87">
        <w:fldChar w:fldCharType="begin"/>
      </w:r>
      <w:r>
        <w:instrText xml:space="preserve"> PAGEREF _Toc323035611 \h </w:instrText>
      </w:r>
      <w:r w:rsidR="003D7E87">
        <w:fldChar w:fldCharType="separate"/>
      </w:r>
      <w:r w:rsidR="008E7CC7">
        <w:t>31</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Why do people defer university entry?</w:t>
      </w:r>
      <w:r>
        <w:tab/>
      </w:r>
      <w:r w:rsidR="003D7E87">
        <w:fldChar w:fldCharType="begin"/>
      </w:r>
      <w:r>
        <w:instrText xml:space="preserve"> PAGEREF _Toc323035612 \h </w:instrText>
      </w:r>
      <w:r w:rsidR="003D7E87">
        <w:fldChar w:fldCharType="separate"/>
      </w:r>
      <w:r w:rsidR="008E7CC7">
        <w:t>31</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Summary</w:t>
      </w:r>
      <w:r>
        <w:tab/>
      </w:r>
      <w:r w:rsidR="003D7E87">
        <w:fldChar w:fldCharType="begin"/>
      </w:r>
      <w:r>
        <w:instrText xml:space="preserve"> PAGEREF _Toc323035613 \h </w:instrText>
      </w:r>
      <w:r w:rsidR="003D7E87">
        <w:fldChar w:fldCharType="separate"/>
      </w:r>
      <w:r w:rsidR="008E7CC7">
        <w:t>32</w:t>
      </w:r>
      <w:r w:rsidR="003D7E87">
        <w:fldChar w:fldCharType="end"/>
      </w:r>
    </w:p>
    <w:p w:rsidR="00B70A39" w:rsidRDefault="00B70A39">
      <w:pPr>
        <w:pStyle w:val="TOC1"/>
        <w:rPr>
          <w:rFonts w:asciiTheme="minorHAnsi" w:eastAsiaTheme="minorEastAsia" w:hAnsiTheme="minorHAnsi" w:cstheme="minorBidi"/>
          <w:color w:val="auto"/>
          <w:sz w:val="22"/>
          <w:szCs w:val="22"/>
          <w:lang w:eastAsia="en-AU"/>
        </w:rPr>
      </w:pPr>
      <w:r w:rsidRPr="00E93DE7">
        <w:rPr>
          <w:lang w:val="en-US"/>
        </w:rPr>
        <w:t>Main activity during the gap year</w:t>
      </w:r>
      <w:r>
        <w:tab/>
      </w:r>
      <w:r w:rsidR="003D7E87">
        <w:fldChar w:fldCharType="begin"/>
      </w:r>
      <w:r>
        <w:instrText xml:space="preserve"> PAGEREF _Toc323035614 \h </w:instrText>
      </w:r>
      <w:r w:rsidR="003D7E87">
        <w:fldChar w:fldCharType="separate"/>
      </w:r>
      <w:r w:rsidR="008E7CC7">
        <w:t>33</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Summary</w:t>
      </w:r>
      <w:r>
        <w:tab/>
      </w:r>
      <w:r w:rsidR="003D7E87">
        <w:fldChar w:fldCharType="begin"/>
      </w:r>
      <w:r>
        <w:instrText xml:space="preserve"> PAGEREF _Toc323035615 \h </w:instrText>
      </w:r>
      <w:r w:rsidR="003D7E87">
        <w:fldChar w:fldCharType="separate"/>
      </w:r>
      <w:r w:rsidR="008E7CC7">
        <w:t>34</w:t>
      </w:r>
      <w:r w:rsidR="003D7E87">
        <w:fldChar w:fldCharType="end"/>
      </w:r>
    </w:p>
    <w:p w:rsidR="00B70A39" w:rsidRDefault="00B70A39">
      <w:pPr>
        <w:pStyle w:val="TOC1"/>
        <w:rPr>
          <w:rFonts w:asciiTheme="minorHAnsi" w:eastAsiaTheme="minorEastAsia" w:hAnsiTheme="minorHAnsi" w:cstheme="minorBidi"/>
          <w:color w:val="auto"/>
          <w:sz w:val="22"/>
          <w:szCs w:val="22"/>
          <w:lang w:eastAsia="en-AU"/>
        </w:rPr>
      </w:pPr>
      <w:r w:rsidRPr="00E93DE7">
        <w:rPr>
          <w:lang w:val="en-US"/>
        </w:rPr>
        <w:t>Course progress and attrition</w:t>
      </w:r>
      <w:r>
        <w:tab/>
      </w:r>
      <w:r w:rsidR="003D7E87">
        <w:fldChar w:fldCharType="begin"/>
      </w:r>
      <w:r>
        <w:instrText xml:space="preserve"> PAGEREF _Toc323035616 \h </w:instrText>
      </w:r>
      <w:r w:rsidR="003D7E87">
        <w:fldChar w:fldCharType="separate"/>
      </w:r>
      <w:r w:rsidR="008E7CC7">
        <w:t>35</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Student intention and enrolment</w:t>
      </w:r>
      <w:r>
        <w:tab/>
      </w:r>
      <w:r w:rsidR="003D7E87">
        <w:fldChar w:fldCharType="begin"/>
      </w:r>
      <w:r>
        <w:instrText xml:space="preserve"> PAGEREF _Toc323035617 \h </w:instrText>
      </w:r>
      <w:r w:rsidR="003D7E87">
        <w:fldChar w:fldCharType="separate"/>
      </w:r>
      <w:r w:rsidR="008E7CC7">
        <w:t>35</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Course persistence</w:t>
      </w:r>
      <w:r>
        <w:tab/>
      </w:r>
      <w:r w:rsidR="003D7E87">
        <w:fldChar w:fldCharType="begin"/>
      </w:r>
      <w:r>
        <w:instrText xml:space="preserve"> PAGEREF _Toc323035618 \h </w:instrText>
      </w:r>
      <w:r w:rsidR="003D7E87">
        <w:fldChar w:fldCharType="separate"/>
      </w:r>
      <w:r w:rsidR="008E7CC7">
        <w:t>36</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Summary</w:t>
      </w:r>
      <w:r>
        <w:tab/>
      </w:r>
      <w:r w:rsidR="003D7E87">
        <w:fldChar w:fldCharType="begin"/>
      </w:r>
      <w:r>
        <w:instrText xml:space="preserve"> PAGEREF _Toc323035619 \h </w:instrText>
      </w:r>
      <w:r w:rsidR="003D7E87">
        <w:fldChar w:fldCharType="separate"/>
      </w:r>
      <w:r w:rsidR="008E7CC7">
        <w:t>36</w:t>
      </w:r>
      <w:r w:rsidR="003D7E87">
        <w:fldChar w:fldCharType="end"/>
      </w:r>
    </w:p>
    <w:p w:rsidR="00B70A39" w:rsidRDefault="00B70A39">
      <w:pPr>
        <w:pStyle w:val="TOC1"/>
        <w:rPr>
          <w:rFonts w:asciiTheme="minorHAnsi" w:eastAsiaTheme="minorEastAsia" w:hAnsiTheme="minorHAnsi" w:cstheme="minorBidi"/>
          <w:color w:val="auto"/>
          <w:sz w:val="22"/>
          <w:szCs w:val="22"/>
          <w:lang w:eastAsia="en-AU"/>
        </w:rPr>
      </w:pPr>
      <w:r w:rsidRPr="00E93DE7">
        <w:rPr>
          <w:lang w:val="en-US"/>
        </w:rPr>
        <w:lastRenderedPageBreak/>
        <w:t>Labour market outcomes</w:t>
      </w:r>
      <w:r>
        <w:tab/>
      </w:r>
      <w:r w:rsidR="003D7E87">
        <w:fldChar w:fldCharType="begin"/>
      </w:r>
      <w:r>
        <w:instrText xml:space="preserve"> PAGEREF _Toc323035620 \h </w:instrText>
      </w:r>
      <w:r w:rsidR="003D7E87">
        <w:fldChar w:fldCharType="separate"/>
      </w:r>
      <w:r w:rsidR="008E7CC7">
        <w:t>37</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Participation in study</w:t>
      </w:r>
      <w:r>
        <w:tab/>
      </w:r>
      <w:r w:rsidR="003D7E87">
        <w:fldChar w:fldCharType="begin"/>
      </w:r>
      <w:r>
        <w:instrText xml:space="preserve"> PAGEREF _Toc323035621 \h </w:instrText>
      </w:r>
      <w:r w:rsidR="003D7E87">
        <w:fldChar w:fldCharType="separate"/>
      </w:r>
      <w:r w:rsidR="008E7CC7">
        <w:t>37</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Employment and earnings</w:t>
      </w:r>
      <w:r>
        <w:tab/>
      </w:r>
      <w:r w:rsidR="003D7E87">
        <w:fldChar w:fldCharType="begin"/>
      </w:r>
      <w:r>
        <w:instrText xml:space="preserve"> PAGEREF _Toc323035622 \h </w:instrText>
      </w:r>
      <w:r w:rsidR="003D7E87">
        <w:fldChar w:fldCharType="separate"/>
      </w:r>
      <w:r w:rsidR="008E7CC7">
        <w:t>38</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Predictive model of labour market outcomes</w:t>
      </w:r>
      <w:r>
        <w:tab/>
      </w:r>
      <w:r w:rsidR="003D7E87">
        <w:fldChar w:fldCharType="begin"/>
      </w:r>
      <w:r>
        <w:instrText xml:space="preserve"> PAGEREF _Toc323035623 \h </w:instrText>
      </w:r>
      <w:r w:rsidR="003D7E87">
        <w:fldChar w:fldCharType="separate"/>
      </w:r>
      <w:r w:rsidR="008E7CC7">
        <w:t>40</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rsidRPr="00E93DE7">
        <w:rPr>
          <w:lang w:val="en-US"/>
        </w:rPr>
        <w:t>Summary</w:t>
      </w:r>
      <w:r>
        <w:tab/>
      </w:r>
      <w:r w:rsidR="003D7E87">
        <w:fldChar w:fldCharType="begin"/>
      </w:r>
      <w:r>
        <w:instrText xml:space="preserve"> PAGEREF _Toc323035624 \h </w:instrText>
      </w:r>
      <w:r w:rsidR="003D7E87">
        <w:fldChar w:fldCharType="separate"/>
      </w:r>
      <w:r w:rsidR="008E7CC7">
        <w:t>42</w:t>
      </w:r>
      <w:r w:rsidR="003D7E87">
        <w:fldChar w:fldCharType="end"/>
      </w:r>
    </w:p>
    <w:p w:rsidR="00B70A39" w:rsidRDefault="00B70A39">
      <w:pPr>
        <w:pStyle w:val="TOC1"/>
        <w:rPr>
          <w:rFonts w:asciiTheme="minorHAnsi" w:eastAsiaTheme="minorEastAsia" w:hAnsiTheme="minorHAnsi" w:cstheme="minorBidi"/>
          <w:color w:val="auto"/>
          <w:sz w:val="22"/>
          <w:szCs w:val="22"/>
          <w:lang w:eastAsia="en-AU"/>
        </w:rPr>
      </w:pPr>
      <w:r w:rsidRPr="00E93DE7">
        <w:rPr>
          <w:lang w:val="en-US"/>
        </w:rPr>
        <w:t>Conclusion</w:t>
      </w:r>
      <w:r>
        <w:tab/>
      </w:r>
      <w:r w:rsidR="003D7E87">
        <w:fldChar w:fldCharType="begin"/>
      </w:r>
      <w:r>
        <w:instrText xml:space="preserve"> PAGEREF _Toc323035625 \h </w:instrText>
      </w:r>
      <w:r w:rsidR="003D7E87">
        <w:fldChar w:fldCharType="separate"/>
      </w:r>
      <w:r w:rsidR="008E7CC7">
        <w:t>44</w:t>
      </w:r>
      <w:r w:rsidR="003D7E87">
        <w:fldChar w:fldCharType="end"/>
      </w:r>
    </w:p>
    <w:p w:rsidR="00B70A39" w:rsidRDefault="00B70A39">
      <w:pPr>
        <w:pStyle w:val="TOC1"/>
        <w:rPr>
          <w:rFonts w:asciiTheme="minorHAnsi" w:eastAsiaTheme="minorEastAsia" w:hAnsiTheme="minorHAnsi" w:cstheme="minorBidi"/>
          <w:color w:val="auto"/>
          <w:sz w:val="22"/>
          <w:szCs w:val="22"/>
          <w:lang w:eastAsia="en-AU"/>
        </w:rPr>
      </w:pPr>
      <w:r>
        <w:t>References</w:t>
      </w:r>
      <w:r>
        <w:tab/>
      </w:r>
      <w:r w:rsidR="003D7E87">
        <w:fldChar w:fldCharType="begin"/>
      </w:r>
      <w:r>
        <w:instrText xml:space="preserve"> PAGEREF _Toc323035626 \h </w:instrText>
      </w:r>
      <w:r w:rsidR="003D7E87">
        <w:fldChar w:fldCharType="separate"/>
      </w:r>
      <w:r w:rsidR="008E7CC7">
        <w:t>47</w:t>
      </w:r>
      <w:r w:rsidR="003D7E87">
        <w:fldChar w:fldCharType="end"/>
      </w:r>
    </w:p>
    <w:p w:rsidR="00B70A39" w:rsidRDefault="00B70A39">
      <w:pPr>
        <w:pStyle w:val="TOC1"/>
        <w:rPr>
          <w:rFonts w:asciiTheme="minorHAnsi" w:eastAsiaTheme="minorEastAsia" w:hAnsiTheme="minorHAnsi" w:cstheme="minorBidi"/>
          <w:color w:val="auto"/>
          <w:sz w:val="22"/>
          <w:szCs w:val="22"/>
          <w:lang w:eastAsia="en-AU"/>
        </w:rPr>
      </w:pPr>
      <w:r>
        <w:t>Appendix 1:  variables and methods</w:t>
      </w:r>
      <w:r>
        <w:tab/>
      </w:r>
      <w:r w:rsidR="003D7E87">
        <w:fldChar w:fldCharType="begin"/>
      </w:r>
      <w:r>
        <w:instrText xml:space="preserve"> PAGEREF _Toc323035627 \h </w:instrText>
      </w:r>
      <w:r w:rsidR="003D7E87">
        <w:fldChar w:fldCharType="separate"/>
      </w:r>
      <w:r w:rsidR="008E7CC7">
        <w:t>48</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Variables</w:t>
      </w:r>
      <w:r>
        <w:tab/>
      </w:r>
      <w:r w:rsidR="003D7E87">
        <w:fldChar w:fldCharType="begin"/>
      </w:r>
      <w:r>
        <w:instrText xml:space="preserve"> PAGEREF _Toc323035628 \h </w:instrText>
      </w:r>
      <w:r w:rsidR="003D7E87">
        <w:fldChar w:fldCharType="separate"/>
      </w:r>
      <w:r w:rsidR="008E7CC7">
        <w:t>48</w:t>
      </w:r>
      <w:r w:rsidR="003D7E87">
        <w:fldChar w:fldCharType="end"/>
      </w:r>
    </w:p>
    <w:p w:rsidR="00B70A39" w:rsidRDefault="00B70A39">
      <w:pPr>
        <w:pStyle w:val="TOC2"/>
        <w:rPr>
          <w:rFonts w:asciiTheme="minorHAnsi" w:eastAsiaTheme="minorEastAsia" w:hAnsiTheme="minorHAnsi" w:cstheme="minorBidi"/>
          <w:color w:val="auto"/>
          <w:sz w:val="22"/>
          <w:szCs w:val="22"/>
          <w:lang w:eastAsia="en-AU"/>
        </w:rPr>
      </w:pPr>
      <w:r>
        <w:t>Methods</w:t>
      </w:r>
      <w:r>
        <w:tab/>
      </w:r>
      <w:r w:rsidR="003D7E87">
        <w:fldChar w:fldCharType="begin"/>
      </w:r>
      <w:r>
        <w:instrText xml:space="preserve"> PAGEREF _Toc323035629 \h </w:instrText>
      </w:r>
      <w:r w:rsidR="003D7E87">
        <w:fldChar w:fldCharType="separate"/>
      </w:r>
      <w:r w:rsidR="008E7CC7">
        <w:t>49</w:t>
      </w:r>
      <w:r w:rsidR="003D7E87">
        <w:fldChar w:fldCharType="end"/>
      </w:r>
    </w:p>
    <w:p w:rsidR="00B70A39" w:rsidRDefault="00B70A39">
      <w:pPr>
        <w:pStyle w:val="TOC1"/>
        <w:rPr>
          <w:rFonts w:asciiTheme="minorHAnsi" w:eastAsiaTheme="minorEastAsia" w:hAnsiTheme="minorHAnsi" w:cstheme="minorBidi"/>
          <w:color w:val="auto"/>
          <w:sz w:val="22"/>
          <w:szCs w:val="22"/>
          <w:lang w:eastAsia="en-AU"/>
        </w:rPr>
      </w:pPr>
      <w:r>
        <w:t>Appendix 2:  supplementary tables</w:t>
      </w:r>
      <w:r>
        <w:tab/>
      </w:r>
      <w:r w:rsidR="003D7E87">
        <w:fldChar w:fldCharType="begin"/>
      </w:r>
      <w:r>
        <w:instrText xml:space="preserve"> PAGEREF _Toc323035630 \h </w:instrText>
      </w:r>
      <w:r w:rsidR="003D7E87">
        <w:fldChar w:fldCharType="separate"/>
      </w:r>
      <w:r w:rsidR="008E7CC7">
        <w:t>52</w:t>
      </w:r>
      <w:r w:rsidR="003D7E87">
        <w:fldChar w:fldCharType="end"/>
      </w:r>
    </w:p>
    <w:p w:rsidR="00C925E9" w:rsidRDefault="003D7E87" w:rsidP="00200C9F">
      <w:pPr>
        <w:pStyle w:val="TOC1"/>
      </w:pPr>
      <w:r>
        <w:rPr>
          <w:rFonts w:ascii="Avant Garde" w:hAnsi="Avant Garde"/>
        </w:rPr>
        <w:fldChar w:fldCharType="end"/>
      </w:r>
    </w:p>
    <w:p w:rsidR="00C925E9" w:rsidRDefault="00C925E9" w:rsidP="00200C9F">
      <w:pPr>
        <w:pStyle w:val="Abouttheresearch"/>
      </w:pPr>
      <w:r>
        <w:br w:type="page"/>
      </w:r>
      <w:bookmarkStart w:id="12" w:name="_Toc457122463"/>
      <w:r>
        <w:lastRenderedPageBreak/>
        <w:t>Tables</w:t>
      </w:r>
    </w:p>
    <w:p w:rsidR="00374F9E" w:rsidRDefault="003D7E87" w:rsidP="00374F9E">
      <w:pPr>
        <w:pStyle w:val="TableofFigures"/>
        <w:tabs>
          <w:tab w:val="clear" w:pos="284"/>
          <w:tab w:val="left" w:pos="567"/>
          <w:tab w:val="left" w:pos="880"/>
        </w:tabs>
        <w:ind w:left="567" w:hanging="567"/>
        <w:rPr>
          <w:rFonts w:asciiTheme="minorHAnsi" w:eastAsiaTheme="minorEastAsia" w:hAnsiTheme="minorHAnsi" w:cstheme="minorBidi"/>
          <w:color w:val="auto"/>
          <w:sz w:val="22"/>
          <w:szCs w:val="22"/>
          <w:lang w:eastAsia="en-AU"/>
        </w:rPr>
      </w:pPr>
      <w:r w:rsidRPr="003D7E87">
        <w:fldChar w:fldCharType="begin"/>
      </w:r>
      <w:r w:rsidR="00C925E9">
        <w:instrText xml:space="preserve"> TOC \f f \t "tabletitle,1" \c "Table" </w:instrText>
      </w:r>
      <w:r w:rsidRPr="003D7E87">
        <w:fldChar w:fldCharType="separate"/>
      </w:r>
      <w:r w:rsidR="00374F9E">
        <w:t>1</w:t>
      </w:r>
      <w:r w:rsidR="00374F9E">
        <w:rPr>
          <w:rFonts w:asciiTheme="minorHAnsi" w:eastAsiaTheme="minorEastAsia" w:hAnsiTheme="minorHAnsi" w:cstheme="minorBidi"/>
          <w:color w:val="auto"/>
          <w:sz w:val="22"/>
          <w:szCs w:val="22"/>
          <w:lang w:eastAsia="en-AU"/>
        </w:rPr>
        <w:tab/>
      </w:r>
      <w:r w:rsidR="00374F9E">
        <w:t>Gap year status and commencer status of domestic students commencing bachelor degree programs and below, 2001</w:t>
      </w:r>
      <w:r w:rsidR="00B70A39">
        <w:t>—</w:t>
      </w:r>
      <w:r w:rsidR="00374F9E">
        <w:t>04, Australia (%)</w:t>
      </w:r>
      <w:r w:rsidR="00374F9E">
        <w:tab/>
      </w:r>
      <w:r>
        <w:fldChar w:fldCharType="begin"/>
      </w:r>
      <w:r w:rsidR="00374F9E">
        <w:instrText xml:space="preserve"> PAGEREF _Toc322691604 \h </w:instrText>
      </w:r>
      <w:r>
        <w:fldChar w:fldCharType="separate"/>
      </w:r>
      <w:r w:rsidR="008E7CC7">
        <w:t>18</w:t>
      </w:r>
      <w:r>
        <w:fldChar w:fldCharType="end"/>
      </w:r>
    </w:p>
    <w:p w:rsidR="00374F9E" w:rsidRDefault="00374F9E" w:rsidP="00374F9E">
      <w:pPr>
        <w:pStyle w:val="TableofFigures"/>
        <w:tabs>
          <w:tab w:val="clear" w:pos="284"/>
          <w:tab w:val="left" w:pos="567"/>
          <w:tab w:val="left" w:pos="880"/>
        </w:tabs>
        <w:ind w:left="567" w:hanging="567"/>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Gap-taking among university entrants over three LSAY cohorts</w:t>
      </w:r>
      <w:r>
        <w:tab/>
      </w:r>
      <w:r w:rsidR="003D7E87">
        <w:fldChar w:fldCharType="begin"/>
      </w:r>
      <w:r>
        <w:instrText xml:space="preserve"> PAGEREF _Toc322691605 \h </w:instrText>
      </w:r>
      <w:r w:rsidR="003D7E87">
        <w:fldChar w:fldCharType="separate"/>
      </w:r>
      <w:r w:rsidR="008E7CC7">
        <w:t>21</w:t>
      </w:r>
      <w:r w:rsidR="003D7E87">
        <w:fldChar w:fldCharType="end"/>
      </w:r>
    </w:p>
    <w:p w:rsidR="00374F9E" w:rsidRDefault="00374F9E" w:rsidP="00374F9E">
      <w:pPr>
        <w:pStyle w:val="TableofFigures"/>
        <w:tabs>
          <w:tab w:val="clear" w:pos="284"/>
          <w:tab w:val="left" w:pos="567"/>
          <w:tab w:val="left" w:pos="880"/>
        </w:tabs>
        <w:ind w:left="567" w:hanging="567"/>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Gap-taking status by individual demographic characteristics (%)</w:t>
      </w:r>
      <w:r>
        <w:tab/>
      </w:r>
      <w:r w:rsidR="003D7E87">
        <w:fldChar w:fldCharType="begin"/>
      </w:r>
      <w:r>
        <w:instrText xml:space="preserve"> PAGEREF _Toc322691606 \h </w:instrText>
      </w:r>
      <w:r w:rsidR="003D7E87">
        <w:fldChar w:fldCharType="separate"/>
      </w:r>
      <w:r w:rsidR="008E7CC7">
        <w:t>23</w:t>
      </w:r>
      <w:r w:rsidR="003D7E87">
        <w:fldChar w:fldCharType="end"/>
      </w:r>
    </w:p>
    <w:p w:rsidR="00374F9E" w:rsidRDefault="00374F9E" w:rsidP="00374F9E">
      <w:pPr>
        <w:pStyle w:val="TableofFigures"/>
        <w:tabs>
          <w:tab w:val="clear" w:pos="284"/>
          <w:tab w:val="left" w:pos="567"/>
          <w:tab w:val="left" w:pos="880"/>
        </w:tabs>
        <w:ind w:left="567" w:hanging="567"/>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Gap-taking status by school-related characteristics (%)</w:t>
      </w:r>
      <w:r>
        <w:tab/>
      </w:r>
      <w:r w:rsidR="003D7E87">
        <w:fldChar w:fldCharType="begin"/>
      </w:r>
      <w:r>
        <w:instrText xml:space="preserve"> PAGEREF _Toc322691607 \h </w:instrText>
      </w:r>
      <w:r w:rsidR="003D7E87">
        <w:fldChar w:fldCharType="separate"/>
      </w:r>
      <w:r w:rsidR="008E7CC7">
        <w:t>24</w:t>
      </w:r>
      <w:r w:rsidR="003D7E87">
        <w:fldChar w:fldCharType="end"/>
      </w:r>
    </w:p>
    <w:p w:rsidR="00374F9E" w:rsidRDefault="00374F9E" w:rsidP="00374F9E">
      <w:pPr>
        <w:pStyle w:val="TableofFigures"/>
        <w:tabs>
          <w:tab w:val="clear" w:pos="284"/>
          <w:tab w:val="left" w:pos="567"/>
          <w:tab w:val="left" w:pos="880"/>
        </w:tabs>
        <w:ind w:left="567" w:hanging="567"/>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Variables predicting gap-taking among university entrants, Y98 cohort</w:t>
      </w:r>
      <w:r>
        <w:tab/>
      </w:r>
      <w:r w:rsidR="003D7E87">
        <w:fldChar w:fldCharType="begin"/>
      </w:r>
      <w:r>
        <w:instrText xml:space="preserve"> PAGEREF _Toc322691608 \h </w:instrText>
      </w:r>
      <w:r w:rsidR="003D7E87">
        <w:fldChar w:fldCharType="separate"/>
      </w:r>
      <w:r w:rsidR="008E7CC7">
        <w:t>26</w:t>
      </w:r>
      <w:r w:rsidR="003D7E87">
        <w:fldChar w:fldCharType="end"/>
      </w:r>
    </w:p>
    <w:p w:rsidR="00374F9E" w:rsidRDefault="00374F9E" w:rsidP="00374F9E">
      <w:pPr>
        <w:pStyle w:val="TableofFigures"/>
        <w:tabs>
          <w:tab w:val="clear" w:pos="284"/>
          <w:tab w:val="left" w:pos="567"/>
          <w:tab w:val="left" w:pos="880"/>
        </w:tabs>
        <w:ind w:left="567" w:hanging="567"/>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Receipt of Youth Allowance by </w:t>
      </w:r>
      <w:r w:rsidRPr="00DD7D08">
        <w:rPr>
          <w:lang w:val="en-US"/>
        </w:rPr>
        <w:t>socioeconomic status</w:t>
      </w:r>
      <w:r>
        <w:t xml:space="preserve"> quartile and gap year status, Y95 students</w:t>
      </w:r>
      <w:r>
        <w:tab/>
      </w:r>
      <w:r w:rsidR="003D7E87">
        <w:fldChar w:fldCharType="begin"/>
      </w:r>
      <w:r>
        <w:instrText xml:space="preserve"> PAGEREF _Toc322691609 \h </w:instrText>
      </w:r>
      <w:r w:rsidR="003D7E87">
        <w:fldChar w:fldCharType="separate"/>
      </w:r>
      <w:r w:rsidR="008E7CC7">
        <w:t>27</w:t>
      </w:r>
      <w:r w:rsidR="003D7E87">
        <w:fldChar w:fldCharType="end"/>
      </w:r>
    </w:p>
    <w:p w:rsidR="00374F9E" w:rsidRDefault="00374F9E" w:rsidP="00374F9E">
      <w:pPr>
        <w:pStyle w:val="TableofFigures"/>
        <w:tabs>
          <w:tab w:val="clear" w:pos="284"/>
          <w:tab w:val="left" w:pos="567"/>
          <w:tab w:val="left" w:pos="880"/>
        </w:tabs>
        <w:ind w:left="567" w:hanging="567"/>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Receipt of Youth Allowance by </w:t>
      </w:r>
      <w:r w:rsidRPr="00DD7D08">
        <w:rPr>
          <w:lang w:val="en-US"/>
        </w:rPr>
        <w:t>socioeconomic status</w:t>
      </w:r>
      <w:r>
        <w:t xml:space="preserve"> quartile and gap year status, Y98 students</w:t>
      </w:r>
      <w:r>
        <w:tab/>
      </w:r>
      <w:r w:rsidR="003D7E87">
        <w:fldChar w:fldCharType="begin"/>
      </w:r>
      <w:r>
        <w:instrText xml:space="preserve"> PAGEREF _Toc322691610 \h </w:instrText>
      </w:r>
      <w:r w:rsidR="003D7E87">
        <w:fldChar w:fldCharType="separate"/>
      </w:r>
      <w:r w:rsidR="008E7CC7">
        <w:t>28</w:t>
      </w:r>
      <w:r w:rsidR="003D7E87">
        <w:fldChar w:fldCharType="end"/>
      </w:r>
    </w:p>
    <w:p w:rsidR="00374F9E" w:rsidRDefault="00374F9E" w:rsidP="00374F9E">
      <w:pPr>
        <w:pStyle w:val="TableofFigures"/>
        <w:tabs>
          <w:tab w:val="clear" w:pos="284"/>
          <w:tab w:val="left" w:pos="567"/>
          <w:tab w:val="left" w:pos="880"/>
        </w:tabs>
        <w:ind w:left="567" w:hanging="567"/>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Proportion of university entrants by socioeconomic status, Y98 students</w:t>
      </w:r>
      <w:r>
        <w:tab/>
      </w:r>
      <w:r w:rsidR="003D7E87">
        <w:fldChar w:fldCharType="begin"/>
      </w:r>
      <w:r>
        <w:instrText xml:space="preserve"> PAGEREF _Toc322691611 \h </w:instrText>
      </w:r>
      <w:r w:rsidR="003D7E87">
        <w:fldChar w:fldCharType="separate"/>
      </w:r>
      <w:r w:rsidR="008E7CC7">
        <w:t>28</w:t>
      </w:r>
      <w:r w:rsidR="003D7E87">
        <w:fldChar w:fldCharType="end"/>
      </w:r>
    </w:p>
    <w:p w:rsidR="00374F9E" w:rsidRDefault="00374F9E" w:rsidP="00374F9E">
      <w:pPr>
        <w:pStyle w:val="TableofFigures"/>
        <w:tabs>
          <w:tab w:val="clear" w:pos="284"/>
          <w:tab w:val="left" w:pos="567"/>
          <w:tab w:val="left" w:pos="880"/>
        </w:tabs>
        <w:ind w:left="567" w:hanging="567"/>
        <w:rPr>
          <w:rFonts w:asciiTheme="minorHAnsi" w:eastAsiaTheme="minorEastAsia" w:hAnsiTheme="minorHAnsi" w:cstheme="minorBidi"/>
          <w:color w:val="auto"/>
          <w:sz w:val="22"/>
          <w:szCs w:val="22"/>
          <w:lang w:eastAsia="en-AU"/>
        </w:rPr>
      </w:pPr>
      <w:r w:rsidRPr="00DD7D08">
        <w:rPr>
          <w:lang w:val="en-US"/>
        </w:rPr>
        <w:t>9</w:t>
      </w:r>
      <w:r>
        <w:rPr>
          <w:rFonts w:asciiTheme="minorHAnsi" w:eastAsiaTheme="minorEastAsia" w:hAnsiTheme="minorHAnsi" w:cstheme="minorBidi"/>
          <w:color w:val="auto"/>
          <w:sz w:val="22"/>
          <w:szCs w:val="22"/>
          <w:lang w:eastAsia="en-AU"/>
        </w:rPr>
        <w:tab/>
      </w:r>
      <w:r w:rsidRPr="00DD7D08">
        <w:rPr>
          <w:lang w:val="en-US"/>
        </w:rPr>
        <w:t>Gap-taking and deferrals, Y03 cohort</w:t>
      </w:r>
      <w:r>
        <w:tab/>
      </w:r>
      <w:r w:rsidR="003D7E87">
        <w:fldChar w:fldCharType="begin"/>
      </w:r>
      <w:r>
        <w:instrText xml:space="preserve"> PAGEREF _Toc322691612 \h </w:instrText>
      </w:r>
      <w:r w:rsidR="003D7E87">
        <w:fldChar w:fldCharType="separate"/>
      </w:r>
      <w:r w:rsidR="008E7CC7">
        <w:t>30</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rsidRPr="00DD7D08">
        <w:rPr>
          <w:lang w:val="en-US"/>
        </w:rPr>
        <w:t>10</w:t>
      </w:r>
      <w:r>
        <w:rPr>
          <w:rFonts w:asciiTheme="minorHAnsi" w:eastAsiaTheme="minorEastAsia" w:hAnsiTheme="minorHAnsi" w:cstheme="minorBidi"/>
          <w:color w:val="auto"/>
          <w:sz w:val="22"/>
          <w:szCs w:val="22"/>
          <w:lang w:eastAsia="en-AU"/>
        </w:rPr>
        <w:tab/>
      </w:r>
      <w:r w:rsidRPr="00DD7D08">
        <w:rPr>
          <w:lang w:val="en-US"/>
        </w:rPr>
        <w:t>University entrance status of deferrals, Y03 cohort</w:t>
      </w:r>
      <w:r>
        <w:tab/>
      </w:r>
      <w:r w:rsidR="003D7E87">
        <w:fldChar w:fldCharType="begin"/>
      </w:r>
      <w:r>
        <w:instrText xml:space="preserve"> PAGEREF _Toc322691613 \h </w:instrText>
      </w:r>
      <w:r w:rsidR="003D7E87">
        <w:fldChar w:fldCharType="separate"/>
      </w:r>
      <w:r w:rsidR="008E7CC7">
        <w:t>31</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rsidRPr="00DD7D08">
        <w:rPr>
          <w:lang w:val="en-US"/>
        </w:rPr>
        <w:t>11</w:t>
      </w:r>
      <w:r>
        <w:rPr>
          <w:rFonts w:asciiTheme="minorHAnsi" w:eastAsiaTheme="minorEastAsia" w:hAnsiTheme="minorHAnsi" w:cstheme="minorBidi"/>
          <w:color w:val="auto"/>
          <w:sz w:val="22"/>
          <w:szCs w:val="22"/>
          <w:lang w:eastAsia="en-AU"/>
        </w:rPr>
        <w:tab/>
      </w:r>
      <w:r w:rsidRPr="00DD7D08">
        <w:rPr>
          <w:lang w:val="en-US"/>
        </w:rPr>
        <w:t>Reasons for deferring course entry, Y03 cohort, 2006 and 2007 respondents</w:t>
      </w:r>
      <w:r>
        <w:tab/>
      </w:r>
      <w:r w:rsidR="003D7E87">
        <w:fldChar w:fldCharType="begin"/>
      </w:r>
      <w:r>
        <w:instrText xml:space="preserve"> PAGEREF _Toc322691614 \h </w:instrText>
      </w:r>
      <w:r w:rsidR="003D7E87">
        <w:fldChar w:fldCharType="separate"/>
      </w:r>
      <w:r w:rsidR="008E7CC7">
        <w:t>32</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Main activity during 2002 gap year for Y98 cohort members</w:t>
      </w:r>
      <w:r>
        <w:tab/>
      </w:r>
      <w:r w:rsidR="003D7E87">
        <w:fldChar w:fldCharType="begin"/>
      </w:r>
      <w:r>
        <w:instrText xml:space="preserve"> PAGEREF _Toc322691615 \h </w:instrText>
      </w:r>
      <w:r w:rsidR="003D7E87">
        <w:fldChar w:fldCharType="separate"/>
      </w:r>
      <w:r w:rsidR="008E7CC7">
        <w:t>33</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t>Earnings of Y98 gappers who worked during their 2002 gap year</w:t>
      </w:r>
      <w:r>
        <w:tab/>
      </w:r>
      <w:r w:rsidR="003D7E87">
        <w:fldChar w:fldCharType="begin"/>
      </w:r>
      <w:r>
        <w:instrText xml:space="preserve"> PAGEREF _Toc322691616 \h </w:instrText>
      </w:r>
      <w:r w:rsidR="003D7E87">
        <w:fldChar w:fldCharType="separate"/>
      </w:r>
      <w:r w:rsidR="008E7CC7">
        <w:t>33</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14</w:t>
      </w:r>
      <w:r>
        <w:rPr>
          <w:rFonts w:asciiTheme="minorHAnsi" w:eastAsiaTheme="minorEastAsia" w:hAnsiTheme="minorHAnsi" w:cstheme="minorBidi"/>
          <w:color w:val="auto"/>
          <w:sz w:val="22"/>
          <w:szCs w:val="22"/>
          <w:lang w:eastAsia="en-AU"/>
        </w:rPr>
        <w:tab/>
      </w:r>
      <w:r>
        <w:t>Activities of Y98 gappers who were not working, looking for work or studying full-time during their 2002 gap year</w:t>
      </w:r>
      <w:r>
        <w:tab/>
      </w:r>
      <w:r w:rsidR="003D7E87">
        <w:fldChar w:fldCharType="begin"/>
      </w:r>
      <w:r>
        <w:instrText xml:space="preserve"> PAGEREF _Toc322691617 \h </w:instrText>
      </w:r>
      <w:r w:rsidR="003D7E87">
        <w:fldChar w:fldCharType="separate"/>
      </w:r>
      <w:r w:rsidR="008E7CC7">
        <w:t>34</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15</w:t>
      </w:r>
      <w:r>
        <w:rPr>
          <w:rFonts w:asciiTheme="minorHAnsi" w:eastAsiaTheme="minorEastAsia" w:hAnsiTheme="minorHAnsi" w:cstheme="minorBidi"/>
          <w:color w:val="auto"/>
          <w:sz w:val="22"/>
          <w:szCs w:val="22"/>
          <w:lang w:eastAsia="en-AU"/>
        </w:rPr>
        <w:tab/>
      </w:r>
      <w:r>
        <w:t>University commencement, including gap status, by post-school intention for Y98 students</w:t>
      </w:r>
      <w:r>
        <w:tab/>
      </w:r>
      <w:r w:rsidR="003D7E87">
        <w:fldChar w:fldCharType="begin"/>
      </w:r>
      <w:r>
        <w:instrText xml:space="preserve"> PAGEREF _Toc322691618 \h </w:instrText>
      </w:r>
      <w:r w:rsidR="003D7E87">
        <w:fldChar w:fldCharType="separate"/>
      </w:r>
      <w:r w:rsidR="008E7CC7">
        <w:t>35</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rsidRPr="00DD7D08">
        <w:rPr>
          <w:lang w:val="en-US"/>
        </w:rPr>
        <w:t>16</w:t>
      </w:r>
      <w:r>
        <w:rPr>
          <w:rFonts w:asciiTheme="minorHAnsi" w:eastAsiaTheme="minorEastAsia" w:hAnsiTheme="minorHAnsi" w:cstheme="minorBidi"/>
          <w:color w:val="auto"/>
          <w:sz w:val="22"/>
          <w:szCs w:val="22"/>
          <w:lang w:eastAsia="en-AU"/>
        </w:rPr>
        <w:tab/>
      </w:r>
      <w:r w:rsidRPr="00DD7D08">
        <w:rPr>
          <w:lang w:val="en-US"/>
        </w:rPr>
        <w:t>Students’ status in their first higher education course, Y98 cohort</w:t>
      </w:r>
      <w:r>
        <w:tab/>
      </w:r>
      <w:r w:rsidR="003D7E87">
        <w:fldChar w:fldCharType="begin"/>
      </w:r>
      <w:r>
        <w:instrText xml:space="preserve"> PAGEREF _Toc322691619 \h </w:instrText>
      </w:r>
      <w:r w:rsidR="003D7E87">
        <w:fldChar w:fldCharType="separate"/>
      </w:r>
      <w:r w:rsidR="008E7CC7">
        <w:t>36</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17</w:t>
      </w:r>
      <w:r>
        <w:rPr>
          <w:rFonts w:asciiTheme="minorHAnsi" w:eastAsiaTheme="minorEastAsia" w:hAnsiTheme="minorHAnsi" w:cstheme="minorBidi"/>
          <w:color w:val="auto"/>
          <w:sz w:val="22"/>
          <w:szCs w:val="22"/>
          <w:lang w:eastAsia="en-AU"/>
        </w:rPr>
        <w:tab/>
      </w:r>
      <w:r>
        <w:t>Study status in 2007 by gap-taking status</w:t>
      </w:r>
      <w:r>
        <w:tab/>
      </w:r>
      <w:r w:rsidR="003D7E87">
        <w:fldChar w:fldCharType="begin"/>
      </w:r>
      <w:r>
        <w:instrText xml:space="preserve"> PAGEREF _Toc322691620 \h </w:instrText>
      </w:r>
      <w:r w:rsidR="003D7E87">
        <w:fldChar w:fldCharType="separate"/>
      </w:r>
      <w:r w:rsidR="008E7CC7">
        <w:t>37</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rsidRPr="00DD7D08">
        <w:rPr>
          <w:lang w:val="en-US"/>
        </w:rPr>
        <w:t>18</w:t>
      </w:r>
      <w:r>
        <w:rPr>
          <w:rFonts w:asciiTheme="minorHAnsi" w:eastAsiaTheme="minorEastAsia" w:hAnsiTheme="minorHAnsi" w:cstheme="minorBidi"/>
          <w:color w:val="auto"/>
          <w:sz w:val="22"/>
          <w:szCs w:val="22"/>
          <w:lang w:eastAsia="en-AU"/>
        </w:rPr>
        <w:tab/>
      </w:r>
      <w:r w:rsidRPr="00DD7D08">
        <w:rPr>
          <w:lang w:val="en-US"/>
        </w:rPr>
        <w:t>Study status by gap-taking and employment status for Y98 current students in 2007</w:t>
      </w:r>
      <w:r>
        <w:tab/>
      </w:r>
      <w:r w:rsidR="003D7E87">
        <w:fldChar w:fldCharType="begin"/>
      </w:r>
      <w:r>
        <w:instrText xml:space="preserve"> PAGEREF _Toc322691621 \h </w:instrText>
      </w:r>
      <w:r w:rsidR="003D7E87">
        <w:fldChar w:fldCharType="separate"/>
      </w:r>
      <w:r w:rsidR="008E7CC7">
        <w:t>38</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rsidRPr="00DD7D08">
        <w:rPr>
          <w:lang w:val="en-US"/>
        </w:rPr>
        <w:t>19</w:t>
      </w:r>
      <w:r>
        <w:rPr>
          <w:rFonts w:asciiTheme="minorHAnsi" w:eastAsiaTheme="minorEastAsia" w:hAnsiTheme="minorHAnsi" w:cstheme="minorBidi"/>
          <w:color w:val="auto"/>
          <w:sz w:val="22"/>
          <w:szCs w:val="22"/>
          <w:lang w:eastAsia="en-AU"/>
        </w:rPr>
        <w:tab/>
      </w:r>
      <w:r w:rsidRPr="00DD7D08">
        <w:rPr>
          <w:lang w:val="en-US"/>
        </w:rPr>
        <w:t>Labour force status and occupation by gap-taking status</w:t>
      </w:r>
      <w:r>
        <w:tab/>
      </w:r>
      <w:r w:rsidR="003D7E87">
        <w:fldChar w:fldCharType="begin"/>
      </w:r>
      <w:r>
        <w:instrText xml:space="preserve"> PAGEREF _Toc322691622 \h </w:instrText>
      </w:r>
      <w:r w:rsidR="003D7E87">
        <w:fldChar w:fldCharType="separate"/>
      </w:r>
      <w:r w:rsidR="008E7CC7">
        <w:t>39</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t>20</w:t>
      </w:r>
      <w:r>
        <w:rPr>
          <w:rFonts w:asciiTheme="minorHAnsi" w:eastAsiaTheme="minorEastAsia" w:hAnsiTheme="minorHAnsi" w:cstheme="minorBidi"/>
          <w:color w:val="auto"/>
          <w:sz w:val="22"/>
          <w:szCs w:val="22"/>
          <w:lang w:eastAsia="en-AU"/>
        </w:rPr>
        <w:tab/>
      </w:r>
      <w:r>
        <w:t>Annual earnings and weekly hours worked by gap-taking status</w:t>
      </w:r>
      <w:r>
        <w:tab/>
      </w:r>
      <w:r w:rsidR="003D7E87">
        <w:fldChar w:fldCharType="begin"/>
      </w:r>
      <w:r>
        <w:instrText xml:space="preserve"> PAGEREF _Toc322691623 \h </w:instrText>
      </w:r>
      <w:r w:rsidR="003D7E87">
        <w:fldChar w:fldCharType="separate"/>
      </w:r>
      <w:r w:rsidR="008E7CC7">
        <w:t>40</w:t>
      </w:r>
      <w:r w:rsidR="003D7E87">
        <w:fldChar w:fldCharType="end"/>
      </w:r>
    </w:p>
    <w:p w:rsidR="00374F9E" w:rsidRDefault="00374F9E" w:rsidP="00374F9E">
      <w:pPr>
        <w:pStyle w:val="TableofFigures"/>
        <w:tabs>
          <w:tab w:val="clear" w:pos="284"/>
          <w:tab w:val="left" w:pos="567"/>
          <w:tab w:val="left" w:pos="1100"/>
        </w:tabs>
        <w:ind w:left="567" w:hanging="567"/>
        <w:rPr>
          <w:rFonts w:asciiTheme="minorHAnsi" w:eastAsiaTheme="minorEastAsia" w:hAnsiTheme="minorHAnsi" w:cstheme="minorBidi"/>
          <w:color w:val="auto"/>
          <w:sz w:val="22"/>
          <w:szCs w:val="22"/>
          <w:lang w:eastAsia="en-AU"/>
        </w:rPr>
      </w:pPr>
      <w:r w:rsidRPr="00DD7D08">
        <w:rPr>
          <w:lang w:val="en-US"/>
        </w:rPr>
        <w:t>21</w:t>
      </w:r>
      <w:r>
        <w:rPr>
          <w:rFonts w:asciiTheme="minorHAnsi" w:eastAsiaTheme="minorEastAsia" w:hAnsiTheme="minorHAnsi" w:cstheme="minorBidi"/>
          <w:color w:val="auto"/>
          <w:sz w:val="22"/>
          <w:szCs w:val="22"/>
          <w:lang w:eastAsia="en-AU"/>
        </w:rPr>
        <w:tab/>
      </w:r>
      <w:r w:rsidRPr="00DD7D08">
        <w:rPr>
          <w:lang w:val="en-US"/>
        </w:rPr>
        <w:t>Factors influencing a successful labour market transition</w:t>
      </w:r>
      <w:r>
        <w:tab/>
      </w:r>
      <w:r w:rsidR="003D7E87">
        <w:fldChar w:fldCharType="begin"/>
      </w:r>
      <w:r>
        <w:instrText xml:space="preserve"> PAGEREF _Toc322691624 \h </w:instrText>
      </w:r>
      <w:r w:rsidR="003D7E87">
        <w:fldChar w:fldCharType="separate"/>
      </w:r>
      <w:r w:rsidR="008E7CC7">
        <w:t>41</w:t>
      </w:r>
      <w:r w:rsidR="003D7E87">
        <w:fldChar w:fldCharType="end"/>
      </w:r>
    </w:p>
    <w:p w:rsidR="00374F9E" w:rsidRDefault="00374F9E" w:rsidP="00374F9E">
      <w:pPr>
        <w:pStyle w:val="TableofFigures"/>
        <w:tabs>
          <w:tab w:val="clear" w:pos="284"/>
          <w:tab w:val="left" w:pos="567"/>
          <w:tab w:val="left" w:pos="1320"/>
        </w:tabs>
        <w:ind w:left="567" w:hanging="567"/>
        <w:rPr>
          <w:rFonts w:asciiTheme="minorHAnsi" w:eastAsiaTheme="minorEastAsia" w:hAnsiTheme="minorHAnsi" w:cstheme="minorBidi"/>
          <w:color w:val="auto"/>
          <w:sz w:val="22"/>
          <w:szCs w:val="22"/>
          <w:lang w:eastAsia="en-AU"/>
        </w:rPr>
      </w:pPr>
      <w:r>
        <w:t>A2.1</w:t>
      </w:r>
      <w:r>
        <w:rPr>
          <w:rFonts w:asciiTheme="minorHAnsi" w:eastAsiaTheme="minorEastAsia" w:hAnsiTheme="minorHAnsi" w:cstheme="minorBidi"/>
          <w:color w:val="auto"/>
          <w:sz w:val="22"/>
          <w:szCs w:val="22"/>
          <w:lang w:eastAsia="en-AU"/>
        </w:rPr>
        <w:tab/>
      </w:r>
      <w:r>
        <w:t>Gap year status and commencer status of domestic students commencing bachelor degree programs and below in 2004, by jurisdiction</w:t>
      </w:r>
      <w:r>
        <w:tab/>
      </w:r>
      <w:r w:rsidR="003D7E87">
        <w:fldChar w:fldCharType="begin"/>
      </w:r>
      <w:r>
        <w:instrText xml:space="preserve"> PAGEREF _Toc322691625 \h </w:instrText>
      </w:r>
      <w:r w:rsidR="003D7E87">
        <w:fldChar w:fldCharType="separate"/>
      </w:r>
      <w:r w:rsidR="008E7CC7">
        <w:t>52</w:t>
      </w:r>
      <w:r w:rsidR="003D7E87">
        <w:fldChar w:fldCharType="end"/>
      </w:r>
    </w:p>
    <w:p w:rsidR="00B70A39" w:rsidRDefault="00B70A39">
      <w:pPr>
        <w:spacing w:before="0" w:line="240" w:lineRule="auto"/>
        <w:rPr>
          <w:noProof/>
          <w:color w:val="000000"/>
          <w:szCs w:val="19"/>
        </w:rPr>
      </w:pPr>
      <w:r>
        <w:rPr>
          <w:noProof/>
        </w:rPr>
        <w:br w:type="page"/>
      </w:r>
    </w:p>
    <w:p w:rsidR="00374F9E" w:rsidRDefault="00374F9E" w:rsidP="00374F9E">
      <w:pPr>
        <w:pStyle w:val="TableofFigures"/>
        <w:tabs>
          <w:tab w:val="clear" w:pos="284"/>
          <w:tab w:val="left" w:pos="567"/>
          <w:tab w:val="left" w:pos="1320"/>
        </w:tabs>
        <w:ind w:left="567" w:hanging="567"/>
        <w:rPr>
          <w:rFonts w:asciiTheme="minorHAnsi" w:eastAsiaTheme="minorEastAsia" w:hAnsiTheme="minorHAnsi" w:cstheme="minorBidi"/>
          <w:color w:val="auto"/>
          <w:sz w:val="22"/>
          <w:szCs w:val="22"/>
          <w:lang w:eastAsia="en-AU"/>
        </w:rPr>
      </w:pPr>
      <w:r>
        <w:lastRenderedPageBreak/>
        <w:t>A2.2</w:t>
      </w:r>
      <w:r>
        <w:rPr>
          <w:rFonts w:asciiTheme="minorHAnsi" w:eastAsiaTheme="minorEastAsia" w:hAnsiTheme="minorHAnsi" w:cstheme="minorBidi"/>
          <w:color w:val="auto"/>
          <w:sz w:val="22"/>
          <w:szCs w:val="22"/>
          <w:lang w:eastAsia="en-AU"/>
        </w:rPr>
        <w:tab/>
      </w:r>
      <w:r>
        <w:t>Gap year status and commencer status of domestic students commencing bachelor degree programs and below in 2004, Group of Eight universities</w:t>
      </w:r>
      <w:r>
        <w:tab/>
      </w:r>
      <w:r w:rsidR="003D7E87">
        <w:fldChar w:fldCharType="begin"/>
      </w:r>
      <w:r>
        <w:instrText xml:space="preserve"> PAGEREF _Toc322691626 \h </w:instrText>
      </w:r>
      <w:r w:rsidR="003D7E87">
        <w:fldChar w:fldCharType="separate"/>
      </w:r>
      <w:r w:rsidR="008E7CC7">
        <w:t>53</w:t>
      </w:r>
      <w:r w:rsidR="003D7E87">
        <w:fldChar w:fldCharType="end"/>
      </w:r>
    </w:p>
    <w:p w:rsidR="00374F9E" w:rsidRDefault="00374F9E" w:rsidP="00374F9E">
      <w:pPr>
        <w:pStyle w:val="TableofFigures"/>
        <w:tabs>
          <w:tab w:val="clear" w:pos="284"/>
          <w:tab w:val="left" w:pos="567"/>
          <w:tab w:val="left" w:pos="1320"/>
        </w:tabs>
        <w:ind w:left="567" w:hanging="567"/>
        <w:rPr>
          <w:rFonts w:asciiTheme="minorHAnsi" w:eastAsiaTheme="minorEastAsia" w:hAnsiTheme="minorHAnsi" w:cstheme="minorBidi"/>
          <w:color w:val="auto"/>
          <w:sz w:val="22"/>
          <w:szCs w:val="22"/>
          <w:lang w:eastAsia="en-AU"/>
        </w:rPr>
      </w:pPr>
      <w:r>
        <w:t>A2.3</w:t>
      </w:r>
      <w:r>
        <w:rPr>
          <w:rFonts w:asciiTheme="minorHAnsi" w:eastAsiaTheme="minorEastAsia" w:hAnsiTheme="minorHAnsi" w:cstheme="minorBidi"/>
          <w:color w:val="auto"/>
          <w:sz w:val="22"/>
          <w:szCs w:val="22"/>
          <w:lang w:eastAsia="en-AU"/>
        </w:rPr>
        <w:tab/>
      </w:r>
      <w:r>
        <w:t xml:space="preserve">Correlations between variables </w:t>
      </w:r>
      <w:r w:rsidR="00B70A39">
        <w:t>used</w:t>
      </w:r>
      <w:r>
        <w:t xml:space="preserve"> in </w:t>
      </w:r>
      <w:r w:rsidR="00B70A39">
        <w:t xml:space="preserve">modelling </w:t>
      </w:r>
      <w:r>
        <w:t>gap-taking</w:t>
      </w:r>
      <w:r>
        <w:tab/>
      </w:r>
      <w:r w:rsidR="003D7E87">
        <w:fldChar w:fldCharType="begin"/>
      </w:r>
      <w:r>
        <w:instrText xml:space="preserve"> PAGEREF _Toc322691627 \h </w:instrText>
      </w:r>
      <w:r w:rsidR="003D7E87">
        <w:fldChar w:fldCharType="separate"/>
      </w:r>
      <w:r w:rsidR="008E7CC7">
        <w:t>54</w:t>
      </w:r>
      <w:r w:rsidR="003D7E87">
        <w:fldChar w:fldCharType="end"/>
      </w:r>
    </w:p>
    <w:p w:rsidR="00374F9E" w:rsidRDefault="00374F9E" w:rsidP="00374F9E">
      <w:pPr>
        <w:pStyle w:val="TableofFigures"/>
        <w:tabs>
          <w:tab w:val="clear" w:pos="284"/>
          <w:tab w:val="left" w:pos="567"/>
          <w:tab w:val="left" w:pos="1320"/>
        </w:tabs>
        <w:ind w:left="567" w:hanging="567"/>
        <w:rPr>
          <w:rFonts w:asciiTheme="minorHAnsi" w:eastAsiaTheme="minorEastAsia" w:hAnsiTheme="minorHAnsi" w:cstheme="minorBidi"/>
          <w:color w:val="auto"/>
          <w:sz w:val="22"/>
          <w:szCs w:val="22"/>
          <w:lang w:eastAsia="en-AU"/>
        </w:rPr>
      </w:pPr>
      <w:r>
        <w:t>A2.4</w:t>
      </w:r>
      <w:r>
        <w:rPr>
          <w:rFonts w:asciiTheme="minorHAnsi" w:eastAsiaTheme="minorEastAsia" w:hAnsiTheme="minorHAnsi" w:cstheme="minorBidi"/>
          <w:color w:val="auto"/>
          <w:sz w:val="22"/>
          <w:szCs w:val="22"/>
          <w:lang w:eastAsia="en-AU"/>
        </w:rPr>
        <w:tab/>
      </w:r>
      <w:r>
        <w:t>Correlations between variables entered in the exploration of labour market outcomes</w:t>
      </w:r>
      <w:r>
        <w:tab/>
      </w:r>
      <w:r w:rsidR="003D7E87">
        <w:fldChar w:fldCharType="begin"/>
      </w:r>
      <w:r>
        <w:instrText xml:space="preserve"> PAGEREF _Toc322691628 \h </w:instrText>
      </w:r>
      <w:r w:rsidR="003D7E87">
        <w:fldChar w:fldCharType="separate"/>
      </w:r>
      <w:r w:rsidR="008E7CC7">
        <w:t>55</w:t>
      </w:r>
      <w:r w:rsidR="003D7E87">
        <w:fldChar w:fldCharType="end"/>
      </w:r>
    </w:p>
    <w:p w:rsidR="00C925E9" w:rsidRDefault="003D7E87" w:rsidP="00374F9E">
      <w:pPr>
        <w:tabs>
          <w:tab w:val="left" w:pos="567"/>
        </w:tabs>
        <w:ind w:left="567" w:hanging="567"/>
        <w:sectPr w:rsidR="00C925E9">
          <w:footerReference w:type="even" r:id="rId14"/>
          <w:footerReference w:type="default" r:id="rId15"/>
          <w:pgSz w:w="11907" w:h="16840" w:code="9"/>
          <w:pgMar w:top="1440" w:right="1985" w:bottom="567" w:left="1418" w:header="720" w:footer="720" w:gutter="0"/>
          <w:cols w:space="720" w:equalWidth="0">
            <w:col w:w="8121"/>
          </w:cols>
        </w:sectPr>
      </w:pPr>
      <w:r>
        <w:rPr>
          <w:rFonts w:ascii="Garamond" w:hAnsi="Garamond"/>
          <w:sz w:val="22"/>
        </w:rPr>
        <w:fldChar w:fldCharType="end"/>
      </w:r>
    </w:p>
    <w:p w:rsidR="00C925E9" w:rsidRPr="006041EB" w:rsidRDefault="00C925E9" w:rsidP="00200C9F">
      <w:pPr>
        <w:pStyle w:val="Heading1"/>
      </w:pPr>
      <w:bookmarkStart w:id="13" w:name="_Toc323035580"/>
      <w:bookmarkEnd w:id="12"/>
      <w:r w:rsidRPr="006041EB">
        <w:lastRenderedPageBreak/>
        <w:t>Executive summary</w:t>
      </w:r>
      <w:bookmarkEnd w:id="13"/>
    </w:p>
    <w:p w:rsidR="00C925E9" w:rsidRDefault="00C925E9" w:rsidP="00200C9F">
      <w:pPr>
        <w:pStyle w:val="Heading2"/>
      </w:pPr>
      <w:bookmarkStart w:id="14" w:name="_Toc323035581"/>
      <w:r>
        <w:t>Definition</w:t>
      </w:r>
      <w:bookmarkEnd w:id="14"/>
    </w:p>
    <w:p w:rsidR="00C925E9" w:rsidRDefault="00C925E9" w:rsidP="00200C9F">
      <w:pPr>
        <w:pStyle w:val="Text"/>
      </w:pPr>
      <w:r>
        <w:t xml:space="preserve">A ‘gap year’ is a period of time taken out of formal education or between completing </w:t>
      </w:r>
      <w:r w:rsidRPr="00252E1C">
        <w:t>a</w:t>
      </w:r>
      <w:r w:rsidR="00252E1C">
        <w:t xml:space="preserve"> qualification</w:t>
      </w:r>
      <w:r>
        <w:t xml:space="preserve"> and seeking work. In this report, we restrict our analysis to young people who delay university enrolment for one or two years after completing Year 12 at school. We do not consider those people who, having commenced a university course, take time out from their </w:t>
      </w:r>
      <w:r w:rsidRPr="006E50C0">
        <w:t>study.</w:t>
      </w:r>
    </w:p>
    <w:p w:rsidR="00C925E9" w:rsidRDefault="00C925E9" w:rsidP="00200C9F">
      <w:pPr>
        <w:pStyle w:val="Text"/>
      </w:pPr>
      <w:r>
        <w:t>The concept of a gap year is related to deferral but it is not the same. While some gap-takers have deferred a university offer, others may make the decision to enrol after working or travelling. The decision to enrol may be a result of their gap year experience. Also, some deferrers are not counted as gappers because they do not take up their deferred university place.</w:t>
      </w:r>
    </w:p>
    <w:p w:rsidR="00C925E9" w:rsidRDefault="00C925E9" w:rsidP="00200C9F">
      <w:pPr>
        <w:pStyle w:val="Text"/>
      </w:pPr>
      <w:r>
        <w:t>Gap-taking has become more common in recent years but little is known about the characteristics of those who take gap years or their reasons for doing so.</w:t>
      </w:r>
    </w:p>
    <w:p w:rsidR="00C925E9" w:rsidRDefault="00C925E9" w:rsidP="00200C9F">
      <w:pPr>
        <w:pStyle w:val="Text"/>
      </w:pPr>
      <w:r>
        <w:t>In the United Kingdom and Canada, gap-takers undertake a range of activities that can include work, volunteering or travel</w:t>
      </w:r>
      <w:r w:rsidR="00B70A39">
        <w:t xml:space="preserve"> </w:t>
      </w:r>
      <w:r>
        <w:t>—</w:t>
      </w:r>
      <w:r w:rsidR="00B70A39">
        <w:t xml:space="preserve"> </w:t>
      </w:r>
      <w:r>
        <w:t>and often combine these activities</w:t>
      </w:r>
      <w:r w:rsidRPr="00940F61">
        <w:t xml:space="preserve">. </w:t>
      </w:r>
      <w:r>
        <w:t xml:space="preserve">Gaining a better understanding of the incidence of gap-taking in </w:t>
      </w:r>
      <w:smartTag w:uri="urn:schemas-microsoft-com:office:smarttags" w:element="place">
        <w:smartTag w:uri="urn:schemas-microsoft-com:office:smarttags" w:element="country-region">
          <w:r>
            <w:t>Australia</w:t>
          </w:r>
        </w:smartTag>
      </w:smartTag>
      <w:r>
        <w:t>, the characteristics of gappers, their reasons for gap-taking, and the activities that they undertake during their gap years are the main purposes of this report.</w:t>
      </w:r>
    </w:p>
    <w:p w:rsidR="00C925E9" w:rsidRDefault="00C925E9" w:rsidP="00200C9F">
      <w:pPr>
        <w:pStyle w:val="Text"/>
      </w:pPr>
      <w:r>
        <w:t>Gap-takers may benefit from the diversity of their gap year experiences. They may develop organisational skills and become more motivated to pursue their chosen courses and careers. If they do, they may be more successful in their courses and, if the diversity of their gap year experience is valued by prospective employers, they may gain employment advantages.</w:t>
      </w:r>
    </w:p>
    <w:p w:rsidR="00C925E9" w:rsidRDefault="00C925E9" w:rsidP="00200C9F">
      <w:pPr>
        <w:pStyle w:val="Heading2"/>
      </w:pPr>
      <w:bookmarkStart w:id="15" w:name="_Toc323035582"/>
      <w:r>
        <w:t>Approach</w:t>
      </w:r>
      <w:bookmarkEnd w:id="15"/>
    </w:p>
    <w:p w:rsidR="00C925E9" w:rsidRDefault="00C925E9" w:rsidP="00200C9F">
      <w:pPr>
        <w:pStyle w:val="Text"/>
      </w:pPr>
      <w:r>
        <w:t>This report uses data on three cohorts of young people from the Longitudinal Surveys of Australian Youth (LSAY). We use cohorts of students in Year 9 at school in 1995 (the Y95 cohort), students in Year 9 at school in 1998 (the Y98 cohort) and students who were 15 years old and at school in 2003 (the Y03 cohort). Annual interview data to 2006 were used for the Y95 cohort, and up to and including 2007 for the Y98 and Y03 cohorts.</w:t>
      </w:r>
      <w:r>
        <w:rPr>
          <w:rStyle w:val="FootnoteReference"/>
        </w:rPr>
        <w:footnoteReference w:id="1"/>
      </w:r>
    </w:p>
    <w:p w:rsidR="00C925E9" w:rsidRDefault="00C925E9" w:rsidP="00200C9F">
      <w:pPr>
        <w:pStyle w:val="Text"/>
      </w:pPr>
      <w:r>
        <w:t xml:space="preserve">After an introduction that examines literature on gap-taking in </w:t>
      </w:r>
      <w:smartTag w:uri="urn:schemas-microsoft-com:office:smarttags" w:element="place">
        <w:smartTag w:uri="urn:schemas-microsoft-com:office:smarttags" w:element="country-region">
          <w:r>
            <w:t>Australia</w:t>
          </w:r>
        </w:smartTag>
      </w:smartTag>
      <w:r>
        <w:t xml:space="preserve"> and overseas, the following questions were framed to provide detailed information on gap-taking and to structure the report.</w:t>
      </w:r>
    </w:p>
    <w:p w:rsidR="00C925E9" w:rsidRDefault="00C925E9" w:rsidP="00200C9F">
      <w:pPr>
        <w:pStyle w:val="Dotpoint1"/>
      </w:pPr>
      <w:r>
        <w:t>What is the incidence of gap-taking over the period from 1999 to the present and what are the characteristics of those who take gap years compared with those who do not?</w:t>
      </w:r>
    </w:p>
    <w:p w:rsidR="00C925E9" w:rsidRDefault="00C925E9" w:rsidP="00200C9F">
      <w:pPr>
        <w:pStyle w:val="Dotpoint1"/>
      </w:pPr>
      <w:r>
        <w:t>What reasons do young people give for taking gap years?</w:t>
      </w:r>
    </w:p>
    <w:p w:rsidR="00C925E9" w:rsidRDefault="00C925E9" w:rsidP="00200C9F">
      <w:pPr>
        <w:pStyle w:val="Dotpoint1"/>
      </w:pPr>
      <w:r>
        <w:lastRenderedPageBreak/>
        <w:t>What activities; for example, work, other study, travel, or volunteering, do young people undertake during a gap year?</w:t>
      </w:r>
    </w:p>
    <w:p w:rsidR="00C925E9" w:rsidRDefault="00C925E9" w:rsidP="00200C9F">
      <w:pPr>
        <w:pStyle w:val="Dotpoint1"/>
      </w:pPr>
      <w:r>
        <w:t>What is the influence of gap-taking on subsequent university course progress?</w:t>
      </w:r>
    </w:p>
    <w:p w:rsidR="00C925E9" w:rsidRDefault="00C925E9" w:rsidP="00200C9F">
      <w:pPr>
        <w:pStyle w:val="Dotpoint1"/>
      </w:pPr>
      <w:r>
        <w:t>What is the influence of gap-taking on labour market outcomes?</w:t>
      </w:r>
    </w:p>
    <w:p w:rsidR="00C925E9" w:rsidRDefault="00C925E9" w:rsidP="00200C9F">
      <w:pPr>
        <w:pStyle w:val="Heading2"/>
      </w:pPr>
      <w:bookmarkStart w:id="16" w:name="_Toc323035583"/>
      <w:r>
        <w:t>The incidence of gap-taking</w:t>
      </w:r>
      <w:bookmarkEnd w:id="16"/>
    </w:p>
    <w:p w:rsidR="00C925E9" w:rsidRPr="00D879E7" w:rsidRDefault="00C925E9" w:rsidP="00200C9F">
      <w:pPr>
        <w:pStyle w:val="Text"/>
      </w:pPr>
      <w:r>
        <w:t xml:space="preserve">The incidence of gap-taking has increased over recent years. Using LSAY data, we find that 10% of Y95 school completers, 16% of Y98 school completers and at least 16% of Y03 school completers took gaps of one or two years. The most recent figure is an interim estimate and </w:t>
      </w:r>
      <w:r w:rsidR="00301248">
        <w:t>is expected to</w:t>
      </w:r>
      <w:r>
        <w:t xml:space="preserve"> increase as some gap-taking students from that cohort enter university in 2008 and 2009.</w:t>
      </w:r>
    </w:p>
    <w:p w:rsidR="00C925E9" w:rsidRDefault="00C925E9" w:rsidP="00200C9F">
      <w:pPr>
        <w:pStyle w:val="Heading2"/>
      </w:pPr>
      <w:bookmarkStart w:id="17" w:name="_Toc323035584"/>
      <w:r>
        <w:t>Characteristics of gap-takers</w:t>
      </w:r>
      <w:bookmarkEnd w:id="17"/>
    </w:p>
    <w:p w:rsidR="00C925E9" w:rsidRDefault="00C925E9" w:rsidP="00200C9F">
      <w:pPr>
        <w:pStyle w:val="Text"/>
      </w:pPr>
      <w:r>
        <w:t xml:space="preserve">Gap-takers are likely to have lower-than-average tertiary entrance rank (TER) scores and lower-than-average Year 9 mathematics achievement. They are also more likely than non-gappers to have somewhat unfavourable attitudes towards schooling. Students who received Youth Allowance payments while at school (and who were from low-socioeconomic status families) were less likely to take a gap </w:t>
      </w:r>
      <w:r w:rsidR="00301248">
        <w:t xml:space="preserve">year </w:t>
      </w:r>
      <w:r>
        <w:t xml:space="preserve">than students who did not receive this allowance while at school. Students from regional locations were more likely than those from metropolitan locations to take a gap year. Gappers are also more likely to be from an English speaking home background. </w:t>
      </w:r>
    </w:p>
    <w:p w:rsidR="00C925E9" w:rsidRDefault="00C925E9" w:rsidP="00200C9F">
      <w:pPr>
        <w:pStyle w:val="Text"/>
      </w:pPr>
      <w:r>
        <w:t>Coming from a regional location appears to exert a stronger influence on gap-taking than being a low achiever or being in a sufficiently low socioeconomic status category to have received Youth Allowance while at school.</w:t>
      </w:r>
    </w:p>
    <w:p w:rsidR="00C925E9" w:rsidRDefault="00C925E9" w:rsidP="00200C9F">
      <w:pPr>
        <w:pStyle w:val="Text"/>
      </w:pPr>
      <w:r>
        <w:t xml:space="preserve">Overseas, gap-taking is found to be more common among young women and among those who attended private schools. We do not find a relationship between gender or school sector and gap-taking in </w:t>
      </w:r>
      <w:smartTag w:uri="urn:schemas-microsoft-com:office:smarttags" w:element="place">
        <w:smartTag w:uri="urn:schemas-microsoft-com:office:smarttags" w:element="country-region">
          <w:r>
            <w:t>Australia</w:t>
          </w:r>
        </w:smartTag>
      </w:smartTag>
      <w:r>
        <w:t>.</w:t>
      </w:r>
    </w:p>
    <w:p w:rsidR="00C925E9" w:rsidRDefault="00C925E9" w:rsidP="00200C9F">
      <w:pPr>
        <w:pStyle w:val="Heading2"/>
      </w:pPr>
      <w:bookmarkStart w:id="18" w:name="_Toc323035585"/>
      <w:r>
        <w:t>Reasons for deferring</w:t>
      </w:r>
      <w:bookmarkEnd w:id="18"/>
    </w:p>
    <w:p w:rsidR="00C925E9" w:rsidRDefault="00C925E9" w:rsidP="00200C9F">
      <w:pPr>
        <w:pStyle w:val="Text"/>
      </w:pPr>
      <w:r>
        <w:t xml:space="preserve">Deferring after being offered a university place is much less common than taking a gap and applying for university entry during the gap. </w:t>
      </w:r>
      <w:r>
        <w:rPr>
          <w:lang w:val="en-US"/>
        </w:rPr>
        <w:t>Approximately three-quarters of those individuals who defer university entry take up those courses.</w:t>
      </w:r>
    </w:p>
    <w:p w:rsidR="00C925E9" w:rsidRDefault="00C925E9" w:rsidP="00200C9F">
      <w:pPr>
        <w:pStyle w:val="Text"/>
      </w:pPr>
      <w:r>
        <w:t>The most common reasons for deferring are to ‘take a break’ or to work. Few of those who say they are ‘taking a break’ travel during the break. Some gappers who travel may be missed in the survey, so the estimate of numbers travelling may be low.</w:t>
      </w:r>
    </w:p>
    <w:p w:rsidR="00C925E9" w:rsidRDefault="00C925E9" w:rsidP="00200C9F">
      <w:pPr>
        <w:pStyle w:val="Text"/>
      </w:pPr>
      <w:r>
        <w:t>Intending to qualify for Youth Allowance is not a frequently stated reason for deferring, but wanting to work is a relatively common reason for doing so. Qualifying for Youth Allowance may, of course, be an incidental outcome of the decision to work.</w:t>
      </w:r>
    </w:p>
    <w:p w:rsidR="00374F9E" w:rsidRDefault="00374F9E">
      <w:pPr>
        <w:spacing w:before="0" w:line="240" w:lineRule="auto"/>
        <w:rPr>
          <w:rFonts w:ascii="Tahoma" w:hAnsi="Tahoma" w:cs="Tahoma"/>
          <w:sz w:val="28"/>
        </w:rPr>
      </w:pPr>
      <w:r>
        <w:br w:type="page"/>
      </w:r>
    </w:p>
    <w:p w:rsidR="00C925E9" w:rsidRDefault="00C925E9" w:rsidP="00200C9F">
      <w:pPr>
        <w:pStyle w:val="Heading2"/>
      </w:pPr>
      <w:bookmarkStart w:id="19" w:name="_Toc323035586"/>
      <w:r>
        <w:lastRenderedPageBreak/>
        <w:t>Gap year activities</w:t>
      </w:r>
      <w:bookmarkEnd w:id="19"/>
    </w:p>
    <w:p w:rsidR="00C925E9" w:rsidRDefault="00C925E9" w:rsidP="00200C9F">
      <w:pPr>
        <w:pStyle w:val="Text"/>
      </w:pPr>
      <w:r>
        <w:t>The most common activities of Australian gap year students are work (40%) and study or training (33%), while the activities of one-fifth of gappers are unknown. Only 3% of Australian gap year students report travel as their main activity. This is much lower than the incidence of travel reported for students in the United Kingdom.</w:t>
      </w:r>
    </w:p>
    <w:p w:rsidR="00C925E9" w:rsidRDefault="00C925E9" w:rsidP="00200C9F">
      <w:pPr>
        <w:pStyle w:val="Heading2"/>
      </w:pPr>
      <w:bookmarkStart w:id="20" w:name="_Toc323035587"/>
      <w:r>
        <w:t>Gap-taking and eligibility for Youth Allowance</w:t>
      </w:r>
      <w:bookmarkEnd w:id="20"/>
    </w:p>
    <w:p w:rsidR="00C925E9" w:rsidRDefault="00C925E9" w:rsidP="00200C9F">
      <w:pPr>
        <w:pStyle w:val="Text"/>
      </w:pPr>
      <w:r>
        <w:t xml:space="preserve">Gap-taking leads to increased access to Youth Allowance payments among Y98 students. The probability of receiving Youth Allowance payments increases after taking a gap year. The likelihood of a high-socioeconomic status student gaining access to Youth Allowance payments improves relative to a low-socioeconomic status student, following a gap year. The LSAY data have allowed us to explore the possibility that working during a gap year and earning more than </w:t>
      </w:r>
      <w:r w:rsidR="002C5091">
        <w:t>the relevant income threshold for independent status</w:t>
      </w:r>
      <w:r>
        <w:t xml:space="preserve"> has enabled some gappers to qualify for the Youth Allowance scheme as independent students</w:t>
      </w:r>
      <w:r w:rsidR="00CE5022">
        <w:t>.</w:t>
      </w:r>
      <w:r>
        <w:t xml:space="preserve"> </w:t>
      </w:r>
      <w:r w:rsidR="00C850E2">
        <w:t>In fact, 15%</w:t>
      </w:r>
      <w:r>
        <w:t xml:space="preserve"> of gappers </w:t>
      </w:r>
      <w:r w:rsidR="00C850E2">
        <w:t xml:space="preserve">in this study </w:t>
      </w:r>
      <w:r>
        <w:t xml:space="preserve">earn more than $18 500 </w:t>
      </w:r>
      <w:r w:rsidRPr="001D656B">
        <w:t>in a gap year</w:t>
      </w:r>
      <w:r w:rsidR="00CE5022">
        <w:t>, based on eligibility criteria in 2007–08.</w:t>
      </w:r>
    </w:p>
    <w:p w:rsidR="00C925E9" w:rsidRDefault="00C925E9" w:rsidP="00200C9F">
      <w:pPr>
        <w:pStyle w:val="Text"/>
      </w:pPr>
      <w:r>
        <w:t xml:space="preserve">Across all cohorts, twice as many high-socioeconomic status as low-socioeconomic status students commence university courses. This greater proportion of the former attending university and the increase in the likelihood of qualifying for Youth Allowance after taking a gap year results in a greater number of high-socioeconomic status university students receiving Youth Allowance compared with </w:t>
      </w:r>
      <w:r w:rsidR="00252E1C">
        <w:t>low-socioeconomic status students.</w:t>
      </w:r>
    </w:p>
    <w:p w:rsidR="00C925E9" w:rsidRDefault="00C925E9" w:rsidP="00200C9F">
      <w:pPr>
        <w:pStyle w:val="Heading2"/>
      </w:pPr>
      <w:bookmarkStart w:id="21" w:name="_Toc323035588"/>
      <w:r>
        <w:t>Course progress following a gap year</w:t>
      </w:r>
      <w:bookmarkEnd w:id="21"/>
    </w:p>
    <w:p w:rsidR="00C925E9" w:rsidRDefault="00C925E9" w:rsidP="00200C9F">
      <w:pPr>
        <w:pStyle w:val="Text"/>
      </w:pPr>
      <w:r>
        <w:t>We find no difference in course change or attrition between gappers and non-gappers in the Y98 cohort examined when they were aged around 23 years. Three per cent of both groups left their first course to do another, while approximately 8% dropped out of their courses.</w:t>
      </w:r>
    </w:p>
    <w:p w:rsidR="00C925E9" w:rsidRDefault="00C925E9" w:rsidP="00200C9F">
      <w:pPr>
        <w:pStyle w:val="Text"/>
      </w:pPr>
      <w:r>
        <w:t xml:space="preserve">The main difference between gappers and non-gappers is the proportions who have completed their first course. Seventy-one per cent of non-gappers have completed compared with 59% of gappers. Ten per cent of non-gappers and 20% of gappers are still studying. </w:t>
      </w:r>
    </w:p>
    <w:p w:rsidR="00C925E9" w:rsidRDefault="00C925E9" w:rsidP="00200C9F">
      <w:pPr>
        <w:pStyle w:val="Heading2"/>
      </w:pPr>
      <w:bookmarkStart w:id="22" w:name="_Toc323035589"/>
      <w:r>
        <w:t>Labour market outcomes for gap-takers</w:t>
      </w:r>
      <w:bookmarkEnd w:id="22"/>
    </w:p>
    <w:p w:rsidR="00C925E9" w:rsidRDefault="00C925E9" w:rsidP="00200C9F">
      <w:pPr>
        <w:pStyle w:val="Text"/>
      </w:pPr>
      <w:r>
        <w:t>The labour market outcomes for members of the Y98 cohort at age 23 are examined.</w:t>
      </w:r>
    </w:p>
    <w:p w:rsidR="00C925E9" w:rsidRDefault="00C925E9" w:rsidP="00200C9F">
      <w:pPr>
        <w:pStyle w:val="Text"/>
      </w:pPr>
      <w:r>
        <w:t>At this age, non-gappers have higher earnings and work more hours per week than gappers. Non-gappers are also much more likely to work in professional and associate professional occupations, while gappers are more likely to be in the trades and advanced and intermediate clerical occupations.</w:t>
      </w:r>
    </w:p>
    <w:p w:rsidR="00C925E9" w:rsidRDefault="00C925E9" w:rsidP="00200C9F">
      <w:pPr>
        <w:pStyle w:val="Text"/>
      </w:pPr>
      <w:r>
        <w:t>About 90% of both gappers and non-gappers are employed, but 65% of non-gappers and just over half (53%) of gappers are employed on a full-time basis.</w:t>
      </w:r>
    </w:p>
    <w:p w:rsidR="00C925E9" w:rsidRDefault="00C925E9" w:rsidP="00200C9F">
      <w:pPr>
        <w:pStyle w:val="Text"/>
      </w:pPr>
      <w:r>
        <w:t>Non-gappers are more likely than gappers to earn more than $40 000 per year.</w:t>
      </w:r>
    </w:p>
    <w:p w:rsidR="00C925E9" w:rsidRDefault="00C925E9" w:rsidP="00200C9F">
      <w:pPr>
        <w:pStyle w:val="Text"/>
      </w:pPr>
      <w:r>
        <w:t xml:space="preserve">Differences in employment status and earnings may have little to do with gap-taking behaviour. Instead, it seems likely that differences in individuals’ characteristics and their associated </w:t>
      </w:r>
      <w:r>
        <w:lastRenderedPageBreak/>
        <w:t xml:space="preserve">course choices influence employment status at 23 years of age. Course choices are related to the occupations that graduates intend to pursue; employment outcomes, including earnings, in turn are associated with those occupations. In short, there appears to be a </w:t>
      </w:r>
      <w:r w:rsidRPr="00C75A3C">
        <w:t>chain of influences</w:t>
      </w:r>
      <w:r>
        <w:t>, beginning with achievement and other student characteristics and ending with employment status and earnings, and gap-taking may be an incidental event in this chain.</w:t>
      </w:r>
    </w:p>
    <w:p w:rsidR="00C925E9" w:rsidRDefault="00C925E9" w:rsidP="00200C9F">
      <w:pPr>
        <w:pStyle w:val="Heading1"/>
      </w:pPr>
      <w:r>
        <w:br w:type="page"/>
      </w:r>
      <w:bookmarkStart w:id="23" w:name="_Toc323035590"/>
      <w:r>
        <w:lastRenderedPageBreak/>
        <w:t>Introduction</w:t>
      </w:r>
      <w:bookmarkEnd w:id="23"/>
    </w:p>
    <w:p w:rsidR="00C925E9" w:rsidRDefault="00C925E9" w:rsidP="00200C9F">
      <w:pPr>
        <w:pStyle w:val="Heading2"/>
      </w:pPr>
      <w:bookmarkStart w:id="24" w:name="_Toc323035591"/>
      <w:r>
        <w:t>Definition</w:t>
      </w:r>
      <w:bookmarkEnd w:id="24"/>
    </w:p>
    <w:p w:rsidR="00C925E9" w:rsidRDefault="00C925E9" w:rsidP="00200C9F">
      <w:pPr>
        <w:pStyle w:val="Text"/>
      </w:pPr>
      <w:r>
        <w:t>A ‘gap year’ is a period of time, most often one year, taken out of formal education and training programs or work. A gap year usually occurs at a transition point; for example, between the completion of schooling and the commencement of a post-school study program. It may also occur during a course or between completing a qualification and commencing paid work.</w:t>
      </w:r>
    </w:p>
    <w:p w:rsidR="00C925E9" w:rsidRDefault="00C925E9" w:rsidP="00200C9F">
      <w:pPr>
        <w:pStyle w:val="Text"/>
      </w:pPr>
      <w:r>
        <w:t>This report is restricted to gap years taken between the completion of Year 12 at school and the commencement of a university degree course. We refer to the young people who take a gap year between Year 12 and university as ‘gappers’ and to those who move directly from school to university as ‘non-gappers’.</w:t>
      </w:r>
    </w:p>
    <w:p w:rsidR="00C925E9" w:rsidRDefault="00C925E9" w:rsidP="00200C9F">
      <w:pPr>
        <w:pStyle w:val="Text"/>
      </w:pPr>
      <w:r>
        <w:t>We include only those who have taken gaps of one or two years, but acknowledge that some people enrol at university many years after completing their schooling. We exclude the longer intermissions because entrants after these periods are likely to be admitted to university on bases other than Year 12 results.</w:t>
      </w:r>
    </w:p>
    <w:p w:rsidR="00C925E9" w:rsidRDefault="00C925E9" w:rsidP="00200C9F">
      <w:pPr>
        <w:pStyle w:val="Text"/>
      </w:pPr>
      <w:r>
        <w:t xml:space="preserve">Gap-taking is a growing practice in some other countries and appears to be increasing in </w:t>
      </w:r>
      <w:smartTag w:uri="urn:schemas-microsoft-com:office:smarttags" w:element="place">
        <w:smartTag w:uri="urn:schemas-microsoft-com:office:smarttags" w:element="country-region">
          <w:r>
            <w:t>Australia</w:t>
          </w:r>
        </w:smartTag>
      </w:smartTag>
      <w:r>
        <w:t xml:space="preserve">. We are interested in quantifying this practice in </w:t>
      </w:r>
      <w:smartTag w:uri="urn:schemas-microsoft-com:office:smarttags" w:element="place">
        <w:smartTag w:uri="urn:schemas-microsoft-com:office:smarttags" w:element="country-region">
          <w:r>
            <w:t>Australia</w:t>
          </w:r>
        </w:smartTag>
      </w:smartTag>
      <w:r>
        <w:t xml:space="preserve"> and in understanding the characteristics of gappers and the influence of gap-taking on study programs and on transition to the labour market.</w:t>
      </w:r>
    </w:p>
    <w:p w:rsidR="00C925E9" w:rsidRDefault="00C925E9" w:rsidP="00200C9F">
      <w:pPr>
        <w:pStyle w:val="Text"/>
      </w:pPr>
      <w:r>
        <w:t>We use data from the Longitudinal Surveys of Australian Youth (LSAY) to find out which students take gap years, why they take a study gap, and whether taking a gap influences study and later labour market outcomes.</w:t>
      </w:r>
    </w:p>
    <w:p w:rsidR="00C925E9" w:rsidRDefault="00C925E9" w:rsidP="00200C9F">
      <w:pPr>
        <w:pStyle w:val="Heading2"/>
      </w:pPr>
      <w:bookmarkStart w:id="25" w:name="_Toc323035592"/>
      <w:r>
        <w:t>What does other research tell us about gap-taking?</w:t>
      </w:r>
      <w:bookmarkEnd w:id="25"/>
    </w:p>
    <w:p w:rsidR="00C925E9" w:rsidRDefault="00C925E9" w:rsidP="00200C9F">
      <w:pPr>
        <w:pStyle w:val="Text"/>
      </w:pPr>
      <w:r>
        <w:t xml:space="preserve">The ‘gap year’ is a little-researched phenomenon, especially in </w:t>
      </w:r>
      <w:smartTag w:uri="urn:schemas-microsoft-com:office:smarttags" w:element="place">
        <w:smartTag w:uri="urn:schemas-microsoft-com:office:smarttags" w:element="country-region">
          <w:r>
            <w:t>Australia</w:t>
          </w:r>
        </w:smartTag>
      </w:smartTag>
      <w:r>
        <w:t>. We first look to overseas research, then contrast the Australian context with the situation described overseas, before reviewing Australian research on gap-taking.</w:t>
      </w:r>
    </w:p>
    <w:p w:rsidR="00C925E9" w:rsidRDefault="00C925E9" w:rsidP="00200C9F">
      <w:pPr>
        <w:pStyle w:val="Heading2"/>
      </w:pPr>
      <w:bookmarkStart w:id="26" w:name="_Toc323035593"/>
      <w:r>
        <w:t>Gap-taking experience overseas</w:t>
      </w:r>
      <w:bookmarkEnd w:id="26"/>
    </w:p>
    <w:p w:rsidR="00C925E9" w:rsidRDefault="00C925E9" w:rsidP="00200C9F">
      <w:pPr>
        <w:pStyle w:val="Text"/>
      </w:pPr>
      <w:r>
        <w:t xml:space="preserve">Diverse definitions of gap years are used. For example, Jones (2004, p.22), reviewing the situation in the UK, defines the gap year as ‘a period of time between 3 and 24 months taken out of education or a work career’. For people aged between 16 and 25 years this includes breaks from schooling, university study or work, in addition to breaks between completing school and commencing a university course. Hango and de Broucker (2007), describing the Canadian situation, accept breaks in study by 18 to 20-year-olds between high school and college of as little as three months as ‘gaps’. The Canadian definition is sensible in that context, as there </w:t>
      </w:r>
      <w:r w:rsidRPr="00447DD6">
        <w:t>is a short break between one academic year and the next.</w:t>
      </w:r>
      <w:r>
        <w:t xml:space="preserve"> Using this definition, all Australian university commencers would be gappers, because the break between completing secondary school and commencing university study is from early November to early March</w:t>
      </w:r>
      <w:r w:rsidR="003546FA">
        <w:t xml:space="preserve"> </w:t>
      </w:r>
      <w:r>
        <w:t>—</w:t>
      </w:r>
      <w:r w:rsidR="003546FA">
        <w:t xml:space="preserve"> </w:t>
      </w:r>
      <w:r>
        <w:t>a four-month break.</w:t>
      </w:r>
    </w:p>
    <w:p w:rsidR="00C925E9" w:rsidRDefault="00C925E9" w:rsidP="00200C9F">
      <w:pPr>
        <w:pStyle w:val="Text"/>
      </w:pPr>
      <w:r>
        <w:lastRenderedPageBreak/>
        <w:t>Hango and de Broucker (2007) find that fewer than 3% of young people take study breaks, even though they accept very short breaks as gap-taking. Their report, however, covers a very short time span for college or university commencers</w:t>
      </w:r>
      <w:r w:rsidR="00B70A39">
        <w:t xml:space="preserve"> </w:t>
      </w:r>
      <w:r>
        <w:t>—</w:t>
      </w:r>
      <w:r w:rsidR="00B70A39">
        <w:t xml:space="preserve"> </w:t>
      </w:r>
      <w:r>
        <w:t>between the ages of 18 and 20 years</w:t>
      </w:r>
      <w:r w:rsidR="00B70A39">
        <w:t xml:space="preserve"> </w:t>
      </w:r>
      <w:r>
        <w:t>—</w:t>
      </w:r>
      <w:r w:rsidR="00B70A39">
        <w:t xml:space="preserve"> </w:t>
      </w:r>
      <w:r>
        <w:t>so students who take longer gaps are not identified in their study as higher education commencers.</w:t>
      </w:r>
    </w:p>
    <w:p w:rsidR="00C925E9" w:rsidRDefault="00C925E9" w:rsidP="00200C9F">
      <w:pPr>
        <w:pStyle w:val="Text"/>
      </w:pPr>
      <w:r>
        <w:t xml:space="preserve">There are contextual differences between </w:t>
      </w:r>
      <w:smartTag w:uri="urn:schemas-microsoft-com:office:smarttags" w:element="place">
        <w:smartTag w:uri="urn:schemas-microsoft-com:office:smarttags" w:element="country-region">
          <w:r>
            <w:t>Australia</w:t>
          </w:r>
        </w:smartTag>
      </w:smartTag>
      <w:r>
        <w:t xml:space="preserve"> and other countries. First, the labour market differs between </w:t>
      </w:r>
      <w:smartTag w:uri="urn:schemas-microsoft-com:office:smarttags" w:element="place">
        <w:smartTag w:uri="urn:schemas-microsoft-com:office:smarttags" w:element="country-region">
          <w:r>
            <w:t>Australia</w:t>
          </w:r>
        </w:smartTag>
      </w:smartTag>
      <w:r>
        <w:t xml:space="preserve"> and other countries and this difference has two facets: the opportunity for part-time work while studying; and the tendency for young people to defer post-school study and take available work.</w:t>
      </w:r>
    </w:p>
    <w:p w:rsidR="00C925E9" w:rsidRDefault="00C925E9" w:rsidP="00200C9F">
      <w:pPr>
        <w:pStyle w:val="Text"/>
      </w:pPr>
      <w:r>
        <w:t xml:space="preserve">Many Australian students work part-time while studying. This may reduce the need for them to take a gap and work to accrue funds in order to support their living expenses while studying. Jones (2004) notes that some </w:t>
      </w:r>
      <w:smartTag w:uri="urn:schemas-microsoft-com:office:smarttags" w:element="place">
        <w:smartTag w:uri="urn:schemas-microsoft-com:office:smarttags" w:element="country-region">
          <w:r>
            <w:t>UK</w:t>
          </w:r>
        </w:smartTag>
      </w:smartTag>
      <w:r>
        <w:t xml:space="preserve"> students seek work for part of their gap year in order to fund the activities in the remainder of it, while other students take gap years in order to accumulate funds to support their later study. If work becomes less readily available, gap-taking may decline, especially among those seeking to fund travel or volunteering.</w:t>
      </w:r>
    </w:p>
    <w:p w:rsidR="00C925E9" w:rsidRDefault="00C925E9" w:rsidP="00200C9F">
      <w:pPr>
        <w:pStyle w:val="Text"/>
      </w:pPr>
      <w:r>
        <w:t xml:space="preserve">In </w:t>
      </w:r>
      <w:smartTag w:uri="urn:schemas-microsoft-com:office:smarttags" w:element="place">
        <w:smartTag w:uri="urn:schemas-microsoft-com:office:smarttags" w:element="country-region">
          <w:r>
            <w:t>Australia</w:t>
          </w:r>
        </w:smartTag>
      </w:smartTag>
      <w:r>
        <w:t>, there has been a long-term trend towards higher levels of university participation. Superimposed on this trend is a reduction in the demand associated with recent labour market buoyancy, as some young people choose to enter the workforce and defer post-school study. Gap-taking would be reduced directly as a consequence of any reduction in university demand. It could increase among those who do plan to enter university while work opportunities are available to build funding reserves. The research evidence on gap-taking is meagre and certainly inadequate for exploring relationships between labour market conditions and gap-taking behaviours.</w:t>
      </w:r>
    </w:p>
    <w:p w:rsidR="00C925E9" w:rsidRDefault="00C925E9" w:rsidP="00200C9F">
      <w:pPr>
        <w:pStyle w:val="Text"/>
      </w:pPr>
      <w:r>
        <w:t xml:space="preserve">The fee structure for higher education provides a second contextual difference between </w:t>
      </w:r>
      <w:smartTag w:uri="urn:schemas-microsoft-com:office:smarttags" w:element="place">
        <w:smartTag w:uri="urn:schemas-microsoft-com:office:smarttags" w:element="country-region">
          <w:r>
            <w:t>Australia</w:t>
          </w:r>
        </w:smartTag>
      </w:smartTag>
      <w:r>
        <w:t xml:space="preserve"> and other countries. Income-contingent loans for higher education are available in Australia. In addition, Australian students may qualify for a means-tested Youth Allowance payment while they are full-time university students living with low-income parents or if they have established themselves as living independently in the 18 months a</w:t>
      </w:r>
      <w:r w:rsidRPr="002162D6">
        <w:t>fter le</w:t>
      </w:r>
      <w:r w:rsidR="00E81BB0" w:rsidRPr="002162D6">
        <w:t>aving school</w:t>
      </w:r>
      <w:r w:rsidRPr="002162D6">
        <w:t>.</w:t>
      </w:r>
      <w:r w:rsidR="00742974">
        <w:rPr>
          <w:rStyle w:val="FootnoteReference"/>
        </w:rPr>
        <w:footnoteReference w:id="2"/>
      </w:r>
      <w:r>
        <w:t xml:space="preserve"> Supplementary tuition fees have been introduced for higher education in the UK</w:t>
      </w:r>
      <w:r>
        <w:rPr>
          <w:rStyle w:val="FootnoteReference"/>
        </w:rPr>
        <w:footnoteReference w:id="3"/>
      </w:r>
      <w:r>
        <w:t xml:space="preserve"> and this may increase the likelihood of gap-taking for the purpose of building reserves in order to pay tuition and living expenses. The most recent information on gap-taking in the </w:t>
      </w:r>
      <w:smartTag w:uri="urn:schemas-microsoft-com:office:smarttags" w:element="place">
        <w:smartTag w:uri="urn:schemas-microsoft-com:office:smarttags" w:element="country-region">
          <w:r>
            <w:t>UK</w:t>
          </w:r>
        </w:smartTag>
      </w:smartTag>
      <w:r>
        <w:t xml:space="preserve"> precedes the introduction of supplementary tuition fees there.</w:t>
      </w:r>
    </w:p>
    <w:p w:rsidR="00C925E9" w:rsidRDefault="00C925E9" w:rsidP="00200C9F">
      <w:pPr>
        <w:pStyle w:val="Heading2"/>
      </w:pPr>
      <w:bookmarkStart w:id="27" w:name="_Toc323035594"/>
      <w:r>
        <w:t>The Australian experience</w:t>
      </w:r>
      <w:bookmarkEnd w:id="27"/>
    </w:p>
    <w:p w:rsidR="00C925E9" w:rsidRDefault="00C925E9" w:rsidP="00200C9F">
      <w:pPr>
        <w:pStyle w:val="Text"/>
      </w:pPr>
      <w:r>
        <w:t xml:space="preserve">Birch and Miller (2007) investigate the incidence of gap-taking among students who enrolled at the University of Western Australia between 2002 and 2004. They find that 6.3% of entrants had taken a gap of one year (and that fewer, 0.5%, had taken longer gaps). This rate of gap-taking is substantially lower than we find (16% for the Y03 cohort, see table 1). The University of Western Australia is a high-status institution and likely to attract a higher proportion of first-preference </w:t>
      </w:r>
      <w:r>
        <w:lastRenderedPageBreak/>
        <w:t>applicants compared with many other institutions. First-preference applicants are less likely than those offered lower preference places to defer their enrolment.</w:t>
      </w:r>
    </w:p>
    <w:p w:rsidR="00C925E9" w:rsidRDefault="00C925E9" w:rsidP="00200C9F">
      <w:pPr>
        <w:pStyle w:val="Text"/>
      </w:pPr>
      <w:r>
        <w:t>The Birch and Miller (2007) review of Australian research on gap-taking goes back to the 1970s. Some of these studies look at deferral within individual institutions or within single disciplines (see, for example, Stehlik 2008; Wright et al. 1996). A common finding is that students with lower tertiary entrance scores and those offered lower preference courses</w:t>
      </w:r>
      <w:r w:rsidRPr="006368CD">
        <w:t xml:space="preserve"> </w:t>
      </w:r>
      <w:r>
        <w:t>are more likely than others to defer (Linke, Barton &amp; Cannon 1985). Students from non-metropolitan locations are also more likely than metropolitan students to take a gap year (Krause et al. 2005). Hillman (2005) makes a similar finding for students who take time out of a university course already commenced. Some definitions of gap-taking include mid-course intermissions. Krause et al. attribute the higher incidence of gap-taking among non-metropolitan students to their need to work in order to fund the anticipated accommodation costs associated with their courses.</w:t>
      </w:r>
    </w:p>
    <w:p w:rsidR="00C925E9" w:rsidRDefault="00C925E9" w:rsidP="00200C9F">
      <w:pPr>
        <w:pStyle w:val="Text"/>
      </w:pPr>
      <w:r>
        <w:t>From their modelling, Birch and Miller (2007) find that students from non-metropolitan locations, with English speaking backgrounds, with low tertiary entrance scores and low-preference offers are more likely than comparison groups to take a gap year. People with a disability were also more likely to take a gap year (Birch &amp; Miller 2007, p.335).</w:t>
      </w:r>
    </w:p>
    <w:p w:rsidR="00C925E9" w:rsidRDefault="00C925E9" w:rsidP="00200C9F">
      <w:pPr>
        <w:pStyle w:val="Text"/>
      </w:pPr>
      <w:r>
        <w:t xml:space="preserve">Lane (2008) suggests that gap-taking in </w:t>
      </w:r>
      <w:smartTag w:uri="urn:schemas-microsoft-com:office:smarttags" w:element="place">
        <w:smartTag w:uri="urn:schemas-microsoft-com:office:smarttags" w:element="country-region">
          <w:r>
            <w:t>Australia</w:t>
          </w:r>
        </w:smartTag>
      </w:smartTag>
      <w:r>
        <w:t xml:space="preserve"> is influenced by the availability of Youth Allowance payments and the Youth Allowance workforce independence criteria. Lane contends that, while the original purpose of the Youth Allowance scheme was to </w:t>
      </w:r>
      <w:r w:rsidR="00742974">
        <w:t>reduce</w:t>
      </w:r>
      <w:r>
        <w:t xml:space="preserve"> a barrier to higher education participation among low-socioeconomic status young people, more students now qualify for the Youth Allowance through their independent status than through their means-tested family incomes. The suggestion is that students from affluent backgrounds establish their independent status during a gap year and use this status to qualify for Youth Allowance payments. Lane’s assertions are plausible but warrant closer examination. He uses the postcodes of individuals to draw inferences about the socioeconomic status of Youth Allowance recipients. He suggests that more people from advantaged backgrounds than from low socioeconomic circumstances benefit from the scheme. He does not take into account the relative proportions of young people from various socioeconomic backgrounds who enter higher education. A more nuanced analysis is required using data in which individual socioeconomic status measures are available. We present analyses of LSAY data to contribute to debate on this topic.</w:t>
      </w:r>
    </w:p>
    <w:p w:rsidR="00C925E9" w:rsidRDefault="00C925E9" w:rsidP="00200C9F">
      <w:pPr>
        <w:pStyle w:val="Heading2"/>
      </w:pPr>
      <w:bookmarkStart w:id="28" w:name="_Toc323035595"/>
      <w:r>
        <w:t>How common is gap-taking?</w:t>
      </w:r>
      <w:bookmarkEnd w:id="28"/>
    </w:p>
    <w:p w:rsidR="00C925E9" w:rsidRDefault="00C925E9" w:rsidP="00200C9F">
      <w:pPr>
        <w:pStyle w:val="Text"/>
      </w:pPr>
      <w:r>
        <w:t>In Australia, Lamb (2001) finds that, of the 43% of young people who completed tertiary education in the early 1990s, 9% were gappers and 45% were non-gappers who completed their studies and commenced full-time work. He reports that the balance (46%) of those in tertiary education had more complex pathways that included combinations of part-time study and work, with breaks from both. Birch and Miller (2007) report a 6% gap-taking rate between 2002 and 2004, but their study is restricted to one university.</w:t>
      </w:r>
    </w:p>
    <w:p w:rsidR="00C925E9" w:rsidRDefault="00C925E9" w:rsidP="00200C9F">
      <w:pPr>
        <w:pStyle w:val="Text"/>
      </w:pPr>
      <w:r>
        <w:t xml:space="preserve">The number of young people taking gap years in the </w:t>
      </w:r>
      <w:smartTag w:uri="urn:schemas-microsoft-com:office:smarttags" w:element="place">
        <w:smartTag w:uri="urn:schemas-microsoft-com:office:smarttags" w:element="country-region">
          <w:r>
            <w:t>UK</w:t>
          </w:r>
        </w:smartTag>
      </w:smartTag>
      <w:r>
        <w:t xml:space="preserve"> has been growing. Indeed, a growth industry has developed to encourage young people to take a gap year and to support them in their chosen activities. The industry includes volunteer organisations and travel companies as well as brokers who organise gap year packages that include work, volunteering within the </w:t>
      </w:r>
      <w:smartTag w:uri="urn:schemas-microsoft-com:office:smarttags" w:element="place">
        <w:smartTag w:uri="urn:schemas-microsoft-com:office:smarttags" w:element="country-region">
          <w:r>
            <w:t>UK</w:t>
          </w:r>
        </w:smartTag>
      </w:smartTag>
      <w:r>
        <w:t xml:space="preserve"> and abroad, and travel arrangements. Jones (2004) finds that over 30 000 secondary students </w:t>
      </w:r>
      <w:r>
        <w:lastRenderedPageBreak/>
        <w:t xml:space="preserve">apply for a university course but then defer. He suggests this is an underestimate of total gap-taking, because, through interviews with gap year participants, he finds that many applied for university admission during, rather than before, their gap year. Heath (2005) agrees that about 30 000 students deferred university entry in the </w:t>
      </w:r>
      <w:smartTag w:uri="urn:schemas-microsoft-com:office:smarttags" w:element="place">
        <w:smartTag w:uri="urn:schemas-microsoft-com:office:smarttags" w:element="country-region">
          <w:r>
            <w:t>UK</w:t>
          </w:r>
        </w:smartTag>
      </w:smartTag>
      <w:r>
        <w:t xml:space="preserve"> in 2004 but finds that a further 15 000 applied for a university course during their gap year, taking the total number of gappers to 45 000 or 11% of university entrants. Thus, in the </w:t>
      </w:r>
      <w:smartTag w:uri="urn:schemas-microsoft-com:office:smarttags" w:element="place">
        <w:smartTag w:uri="urn:schemas-microsoft-com:office:smarttags" w:element="country-region">
          <w:r>
            <w:t>UK</w:t>
          </w:r>
        </w:smartTag>
      </w:smartTag>
      <w:r>
        <w:t>, deferrals account for two-thirds of all gap-takers.</w:t>
      </w:r>
    </w:p>
    <w:p w:rsidR="00C925E9" w:rsidRDefault="00C925E9" w:rsidP="00200C9F">
      <w:pPr>
        <w:pStyle w:val="Text"/>
      </w:pPr>
      <w:r>
        <w:t>Lamb (2001), Jones (2004), Heath (2005) and Hillman (2005) use a different definition of gap-takers from that used in this report, while Birch and Miller (2007) use a similar one but restrict their analysis to one-year gappers. We define gappers as those who enter university following gaps of one or two years after completing Year 12. Lamb included more complex paths, while Jones focused on students who had applied for university places during their final school year and then deferred. Heath extended Jones’s definition by accepting those who applied for university courses during their first year out of school. We consider these students to be one-year gappers. Hillman compared enrolled university students who took an intermission from their studies.</w:t>
      </w:r>
    </w:p>
    <w:p w:rsidR="00C925E9" w:rsidRDefault="00C925E9" w:rsidP="00200C9F">
      <w:pPr>
        <w:pStyle w:val="Heading2"/>
      </w:pPr>
      <w:bookmarkStart w:id="29" w:name="_Toc323035596"/>
      <w:r>
        <w:t>Who take gap years?</w:t>
      </w:r>
      <w:bookmarkEnd w:id="29"/>
    </w:p>
    <w:p w:rsidR="00C925E9" w:rsidRDefault="00C925E9" w:rsidP="00200C9F">
      <w:pPr>
        <w:pStyle w:val="Text"/>
      </w:pPr>
      <w:bookmarkStart w:id="30" w:name="OLE_LINK1"/>
      <w:bookmarkStart w:id="31" w:name="OLE_LINK2"/>
      <w:r>
        <w:t xml:space="preserve">Jones (2004) finds that the ‘typical’ gap-taker is most likely to be a young woman with a private school education and from an affluent family. He finds that, while these characteristics remain common among gap-takers in the </w:t>
      </w:r>
      <w:smartTag w:uri="urn:schemas-microsoft-com:office:smarttags" w:element="place">
        <w:smartTag w:uri="urn:schemas-microsoft-com:office:smarttags" w:element="country-region">
          <w:r>
            <w:t>UK</w:t>
          </w:r>
        </w:smartTag>
      </w:smartTag>
      <w:r>
        <w:t>, the increasing frequency of gap-taking is associated with greater demographic diversity in the gap-taking group. He reports that students from minority groups and those from state schools are more likely now than in the past to take a gap year. In Canada, Hango and de Broucker (2007) find t</w:t>
      </w:r>
      <w:bookmarkEnd w:id="30"/>
      <w:bookmarkEnd w:id="31"/>
      <w:r>
        <w:t>hat females are more likely than males to take time out between school and higher education. They report that low-achieving students are more likely to take study gaps than higher achieving students. Students who undertake part-time work while at school are also more likely than those who do not work to take an intermission between school and post-school study.</w:t>
      </w:r>
    </w:p>
    <w:p w:rsidR="00C925E9" w:rsidRDefault="00C925E9" w:rsidP="00200C9F">
      <w:pPr>
        <w:pStyle w:val="Text"/>
      </w:pPr>
      <w:r>
        <w:t>In Australia, Birch and Miller (2007) report that, based on simple descriptive statistics, females are slightly more likely than males to take gap years, but when all influences are considered together, there is no significant relationship between gender and gap-taking. They do find that low-achieving students, students offered low-preference courses and students from English speaking home backgrounds are more likely than comparison groups to take gaps between completing school and commencing university.</w:t>
      </w:r>
    </w:p>
    <w:p w:rsidR="00C925E9" w:rsidRDefault="00C925E9" w:rsidP="00200C9F">
      <w:pPr>
        <w:pStyle w:val="Text"/>
      </w:pPr>
      <w:r>
        <w:t>Stehlik (2008) reports that approximately one-quarter of recent Year 12 completers from one South Australian private school took a gap year. He warns, however, that the school is not representative of all schools and students. Some of the reasons given by students for taking a gap year include undertaking voluntary church, community and youth work, and he argues that the strong religious ethos of the school is reflected in the reasons given for taking a gap year.</w:t>
      </w:r>
    </w:p>
    <w:p w:rsidR="00C925E9" w:rsidRDefault="00C925E9" w:rsidP="00200C9F">
      <w:pPr>
        <w:pStyle w:val="Text"/>
      </w:pPr>
      <w:r>
        <w:t xml:space="preserve">Gap-taking varies by discipline. Stehlik (2008) cites a survey undertaken in one faculty of the University of South Australia, which shows that education (7%) and social work (8%) courses have low proportions of gap-takers, while communication courses have a high percentage (18%). It </w:t>
      </w:r>
      <w:r>
        <w:lastRenderedPageBreak/>
        <w:t>also indicates that 13.7% of all entrants had taken a gap year and that 16.6% were mature-age or transfer students, which suggests that 69% were direct Year 12 entrants.</w:t>
      </w:r>
    </w:p>
    <w:p w:rsidR="00C925E9" w:rsidRDefault="00C925E9" w:rsidP="00200C9F">
      <w:pPr>
        <w:pStyle w:val="Heading2"/>
      </w:pPr>
      <w:bookmarkStart w:id="32" w:name="_Toc323035597"/>
      <w:r>
        <w:t>What activities do gappers undertake?</w:t>
      </w:r>
      <w:bookmarkEnd w:id="32"/>
    </w:p>
    <w:p w:rsidR="00C925E9" w:rsidRDefault="00C925E9" w:rsidP="00200C9F">
      <w:pPr>
        <w:pStyle w:val="Text"/>
      </w:pPr>
      <w:r>
        <w:t xml:space="preserve">In the </w:t>
      </w:r>
      <w:smartTag w:uri="urn:schemas-microsoft-com:office:smarttags" w:element="place">
        <w:smartTag w:uri="urn:schemas-microsoft-com:office:smarttags" w:element="country-region">
          <w:r>
            <w:t>UK</w:t>
          </w:r>
        </w:smartTag>
      </w:smartTag>
      <w:r>
        <w:t>, the most common gap year activities are study, travel, volunteering and work (Jones 2004; Heath 2005). Each of these activities may be undertaken for diverse reasons. Individuals may work in order to earn enough money to support later gap year activities, to provide for their proposed study, or to build a resumé in preparation for a planned career. Volunteering may occur within a local community in order to engage in civic activities or may occur in an overseas location, in which case travel and volunteering are combined.</w:t>
      </w:r>
    </w:p>
    <w:p w:rsidR="00C925E9" w:rsidRDefault="00C925E9" w:rsidP="00200C9F">
      <w:pPr>
        <w:pStyle w:val="Heading2"/>
      </w:pPr>
      <w:bookmarkStart w:id="33" w:name="_Toc323035598"/>
      <w:r>
        <w:t>What advantages accrue from the gap year experience?</w:t>
      </w:r>
      <w:bookmarkEnd w:id="33"/>
    </w:p>
    <w:p w:rsidR="00C925E9" w:rsidRDefault="00C925E9" w:rsidP="00200C9F">
      <w:pPr>
        <w:pStyle w:val="Text"/>
      </w:pPr>
      <w:r>
        <w:t xml:space="preserve">Both public and private benefits accrue to gap-taking, depending on the activities pursued. Volunteering is a public good and contributes to civic engagement (UK </w:t>
      </w:r>
      <w:r w:rsidRPr="00DB2FAC">
        <w:t>D</w:t>
      </w:r>
      <w:r>
        <w:t>epartment for Education and Skills 2005 cited in</w:t>
      </w:r>
      <w:r w:rsidRPr="00605F26">
        <w:t xml:space="preserve"> </w:t>
      </w:r>
      <w:r>
        <w:t>Heath 2005). Private benefits from work and volunteering during a gap year include the development of the ‘soft skills’ of communication, interpersonal understanding, organisation and leadership. There is undoubtedly some public benefit from a greater stock of these desired generic employability skills, and their value is recognised by employers when recruiting higher education graduates. Thus gap-takers who work or volunteer gain a private benefit (Jones 2004). Other benefits from gap-taking include higher grades in courses through clearer career goals and greater self-discipline in study (Jones 2004; Stehlik 2008). McMillan (2005) finds that gappers are less likely than non-gappers to change courses, although they are equally likely to withdraw from their courses.</w:t>
      </w:r>
    </w:p>
    <w:p w:rsidR="00C925E9" w:rsidRDefault="00C925E9" w:rsidP="00200C9F">
      <w:pPr>
        <w:pStyle w:val="Heading2"/>
      </w:pPr>
      <w:bookmarkStart w:id="34" w:name="_Toc323035599"/>
      <w:r>
        <w:t>Does gap-taking influence later labour market outcomes?</w:t>
      </w:r>
      <w:bookmarkEnd w:id="34"/>
    </w:p>
    <w:p w:rsidR="00C925E9" w:rsidRDefault="00C925E9" w:rsidP="00200C9F">
      <w:pPr>
        <w:pStyle w:val="Text"/>
      </w:pPr>
      <w:r>
        <w:t>As with other aspects of gap year research, the evidence on labour market outcomes is very limited. Jones (2004) finds that employers value the soft skills of graduates who had taken a gap year. He also notes that non-graduates who had similarly diverse experiences did not seem to gain the same recognition for them. In Canada, Hango and de Broucker (2007) report that all graduates</w:t>
      </w:r>
      <w:r w:rsidR="00B70A39">
        <w:t xml:space="preserve"> </w:t>
      </w:r>
      <w:r>
        <w:t>—</w:t>
      </w:r>
      <w:r w:rsidR="00B70A39">
        <w:t xml:space="preserve"> </w:t>
      </w:r>
      <w:r>
        <w:t>gappers and non-gappers</w:t>
      </w:r>
      <w:r w:rsidR="00B70A39">
        <w:t xml:space="preserve"> </w:t>
      </w:r>
      <w:r>
        <w:t>—</w:t>
      </w:r>
      <w:r w:rsidR="00B70A39">
        <w:t xml:space="preserve"> </w:t>
      </w:r>
      <w:r>
        <w:t>do quite well in gaining employment, with over 80% in employment. But Lamb (2001) finds that Australian gappers earned significantly less than non-gappers. Lamb’s findings suggest that, despite employers’ apparent high esteem of the gap year experience, gap-taking delays transition into the labour market. The observed lower earnings are consistent with gappers being at an earlier stage in their transitions than non-gappers.</w:t>
      </w:r>
    </w:p>
    <w:p w:rsidR="00C925E9" w:rsidRDefault="00C925E9" w:rsidP="00200C9F">
      <w:pPr>
        <w:pStyle w:val="Text"/>
      </w:pPr>
      <w:r>
        <w:t>People who take time out between high school and college but then drop out do have lower earnings than those who moved directly into the labour market (Hango &amp; de Broucker 2007). This is not surprising, as the time spent in study that did not yield a qualification has reduced their labour market experience compared with those who moved into and remained in the labour market. This is consistent with the experiences of all non-completers of education and training qualifications (Curtis 2008).</w:t>
      </w:r>
    </w:p>
    <w:p w:rsidR="00C925E9" w:rsidRDefault="00C925E9" w:rsidP="00200C9F">
      <w:pPr>
        <w:pStyle w:val="Heading2"/>
      </w:pPr>
      <w:bookmarkStart w:id="35" w:name="_Toc323035600"/>
      <w:r>
        <w:lastRenderedPageBreak/>
        <w:t>Is gap-taking beneficial?</w:t>
      </w:r>
      <w:bookmarkEnd w:id="35"/>
    </w:p>
    <w:p w:rsidR="00C925E9" w:rsidRDefault="00C925E9" w:rsidP="00200C9F">
      <w:pPr>
        <w:pStyle w:val="Text"/>
      </w:pPr>
      <w:r>
        <w:t>Taking a gap year can be beneficial. It seems that some students use the time out of study to refine their career plans and through work or volunteering develop generic skills (Jones 2004). When they do begin their courses, having clearer goals motivates them to study, and their generic skills enable them to organise their time effectively (McMillan 2005). But time away from study delays graduation and transition to the workforce. What is not clear from the available evidence is whether there is a net benefit to gap-taking and if so, for whom.</w:t>
      </w:r>
    </w:p>
    <w:p w:rsidR="00C925E9" w:rsidRDefault="00C925E9" w:rsidP="00200C9F">
      <w:pPr>
        <w:pStyle w:val="Heading2"/>
      </w:pPr>
      <w:bookmarkStart w:id="36" w:name="_Toc323035601"/>
      <w:r>
        <w:t>What</w:t>
      </w:r>
      <w:r w:rsidR="003546FA">
        <w:t xml:space="preserve"> do administrative data tell us</w:t>
      </w:r>
      <w:r>
        <w:t xml:space="preserve"> about gap-taking in Australia?</w:t>
      </w:r>
      <w:bookmarkEnd w:id="36"/>
    </w:p>
    <w:p w:rsidR="00C925E9" w:rsidRDefault="00C925E9" w:rsidP="00200C9F">
      <w:pPr>
        <w:pStyle w:val="Text"/>
      </w:pPr>
      <w:r>
        <w:t>We use higher education statistics provided by the Department of Education, Employment and Workplace Relations to estimate the recent incidence of gap-taking in Australia. The proportion of young people taking a gap of one year has been relatively stable, at about 9% of all university entrants over the period 2001 to 2004 (see table 1).</w:t>
      </w:r>
      <w:r>
        <w:rPr>
          <w:rStyle w:val="FootnoteReference"/>
        </w:rPr>
        <w:footnoteReference w:id="4"/>
      </w:r>
      <w:r>
        <w:t xml:space="preserve"> Given that school leavers who have not completed a qualification higher than Year 12 constitute just less than 60% of all those commencing a domestic bachelor degree or below, one-year gappers make up about 16% of school leaver commencers over the period 2001 to 2004 (see table 2). This proportion has been stable over that period.</w:t>
      </w:r>
    </w:p>
    <w:p w:rsidR="00101785" w:rsidRPr="00101785" w:rsidRDefault="00101785" w:rsidP="00101785">
      <w:pPr>
        <w:pStyle w:val="tabletitle"/>
      </w:pPr>
      <w:bookmarkStart w:id="37" w:name="_Toc322691604"/>
      <w:r w:rsidRPr="00101785">
        <w:t>Table 1</w:t>
      </w:r>
      <w:r w:rsidRPr="00101785">
        <w:tab/>
        <w:t>Gap year status and commencer status of domestic students commencing bachelor degree programs and below,</w:t>
      </w:r>
      <w:r w:rsidRPr="00101785">
        <w:rPr>
          <w:vertAlign w:val="superscript"/>
        </w:rPr>
        <w:t>a</w:t>
      </w:r>
      <w:r w:rsidRPr="00101785">
        <w:t xml:space="preserve"> 2001–04, Australia (%)</w:t>
      </w:r>
      <w:bookmarkEnd w:id="37"/>
    </w:p>
    <w:tbl>
      <w:tblPr>
        <w:tblW w:w="0" w:type="auto"/>
        <w:jc w:val="center"/>
        <w:tblLayout w:type="fixed"/>
        <w:tblLook w:val="0000"/>
      </w:tblPr>
      <w:tblGrid>
        <w:gridCol w:w="1985"/>
        <w:gridCol w:w="2268"/>
        <w:gridCol w:w="1021"/>
        <w:gridCol w:w="1021"/>
        <w:gridCol w:w="1021"/>
        <w:gridCol w:w="1021"/>
      </w:tblGrid>
      <w:tr w:rsidR="00101785" w:rsidRPr="00101785" w:rsidTr="00101785">
        <w:trPr>
          <w:trHeight w:val="225"/>
          <w:jc w:val="center"/>
        </w:trPr>
        <w:tc>
          <w:tcPr>
            <w:tcW w:w="1985" w:type="dxa"/>
            <w:tcBorders>
              <w:top w:val="single" w:sz="4" w:space="0" w:color="auto"/>
              <w:left w:val="nil"/>
              <w:right w:val="nil"/>
            </w:tcBorders>
          </w:tcPr>
          <w:p w:rsidR="00101785" w:rsidRPr="00101785" w:rsidRDefault="00101785" w:rsidP="00101785">
            <w:pPr>
              <w:pStyle w:val="Tablehead1"/>
            </w:pPr>
            <w:r w:rsidRPr="00101785">
              <w:t>Commencing status</w:t>
            </w:r>
          </w:p>
        </w:tc>
        <w:tc>
          <w:tcPr>
            <w:tcW w:w="2268" w:type="dxa"/>
            <w:vMerge w:val="restart"/>
            <w:tcBorders>
              <w:top w:val="single" w:sz="4" w:space="0" w:color="auto"/>
              <w:left w:val="nil"/>
              <w:right w:val="nil"/>
            </w:tcBorders>
            <w:shd w:val="clear" w:color="auto" w:fill="auto"/>
            <w:noWrap/>
          </w:tcPr>
          <w:p w:rsidR="00101785" w:rsidRPr="00101785" w:rsidRDefault="00101785" w:rsidP="00101785">
            <w:pPr>
              <w:pStyle w:val="Tablehead1"/>
            </w:pPr>
            <w:r w:rsidRPr="00101785">
              <w:t>Gap-taking status and basis for admission</w:t>
            </w:r>
          </w:p>
        </w:tc>
        <w:tc>
          <w:tcPr>
            <w:tcW w:w="4084" w:type="dxa"/>
            <w:gridSpan w:val="4"/>
            <w:tcBorders>
              <w:top w:val="single" w:sz="4" w:space="0" w:color="auto"/>
              <w:left w:val="nil"/>
              <w:right w:val="nil"/>
            </w:tcBorders>
            <w:shd w:val="clear" w:color="auto" w:fill="auto"/>
            <w:noWrap/>
          </w:tcPr>
          <w:p w:rsidR="00101785" w:rsidRPr="00101785" w:rsidRDefault="00101785" w:rsidP="002E6BE2">
            <w:pPr>
              <w:pStyle w:val="Tablehead1"/>
              <w:ind w:right="272"/>
              <w:jc w:val="right"/>
            </w:pPr>
            <w:r w:rsidRPr="00101785">
              <w:t>Year of admission to degree course</w:t>
            </w:r>
          </w:p>
        </w:tc>
      </w:tr>
      <w:tr w:rsidR="00101785" w:rsidRPr="00101785" w:rsidTr="00101785">
        <w:trPr>
          <w:trHeight w:val="225"/>
          <w:jc w:val="center"/>
        </w:trPr>
        <w:tc>
          <w:tcPr>
            <w:tcW w:w="1985" w:type="dxa"/>
            <w:tcBorders>
              <w:left w:val="nil"/>
              <w:bottom w:val="single" w:sz="4" w:space="0" w:color="auto"/>
              <w:right w:val="nil"/>
            </w:tcBorders>
          </w:tcPr>
          <w:p w:rsidR="00101785" w:rsidRPr="00101785" w:rsidRDefault="00101785" w:rsidP="00101785">
            <w:pPr>
              <w:pStyle w:val="Tabletext"/>
            </w:pPr>
          </w:p>
        </w:tc>
        <w:tc>
          <w:tcPr>
            <w:tcW w:w="2268" w:type="dxa"/>
            <w:vMerge/>
            <w:tcBorders>
              <w:left w:val="nil"/>
              <w:bottom w:val="single" w:sz="4" w:space="0" w:color="auto"/>
              <w:right w:val="nil"/>
            </w:tcBorders>
            <w:shd w:val="clear" w:color="auto" w:fill="auto"/>
            <w:noWrap/>
            <w:vAlign w:val="bottom"/>
          </w:tcPr>
          <w:p w:rsidR="00101785" w:rsidRPr="00101785" w:rsidRDefault="00101785" w:rsidP="00101785">
            <w:pPr>
              <w:pStyle w:val="Tabletext"/>
            </w:pPr>
          </w:p>
        </w:tc>
        <w:tc>
          <w:tcPr>
            <w:tcW w:w="1021" w:type="dxa"/>
            <w:tcBorders>
              <w:left w:val="nil"/>
              <w:bottom w:val="single" w:sz="4" w:space="0" w:color="auto"/>
              <w:right w:val="nil"/>
            </w:tcBorders>
            <w:shd w:val="clear" w:color="auto" w:fill="auto"/>
            <w:noWrap/>
            <w:vAlign w:val="bottom"/>
          </w:tcPr>
          <w:p w:rsidR="00101785" w:rsidRPr="00101785" w:rsidRDefault="00101785" w:rsidP="00C14A54">
            <w:pPr>
              <w:pStyle w:val="Tablehead2"/>
              <w:jc w:val="right"/>
            </w:pPr>
            <w:r w:rsidRPr="00101785">
              <w:t>2001</w:t>
            </w:r>
          </w:p>
        </w:tc>
        <w:tc>
          <w:tcPr>
            <w:tcW w:w="1021" w:type="dxa"/>
            <w:tcBorders>
              <w:left w:val="nil"/>
              <w:bottom w:val="single" w:sz="4" w:space="0" w:color="auto"/>
              <w:right w:val="nil"/>
            </w:tcBorders>
            <w:shd w:val="clear" w:color="auto" w:fill="auto"/>
            <w:noWrap/>
            <w:vAlign w:val="bottom"/>
          </w:tcPr>
          <w:p w:rsidR="00101785" w:rsidRPr="00101785" w:rsidRDefault="00101785" w:rsidP="00C14A54">
            <w:pPr>
              <w:pStyle w:val="Tablehead2"/>
              <w:jc w:val="right"/>
            </w:pPr>
            <w:r w:rsidRPr="00101785">
              <w:t>2002</w:t>
            </w:r>
          </w:p>
        </w:tc>
        <w:tc>
          <w:tcPr>
            <w:tcW w:w="1021" w:type="dxa"/>
            <w:tcBorders>
              <w:left w:val="nil"/>
              <w:bottom w:val="single" w:sz="4" w:space="0" w:color="auto"/>
              <w:right w:val="nil"/>
            </w:tcBorders>
            <w:shd w:val="clear" w:color="auto" w:fill="auto"/>
            <w:noWrap/>
            <w:vAlign w:val="bottom"/>
          </w:tcPr>
          <w:p w:rsidR="00101785" w:rsidRPr="00101785" w:rsidRDefault="00101785" w:rsidP="00C14A54">
            <w:pPr>
              <w:pStyle w:val="Tablehead2"/>
              <w:jc w:val="right"/>
            </w:pPr>
            <w:r w:rsidRPr="00101785">
              <w:t>2003</w:t>
            </w:r>
          </w:p>
        </w:tc>
        <w:tc>
          <w:tcPr>
            <w:tcW w:w="1021" w:type="dxa"/>
            <w:tcBorders>
              <w:left w:val="nil"/>
              <w:bottom w:val="single" w:sz="4" w:space="0" w:color="auto"/>
              <w:right w:val="nil"/>
            </w:tcBorders>
            <w:shd w:val="clear" w:color="auto" w:fill="auto"/>
            <w:noWrap/>
            <w:vAlign w:val="bottom"/>
          </w:tcPr>
          <w:p w:rsidR="00101785" w:rsidRPr="00101785" w:rsidRDefault="00101785" w:rsidP="00C14A54">
            <w:pPr>
              <w:pStyle w:val="Tablehead2"/>
              <w:jc w:val="right"/>
            </w:pPr>
            <w:r w:rsidRPr="00101785">
              <w:t>2004</w:t>
            </w:r>
          </w:p>
        </w:tc>
      </w:tr>
      <w:tr w:rsidR="00101785" w:rsidRPr="00101785" w:rsidTr="00101785">
        <w:trPr>
          <w:trHeight w:val="225"/>
          <w:jc w:val="center"/>
        </w:trPr>
        <w:tc>
          <w:tcPr>
            <w:tcW w:w="1985" w:type="dxa"/>
            <w:tcBorders>
              <w:top w:val="single" w:sz="4" w:space="0" w:color="auto"/>
              <w:left w:val="nil"/>
              <w:bottom w:val="nil"/>
              <w:right w:val="nil"/>
            </w:tcBorders>
          </w:tcPr>
          <w:p w:rsidR="00101785" w:rsidRPr="00101785" w:rsidRDefault="00101785" w:rsidP="002E6BE2">
            <w:pPr>
              <w:pStyle w:val="Tabletext"/>
              <w:spacing w:before="60"/>
            </w:pPr>
            <w:r w:rsidRPr="00101785">
              <w:t>School leaver commencers with no qualification other than Year 12 or equivalent</w:t>
            </w:r>
            <w:r w:rsidRPr="00101785">
              <w:rPr>
                <w:vertAlign w:val="superscript"/>
              </w:rPr>
              <w:t>b</w:t>
            </w:r>
          </w:p>
        </w:tc>
        <w:tc>
          <w:tcPr>
            <w:tcW w:w="2268" w:type="dxa"/>
            <w:tcBorders>
              <w:top w:val="single" w:sz="4" w:space="0" w:color="auto"/>
              <w:left w:val="nil"/>
              <w:bottom w:val="nil"/>
              <w:right w:val="nil"/>
            </w:tcBorders>
            <w:shd w:val="clear" w:color="auto" w:fill="auto"/>
            <w:noWrap/>
          </w:tcPr>
          <w:p w:rsidR="00101785" w:rsidRPr="00101785" w:rsidRDefault="00101785" w:rsidP="002E6BE2">
            <w:pPr>
              <w:pStyle w:val="Tabletext"/>
              <w:spacing w:before="60"/>
            </w:pPr>
            <w:r w:rsidRPr="00101785">
              <w:t>Completed secondary schooling in the year prior to admission (non-gappers)</w:t>
            </w:r>
          </w:p>
        </w:tc>
        <w:tc>
          <w:tcPr>
            <w:tcW w:w="1021" w:type="dxa"/>
            <w:tcBorders>
              <w:top w:val="single" w:sz="4" w:space="0" w:color="auto"/>
              <w:left w:val="nil"/>
              <w:bottom w:val="nil"/>
              <w:right w:val="nil"/>
            </w:tcBorders>
            <w:shd w:val="clear" w:color="auto" w:fill="auto"/>
            <w:noWrap/>
          </w:tcPr>
          <w:p w:rsidR="00101785" w:rsidRPr="00101785" w:rsidRDefault="00101785" w:rsidP="002E6BE2">
            <w:pPr>
              <w:pStyle w:val="Tabletext"/>
              <w:spacing w:before="60"/>
              <w:jc w:val="right"/>
            </w:pPr>
            <w:r w:rsidRPr="00101785">
              <w:t>36</w:t>
            </w:r>
          </w:p>
        </w:tc>
        <w:tc>
          <w:tcPr>
            <w:tcW w:w="1021" w:type="dxa"/>
            <w:tcBorders>
              <w:top w:val="single" w:sz="4" w:space="0" w:color="auto"/>
              <w:left w:val="nil"/>
              <w:bottom w:val="nil"/>
              <w:right w:val="nil"/>
            </w:tcBorders>
            <w:shd w:val="clear" w:color="auto" w:fill="auto"/>
            <w:noWrap/>
          </w:tcPr>
          <w:p w:rsidR="00101785" w:rsidRPr="00101785" w:rsidRDefault="00101785" w:rsidP="002E6BE2">
            <w:pPr>
              <w:pStyle w:val="Tabletext"/>
              <w:spacing w:before="60"/>
              <w:jc w:val="right"/>
            </w:pPr>
            <w:r w:rsidRPr="00101785">
              <w:t>35</w:t>
            </w:r>
          </w:p>
        </w:tc>
        <w:tc>
          <w:tcPr>
            <w:tcW w:w="1021" w:type="dxa"/>
            <w:tcBorders>
              <w:top w:val="single" w:sz="4" w:space="0" w:color="auto"/>
              <w:left w:val="nil"/>
              <w:bottom w:val="nil"/>
              <w:right w:val="nil"/>
            </w:tcBorders>
            <w:shd w:val="clear" w:color="auto" w:fill="auto"/>
            <w:noWrap/>
          </w:tcPr>
          <w:p w:rsidR="00101785" w:rsidRPr="00101785" w:rsidRDefault="00101785" w:rsidP="002E6BE2">
            <w:pPr>
              <w:pStyle w:val="Tabletext"/>
              <w:spacing w:before="60"/>
              <w:jc w:val="right"/>
            </w:pPr>
            <w:r w:rsidRPr="00101785">
              <w:t>35</w:t>
            </w:r>
          </w:p>
        </w:tc>
        <w:tc>
          <w:tcPr>
            <w:tcW w:w="1021" w:type="dxa"/>
            <w:tcBorders>
              <w:top w:val="single" w:sz="4" w:space="0" w:color="auto"/>
              <w:left w:val="nil"/>
              <w:bottom w:val="nil"/>
              <w:right w:val="nil"/>
            </w:tcBorders>
            <w:shd w:val="clear" w:color="auto" w:fill="auto"/>
            <w:noWrap/>
          </w:tcPr>
          <w:p w:rsidR="00101785" w:rsidRPr="00101785" w:rsidRDefault="00101785" w:rsidP="002E6BE2">
            <w:pPr>
              <w:pStyle w:val="Tabletext"/>
              <w:spacing w:before="60"/>
              <w:jc w:val="right"/>
            </w:pPr>
            <w:r w:rsidRPr="00101785">
              <w:t>35</w:t>
            </w:r>
          </w:p>
        </w:tc>
      </w:tr>
      <w:tr w:rsidR="00101785" w:rsidRPr="00101785" w:rsidTr="00101785">
        <w:trPr>
          <w:trHeight w:val="225"/>
          <w:jc w:val="center"/>
        </w:trPr>
        <w:tc>
          <w:tcPr>
            <w:tcW w:w="1985" w:type="dxa"/>
            <w:tcBorders>
              <w:top w:val="nil"/>
              <w:left w:val="nil"/>
              <w:bottom w:val="nil"/>
              <w:right w:val="nil"/>
            </w:tcBorders>
          </w:tcPr>
          <w:p w:rsidR="00101785" w:rsidRPr="00101785" w:rsidRDefault="00101785" w:rsidP="00101785">
            <w:pPr>
              <w:pStyle w:val="Tabletext"/>
            </w:pPr>
          </w:p>
        </w:tc>
        <w:tc>
          <w:tcPr>
            <w:tcW w:w="2268" w:type="dxa"/>
            <w:tcBorders>
              <w:top w:val="nil"/>
              <w:left w:val="nil"/>
              <w:bottom w:val="nil"/>
              <w:right w:val="nil"/>
            </w:tcBorders>
            <w:shd w:val="clear" w:color="auto" w:fill="auto"/>
            <w:noWrap/>
          </w:tcPr>
          <w:p w:rsidR="00101785" w:rsidRPr="00101785" w:rsidRDefault="00101785" w:rsidP="00101785">
            <w:pPr>
              <w:pStyle w:val="Tabletext"/>
            </w:pPr>
            <w:r w:rsidRPr="00101785">
              <w:t>Completed secondary schooling two years prior to admission (one-year gappers)</w:t>
            </w:r>
          </w:p>
        </w:tc>
        <w:tc>
          <w:tcPr>
            <w:tcW w:w="1021" w:type="dxa"/>
            <w:tcBorders>
              <w:top w:val="nil"/>
              <w:left w:val="nil"/>
              <w:bottom w:val="nil"/>
              <w:right w:val="nil"/>
            </w:tcBorders>
            <w:shd w:val="clear" w:color="auto" w:fill="auto"/>
            <w:noWrap/>
          </w:tcPr>
          <w:p w:rsidR="00101785" w:rsidRPr="00101785" w:rsidRDefault="00101785" w:rsidP="002E6BE2">
            <w:pPr>
              <w:pStyle w:val="Tabletext"/>
              <w:jc w:val="right"/>
            </w:pPr>
            <w:r w:rsidRPr="00101785">
              <w:t>9</w:t>
            </w:r>
          </w:p>
        </w:tc>
        <w:tc>
          <w:tcPr>
            <w:tcW w:w="1021" w:type="dxa"/>
            <w:tcBorders>
              <w:top w:val="nil"/>
              <w:left w:val="nil"/>
              <w:bottom w:val="nil"/>
              <w:right w:val="nil"/>
            </w:tcBorders>
            <w:shd w:val="clear" w:color="auto" w:fill="auto"/>
            <w:noWrap/>
          </w:tcPr>
          <w:p w:rsidR="00101785" w:rsidRPr="00101785" w:rsidRDefault="00101785" w:rsidP="002E6BE2">
            <w:pPr>
              <w:pStyle w:val="Tabletext"/>
              <w:jc w:val="right"/>
            </w:pPr>
            <w:r w:rsidRPr="00101785">
              <w:t>9</w:t>
            </w:r>
          </w:p>
        </w:tc>
        <w:tc>
          <w:tcPr>
            <w:tcW w:w="1021" w:type="dxa"/>
            <w:tcBorders>
              <w:top w:val="nil"/>
              <w:left w:val="nil"/>
              <w:bottom w:val="nil"/>
              <w:right w:val="nil"/>
            </w:tcBorders>
            <w:shd w:val="clear" w:color="auto" w:fill="auto"/>
            <w:noWrap/>
          </w:tcPr>
          <w:p w:rsidR="00101785" w:rsidRPr="00101785" w:rsidRDefault="00101785" w:rsidP="002E6BE2">
            <w:pPr>
              <w:pStyle w:val="Tabletext"/>
              <w:jc w:val="right"/>
            </w:pPr>
            <w:r w:rsidRPr="00101785">
              <w:t>9</w:t>
            </w:r>
          </w:p>
        </w:tc>
        <w:tc>
          <w:tcPr>
            <w:tcW w:w="1021" w:type="dxa"/>
            <w:tcBorders>
              <w:top w:val="nil"/>
              <w:left w:val="nil"/>
              <w:bottom w:val="nil"/>
              <w:right w:val="nil"/>
            </w:tcBorders>
            <w:shd w:val="clear" w:color="auto" w:fill="auto"/>
            <w:noWrap/>
          </w:tcPr>
          <w:p w:rsidR="00101785" w:rsidRPr="00101785" w:rsidRDefault="00101785" w:rsidP="002E6BE2">
            <w:pPr>
              <w:pStyle w:val="Tabletext"/>
              <w:jc w:val="right"/>
            </w:pPr>
            <w:r w:rsidRPr="00101785">
              <w:t>10</w:t>
            </w:r>
          </w:p>
        </w:tc>
      </w:tr>
      <w:tr w:rsidR="00101785" w:rsidRPr="00101785" w:rsidTr="00101785">
        <w:trPr>
          <w:trHeight w:val="225"/>
          <w:jc w:val="center"/>
        </w:trPr>
        <w:tc>
          <w:tcPr>
            <w:tcW w:w="1985" w:type="dxa"/>
            <w:tcBorders>
              <w:top w:val="nil"/>
              <w:left w:val="nil"/>
              <w:right w:val="nil"/>
            </w:tcBorders>
          </w:tcPr>
          <w:p w:rsidR="00101785" w:rsidRPr="00101785" w:rsidRDefault="00101785" w:rsidP="00101785">
            <w:pPr>
              <w:pStyle w:val="Tabletext"/>
            </w:pPr>
          </w:p>
        </w:tc>
        <w:tc>
          <w:tcPr>
            <w:tcW w:w="2268" w:type="dxa"/>
            <w:tcBorders>
              <w:top w:val="nil"/>
              <w:left w:val="nil"/>
              <w:right w:val="nil"/>
            </w:tcBorders>
            <w:shd w:val="clear" w:color="auto" w:fill="auto"/>
            <w:noWrap/>
          </w:tcPr>
          <w:p w:rsidR="00101785" w:rsidRPr="00101785" w:rsidRDefault="00101785" w:rsidP="00101785">
            <w:pPr>
              <w:pStyle w:val="Tabletext"/>
            </w:pPr>
            <w:r w:rsidRPr="00101785">
              <w:t>Completed secondary schooling more than two years prior to admission or no information on year of completion</w:t>
            </w:r>
          </w:p>
        </w:tc>
        <w:tc>
          <w:tcPr>
            <w:tcW w:w="1021" w:type="dxa"/>
            <w:tcBorders>
              <w:top w:val="nil"/>
              <w:left w:val="nil"/>
              <w:right w:val="nil"/>
            </w:tcBorders>
            <w:shd w:val="clear" w:color="auto" w:fill="auto"/>
            <w:noWrap/>
          </w:tcPr>
          <w:p w:rsidR="00101785" w:rsidRPr="00101785" w:rsidRDefault="00101785" w:rsidP="002E6BE2">
            <w:pPr>
              <w:pStyle w:val="Tabletext"/>
              <w:jc w:val="right"/>
            </w:pPr>
            <w:r w:rsidRPr="00101785">
              <w:t>14</w:t>
            </w:r>
          </w:p>
        </w:tc>
        <w:tc>
          <w:tcPr>
            <w:tcW w:w="1021" w:type="dxa"/>
            <w:tcBorders>
              <w:top w:val="nil"/>
              <w:left w:val="nil"/>
              <w:right w:val="nil"/>
            </w:tcBorders>
            <w:shd w:val="clear" w:color="auto" w:fill="auto"/>
            <w:noWrap/>
          </w:tcPr>
          <w:p w:rsidR="00101785" w:rsidRPr="00101785" w:rsidRDefault="00101785" w:rsidP="002E6BE2">
            <w:pPr>
              <w:pStyle w:val="Tabletext"/>
              <w:jc w:val="right"/>
            </w:pPr>
            <w:r w:rsidRPr="00101785">
              <w:t>14</w:t>
            </w:r>
          </w:p>
        </w:tc>
        <w:tc>
          <w:tcPr>
            <w:tcW w:w="1021" w:type="dxa"/>
            <w:tcBorders>
              <w:top w:val="nil"/>
              <w:left w:val="nil"/>
              <w:right w:val="nil"/>
            </w:tcBorders>
            <w:shd w:val="clear" w:color="auto" w:fill="auto"/>
            <w:noWrap/>
          </w:tcPr>
          <w:p w:rsidR="00101785" w:rsidRPr="00101785" w:rsidRDefault="00101785" w:rsidP="002E6BE2">
            <w:pPr>
              <w:pStyle w:val="Tabletext"/>
              <w:jc w:val="right"/>
            </w:pPr>
            <w:r w:rsidRPr="00101785">
              <w:t>14</w:t>
            </w:r>
          </w:p>
        </w:tc>
        <w:tc>
          <w:tcPr>
            <w:tcW w:w="1021" w:type="dxa"/>
            <w:tcBorders>
              <w:top w:val="nil"/>
              <w:left w:val="nil"/>
              <w:right w:val="nil"/>
            </w:tcBorders>
            <w:shd w:val="clear" w:color="auto" w:fill="auto"/>
            <w:noWrap/>
          </w:tcPr>
          <w:p w:rsidR="00101785" w:rsidRPr="00101785" w:rsidRDefault="00101785" w:rsidP="002E6BE2">
            <w:pPr>
              <w:pStyle w:val="Tabletext"/>
              <w:jc w:val="right"/>
            </w:pPr>
            <w:r w:rsidRPr="00101785">
              <w:t>13</w:t>
            </w:r>
          </w:p>
        </w:tc>
      </w:tr>
      <w:tr w:rsidR="00101785" w:rsidRPr="00101785" w:rsidTr="00B70A39">
        <w:trPr>
          <w:trHeight w:val="225"/>
          <w:jc w:val="center"/>
        </w:trPr>
        <w:tc>
          <w:tcPr>
            <w:tcW w:w="1985" w:type="dxa"/>
            <w:tcBorders>
              <w:top w:val="nil"/>
              <w:left w:val="nil"/>
              <w:right w:val="nil"/>
            </w:tcBorders>
          </w:tcPr>
          <w:p w:rsidR="00101785" w:rsidRPr="00101785" w:rsidRDefault="00101785" w:rsidP="00101785">
            <w:pPr>
              <w:pStyle w:val="Tabletext"/>
            </w:pPr>
            <w:r w:rsidRPr="00101785">
              <w:t>Other commencers</w:t>
            </w:r>
          </w:p>
        </w:tc>
        <w:tc>
          <w:tcPr>
            <w:tcW w:w="2268" w:type="dxa"/>
            <w:tcBorders>
              <w:top w:val="nil"/>
              <w:left w:val="nil"/>
              <w:right w:val="nil"/>
            </w:tcBorders>
            <w:shd w:val="clear" w:color="auto" w:fill="auto"/>
            <w:noWrap/>
          </w:tcPr>
          <w:p w:rsidR="00101785" w:rsidRPr="00101785" w:rsidRDefault="00101785" w:rsidP="00101785">
            <w:pPr>
              <w:pStyle w:val="Tabletext"/>
            </w:pPr>
          </w:p>
        </w:tc>
        <w:tc>
          <w:tcPr>
            <w:tcW w:w="1021" w:type="dxa"/>
            <w:tcBorders>
              <w:top w:val="nil"/>
              <w:left w:val="nil"/>
              <w:right w:val="nil"/>
            </w:tcBorders>
            <w:shd w:val="clear" w:color="auto" w:fill="auto"/>
            <w:noWrap/>
          </w:tcPr>
          <w:p w:rsidR="00101785" w:rsidRPr="00101785" w:rsidRDefault="00101785" w:rsidP="002E6BE2">
            <w:pPr>
              <w:pStyle w:val="Tabletext"/>
              <w:jc w:val="right"/>
            </w:pPr>
            <w:r w:rsidRPr="00101785">
              <w:t>41</w:t>
            </w:r>
          </w:p>
        </w:tc>
        <w:tc>
          <w:tcPr>
            <w:tcW w:w="1021" w:type="dxa"/>
            <w:tcBorders>
              <w:top w:val="nil"/>
              <w:left w:val="nil"/>
              <w:right w:val="nil"/>
            </w:tcBorders>
            <w:shd w:val="clear" w:color="auto" w:fill="auto"/>
            <w:noWrap/>
          </w:tcPr>
          <w:p w:rsidR="00101785" w:rsidRPr="00101785" w:rsidRDefault="00101785" w:rsidP="002E6BE2">
            <w:pPr>
              <w:pStyle w:val="Tabletext"/>
              <w:jc w:val="right"/>
            </w:pPr>
            <w:r w:rsidRPr="00101785">
              <w:t>43</w:t>
            </w:r>
          </w:p>
        </w:tc>
        <w:tc>
          <w:tcPr>
            <w:tcW w:w="1021" w:type="dxa"/>
            <w:tcBorders>
              <w:top w:val="nil"/>
              <w:left w:val="nil"/>
              <w:right w:val="nil"/>
            </w:tcBorders>
            <w:shd w:val="clear" w:color="auto" w:fill="auto"/>
            <w:noWrap/>
          </w:tcPr>
          <w:p w:rsidR="00101785" w:rsidRPr="00101785" w:rsidRDefault="00101785" w:rsidP="002E6BE2">
            <w:pPr>
              <w:pStyle w:val="Tabletext"/>
              <w:jc w:val="right"/>
            </w:pPr>
            <w:r w:rsidRPr="00101785">
              <w:t>42</w:t>
            </w:r>
          </w:p>
        </w:tc>
        <w:tc>
          <w:tcPr>
            <w:tcW w:w="1021" w:type="dxa"/>
            <w:tcBorders>
              <w:top w:val="nil"/>
              <w:left w:val="nil"/>
              <w:right w:val="nil"/>
            </w:tcBorders>
            <w:shd w:val="clear" w:color="auto" w:fill="auto"/>
            <w:noWrap/>
          </w:tcPr>
          <w:p w:rsidR="00101785" w:rsidRPr="00101785" w:rsidRDefault="00101785" w:rsidP="002E6BE2">
            <w:pPr>
              <w:pStyle w:val="Tabletext"/>
              <w:jc w:val="right"/>
            </w:pPr>
            <w:r w:rsidRPr="00101785">
              <w:t>43</w:t>
            </w:r>
          </w:p>
        </w:tc>
      </w:tr>
      <w:tr w:rsidR="00101785" w:rsidRPr="00B70A39" w:rsidTr="00B70A39">
        <w:trPr>
          <w:trHeight w:val="225"/>
          <w:jc w:val="center"/>
        </w:trPr>
        <w:tc>
          <w:tcPr>
            <w:tcW w:w="1985" w:type="dxa"/>
            <w:tcBorders>
              <w:left w:val="nil"/>
              <w:right w:val="nil"/>
            </w:tcBorders>
          </w:tcPr>
          <w:p w:rsidR="00101785" w:rsidRPr="00B70A39" w:rsidRDefault="00101785" w:rsidP="00101785">
            <w:pPr>
              <w:pStyle w:val="Tabletext"/>
              <w:rPr>
                <w:b/>
              </w:rPr>
            </w:pPr>
            <w:r w:rsidRPr="00B70A39">
              <w:rPr>
                <w:b/>
              </w:rPr>
              <w:t>Total university admissions (%)</w:t>
            </w:r>
          </w:p>
        </w:tc>
        <w:tc>
          <w:tcPr>
            <w:tcW w:w="2268" w:type="dxa"/>
            <w:tcBorders>
              <w:left w:val="nil"/>
              <w:right w:val="nil"/>
            </w:tcBorders>
            <w:shd w:val="clear" w:color="auto" w:fill="auto"/>
            <w:noWrap/>
          </w:tcPr>
          <w:p w:rsidR="00101785" w:rsidRPr="00B70A39" w:rsidRDefault="00101785" w:rsidP="00101785">
            <w:pPr>
              <w:pStyle w:val="Tabletext"/>
              <w:rPr>
                <w:b/>
              </w:rPr>
            </w:pPr>
          </w:p>
        </w:tc>
        <w:tc>
          <w:tcPr>
            <w:tcW w:w="1021" w:type="dxa"/>
            <w:tcBorders>
              <w:left w:val="nil"/>
              <w:right w:val="nil"/>
            </w:tcBorders>
            <w:shd w:val="clear" w:color="auto" w:fill="auto"/>
            <w:noWrap/>
          </w:tcPr>
          <w:p w:rsidR="00101785" w:rsidRPr="00B70A39" w:rsidRDefault="00101785" w:rsidP="002E6BE2">
            <w:pPr>
              <w:pStyle w:val="Tabletext"/>
              <w:jc w:val="right"/>
              <w:rPr>
                <w:b/>
              </w:rPr>
            </w:pPr>
            <w:r w:rsidRPr="00B70A39">
              <w:rPr>
                <w:b/>
              </w:rPr>
              <w:t>100</w:t>
            </w:r>
          </w:p>
        </w:tc>
        <w:tc>
          <w:tcPr>
            <w:tcW w:w="1021" w:type="dxa"/>
            <w:tcBorders>
              <w:left w:val="nil"/>
              <w:right w:val="nil"/>
            </w:tcBorders>
            <w:shd w:val="clear" w:color="auto" w:fill="auto"/>
            <w:noWrap/>
          </w:tcPr>
          <w:p w:rsidR="00101785" w:rsidRPr="00B70A39" w:rsidRDefault="00101785" w:rsidP="002E6BE2">
            <w:pPr>
              <w:pStyle w:val="Tabletext"/>
              <w:jc w:val="right"/>
              <w:rPr>
                <w:b/>
              </w:rPr>
            </w:pPr>
            <w:r w:rsidRPr="00B70A39">
              <w:rPr>
                <w:b/>
              </w:rPr>
              <w:t>100</w:t>
            </w:r>
          </w:p>
        </w:tc>
        <w:tc>
          <w:tcPr>
            <w:tcW w:w="1021" w:type="dxa"/>
            <w:tcBorders>
              <w:left w:val="nil"/>
              <w:right w:val="nil"/>
            </w:tcBorders>
            <w:shd w:val="clear" w:color="auto" w:fill="auto"/>
            <w:noWrap/>
          </w:tcPr>
          <w:p w:rsidR="00101785" w:rsidRPr="00B70A39" w:rsidRDefault="00101785" w:rsidP="002E6BE2">
            <w:pPr>
              <w:pStyle w:val="Tabletext"/>
              <w:jc w:val="right"/>
              <w:rPr>
                <w:b/>
              </w:rPr>
            </w:pPr>
            <w:r w:rsidRPr="00B70A39">
              <w:rPr>
                <w:b/>
              </w:rPr>
              <w:t>100</w:t>
            </w:r>
          </w:p>
        </w:tc>
        <w:tc>
          <w:tcPr>
            <w:tcW w:w="1021" w:type="dxa"/>
            <w:tcBorders>
              <w:left w:val="nil"/>
              <w:right w:val="nil"/>
            </w:tcBorders>
            <w:shd w:val="clear" w:color="auto" w:fill="auto"/>
            <w:noWrap/>
          </w:tcPr>
          <w:p w:rsidR="00101785" w:rsidRPr="00B70A39" w:rsidRDefault="00101785" w:rsidP="002E6BE2">
            <w:pPr>
              <w:pStyle w:val="Tabletext"/>
              <w:jc w:val="right"/>
              <w:rPr>
                <w:b/>
              </w:rPr>
            </w:pPr>
            <w:r w:rsidRPr="00B70A39">
              <w:rPr>
                <w:b/>
              </w:rPr>
              <w:t>100</w:t>
            </w:r>
          </w:p>
        </w:tc>
      </w:tr>
      <w:tr w:rsidR="00101785" w:rsidRPr="00B70A39" w:rsidTr="00101785">
        <w:trPr>
          <w:trHeight w:val="225"/>
          <w:jc w:val="center"/>
        </w:trPr>
        <w:tc>
          <w:tcPr>
            <w:tcW w:w="1985" w:type="dxa"/>
            <w:tcBorders>
              <w:top w:val="nil"/>
              <w:left w:val="nil"/>
              <w:bottom w:val="single" w:sz="4" w:space="0" w:color="auto"/>
              <w:right w:val="nil"/>
            </w:tcBorders>
          </w:tcPr>
          <w:p w:rsidR="00101785" w:rsidRPr="00B70A39" w:rsidRDefault="00101785" w:rsidP="00101785">
            <w:pPr>
              <w:pStyle w:val="Tabletext"/>
              <w:rPr>
                <w:b/>
              </w:rPr>
            </w:pPr>
            <w:r w:rsidRPr="00B70A39">
              <w:rPr>
                <w:b/>
              </w:rPr>
              <w:t>Total university admissions (N)</w:t>
            </w:r>
          </w:p>
        </w:tc>
        <w:tc>
          <w:tcPr>
            <w:tcW w:w="2268" w:type="dxa"/>
            <w:tcBorders>
              <w:top w:val="nil"/>
              <w:left w:val="nil"/>
              <w:bottom w:val="single" w:sz="4" w:space="0" w:color="auto"/>
              <w:right w:val="nil"/>
            </w:tcBorders>
            <w:shd w:val="clear" w:color="auto" w:fill="auto"/>
            <w:noWrap/>
          </w:tcPr>
          <w:p w:rsidR="00101785" w:rsidRPr="00B70A39" w:rsidRDefault="00101785" w:rsidP="00101785">
            <w:pPr>
              <w:pStyle w:val="Tabletext"/>
              <w:rPr>
                <w:b/>
              </w:rPr>
            </w:pPr>
          </w:p>
        </w:tc>
        <w:tc>
          <w:tcPr>
            <w:tcW w:w="1021" w:type="dxa"/>
            <w:tcBorders>
              <w:top w:val="nil"/>
              <w:left w:val="nil"/>
              <w:bottom w:val="single" w:sz="4" w:space="0" w:color="auto"/>
              <w:right w:val="nil"/>
            </w:tcBorders>
            <w:shd w:val="clear" w:color="auto" w:fill="auto"/>
            <w:noWrap/>
          </w:tcPr>
          <w:p w:rsidR="00101785" w:rsidRPr="00B70A39" w:rsidRDefault="00101785" w:rsidP="002E6BE2">
            <w:pPr>
              <w:pStyle w:val="Tabletext"/>
              <w:jc w:val="right"/>
              <w:rPr>
                <w:b/>
              </w:rPr>
            </w:pPr>
            <w:r w:rsidRPr="00B70A39">
              <w:rPr>
                <w:b/>
              </w:rPr>
              <w:t>193 304</w:t>
            </w:r>
          </w:p>
        </w:tc>
        <w:tc>
          <w:tcPr>
            <w:tcW w:w="1021" w:type="dxa"/>
            <w:tcBorders>
              <w:top w:val="nil"/>
              <w:left w:val="nil"/>
              <w:bottom w:val="single" w:sz="4" w:space="0" w:color="auto"/>
              <w:right w:val="nil"/>
            </w:tcBorders>
            <w:shd w:val="clear" w:color="auto" w:fill="auto"/>
            <w:noWrap/>
          </w:tcPr>
          <w:p w:rsidR="00101785" w:rsidRPr="00B70A39" w:rsidRDefault="00101785" w:rsidP="002E6BE2">
            <w:pPr>
              <w:pStyle w:val="Tabletext"/>
              <w:jc w:val="right"/>
              <w:rPr>
                <w:b/>
              </w:rPr>
            </w:pPr>
            <w:r w:rsidRPr="00B70A39">
              <w:rPr>
                <w:b/>
              </w:rPr>
              <w:t>193 090</w:t>
            </w:r>
          </w:p>
        </w:tc>
        <w:tc>
          <w:tcPr>
            <w:tcW w:w="1021" w:type="dxa"/>
            <w:tcBorders>
              <w:top w:val="nil"/>
              <w:left w:val="nil"/>
              <w:bottom w:val="single" w:sz="4" w:space="0" w:color="auto"/>
              <w:right w:val="nil"/>
            </w:tcBorders>
            <w:shd w:val="clear" w:color="auto" w:fill="auto"/>
            <w:noWrap/>
          </w:tcPr>
          <w:p w:rsidR="00101785" w:rsidRPr="00B70A39" w:rsidRDefault="00101785" w:rsidP="002E6BE2">
            <w:pPr>
              <w:pStyle w:val="Tabletext"/>
              <w:jc w:val="right"/>
              <w:rPr>
                <w:b/>
              </w:rPr>
            </w:pPr>
            <w:r w:rsidRPr="00B70A39">
              <w:rPr>
                <w:b/>
              </w:rPr>
              <w:t>183 392</w:t>
            </w:r>
          </w:p>
        </w:tc>
        <w:tc>
          <w:tcPr>
            <w:tcW w:w="1021" w:type="dxa"/>
            <w:tcBorders>
              <w:top w:val="nil"/>
              <w:left w:val="nil"/>
              <w:bottom w:val="single" w:sz="4" w:space="0" w:color="auto"/>
              <w:right w:val="nil"/>
            </w:tcBorders>
            <w:shd w:val="clear" w:color="auto" w:fill="auto"/>
            <w:noWrap/>
          </w:tcPr>
          <w:p w:rsidR="00101785" w:rsidRPr="00B70A39" w:rsidRDefault="00101785" w:rsidP="002E6BE2">
            <w:pPr>
              <w:pStyle w:val="Tabletext"/>
              <w:jc w:val="right"/>
              <w:rPr>
                <w:b/>
              </w:rPr>
            </w:pPr>
            <w:r w:rsidRPr="00B70A39">
              <w:rPr>
                <w:b/>
              </w:rPr>
              <w:t>180 653</w:t>
            </w:r>
          </w:p>
        </w:tc>
      </w:tr>
    </w:tbl>
    <w:p w:rsidR="00101785" w:rsidRPr="00101785" w:rsidRDefault="003168E4" w:rsidP="00101785">
      <w:pPr>
        <w:pStyle w:val="Source"/>
      </w:pPr>
      <w:r>
        <w:t xml:space="preserve">Source: </w:t>
      </w:r>
      <w:r>
        <w:tab/>
      </w:r>
      <w:r w:rsidR="00101785" w:rsidRPr="00101785">
        <w:t xml:space="preserve">Based on Students: selected higher education statistics, 2001–04, provided by </w:t>
      </w:r>
      <w:r w:rsidRPr="003168E4">
        <w:t>Department of Education, Employment and Workplace Relations</w:t>
      </w:r>
      <w:r w:rsidR="00101785" w:rsidRPr="00101785">
        <w:t>.</w:t>
      </w:r>
    </w:p>
    <w:p w:rsidR="00101785" w:rsidRPr="00101785" w:rsidRDefault="00101785" w:rsidP="00101785">
      <w:pPr>
        <w:pStyle w:val="Source"/>
      </w:pPr>
      <w:r w:rsidRPr="00101785">
        <w:t>Notes:</w:t>
      </w:r>
      <w:r w:rsidRPr="00101785">
        <w:tab/>
        <w:t>(a) Includes bachelor's graduate entry, bachelor's honours, bachelor's pass, associate degree, advanced diploma (AQF), diploma (AQF), other award courses, enabling course and non-award course.</w:t>
      </w:r>
    </w:p>
    <w:p w:rsidR="00101785" w:rsidRPr="00101785" w:rsidRDefault="00101785" w:rsidP="00101785">
      <w:pPr>
        <w:pStyle w:val="Source"/>
      </w:pPr>
      <w:r w:rsidRPr="00101785">
        <w:tab/>
        <w:t>(b) School leaver commencers with no prior qualifications higher than Year 12 or equivalent.</w:t>
      </w:r>
    </w:p>
    <w:p w:rsidR="00C925E9" w:rsidRDefault="00C925E9" w:rsidP="002E6BE2">
      <w:pPr>
        <w:pStyle w:val="Text"/>
        <w:spacing w:before="300"/>
        <w:ind w:right="0"/>
      </w:pPr>
      <w:r>
        <w:t xml:space="preserve">The incidence of gap-taking varies by jurisdiction and institution type (see tables A2.1, A2.2 in appendix 2). This may reflect differing demand for places at various institutions and different </w:t>
      </w:r>
      <w:r>
        <w:lastRenderedPageBreak/>
        <w:t>institutional missions. Differences between jurisdictions may reflect the particular universities, and perhaps the modal age of school leavers, in those states and territories. For example, the Group of Eight universities admit half of their commencing undergraduate students directly from Year 12 compared with approximately one-third for other universities. The Group of Eight universities admit 12% each as one-year and multiple-year gappers. The ‘other than Year 12’ category comprises 27% of their admissions, compared with 43% for other universities (see table A2.1 in appendix 2).</w:t>
      </w:r>
    </w:p>
    <w:p w:rsidR="00C925E9" w:rsidRDefault="00C925E9" w:rsidP="00200C9F">
      <w:pPr>
        <w:pStyle w:val="Heading2"/>
      </w:pPr>
      <w:bookmarkStart w:id="38" w:name="_Toc323035602"/>
      <w:r>
        <w:t>Research questions and the report structure</w:t>
      </w:r>
      <w:bookmarkEnd w:id="38"/>
    </w:p>
    <w:p w:rsidR="00C925E9" w:rsidRDefault="00C925E9" w:rsidP="00200C9F">
      <w:pPr>
        <w:pStyle w:val="Text"/>
      </w:pPr>
      <w:r>
        <w:t>This report is a response to a set of key research questions framed around identifying who the gap-takers are, what activities they undertake during the gap year and the longer-term outcomes of gap-taking. These questions underpin the report structure.</w:t>
      </w:r>
    </w:p>
    <w:p w:rsidR="00C925E9" w:rsidRDefault="00C925E9" w:rsidP="00200C9F">
      <w:pPr>
        <w:pStyle w:val="Text"/>
      </w:pPr>
      <w:r>
        <w:t>In chapter 2 (Gap-takers and their characteristics), we estimate the proportion of Year 12 completers who take a gap year before commencing university courses and compare the demographic characteristics of gappers and non-gappers. We present the results of a regression model that elicits the main characteristics that differentiate gappers and non-gappers.</w:t>
      </w:r>
    </w:p>
    <w:p w:rsidR="00C925E9" w:rsidRDefault="00C925E9" w:rsidP="00200C9F">
      <w:pPr>
        <w:pStyle w:val="Text"/>
      </w:pPr>
      <w:r>
        <w:t>Chapter 3 (Reasons for deferring) then explores the reasons young people give for deferring university entry. Reasons for deferral were sought through the interview questions asked of members of the Y03 cohort. Here we compare the relative frequencies of deferring and gap-taking.</w:t>
      </w:r>
    </w:p>
    <w:p w:rsidR="00C925E9" w:rsidRDefault="00C925E9" w:rsidP="00200C9F">
      <w:pPr>
        <w:pStyle w:val="Text"/>
      </w:pPr>
      <w:r>
        <w:t>The proportions of people who undertake various activities; in particular, travel, work and other study, during the gap year are described in chapter 4 (Main activity during the gap year).</w:t>
      </w:r>
    </w:p>
    <w:p w:rsidR="00C925E9" w:rsidRDefault="00C925E9" w:rsidP="00200C9F">
      <w:pPr>
        <w:pStyle w:val="Text"/>
      </w:pPr>
      <w:r>
        <w:t>In chapter 5 (Course progress and attrition), the influence of gap-taking status on students’ university course progress is presented. Students may be continuing their first course or may have completed it, withdrawn from it, or changed to another course.</w:t>
      </w:r>
    </w:p>
    <w:p w:rsidR="00C925E9" w:rsidRDefault="00C925E9" w:rsidP="00200C9F">
      <w:pPr>
        <w:pStyle w:val="Text"/>
      </w:pPr>
      <w:r>
        <w:t>The influence of gap-taking status on the labour market outcomes of Y98 cohort members is explored in chapter 6 (Labour market outcomes). We investigate the proportions of gappers and non-gappers who are employed on full- and part-time bases, their earnings, and their participation in study or training.</w:t>
      </w:r>
    </w:p>
    <w:p w:rsidR="00C925E9" w:rsidRDefault="00C925E9" w:rsidP="00200C9F">
      <w:pPr>
        <w:pStyle w:val="Text"/>
      </w:pPr>
      <w:r>
        <w:t>Finally, the results of these analyses are summarised in chapter 7 (Conclusions).</w:t>
      </w:r>
    </w:p>
    <w:p w:rsidR="00C925E9" w:rsidRDefault="00C925E9" w:rsidP="00200C9F">
      <w:pPr>
        <w:pStyle w:val="Heading2"/>
      </w:pPr>
      <w:bookmarkStart w:id="39" w:name="_Toc323035603"/>
      <w:r>
        <w:t>Data sources and methods</w:t>
      </w:r>
      <w:bookmarkEnd w:id="39"/>
    </w:p>
    <w:p w:rsidR="00C925E9" w:rsidRDefault="00C925E9" w:rsidP="00200C9F">
      <w:pPr>
        <w:pStyle w:val="Text"/>
      </w:pPr>
      <w:r>
        <w:t>We use data from the Longitudinal Surveys of Australian Youth (LSAY). These data are taken from three student cohorts: those who were in Year 9 at school in 1995 (the Y95 cohort) or 1998 (the Y98 cohort); and those who were aged 15 years and attending school in 2003 (the Y03 cohort).</w:t>
      </w:r>
    </w:p>
    <w:p w:rsidR="00C925E9" w:rsidRDefault="00C925E9" w:rsidP="00200C9F">
      <w:pPr>
        <w:pStyle w:val="Text"/>
      </w:pPr>
      <w:r>
        <w:t xml:space="preserve">For these cohorts, nationally representative samples of schools are selected to ensure that all states and territories, geographic regions and school sectors are included. Students are then sampled within the selected schools. Details of the sampling processes, the achieved samples and sample attrition are available </w:t>
      </w:r>
      <w:r w:rsidRPr="00F913B2">
        <w:t>through the LSAY website</w:t>
      </w:r>
      <w:r>
        <w:t xml:space="preserve"> &lt;http://www.lsay.edu.au&gt;</w:t>
      </w:r>
      <w:r w:rsidRPr="00F913B2">
        <w:t>.</w:t>
      </w:r>
      <w:r>
        <w:t xml:space="preserve"> </w:t>
      </w:r>
    </w:p>
    <w:p w:rsidR="00C925E9" w:rsidRDefault="00C925E9" w:rsidP="00200C9F">
      <w:pPr>
        <w:pStyle w:val="Text"/>
      </w:pPr>
      <w:r>
        <w:lastRenderedPageBreak/>
        <w:t>Members of the Y95 cohort sample were interviewed annually for 12 years, from 1995 to 2006 inclusive, and all waves of data are used. We use the most recent available data files (2007) for the Y98 and Y03 cohorts.</w:t>
      </w:r>
    </w:p>
    <w:p w:rsidR="00C925E9" w:rsidRDefault="00C925E9" w:rsidP="00200C9F">
      <w:pPr>
        <w:pStyle w:val="Text"/>
      </w:pPr>
      <w:r>
        <w:t>Two methods are used in investigating gap-taking and the factors associated with it. Tabulations of gap status against a variety of demographic characteristics, including gender, family socioeconomic status, school sector, academic achievement, attitude towards school and Year 12 results, are presented for each of the cohorts studied. The results of regression modelling of gap year participation by individual characteristics are presented for the Y98 cohort.</w:t>
      </w:r>
    </w:p>
    <w:p w:rsidR="00C925E9" w:rsidRPr="006D3B3E" w:rsidRDefault="00C925E9" w:rsidP="00200C9F">
      <w:pPr>
        <w:pStyle w:val="Text"/>
      </w:pPr>
      <w:r>
        <w:t>Detailed information on the variables and methods used in the analyses are presented in appendix 1.</w:t>
      </w:r>
    </w:p>
    <w:p w:rsidR="00C925E9" w:rsidRDefault="00C925E9" w:rsidP="00200C9F">
      <w:pPr>
        <w:pStyle w:val="Heading1"/>
      </w:pPr>
      <w:r>
        <w:br w:type="page"/>
      </w:r>
      <w:bookmarkStart w:id="40" w:name="_Toc323035604"/>
      <w:r>
        <w:lastRenderedPageBreak/>
        <w:t>Gap-takers and their characteristics</w:t>
      </w:r>
      <w:bookmarkEnd w:id="40"/>
    </w:p>
    <w:p w:rsidR="00C925E9" w:rsidRPr="00C029F6" w:rsidRDefault="00C925E9" w:rsidP="00200C9F">
      <w:pPr>
        <w:pStyle w:val="Text"/>
      </w:pPr>
      <w:r>
        <w:t>In this analysis, gap-takers are young people who enter higher education after gaps of one or two years following completion of Year 12 (including those who defer entry to university). Non-gappers are young people who enter university in the year following school completion. Later year entrants are those who enter university after periods of three years or more after completing school. We do not classify these individuals as gappers because they may be admitted to a university course on bases other than their Year 12 results.</w:t>
      </w:r>
    </w:p>
    <w:p w:rsidR="00C925E9" w:rsidRDefault="00C925E9" w:rsidP="00200C9F">
      <w:pPr>
        <w:pStyle w:val="Heading2"/>
      </w:pPr>
      <w:bookmarkStart w:id="41" w:name="_Toc323035605"/>
      <w:r>
        <w:t>The incidence of gap-taking</w:t>
      </w:r>
      <w:bookmarkEnd w:id="41"/>
    </w:p>
    <w:p w:rsidR="00C925E9" w:rsidRDefault="00C925E9" w:rsidP="00200C9F">
      <w:pPr>
        <w:pStyle w:val="Text"/>
      </w:pPr>
      <w:r>
        <w:t>The incidence of gap-taking has increased over the past decade. Gap-taking over the three LSAY cohorts is shown in table 2.</w:t>
      </w:r>
      <w:r>
        <w:rPr>
          <w:rStyle w:val="FootnoteReference"/>
        </w:rPr>
        <w:footnoteReference w:id="5"/>
      </w:r>
      <w:r>
        <w:t xml:space="preserve"> Gap-taking has increased from 10% for the Y95 cohort to 16% for Y98 and to at least 17% for Y03.</w:t>
      </w:r>
    </w:p>
    <w:p w:rsidR="00C925E9" w:rsidRDefault="00C925E9" w:rsidP="00200C9F">
      <w:pPr>
        <w:pStyle w:val="Text"/>
      </w:pPr>
      <w:r>
        <w:t xml:space="preserve">Data for the Y03 cohort should be taken as interim estimates because we are only able to observe the cohort up to 2007. Most Y03 members completed secondary schooling in 2005 and 2006 but some were still at school in 2007. Most Y03 non-gappers commenced university in 2006 and 2007 but some could have entered after this time, for which estimates of late entrants are made. Thus, the data shown in the column labelled Y03 in table 2 underestimate the likely total proportions of gappers, especially two-year gappers and later entrants. </w:t>
      </w:r>
    </w:p>
    <w:p w:rsidR="00C925E9" w:rsidRDefault="00C925E9" w:rsidP="00200C9F">
      <w:pPr>
        <w:pStyle w:val="tabletitle"/>
      </w:pPr>
      <w:bookmarkStart w:id="42" w:name="_Toc322691605"/>
      <w:r>
        <w:t>Table 2</w:t>
      </w:r>
      <w:r>
        <w:tab/>
        <w:t>Gap-taking among university entrants over three LSAY cohorts</w:t>
      </w:r>
      <w:bookmarkEnd w:id="42"/>
    </w:p>
    <w:tbl>
      <w:tblPr>
        <w:tblW w:w="0" w:type="auto"/>
        <w:jc w:val="center"/>
        <w:tblLayout w:type="fixed"/>
        <w:tblLook w:val="01E0"/>
      </w:tblPr>
      <w:tblGrid>
        <w:gridCol w:w="2268"/>
        <w:gridCol w:w="1440"/>
        <w:gridCol w:w="1440"/>
        <w:gridCol w:w="1440"/>
        <w:gridCol w:w="1440"/>
      </w:tblGrid>
      <w:tr w:rsidR="00C925E9">
        <w:trPr>
          <w:jc w:val="center"/>
        </w:trPr>
        <w:tc>
          <w:tcPr>
            <w:tcW w:w="2268" w:type="dxa"/>
            <w:tcBorders>
              <w:top w:val="single" w:sz="4" w:space="0" w:color="auto"/>
            </w:tcBorders>
            <w:vAlign w:val="bottom"/>
          </w:tcPr>
          <w:p w:rsidR="00C925E9" w:rsidRDefault="00101785" w:rsidP="00101785">
            <w:pPr>
              <w:pStyle w:val="Tablehead1"/>
            </w:pPr>
            <w:r>
              <w:t>Gap-taking status</w:t>
            </w:r>
          </w:p>
        </w:tc>
        <w:tc>
          <w:tcPr>
            <w:tcW w:w="5760" w:type="dxa"/>
            <w:gridSpan w:val="4"/>
            <w:tcBorders>
              <w:top w:val="single" w:sz="4" w:space="0" w:color="auto"/>
            </w:tcBorders>
            <w:vAlign w:val="bottom"/>
          </w:tcPr>
          <w:p w:rsidR="00C925E9" w:rsidRDefault="00C925E9" w:rsidP="00101785">
            <w:pPr>
              <w:pStyle w:val="Tablehead1"/>
              <w:jc w:val="center"/>
            </w:pPr>
            <w:r>
              <w:rPr>
                <w:bCs/>
              </w:rPr>
              <w:t>Gap-</w:t>
            </w:r>
            <w:r w:rsidRPr="00927A64">
              <w:rPr>
                <w:bCs/>
              </w:rPr>
              <w:t>taking by cohort (%)</w:t>
            </w:r>
          </w:p>
        </w:tc>
      </w:tr>
      <w:tr w:rsidR="00C925E9">
        <w:trPr>
          <w:jc w:val="center"/>
        </w:trPr>
        <w:tc>
          <w:tcPr>
            <w:tcW w:w="2268" w:type="dxa"/>
            <w:tcBorders>
              <w:bottom w:val="single" w:sz="4" w:space="0" w:color="auto"/>
            </w:tcBorders>
            <w:vAlign w:val="bottom"/>
          </w:tcPr>
          <w:p w:rsidR="00C925E9" w:rsidRDefault="00C925E9" w:rsidP="00200C9F">
            <w:pPr>
              <w:pStyle w:val="Tabletext"/>
            </w:pPr>
          </w:p>
        </w:tc>
        <w:tc>
          <w:tcPr>
            <w:tcW w:w="1440" w:type="dxa"/>
            <w:tcBorders>
              <w:bottom w:val="single" w:sz="4" w:space="0" w:color="auto"/>
            </w:tcBorders>
            <w:vAlign w:val="bottom"/>
          </w:tcPr>
          <w:p w:rsidR="00C925E9" w:rsidRDefault="00C925E9" w:rsidP="00101785">
            <w:pPr>
              <w:pStyle w:val="Tabletext"/>
              <w:jc w:val="right"/>
            </w:pPr>
            <w:r>
              <w:t>Y95</w:t>
            </w:r>
          </w:p>
        </w:tc>
        <w:tc>
          <w:tcPr>
            <w:tcW w:w="1440" w:type="dxa"/>
            <w:tcBorders>
              <w:bottom w:val="single" w:sz="4" w:space="0" w:color="auto"/>
            </w:tcBorders>
            <w:vAlign w:val="bottom"/>
          </w:tcPr>
          <w:p w:rsidR="00C925E9" w:rsidRDefault="00C925E9" w:rsidP="00101785">
            <w:pPr>
              <w:pStyle w:val="Tabletext"/>
              <w:jc w:val="right"/>
            </w:pPr>
            <w:r>
              <w:t>Y98</w:t>
            </w:r>
          </w:p>
        </w:tc>
        <w:tc>
          <w:tcPr>
            <w:tcW w:w="1440" w:type="dxa"/>
            <w:tcBorders>
              <w:bottom w:val="single" w:sz="4" w:space="0" w:color="auto"/>
            </w:tcBorders>
            <w:vAlign w:val="bottom"/>
          </w:tcPr>
          <w:p w:rsidR="00C925E9" w:rsidRDefault="00C925E9" w:rsidP="00101785">
            <w:pPr>
              <w:pStyle w:val="Tabletext"/>
              <w:jc w:val="right"/>
            </w:pPr>
            <w:r>
              <w:t>Y03</w:t>
            </w:r>
          </w:p>
        </w:tc>
        <w:tc>
          <w:tcPr>
            <w:tcW w:w="1440" w:type="dxa"/>
            <w:tcBorders>
              <w:bottom w:val="single" w:sz="4" w:space="0" w:color="auto"/>
            </w:tcBorders>
          </w:tcPr>
          <w:p w:rsidR="00C925E9" w:rsidRDefault="00C925E9" w:rsidP="00101785">
            <w:pPr>
              <w:pStyle w:val="Tabletext"/>
              <w:jc w:val="right"/>
            </w:pPr>
            <w:r>
              <w:t>Y03 – projected</w:t>
            </w:r>
          </w:p>
        </w:tc>
      </w:tr>
      <w:tr w:rsidR="00C925E9">
        <w:trPr>
          <w:jc w:val="center"/>
        </w:trPr>
        <w:tc>
          <w:tcPr>
            <w:tcW w:w="2268" w:type="dxa"/>
            <w:tcBorders>
              <w:top w:val="single" w:sz="4" w:space="0" w:color="auto"/>
            </w:tcBorders>
            <w:vAlign w:val="bottom"/>
          </w:tcPr>
          <w:p w:rsidR="00C925E9" w:rsidRDefault="00C925E9" w:rsidP="00200C9F">
            <w:pPr>
              <w:pStyle w:val="Tabletext"/>
            </w:pPr>
            <w:r>
              <w:t>No gap</w:t>
            </w:r>
          </w:p>
        </w:tc>
        <w:tc>
          <w:tcPr>
            <w:tcW w:w="1440" w:type="dxa"/>
            <w:tcBorders>
              <w:top w:val="single" w:sz="4" w:space="0" w:color="auto"/>
            </w:tcBorders>
            <w:vAlign w:val="bottom"/>
          </w:tcPr>
          <w:p w:rsidR="00C925E9" w:rsidRDefault="00C925E9" w:rsidP="00101785">
            <w:pPr>
              <w:pStyle w:val="Tabletext"/>
              <w:tabs>
                <w:tab w:val="decimal" w:pos="720"/>
              </w:tabs>
              <w:jc w:val="right"/>
            </w:pPr>
            <w:r>
              <w:t>85</w:t>
            </w:r>
          </w:p>
        </w:tc>
        <w:tc>
          <w:tcPr>
            <w:tcW w:w="1440" w:type="dxa"/>
            <w:tcBorders>
              <w:top w:val="single" w:sz="4" w:space="0" w:color="auto"/>
            </w:tcBorders>
            <w:vAlign w:val="bottom"/>
          </w:tcPr>
          <w:p w:rsidR="00C925E9" w:rsidRDefault="00C925E9" w:rsidP="00101785">
            <w:pPr>
              <w:pStyle w:val="Tabletext"/>
              <w:tabs>
                <w:tab w:val="decimal" w:pos="720"/>
              </w:tabs>
              <w:jc w:val="right"/>
            </w:pPr>
            <w:r>
              <w:t>78</w:t>
            </w:r>
          </w:p>
        </w:tc>
        <w:tc>
          <w:tcPr>
            <w:tcW w:w="1440" w:type="dxa"/>
            <w:tcBorders>
              <w:top w:val="single" w:sz="4" w:space="0" w:color="auto"/>
            </w:tcBorders>
            <w:vAlign w:val="bottom"/>
          </w:tcPr>
          <w:p w:rsidR="00C925E9" w:rsidRDefault="00C925E9" w:rsidP="00101785">
            <w:pPr>
              <w:pStyle w:val="Tabletext"/>
              <w:tabs>
                <w:tab w:val="decimal" w:pos="720"/>
              </w:tabs>
              <w:jc w:val="right"/>
            </w:pPr>
            <w:r>
              <w:t>83</w:t>
            </w:r>
          </w:p>
        </w:tc>
        <w:tc>
          <w:tcPr>
            <w:tcW w:w="1440" w:type="dxa"/>
            <w:tcBorders>
              <w:top w:val="single" w:sz="4" w:space="0" w:color="auto"/>
            </w:tcBorders>
          </w:tcPr>
          <w:p w:rsidR="00C925E9" w:rsidRDefault="00C925E9" w:rsidP="00101785">
            <w:pPr>
              <w:pStyle w:val="Tabletext"/>
              <w:tabs>
                <w:tab w:val="decimal" w:pos="720"/>
              </w:tabs>
              <w:jc w:val="right"/>
            </w:pPr>
            <w:r>
              <w:t>75</w:t>
            </w:r>
          </w:p>
        </w:tc>
      </w:tr>
      <w:tr w:rsidR="00C925E9">
        <w:trPr>
          <w:jc w:val="center"/>
        </w:trPr>
        <w:tc>
          <w:tcPr>
            <w:tcW w:w="2268" w:type="dxa"/>
            <w:vAlign w:val="bottom"/>
          </w:tcPr>
          <w:p w:rsidR="00C925E9" w:rsidRDefault="00C925E9" w:rsidP="00200C9F">
            <w:pPr>
              <w:pStyle w:val="Tabletext"/>
            </w:pPr>
            <w:r>
              <w:t>1 year gap</w:t>
            </w:r>
          </w:p>
        </w:tc>
        <w:tc>
          <w:tcPr>
            <w:tcW w:w="1440" w:type="dxa"/>
            <w:vAlign w:val="bottom"/>
          </w:tcPr>
          <w:p w:rsidR="00C925E9" w:rsidRDefault="00C925E9" w:rsidP="00101785">
            <w:pPr>
              <w:pStyle w:val="Tabletext"/>
              <w:tabs>
                <w:tab w:val="decimal" w:pos="720"/>
              </w:tabs>
              <w:jc w:val="right"/>
            </w:pPr>
            <w:r>
              <w:t>7</w:t>
            </w:r>
          </w:p>
        </w:tc>
        <w:tc>
          <w:tcPr>
            <w:tcW w:w="1440" w:type="dxa"/>
            <w:vAlign w:val="bottom"/>
          </w:tcPr>
          <w:p w:rsidR="00C925E9" w:rsidRDefault="00C925E9" w:rsidP="00101785">
            <w:pPr>
              <w:pStyle w:val="Tabletext"/>
              <w:tabs>
                <w:tab w:val="decimal" w:pos="720"/>
              </w:tabs>
              <w:jc w:val="right"/>
            </w:pPr>
            <w:r>
              <w:t>12</w:t>
            </w:r>
          </w:p>
        </w:tc>
        <w:tc>
          <w:tcPr>
            <w:tcW w:w="1440" w:type="dxa"/>
            <w:vAlign w:val="bottom"/>
          </w:tcPr>
          <w:p w:rsidR="00C925E9" w:rsidRDefault="00C925E9" w:rsidP="00101785">
            <w:pPr>
              <w:pStyle w:val="Tabletext"/>
              <w:tabs>
                <w:tab w:val="decimal" w:pos="720"/>
              </w:tabs>
              <w:jc w:val="right"/>
            </w:pPr>
            <w:r>
              <w:t>16</w:t>
            </w:r>
          </w:p>
        </w:tc>
        <w:tc>
          <w:tcPr>
            <w:tcW w:w="1440" w:type="dxa"/>
          </w:tcPr>
          <w:p w:rsidR="00C925E9" w:rsidRDefault="00C925E9" w:rsidP="00101785">
            <w:pPr>
              <w:pStyle w:val="Tabletext"/>
              <w:tabs>
                <w:tab w:val="decimal" w:pos="720"/>
              </w:tabs>
              <w:jc w:val="right"/>
            </w:pPr>
            <w:r>
              <w:t>16</w:t>
            </w:r>
          </w:p>
        </w:tc>
      </w:tr>
      <w:tr w:rsidR="00C925E9">
        <w:trPr>
          <w:jc w:val="center"/>
        </w:trPr>
        <w:tc>
          <w:tcPr>
            <w:tcW w:w="2268" w:type="dxa"/>
            <w:vAlign w:val="bottom"/>
          </w:tcPr>
          <w:p w:rsidR="00C925E9" w:rsidRDefault="00C925E9" w:rsidP="00200C9F">
            <w:pPr>
              <w:pStyle w:val="Tabletext"/>
            </w:pPr>
            <w:r>
              <w:t>2 year gap</w:t>
            </w:r>
          </w:p>
        </w:tc>
        <w:tc>
          <w:tcPr>
            <w:tcW w:w="1440" w:type="dxa"/>
            <w:vAlign w:val="bottom"/>
          </w:tcPr>
          <w:p w:rsidR="00C925E9" w:rsidRDefault="00C925E9" w:rsidP="00101785">
            <w:pPr>
              <w:pStyle w:val="Tabletext"/>
              <w:tabs>
                <w:tab w:val="decimal" w:pos="720"/>
              </w:tabs>
              <w:jc w:val="right"/>
            </w:pPr>
            <w:r>
              <w:t>3</w:t>
            </w:r>
          </w:p>
        </w:tc>
        <w:tc>
          <w:tcPr>
            <w:tcW w:w="1440" w:type="dxa"/>
            <w:vAlign w:val="bottom"/>
          </w:tcPr>
          <w:p w:rsidR="00C925E9" w:rsidRDefault="00C925E9" w:rsidP="00101785">
            <w:pPr>
              <w:pStyle w:val="Tabletext"/>
              <w:tabs>
                <w:tab w:val="decimal" w:pos="720"/>
              </w:tabs>
              <w:jc w:val="right"/>
            </w:pPr>
            <w:r>
              <w:t>4</w:t>
            </w:r>
          </w:p>
        </w:tc>
        <w:tc>
          <w:tcPr>
            <w:tcW w:w="1440" w:type="dxa"/>
            <w:vAlign w:val="bottom"/>
          </w:tcPr>
          <w:p w:rsidR="00C925E9" w:rsidRDefault="00C925E9" w:rsidP="00101785">
            <w:pPr>
              <w:pStyle w:val="Tabletext"/>
              <w:tabs>
                <w:tab w:val="decimal" w:pos="720"/>
              </w:tabs>
              <w:jc w:val="right"/>
            </w:pPr>
            <w:r>
              <w:t>1</w:t>
            </w:r>
          </w:p>
        </w:tc>
        <w:tc>
          <w:tcPr>
            <w:tcW w:w="1440" w:type="dxa"/>
          </w:tcPr>
          <w:p w:rsidR="00C925E9" w:rsidRDefault="00C925E9" w:rsidP="00101785">
            <w:pPr>
              <w:pStyle w:val="Tabletext"/>
              <w:tabs>
                <w:tab w:val="decimal" w:pos="720"/>
              </w:tabs>
              <w:jc w:val="right"/>
            </w:pPr>
            <w:r>
              <w:t>4</w:t>
            </w:r>
          </w:p>
        </w:tc>
      </w:tr>
      <w:tr w:rsidR="00C925E9" w:rsidTr="00B70A39">
        <w:trPr>
          <w:jc w:val="center"/>
        </w:trPr>
        <w:tc>
          <w:tcPr>
            <w:tcW w:w="2268" w:type="dxa"/>
            <w:vAlign w:val="bottom"/>
          </w:tcPr>
          <w:p w:rsidR="00C925E9" w:rsidRDefault="00C925E9" w:rsidP="00200C9F">
            <w:pPr>
              <w:pStyle w:val="Tabletext"/>
            </w:pPr>
            <w:r>
              <w:t>Later entrants</w:t>
            </w:r>
          </w:p>
        </w:tc>
        <w:tc>
          <w:tcPr>
            <w:tcW w:w="1440" w:type="dxa"/>
            <w:vAlign w:val="bottom"/>
          </w:tcPr>
          <w:p w:rsidR="00C925E9" w:rsidRDefault="00C925E9" w:rsidP="00101785">
            <w:pPr>
              <w:pStyle w:val="Tabletext"/>
              <w:tabs>
                <w:tab w:val="decimal" w:pos="720"/>
              </w:tabs>
              <w:jc w:val="right"/>
            </w:pPr>
            <w:r>
              <w:t>5</w:t>
            </w:r>
          </w:p>
        </w:tc>
        <w:tc>
          <w:tcPr>
            <w:tcW w:w="1440" w:type="dxa"/>
            <w:vAlign w:val="bottom"/>
          </w:tcPr>
          <w:p w:rsidR="00C925E9" w:rsidRDefault="00C925E9" w:rsidP="00101785">
            <w:pPr>
              <w:pStyle w:val="Tabletext"/>
              <w:tabs>
                <w:tab w:val="decimal" w:pos="720"/>
              </w:tabs>
              <w:jc w:val="right"/>
            </w:pPr>
            <w:r>
              <w:t>5</w:t>
            </w:r>
          </w:p>
        </w:tc>
        <w:tc>
          <w:tcPr>
            <w:tcW w:w="1440" w:type="dxa"/>
            <w:vAlign w:val="bottom"/>
          </w:tcPr>
          <w:p w:rsidR="00C925E9" w:rsidRDefault="00C925E9" w:rsidP="00101785">
            <w:pPr>
              <w:pStyle w:val="Tabletext"/>
              <w:tabs>
                <w:tab w:val="decimal" w:pos="720"/>
              </w:tabs>
              <w:jc w:val="right"/>
            </w:pPr>
            <w:r>
              <w:t>na</w:t>
            </w:r>
          </w:p>
        </w:tc>
        <w:tc>
          <w:tcPr>
            <w:tcW w:w="1440" w:type="dxa"/>
          </w:tcPr>
          <w:p w:rsidR="00C925E9" w:rsidRDefault="00C925E9" w:rsidP="00101785">
            <w:pPr>
              <w:pStyle w:val="Tabletext"/>
              <w:tabs>
                <w:tab w:val="decimal" w:pos="720"/>
              </w:tabs>
              <w:jc w:val="right"/>
            </w:pPr>
            <w:r>
              <w:t>5</w:t>
            </w:r>
          </w:p>
        </w:tc>
      </w:tr>
      <w:tr w:rsidR="00C925E9" w:rsidRPr="00927A64" w:rsidTr="00B70A39">
        <w:trPr>
          <w:jc w:val="center"/>
        </w:trPr>
        <w:tc>
          <w:tcPr>
            <w:tcW w:w="2268" w:type="dxa"/>
            <w:vAlign w:val="bottom"/>
          </w:tcPr>
          <w:p w:rsidR="00C925E9" w:rsidRPr="00927A64" w:rsidRDefault="00C925E9" w:rsidP="00200C9F">
            <w:pPr>
              <w:pStyle w:val="Tabletext"/>
              <w:rPr>
                <w:b/>
              </w:rPr>
            </w:pPr>
            <w:r w:rsidRPr="00927A64">
              <w:rPr>
                <w:b/>
              </w:rPr>
              <w:t>Total commencements (%)</w:t>
            </w:r>
          </w:p>
        </w:tc>
        <w:tc>
          <w:tcPr>
            <w:tcW w:w="1440" w:type="dxa"/>
            <w:vAlign w:val="bottom"/>
          </w:tcPr>
          <w:p w:rsidR="00C925E9" w:rsidRPr="00927A64" w:rsidRDefault="00C925E9" w:rsidP="00101785">
            <w:pPr>
              <w:pStyle w:val="Tabletext"/>
              <w:tabs>
                <w:tab w:val="decimal" w:pos="720"/>
              </w:tabs>
              <w:jc w:val="right"/>
              <w:rPr>
                <w:b/>
              </w:rPr>
            </w:pPr>
            <w:r w:rsidRPr="00927A64">
              <w:rPr>
                <w:b/>
              </w:rPr>
              <w:t>100</w:t>
            </w:r>
          </w:p>
        </w:tc>
        <w:tc>
          <w:tcPr>
            <w:tcW w:w="1440" w:type="dxa"/>
            <w:vAlign w:val="bottom"/>
          </w:tcPr>
          <w:p w:rsidR="00C925E9" w:rsidRPr="00927A64" w:rsidRDefault="00C925E9" w:rsidP="00101785">
            <w:pPr>
              <w:pStyle w:val="Tabletext"/>
              <w:tabs>
                <w:tab w:val="decimal" w:pos="720"/>
              </w:tabs>
              <w:jc w:val="right"/>
              <w:rPr>
                <w:b/>
              </w:rPr>
            </w:pPr>
            <w:r w:rsidRPr="00927A64">
              <w:rPr>
                <w:b/>
              </w:rPr>
              <w:t>100</w:t>
            </w:r>
          </w:p>
        </w:tc>
        <w:tc>
          <w:tcPr>
            <w:tcW w:w="1440" w:type="dxa"/>
            <w:vAlign w:val="bottom"/>
          </w:tcPr>
          <w:p w:rsidR="00C925E9" w:rsidRPr="00927A64" w:rsidRDefault="00C925E9" w:rsidP="00101785">
            <w:pPr>
              <w:pStyle w:val="Tabletext"/>
              <w:tabs>
                <w:tab w:val="decimal" w:pos="720"/>
              </w:tabs>
              <w:jc w:val="right"/>
              <w:rPr>
                <w:b/>
              </w:rPr>
            </w:pPr>
            <w:r w:rsidRPr="00927A64">
              <w:rPr>
                <w:b/>
              </w:rPr>
              <w:t>100</w:t>
            </w:r>
          </w:p>
        </w:tc>
        <w:tc>
          <w:tcPr>
            <w:tcW w:w="1440" w:type="dxa"/>
          </w:tcPr>
          <w:p w:rsidR="00C925E9" w:rsidRPr="00927A64" w:rsidRDefault="00C925E9" w:rsidP="00101785">
            <w:pPr>
              <w:pStyle w:val="Tabletext"/>
              <w:tabs>
                <w:tab w:val="decimal" w:pos="720"/>
              </w:tabs>
              <w:jc w:val="right"/>
              <w:rPr>
                <w:b/>
              </w:rPr>
            </w:pPr>
            <w:r>
              <w:rPr>
                <w:b/>
              </w:rPr>
              <w:t>100</w:t>
            </w:r>
          </w:p>
        </w:tc>
      </w:tr>
      <w:tr w:rsidR="00C925E9" w:rsidRPr="00927A64">
        <w:trPr>
          <w:jc w:val="center"/>
        </w:trPr>
        <w:tc>
          <w:tcPr>
            <w:tcW w:w="2268" w:type="dxa"/>
            <w:vAlign w:val="bottom"/>
          </w:tcPr>
          <w:p w:rsidR="00C925E9" w:rsidRPr="00927A64" w:rsidRDefault="00C925E9" w:rsidP="00200C9F">
            <w:pPr>
              <w:pStyle w:val="Tabletext"/>
              <w:rPr>
                <w:b/>
              </w:rPr>
            </w:pPr>
            <w:r w:rsidRPr="00927A64">
              <w:rPr>
                <w:b/>
              </w:rPr>
              <w:t>Total commencements (N)</w:t>
            </w:r>
          </w:p>
        </w:tc>
        <w:tc>
          <w:tcPr>
            <w:tcW w:w="1440" w:type="dxa"/>
            <w:vAlign w:val="bottom"/>
          </w:tcPr>
          <w:p w:rsidR="00C925E9" w:rsidRPr="00927A64" w:rsidRDefault="00C925E9" w:rsidP="00101785">
            <w:pPr>
              <w:pStyle w:val="Tabletext"/>
              <w:tabs>
                <w:tab w:val="decimal" w:pos="720"/>
              </w:tabs>
              <w:jc w:val="right"/>
              <w:rPr>
                <w:b/>
              </w:rPr>
            </w:pPr>
            <w:r w:rsidRPr="00927A64">
              <w:rPr>
                <w:b/>
              </w:rPr>
              <w:t>3535</w:t>
            </w:r>
          </w:p>
        </w:tc>
        <w:tc>
          <w:tcPr>
            <w:tcW w:w="1440" w:type="dxa"/>
            <w:vAlign w:val="bottom"/>
          </w:tcPr>
          <w:p w:rsidR="00C925E9" w:rsidRPr="00927A64" w:rsidRDefault="00C925E9" w:rsidP="00101785">
            <w:pPr>
              <w:pStyle w:val="Tabletext"/>
              <w:tabs>
                <w:tab w:val="decimal" w:pos="720"/>
              </w:tabs>
              <w:jc w:val="right"/>
              <w:rPr>
                <w:b/>
              </w:rPr>
            </w:pPr>
            <w:r w:rsidRPr="00927A64">
              <w:rPr>
                <w:b/>
              </w:rPr>
              <w:t>3370</w:t>
            </w:r>
          </w:p>
        </w:tc>
        <w:tc>
          <w:tcPr>
            <w:tcW w:w="1440" w:type="dxa"/>
            <w:vAlign w:val="bottom"/>
          </w:tcPr>
          <w:p w:rsidR="00C925E9" w:rsidRPr="00927A64" w:rsidRDefault="00C925E9" w:rsidP="00101785">
            <w:pPr>
              <w:pStyle w:val="Tabletext"/>
              <w:tabs>
                <w:tab w:val="decimal" w:pos="720"/>
              </w:tabs>
              <w:jc w:val="right"/>
              <w:rPr>
                <w:b/>
              </w:rPr>
            </w:pPr>
            <w:r w:rsidRPr="00927A64">
              <w:rPr>
                <w:b/>
              </w:rPr>
              <w:t>3361</w:t>
            </w:r>
          </w:p>
        </w:tc>
        <w:tc>
          <w:tcPr>
            <w:tcW w:w="1440" w:type="dxa"/>
          </w:tcPr>
          <w:p w:rsidR="00C925E9" w:rsidRPr="00927A64" w:rsidRDefault="00C925E9" w:rsidP="00101785">
            <w:pPr>
              <w:pStyle w:val="Tabletext"/>
              <w:tabs>
                <w:tab w:val="decimal" w:pos="720"/>
              </w:tabs>
              <w:jc w:val="right"/>
              <w:rPr>
                <w:b/>
              </w:rPr>
            </w:pPr>
            <w:r>
              <w:rPr>
                <w:b/>
              </w:rPr>
              <w:t>3400</w:t>
            </w:r>
          </w:p>
        </w:tc>
      </w:tr>
      <w:tr w:rsidR="00C925E9" w:rsidRPr="00927A64">
        <w:trPr>
          <w:jc w:val="center"/>
        </w:trPr>
        <w:tc>
          <w:tcPr>
            <w:tcW w:w="2268" w:type="dxa"/>
            <w:vAlign w:val="bottom"/>
          </w:tcPr>
          <w:p w:rsidR="00C925E9" w:rsidRPr="00927A64" w:rsidRDefault="00C925E9" w:rsidP="00200C9F">
            <w:pPr>
              <w:pStyle w:val="Tabletext"/>
              <w:rPr>
                <w:b/>
              </w:rPr>
            </w:pPr>
            <w:r w:rsidRPr="00927A64">
              <w:rPr>
                <w:b/>
              </w:rPr>
              <w:t>Total gappers (%)</w:t>
            </w:r>
          </w:p>
        </w:tc>
        <w:tc>
          <w:tcPr>
            <w:tcW w:w="1440" w:type="dxa"/>
            <w:vAlign w:val="bottom"/>
          </w:tcPr>
          <w:p w:rsidR="00C925E9" w:rsidRPr="00927A64" w:rsidRDefault="00C925E9" w:rsidP="00101785">
            <w:pPr>
              <w:pStyle w:val="Tabletext"/>
              <w:tabs>
                <w:tab w:val="decimal" w:pos="720"/>
              </w:tabs>
              <w:jc w:val="right"/>
              <w:rPr>
                <w:b/>
              </w:rPr>
            </w:pPr>
            <w:r>
              <w:rPr>
                <w:b/>
              </w:rPr>
              <w:t>10</w:t>
            </w:r>
          </w:p>
        </w:tc>
        <w:tc>
          <w:tcPr>
            <w:tcW w:w="1440" w:type="dxa"/>
            <w:vAlign w:val="bottom"/>
          </w:tcPr>
          <w:p w:rsidR="00C925E9" w:rsidRPr="00927A64" w:rsidRDefault="00C925E9" w:rsidP="00101785">
            <w:pPr>
              <w:pStyle w:val="Tabletext"/>
              <w:tabs>
                <w:tab w:val="decimal" w:pos="720"/>
              </w:tabs>
              <w:jc w:val="right"/>
              <w:rPr>
                <w:b/>
              </w:rPr>
            </w:pPr>
            <w:r w:rsidRPr="00927A64">
              <w:rPr>
                <w:b/>
              </w:rPr>
              <w:t>16</w:t>
            </w:r>
          </w:p>
        </w:tc>
        <w:tc>
          <w:tcPr>
            <w:tcW w:w="1440" w:type="dxa"/>
            <w:vAlign w:val="bottom"/>
          </w:tcPr>
          <w:p w:rsidR="00C925E9" w:rsidRPr="00927A64" w:rsidRDefault="00C925E9" w:rsidP="00101785">
            <w:pPr>
              <w:pStyle w:val="Tabletext"/>
              <w:tabs>
                <w:tab w:val="decimal" w:pos="720"/>
              </w:tabs>
              <w:jc w:val="right"/>
              <w:rPr>
                <w:b/>
              </w:rPr>
            </w:pPr>
            <w:r>
              <w:rPr>
                <w:b/>
              </w:rPr>
              <w:t>16</w:t>
            </w:r>
          </w:p>
        </w:tc>
        <w:tc>
          <w:tcPr>
            <w:tcW w:w="1440" w:type="dxa"/>
          </w:tcPr>
          <w:p w:rsidR="00C925E9" w:rsidRPr="00927A64" w:rsidRDefault="00C925E9" w:rsidP="00101785">
            <w:pPr>
              <w:pStyle w:val="Tabletext"/>
              <w:tabs>
                <w:tab w:val="decimal" w:pos="720"/>
              </w:tabs>
              <w:jc w:val="right"/>
              <w:rPr>
                <w:b/>
              </w:rPr>
            </w:pPr>
            <w:r>
              <w:rPr>
                <w:b/>
              </w:rPr>
              <w:t>20</w:t>
            </w:r>
          </w:p>
        </w:tc>
      </w:tr>
      <w:tr w:rsidR="00C925E9" w:rsidRPr="00927A64">
        <w:trPr>
          <w:jc w:val="center"/>
        </w:trPr>
        <w:tc>
          <w:tcPr>
            <w:tcW w:w="2268" w:type="dxa"/>
            <w:tcBorders>
              <w:bottom w:val="single" w:sz="4" w:space="0" w:color="auto"/>
            </w:tcBorders>
            <w:vAlign w:val="bottom"/>
          </w:tcPr>
          <w:p w:rsidR="00C925E9" w:rsidRPr="00927A64" w:rsidRDefault="00C925E9" w:rsidP="00200C9F">
            <w:pPr>
              <w:pStyle w:val="Tabletext"/>
              <w:rPr>
                <w:b/>
              </w:rPr>
            </w:pPr>
            <w:r w:rsidRPr="00927A64">
              <w:rPr>
                <w:b/>
              </w:rPr>
              <w:t>Total gappers (N)</w:t>
            </w:r>
          </w:p>
        </w:tc>
        <w:tc>
          <w:tcPr>
            <w:tcW w:w="1440" w:type="dxa"/>
            <w:tcBorders>
              <w:bottom w:val="single" w:sz="4" w:space="0" w:color="auto"/>
            </w:tcBorders>
            <w:vAlign w:val="bottom"/>
          </w:tcPr>
          <w:p w:rsidR="00C925E9" w:rsidRPr="00927A64" w:rsidRDefault="00C925E9" w:rsidP="00101785">
            <w:pPr>
              <w:pStyle w:val="Tabletext"/>
              <w:tabs>
                <w:tab w:val="decimal" w:pos="720"/>
              </w:tabs>
              <w:jc w:val="right"/>
              <w:rPr>
                <w:b/>
              </w:rPr>
            </w:pPr>
            <w:r w:rsidRPr="00927A64">
              <w:rPr>
                <w:b/>
              </w:rPr>
              <w:t>366</w:t>
            </w:r>
          </w:p>
        </w:tc>
        <w:tc>
          <w:tcPr>
            <w:tcW w:w="1440" w:type="dxa"/>
            <w:tcBorders>
              <w:bottom w:val="single" w:sz="4" w:space="0" w:color="auto"/>
            </w:tcBorders>
            <w:vAlign w:val="bottom"/>
          </w:tcPr>
          <w:p w:rsidR="00C925E9" w:rsidRPr="00927A64" w:rsidRDefault="00C925E9" w:rsidP="00101785">
            <w:pPr>
              <w:pStyle w:val="Tabletext"/>
              <w:tabs>
                <w:tab w:val="decimal" w:pos="720"/>
              </w:tabs>
              <w:jc w:val="right"/>
              <w:rPr>
                <w:b/>
              </w:rPr>
            </w:pPr>
            <w:r w:rsidRPr="00927A64">
              <w:rPr>
                <w:b/>
              </w:rPr>
              <w:t>549</w:t>
            </w:r>
          </w:p>
        </w:tc>
        <w:tc>
          <w:tcPr>
            <w:tcW w:w="1440" w:type="dxa"/>
            <w:tcBorders>
              <w:bottom w:val="single" w:sz="4" w:space="0" w:color="auto"/>
            </w:tcBorders>
            <w:vAlign w:val="bottom"/>
          </w:tcPr>
          <w:p w:rsidR="00C925E9" w:rsidRPr="00927A64" w:rsidRDefault="00C925E9" w:rsidP="00101785">
            <w:pPr>
              <w:pStyle w:val="Tabletext"/>
              <w:tabs>
                <w:tab w:val="decimal" w:pos="720"/>
              </w:tabs>
              <w:jc w:val="right"/>
              <w:rPr>
                <w:b/>
              </w:rPr>
            </w:pPr>
            <w:r w:rsidRPr="00927A64">
              <w:rPr>
                <w:b/>
              </w:rPr>
              <w:t>542</w:t>
            </w:r>
          </w:p>
        </w:tc>
        <w:tc>
          <w:tcPr>
            <w:tcW w:w="1440" w:type="dxa"/>
            <w:tcBorders>
              <w:bottom w:val="single" w:sz="4" w:space="0" w:color="auto"/>
            </w:tcBorders>
          </w:tcPr>
          <w:p w:rsidR="00C925E9" w:rsidRPr="00927A64" w:rsidRDefault="00C925E9" w:rsidP="00101785">
            <w:pPr>
              <w:pStyle w:val="Tabletext"/>
              <w:tabs>
                <w:tab w:val="decimal" w:pos="720"/>
              </w:tabs>
              <w:jc w:val="right"/>
              <w:rPr>
                <w:b/>
              </w:rPr>
            </w:pPr>
            <w:r>
              <w:rPr>
                <w:b/>
              </w:rPr>
              <w:t>680</w:t>
            </w:r>
          </w:p>
        </w:tc>
      </w:tr>
    </w:tbl>
    <w:p w:rsidR="00C925E9" w:rsidRDefault="00C925E9" w:rsidP="00200C9F">
      <w:pPr>
        <w:pStyle w:val="Source"/>
        <w:tabs>
          <w:tab w:val="left" w:pos="993"/>
        </w:tabs>
        <w:ind w:left="993" w:hanging="993"/>
      </w:pPr>
      <w:r>
        <w:t xml:space="preserve">Notes: </w:t>
      </w:r>
      <w:r>
        <w:tab/>
        <w:t>Data are for students who complete Year 12. Some students who do not complete Year 12 also enter university after gaps that may include VET study.</w:t>
      </w:r>
      <w:r>
        <w:br/>
        <w:t>The proportion of university commencers taking more than two-year gaps is limited by the span of the data collections. For Y03, the data provide limited information on two-year gappers.</w:t>
      </w:r>
    </w:p>
    <w:p w:rsidR="00C925E9" w:rsidRDefault="00C925E9" w:rsidP="002E6BE2">
      <w:pPr>
        <w:pStyle w:val="Text"/>
        <w:spacing w:before="300"/>
        <w:ind w:right="0"/>
      </w:pPr>
      <w:r>
        <w:t xml:space="preserve">If we assume that the proportions of later entrants and two-year gappers are stable at 5% and 4% respectively, the final proportion of Y03 non-gappers will decline to about 75% (Y03: projected in table 2). Slight growth is apparent in two-year gap-taking between the Y95 and Y98 cohorts. If this growth were to continue, it is likely that two-year gap-taking in Y03 would be a little higher than is shown in table 2. </w:t>
      </w:r>
    </w:p>
    <w:p w:rsidR="00C925E9" w:rsidRDefault="00C925E9" w:rsidP="00200C9F">
      <w:pPr>
        <w:pStyle w:val="Text"/>
        <w:rPr>
          <w:lang w:val="en-US"/>
        </w:rPr>
      </w:pPr>
      <w:r>
        <w:rPr>
          <w:lang w:val="en-US"/>
        </w:rPr>
        <w:lastRenderedPageBreak/>
        <w:t>The characteristics of university entrants (gappers) are shown in table 3 (individual and home background characteristics) and table 4 (school-related characteristics) for the three cohorts. In these tables, the current incidence of gap-taking for the Y03 cohort is used. It is almost certain that, for the Y03 cohort, the numbers of gap-takers, especially two-year and long-term gappers, will increase.</w:t>
      </w:r>
    </w:p>
    <w:p w:rsidR="00C925E9" w:rsidRDefault="00C925E9" w:rsidP="00200C9F">
      <w:pPr>
        <w:pStyle w:val="Text"/>
        <w:rPr>
          <w:lang w:val="en-US"/>
        </w:rPr>
      </w:pPr>
      <w:r>
        <w:rPr>
          <w:lang w:val="en-US"/>
        </w:rPr>
        <w:t>Gappers differ from non-gappers on two demographic variables:</w:t>
      </w:r>
    </w:p>
    <w:p w:rsidR="00C925E9" w:rsidRDefault="00C925E9" w:rsidP="00200C9F">
      <w:pPr>
        <w:pStyle w:val="Dotpoint1"/>
      </w:pPr>
      <w:r w:rsidRPr="00A147A3">
        <w:t>Students</w:t>
      </w:r>
      <w:r>
        <w:rPr>
          <w:lang w:val="en-US"/>
        </w:rPr>
        <w:t xml:space="preserve"> from regional or rural locations are more likely to take a gap year than metropolitan students.</w:t>
      </w:r>
    </w:p>
    <w:p w:rsidR="00C925E9" w:rsidRDefault="00C925E9" w:rsidP="00200C9F">
      <w:pPr>
        <w:pStyle w:val="Dotpoint1"/>
        <w:rPr>
          <w:lang w:val="en-US"/>
        </w:rPr>
      </w:pPr>
      <w:r w:rsidRPr="00A147A3">
        <w:t>Students from home</w:t>
      </w:r>
      <w:r>
        <w:t>s</w:t>
      </w:r>
      <w:r w:rsidRPr="00A147A3">
        <w:t xml:space="preserve"> where English is the dominant language are more likely to be gap-takers</w:t>
      </w:r>
      <w:r>
        <w:rPr>
          <w:lang w:val="en-US"/>
        </w:rPr>
        <w:t xml:space="preserve"> than students from non-English speaking households.</w:t>
      </w:r>
    </w:p>
    <w:p w:rsidR="00C925E9" w:rsidRDefault="00C925E9" w:rsidP="00200C9F">
      <w:pPr>
        <w:pStyle w:val="Text"/>
        <w:rPr>
          <w:lang w:val="en-US"/>
        </w:rPr>
      </w:pPr>
      <w:r>
        <w:rPr>
          <w:lang w:val="en-US"/>
        </w:rPr>
        <w:t>There has been a trend increase in the incidence of gap-taking across the three cohorts. However, the relationships between gap-taking and other characteristics (for example, gender and socioeconomic status) are weak and/or inconsistent across the cohorts. For the Y95 cohort, low and low-to-medium socioeconomic individuals are more likely to be gap-takers, but in the Y98 and Y03 cohorts, the effect is not apparent. The socioeconomic status measure used in Y95 and Y98 was based on the ANU3 occupational scale, while for Y03 the International Socioeconomic Index (ISEI) was used (see appendix 1 for more detail on socioeconomic status).</w:t>
      </w:r>
    </w:p>
    <w:p w:rsidR="00374F9E" w:rsidRPr="00374F9E" w:rsidRDefault="00374F9E" w:rsidP="00374F9E">
      <w:pPr>
        <w:pStyle w:val="Text"/>
      </w:pPr>
      <w:r w:rsidRPr="00374F9E">
        <w:t>Differences between gappers and non-gappers are quite marked on some school-related variables, in particular, tertiary entrance scores, Year 9 academic achievement and attitude towards school.</w:t>
      </w:r>
    </w:p>
    <w:p w:rsidR="00374F9E" w:rsidRPr="00374F9E" w:rsidRDefault="00374F9E" w:rsidP="00374F9E">
      <w:pPr>
        <w:pStyle w:val="Text"/>
        <w:numPr>
          <w:ilvl w:val="0"/>
          <w:numId w:val="1"/>
        </w:numPr>
        <w:rPr>
          <w:lang w:val="en-US"/>
        </w:rPr>
      </w:pPr>
      <w:r w:rsidRPr="00374F9E">
        <w:rPr>
          <w:lang w:val="en-US"/>
        </w:rPr>
        <w:t xml:space="preserve">Students with low </w:t>
      </w:r>
      <w:r w:rsidRPr="00374F9E">
        <w:t>tertiary entrance</w:t>
      </w:r>
      <w:r w:rsidRPr="00374F9E">
        <w:rPr>
          <w:lang w:val="en-US"/>
        </w:rPr>
        <w:t xml:space="preserve"> scores are much more likely to take a gap year than those with high scores.</w:t>
      </w:r>
    </w:p>
    <w:p w:rsidR="00374F9E" w:rsidRPr="00374F9E" w:rsidRDefault="00374F9E" w:rsidP="00374F9E">
      <w:pPr>
        <w:pStyle w:val="Text"/>
        <w:numPr>
          <w:ilvl w:val="0"/>
          <w:numId w:val="1"/>
        </w:numPr>
        <w:rPr>
          <w:lang w:val="en-US"/>
        </w:rPr>
      </w:pPr>
      <w:r w:rsidRPr="00374F9E">
        <w:rPr>
          <w:lang w:val="en-US"/>
        </w:rPr>
        <w:t>Low-achieving students (at Year 9) are more likely to take a gap year than high-achieving individuals.</w:t>
      </w:r>
    </w:p>
    <w:p w:rsidR="00374F9E" w:rsidRPr="00374F9E" w:rsidRDefault="00374F9E" w:rsidP="00374F9E">
      <w:pPr>
        <w:pStyle w:val="Text"/>
        <w:numPr>
          <w:ilvl w:val="0"/>
          <w:numId w:val="1"/>
        </w:numPr>
        <w:rPr>
          <w:lang w:val="en-US"/>
        </w:rPr>
      </w:pPr>
      <w:r w:rsidRPr="00374F9E">
        <w:rPr>
          <w:lang w:val="en-US"/>
        </w:rPr>
        <w:t>Students (Y95 and Y98 cohorts) with less favourable attitudes towards school are more likely to take a gap year than those with more favourable attitudes.</w:t>
      </w:r>
    </w:p>
    <w:p w:rsidR="00374F9E" w:rsidRPr="00374F9E" w:rsidRDefault="00374F9E" w:rsidP="00374F9E">
      <w:pPr>
        <w:pStyle w:val="Text"/>
      </w:pPr>
      <w:r w:rsidRPr="00374F9E">
        <w:t>Gappers differ little from non-gappers on school sector.</w:t>
      </w:r>
    </w:p>
    <w:p w:rsidR="00374F9E" w:rsidRPr="00374F9E" w:rsidRDefault="00374F9E" w:rsidP="00374F9E">
      <w:pPr>
        <w:pStyle w:val="Text"/>
        <w:rPr>
          <w:lang w:val="en-US"/>
        </w:rPr>
      </w:pPr>
      <w:r w:rsidRPr="00374F9E">
        <w:rPr>
          <w:lang w:val="en-US"/>
        </w:rPr>
        <w:t>Some of the variables related to gap-taking may be correlated. It is useful to separate the effects of these variables through multivariate analyses in order to see which of them exerts a net influence on gap-taking.</w:t>
      </w:r>
    </w:p>
    <w:p w:rsidR="00374F9E" w:rsidRDefault="00374F9E" w:rsidP="00200C9F">
      <w:pPr>
        <w:pStyle w:val="Text"/>
        <w:rPr>
          <w:lang w:val="en-US"/>
        </w:rPr>
      </w:pPr>
    </w:p>
    <w:p w:rsidR="00374F9E" w:rsidRDefault="00374F9E">
      <w:pPr>
        <w:spacing w:before="0" w:line="240" w:lineRule="auto"/>
        <w:rPr>
          <w:rFonts w:ascii="Tahoma" w:hAnsi="Tahoma"/>
          <w:b/>
          <w:sz w:val="17"/>
        </w:rPr>
      </w:pPr>
      <w:bookmarkStart w:id="43" w:name="_Toc322691606"/>
      <w:r>
        <w:br w:type="page"/>
      </w:r>
    </w:p>
    <w:p w:rsidR="00C925E9" w:rsidRDefault="00C925E9" w:rsidP="00200C9F">
      <w:pPr>
        <w:pStyle w:val="tabletitle"/>
      </w:pPr>
      <w:r>
        <w:lastRenderedPageBreak/>
        <w:t>Table 3</w:t>
      </w:r>
      <w:r>
        <w:tab/>
        <w:t>Gap-taking status by individual demographic characteristics (%)</w:t>
      </w:r>
      <w:bookmarkEnd w:id="43"/>
    </w:p>
    <w:tbl>
      <w:tblPr>
        <w:tblW w:w="0" w:type="auto"/>
        <w:tblInd w:w="95" w:type="dxa"/>
        <w:tblLook w:val="0000"/>
      </w:tblPr>
      <w:tblGrid>
        <w:gridCol w:w="3600"/>
        <w:gridCol w:w="1440"/>
        <w:gridCol w:w="1440"/>
        <w:gridCol w:w="1440"/>
      </w:tblGrid>
      <w:tr w:rsidR="00C925E9" w:rsidRPr="00E31DE8">
        <w:tc>
          <w:tcPr>
            <w:tcW w:w="3600" w:type="dxa"/>
            <w:tcBorders>
              <w:top w:val="single" w:sz="4" w:space="0" w:color="auto"/>
              <w:left w:val="nil"/>
              <w:right w:val="nil"/>
            </w:tcBorders>
            <w:shd w:val="clear" w:color="auto" w:fill="auto"/>
            <w:vAlign w:val="bottom"/>
          </w:tcPr>
          <w:p w:rsidR="00C925E9" w:rsidRPr="00E31DE8" w:rsidRDefault="006D751E" w:rsidP="006D751E">
            <w:pPr>
              <w:pStyle w:val="Tablehead1"/>
            </w:pPr>
            <w:bookmarkStart w:id="44" w:name="OLE_LINK3"/>
            <w:bookmarkStart w:id="45" w:name="OLE_LINK4"/>
            <w:r>
              <w:t>Characteristics</w:t>
            </w:r>
          </w:p>
        </w:tc>
        <w:tc>
          <w:tcPr>
            <w:tcW w:w="4320" w:type="dxa"/>
            <w:gridSpan w:val="3"/>
            <w:tcBorders>
              <w:top w:val="single" w:sz="4" w:space="0" w:color="auto"/>
              <w:left w:val="nil"/>
              <w:right w:val="nil"/>
            </w:tcBorders>
            <w:shd w:val="clear" w:color="auto" w:fill="auto"/>
            <w:vAlign w:val="bottom"/>
          </w:tcPr>
          <w:p w:rsidR="00C925E9" w:rsidRPr="00E31DE8" w:rsidRDefault="00C925E9" w:rsidP="002E6BE2">
            <w:pPr>
              <w:pStyle w:val="Tablehead1"/>
              <w:ind w:right="286"/>
              <w:jc w:val="right"/>
            </w:pPr>
            <w:r>
              <w:t>All gappers (one- and two-years)</w:t>
            </w:r>
          </w:p>
        </w:tc>
      </w:tr>
      <w:tr w:rsidR="00C925E9" w:rsidRPr="00E31DE8">
        <w:tc>
          <w:tcPr>
            <w:tcW w:w="3600" w:type="dxa"/>
            <w:tcBorders>
              <w:left w:val="nil"/>
              <w:bottom w:val="single" w:sz="4" w:space="0" w:color="auto"/>
              <w:right w:val="nil"/>
            </w:tcBorders>
            <w:shd w:val="clear" w:color="auto" w:fill="auto"/>
            <w:vAlign w:val="bottom"/>
          </w:tcPr>
          <w:p w:rsidR="00C925E9" w:rsidRPr="00E31DE8" w:rsidRDefault="00C925E9" w:rsidP="00200C9F">
            <w:pPr>
              <w:pStyle w:val="Tablehead2"/>
            </w:pPr>
          </w:p>
        </w:tc>
        <w:tc>
          <w:tcPr>
            <w:tcW w:w="1440" w:type="dxa"/>
            <w:tcBorders>
              <w:left w:val="nil"/>
              <w:bottom w:val="single" w:sz="4" w:space="0" w:color="auto"/>
              <w:right w:val="nil"/>
            </w:tcBorders>
            <w:shd w:val="clear" w:color="auto" w:fill="auto"/>
            <w:vAlign w:val="bottom"/>
          </w:tcPr>
          <w:p w:rsidR="00C925E9" w:rsidRPr="00E31DE8" w:rsidRDefault="00C925E9" w:rsidP="006D751E">
            <w:pPr>
              <w:pStyle w:val="Tablehead2"/>
              <w:jc w:val="right"/>
            </w:pPr>
            <w:r>
              <w:t>Y95</w:t>
            </w:r>
          </w:p>
        </w:tc>
        <w:tc>
          <w:tcPr>
            <w:tcW w:w="1440" w:type="dxa"/>
            <w:tcBorders>
              <w:left w:val="nil"/>
              <w:bottom w:val="single" w:sz="4" w:space="0" w:color="auto"/>
              <w:right w:val="nil"/>
            </w:tcBorders>
            <w:shd w:val="clear" w:color="auto" w:fill="auto"/>
            <w:vAlign w:val="bottom"/>
          </w:tcPr>
          <w:p w:rsidR="00C925E9" w:rsidRPr="00E31DE8" w:rsidRDefault="00C925E9" w:rsidP="006D751E">
            <w:pPr>
              <w:pStyle w:val="Tablehead2"/>
              <w:jc w:val="right"/>
            </w:pPr>
            <w:r>
              <w:t>Y98</w:t>
            </w:r>
          </w:p>
        </w:tc>
        <w:tc>
          <w:tcPr>
            <w:tcW w:w="1440" w:type="dxa"/>
            <w:tcBorders>
              <w:left w:val="nil"/>
              <w:bottom w:val="single" w:sz="4" w:space="0" w:color="auto"/>
              <w:right w:val="nil"/>
            </w:tcBorders>
            <w:shd w:val="clear" w:color="auto" w:fill="auto"/>
            <w:vAlign w:val="bottom"/>
          </w:tcPr>
          <w:p w:rsidR="00C925E9" w:rsidRPr="00E31DE8" w:rsidRDefault="00C925E9" w:rsidP="006D751E">
            <w:pPr>
              <w:pStyle w:val="Tablehead2"/>
              <w:jc w:val="right"/>
            </w:pPr>
            <w:r>
              <w:t>Y03</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pPr>
            <w:r w:rsidRPr="00E31DE8">
              <w:t>Gender</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t>Fem</w:t>
            </w:r>
            <w:r w:rsidRPr="00E31DE8">
              <w:t>ale</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10</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17</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17</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t>M</w:t>
            </w:r>
            <w:r w:rsidRPr="00E31DE8">
              <w:t>ale</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11</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16</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16</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rsidRPr="00E31DE8">
              <w:t>Unknown</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pPr>
            <w:r>
              <w:t>Location</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rsidRPr="00E31DE8">
              <w:t xml:space="preserve">Metro </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9</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14</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14</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rsidRPr="00E31DE8">
              <w:t>Regional</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13</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21</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24</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rsidRPr="00E31DE8">
              <w:t>Rural</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13*</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18*</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36*</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rsidRPr="00E31DE8">
              <w:t>Unknown</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pPr>
            <w:r>
              <w:t>Socio</w:t>
            </w:r>
            <w:r w:rsidRPr="00E31DE8">
              <w:t>economic status</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t>Low SES</w:t>
            </w:r>
            <w:r w:rsidRPr="00E31DE8">
              <w:t xml:space="preserve"> quartile</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11</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16</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18</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t xml:space="preserve">Low–medium SES </w:t>
            </w:r>
            <w:r w:rsidRPr="00E31DE8">
              <w:t>quartile</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14</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18</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14</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t xml:space="preserve">Medium–high SES </w:t>
            </w:r>
            <w:r w:rsidRPr="00E31DE8">
              <w:t>quartile</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9</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19</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15</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t xml:space="preserve">High SES </w:t>
            </w:r>
            <w:r w:rsidRPr="00E31DE8">
              <w:t>quartile</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9</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15</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17</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rsidRPr="00E31DE8">
              <w:t>Unknown</w:t>
            </w:r>
            <w:r>
              <w:t xml:space="preserve"> SES</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11</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w:t>
            </w:r>
          </w:p>
        </w:tc>
      </w:tr>
      <w:tr w:rsidR="00C925E9" w:rsidRPr="00E31DE8">
        <w:trPr>
          <w:trHeight w:val="255"/>
        </w:trPr>
        <w:tc>
          <w:tcPr>
            <w:tcW w:w="3600" w:type="dxa"/>
            <w:tcBorders>
              <w:top w:val="nil"/>
              <w:left w:val="nil"/>
              <w:bottom w:val="nil"/>
              <w:right w:val="nil"/>
            </w:tcBorders>
            <w:shd w:val="clear" w:color="auto" w:fill="auto"/>
            <w:vAlign w:val="bottom"/>
          </w:tcPr>
          <w:p w:rsidR="00C925E9" w:rsidRDefault="00C925E9" w:rsidP="00200C9F">
            <w:pPr>
              <w:pStyle w:val="Tabletext"/>
            </w:pPr>
            <w:r>
              <w:t>P</w:t>
            </w:r>
            <w:r w:rsidRPr="00E31DE8">
              <w:t>arent</w:t>
            </w:r>
            <w:r>
              <w:t>al</w:t>
            </w:r>
            <w:r w:rsidRPr="00E31DE8">
              <w:t xml:space="preserve"> educatio</w:t>
            </w:r>
            <w:r>
              <w:t>n</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t>Did not complete</w:t>
            </w:r>
            <w:r w:rsidRPr="00E31DE8">
              <w:t xml:space="preserve"> secondary school</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12</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13</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17</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rsidRPr="00E31DE8">
              <w:t>Completed secondary school</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10</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18</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17</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t xml:space="preserve">Technical </w:t>
            </w:r>
            <w:r w:rsidRPr="00E31DE8">
              <w:t>qualification</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8</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19</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14</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rsidRPr="00E31DE8">
              <w:t>University qualification</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10</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16</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13</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rsidRPr="00E31DE8">
              <w:t>Unknown</w:t>
            </w:r>
            <w:r>
              <w:t xml:space="preserve"> parental education</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11*</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18*</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pPr>
            <w:r>
              <w:t xml:space="preserve">Language </w:t>
            </w:r>
            <w:r w:rsidRPr="00E31DE8">
              <w:t>background</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t>Non-English speaking</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6</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10</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10</w:t>
            </w:r>
          </w:p>
        </w:tc>
      </w:tr>
      <w:tr w:rsidR="00C925E9" w:rsidRPr="00E31DE8">
        <w:trPr>
          <w:trHeight w:val="255"/>
        </w:trPr>
        <w:tc>
          <w:tcPr>
            <w:tcW w:w="3600" w:type="dxa"/>
            <w:tcBorders>
              <w:top w:val="nil"/>
              <w:left w:val="nil"/>
              <w:bottom w:val="nil"/>
              <w:right w:val="nil"/>
            </w:tcBorders>
            <w:shd w:val="clear" w:color="auto" w:fill="auto"/>
            <w:vAlign w:val="bottom"/>
          </w:tcPr>
          <w:p w:rsidR="00C925E9" w:rsidRPr="00E31DE8" w:rsidRDefault="00C925E9" w:rsidP="00200C9F">
            <w:pPr>
              <w:pStyle w:val="Tabletext"/>
              <w:ind w:left="189"/>
            </w:pPr>
            <w:r w:rsidRPr="00E31DE8">
              <w:t>English</w:t>
            </w:r>
            <w:r>
              <w:t xml:space="preserve"> speaking</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11</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17</w:t>
            </w:r>
          </w:p>
        </w:tc>
        <w:tc>
          <w:tcPr>
            <w:tcW w:w="1440" w:type="dxa"/>
            <w:tcBorders>
              <w:top w:val="nil"/>
              <w:left w:val="nil"/>
              <w:bottom w:val="nil"/>
              <w:right w:val="nil"/>
            </w:tcBorders>
            <w:shd w:val="clear" w:color="auto" w:fill="auto"/>
            <w:vAlign w:val="bottom"/>
          </w:tcPr>
          <w:p w:rsidR="00C925E9" w:rsidRPr="00E31DE8" w:rsidRDefault="00C925E9" w:rsidP="006D751E">
            <w:pPr>
              <w:pStyle w:val="Tabletext"/>
              <w:tabs>
                <w:tab w:val="decimal" w:pos="720"/>
              </w:tabs>
              <w:jc w:val="right"/>
            </w:pPr>
            <w:r>
              <w:t>17</w:t>
            </w:r>
          </w:p>
        </w:tc>
      </w:tr>
      <w:tr w:rsidR="00C925E9" w:rsidRPr="00E31DE8" w:rsidTr="00B70A39">
        <w:trPr>
          <w:trHeight w:val="255"/>
        </w:trPr>
        <w:tc>
          <w:tcPr>
            <w:tcW w:w="3600" w:type="dxa"/>
            <w:tcBorders>
              <w:top w:val="nil"/>
              <w:left w:val="nil"/>
              <w:right w:val="nil"/>
            </w:tcBorders>
            <w:shd w:val="clear" w:color="auto" w:fill="auto"/>
            <w:vAlign w:val="bottom"/>
          </w:tcPr>
          <w:p w:rsidR="00C925E9" w:rsidRPr="00E31DE8" w:rsidRDefault="00C925E9" w:rsidP="00200C9F">
            <w:pPr>
              <w:pStyle w:val="Tabletext"/>
              <w:ind w:left="189"/>
            </w:pPr>
            <w:r w:rsidRPr="00E31DE8">
              <w:t>Unknown</w:t>
            </w:r>
            <w:r>
              <w:t xml:space="preserve"> language background</w:t>
            </w:r>
          </w:p>
        </w:tc>
        <w:tc>
          <w:tcPr>
            <w:tcW w:w="1440" w:type="dxa"/>
            <w:tcBorders>
              <w:top w:val="nil"/>
              <w:left w:val="nil"/>
              <w:right w:val="nil"/>
            </w:tcBorders>
            <w:shd w:val="clear" w:color="auto" w:fill="auto"/>
            <w:vAlign w:val="bottom"/>
          </w:tcPr>
          <w:p w:rsidR="00C925E9" w:rsidRPr="00E31DE8" w:rsidRDefault="00C925E9" w:rsidP="006D751E">
            <w:pPr>
              <w:pStyle w:val="Tabletext"/>
              <w:tabs>
                <w:tab w:val="decimal" w:pos="720"/>
              </w:tabs>
              <w:jc w:val="right"/>
            </w:pPr>
            <w:r>
              <w:t>-</w:t>
            </w:r>
          </w:p>
        </w:tc>
        <w:tc>
          <w:tcPr>
            <w:tcW w:w="1440" w:type="dxa"/>
            <w:tcBorders>
              <w:top w:val="nil"/>
              <w:left w:val="nil"/>
              <w:right w:val="nil"/>
            </w:tcBorders>
            <w:shd w:val="clear" w:color="auto" w:fill="auto"/>
            <w:vAlign w:val="bottom"/>
          </w:tcPr>
          <w:p w:rsidR="00C925E9" w:rsidRPr="00E31DE8" w:rsidRDefault="00C925E9" w:rsidP="006D751E">
            <w:pPr>
              <w:pStyle w:val="Tabletext"/>
              <w:tabs>
                <w:tab w:val="decimal" w:pos="720"/>
              </w:tabs>
              <w:jc w:val="right"/>
            </w:pPr>
            <w:r>
              <w:t>20*</w:t>
            </w:r>
          </w:p>
        </w:tc>
        <w:tc>
          <w:tcPr>
            <w:tcW w:w="1440" w:type="dxa"/>
            <w:tcBorders>
              <w:top w:val="nil"/>
              <w:left w:val="nil"/>
              <w:right w:val="nil"/>
            </w:tcBorders>
            <w:shd w:val="clear" w:color="auto" w:fill="auto"/>
            <w:vAlign w:val="bottom"/>
          </w:tcPr>
          <w:p w:rsidR="00C925E9" w:rsidRPr="00E31DE8" w:rsidRDefault="00C925E9" w:rsidP="006D751E">
            <w:pPr>
              <w:pStyle w:val="Tabletext"/>
              <w:tabs>
                <w:tab w:val="decimal" w:pos="720"/>
              </w:tabs>
              <w:jc w:val="right"/>
            </w:pPr>
            <w:r>
              <w:t>-</w:t>
            </w:r>
          </w:p>
        </w:tc>
      </w:tr>
      <w:tr w:rsidR="00C925E9" w:rsidRPr="00927A64" w:rsidTr="00B70A39">
        <w:trPr>
          <w:trHeight w:val="255"/>
        </w:trPr>
        <w:tc>
          <w:tcPr>
            <w:tcW w:w="3600" w:type="dxa"/>
            <w:tcBorders>
              <w:left w:val="nil"/>
              <w:bottom w:val="nil"/>
              <w:right w:val="nil"/>
            </w:tcBorders>
            <w:shd w:val="clear" w:color="auto" w:fill="auto"/>
            <w:vAlign w:val="bottom"/>
          </w:tcPr>
          <w:p w:rsidR="00C925E9" w:rsidRPr="00927A64" w:rsidRDefault="00C925E9" w:rsidP="00200C9F">
            <w:pPr>
              <w:pStyle w:val="Tabletext"/>
              <w:rPr>
                <w:b/>
                <w:bCs/>
              </w:rPr>
            </w:pPr>
            <w:r w:rsidRPr="00927A64">
              <w:rPr>
                <w:b/>
                <w:bCs/>
              </w:rPr>
              <w:t>Total gappers (%)</w:t>
            </w:r>
          </w:p>
        </w:tc>
        <w:tc>
          <w:tcPr>
            <w:tcW w:w="1440" w:type="dxa"/>
            <w:tcBorders>
              <w:left w:val="nil"/>
              <w:bottom w:val="nil"/>
              <w:right w:val="nil"/>
            </w:tcBorders>
            <w:shd w:val="clear" w:color="auto" w:fill="auto"/>
            <w:vAlign w:val="bottom"/>
          </w:tcPr>
          <w:p w:rsidR="00C925E9" w:rsidRPr="00927A64" w:rsidRDefault="00C925E9" w:rsidP="006D751E">
            <w:pPr>
              <w:pStyle w:val="Tabletext"/>
              <w:tabs>
                <w:tab w:val="decimal" w:pos="720"/>
              </w:tabs>
              <w:jc w:val="right"/>
              <w:rPr>
                <w:b/>
                <w:bCs/>
              </w:rPr>
            </w:pPr>
            <w:r>
              <w:rPr>
                <w:b/>
                <w:bCs/>
              </w:rPr>
              <w:t>10</w:t>
            </w:r>
          </w:p>
        </w:tc>
        <w:tc>
          <w:tcPr>
            <w:tcW w:w="1440" w:type="dxa"/>
            <w:tcBorders>
              <w:left w:val="nil"/>
              <w:bottom w:val="nil"/>
              <w:right w:val="nil"/>
            </w:tcBorders>
            <w:shd w:val="clear" w:color="auto" w:fill="auto"/>
            <w:vAlign w:val="bottom"/>
          </w:tcPr>
          <w:p w:rsidR="00C925E9" w:rsidRPr="00927A64" w:rsidRDefault="00C925E9" w:rsidP="006D751E">
            <w:pPr>
              <w:pStyle w:val="Tabletext"/>
              <w:tabs>
                <w:tab w:val="decimal" w:pos="720"/>
              </w:tabs>
              <w:jc w:val="right"/>
              <w:rPr>
                <w:b/>
                <w:bCs/>
              </w:rPr>
            </w:pPr>
            <w:r>
              <w:rPr>
                <w:b/>
                <w:bCs/>
              </w:rPr>
              <w:t>16</w:t>
            </w:r>
          </w:p>
        </w:tc>
        <w:tc>
          <w:tcPr>
            <w:tcW w:w="1440" w:type="dxa"/>
            <w:tcBorders>
              <w:left w:val="nil"/>
              <w:bottom w:val="nil"/>
              <w:right w:val="nil"/>
            </w:tcBorders>
            <w:shd w:val="clear" w:color="auto" w:fill="auto"/>
            <w:vAlign w:val="bottom"/>
          </w:tcPr>
          <w:p w:rsidR="00C925E9" w:rsidRPr="00927A64" w:rsidRDefault="00C925E9" w:rsidP="006D751E">
            <w:pPr>
              <w:pStyle w:val="Tabletext"/>
              <w:tabs>
                <w:tab w:val="decimal" w:pos="720"/>
              </w:tabs>
              <w:jc w:val="right"/>
              <w:rPr>
                <w:b/>
                <w:bCs/>
              </w:rPr>
            </w:pPr>
            <w:r>
              <w:rPr>
                <w:b/>
                <w:bCs/>
              </w:rPr>
              <w:t>16</w:t>
            </w:r>
          </w:p>
        </w:tc>
      </w:tr>
      <w:tr w:rsidR="00C925E9" w:rsidRPr="00927A64">
        <w:trPr>
          <w:trHeight w:val="255"/>
        </w:trPr>
        <w:tc>
          <w:tcPr>
            <w:tcW w:w="3600" w:type="dxa"/>
            <w:tcBorders>
              <w:top w:val="nil"/>
              <w:left w:val="nil"/>
              <w:bottom w:val="single" w:sz="4" w:space="0" w:color="auto"/>
              <w:right w:val="nil"/>
            </w:tcBorders>
            <w:shd w:val="clear" w:color="auto" w:fill="auto"/>
            <w:vAlign w:val="bottom"/>
          </w:tcPr>
          <w:p w:rsidR="00C925E9" w:rsidRPr="00927A64" w:rsidRDefault="00C925E9" w:rsidP="00200C9F">
            <w:pPr>
              <w:pStyle w:val="Tabletext"/>
              <w:rPr>
                <w:b/>
                <w:bCs/>
              </w:rPr>
            </w:pPr>
            <w:r w:rsidRPr="00927A64">
              <w:rPr>
                <w:b/>
                <w:bCs/>
              </w:rPr>
              <w:t>Total gappers (N)</w:t>
            </w:r>
          </w:p>
        </w:tc>
        <w:tc>
          <w:tcPr>
            <w:tcW w:w="1440" w:type="dxa"/>
            <w:tcBorders>
              <w:top w:val="nil"/>
              <w:left w:val="nil"/>
              <w:bottom w:val="single" w:sz="4" w:space="0" w:color="auto"/>
              <w:right w:val="nil"/>
            </w:tcBorders>
            <w:shd w:val="clear" w:color="auto" w:fill="auto"/>
            <w:vAlign w:val="bottom"/>
          </w:tcPr>
          <w:p w:rsidR="00C925E9" w:rsidRPr="00927A64" w:rsidRDefault="00C925E9" w:rsidP="006D751E">
            <w:pPr>
              <w:pStyle w:val="Tabletext"/>
              <w:tabs>
                <w:tab w:val="decimal" w:pos="720"/>
              </w:tabs>
              <w:jc w:val="right"/>
              <w:rPr>
                <w:b/>
                <w:bCs/>
              </w:rPr>
            </w:pPr>
            <w:r w:rsidRPr="00927A64">
              <w:rPr>
                <w:b/>
                <w:bCs/>
              </w:rPr>
              <w:t>366</w:t>
            </w:r>
          </w:p>
        </w:tc>
        <w:tc>
          <w:tcPr>
            <w:tcW w:w="1440" w:type="dxa"/>
            <w:tcBorders>
              <w:top w:val="nil"/>
              <w:left w:val="nil"/>
              <w:bottom w:val="single" w:sz="4" w:space="0" w:color="auto"/>
              <w:right w:val="nil"/>
            </w:tcBorders>
            <w:shd w:val="clear" w:color="auto" w:fill="auto"/>
            <w:vAlign w:val="bottom"/>
          </w:tcPr>
          <w:p w:rsidR="00C925E9" w:rsidRPr="00927A64" w:rsidRDefault="00C925E9" w:rsidP="006D751E">
            <w:pPr>
              <w:pStyle w:val="Tabletext"/>
              <w:tabs>
                <w:tab w:val="decimal" w:pos="720"/>
              </w:tabs>
              <w:jc w:val="right"/>
              <w:rPr>
                <w:b/>
                <w:bCs/>
              </w:rPr>
            </w:pPr>
            <w:r w:rsidRPr="00927A64">
              <w:rPr>
                <w:b/>
                <w:bCs/>
              </w:rPr>
              <w:t>549</w:t>
            </w:r>
          </w:p>
        </w:tc>
        <w:tc>
          <w:tcPr>
            <w:tcW w:w="1440" w:type="dxa"/>
            <w:tcBorders>
              <w:top w:val="nil"/>
              <w:left w:val="nil"/>
              <w:bottom w:val="single" w:sz="4" w:space="0" w:color="auto"/>
              <w:right w:val="nil"/>
            </w:tcBorders>
            <w:shd w:val="clear" w:color="auto" w:fill="auto"/>
            <w:vAlign w:val="bottom"/>
          </w:tcPr>
          <w:p w:rsidR="00C925E9" w:rsidRPr="00927A64" w:rsidRDefault="00C925E9" w:rsidP="006D751E">
            <w:pPr>
              <w:pStyle w:val="Tabletext"/>
              <w:tabs>
                <w:tab w:val="decimal" w:pos="720"/>
              </w:tabs>
              <w:jc w:val="right"/>
              <w:rPr>
                <w:b/>
                <w:bCs/>
              </w:rPr>
            </w:pPr>
            <w:r w:rsidRPr="00927A64">
              <w:rPr>
                <w:b/>
                <w:bCs/>
              </w:rPr>
              <w:t>542</w:t>
            </w:r>
          </w:p>
        </w:tc>
      </w:tr>
    </w:tbl>
    <w:bookmarkEnd w:id="44"/>
    <w:bookmarkEnd w:id="45"/>
    <w:p w:rsidR="00C925E9" w:rsidRDefault="00C925E9" w:rsidP="00200C9F">
      <w:pPr>
        <w:pStyle w:val="Source"/>
        <w:tabs>
          <w:tab w:val="left" w:pos="993"/>
        </w:tabs>
      </w:pPr>
      <w:r>
        <w:t xml:space="preserve">Notes: </w:t>
      </w:r>
      <w:r>
        <w:tab/>
        <w:t>- indicates that there were no or too few cases to generate an estimate.</w:t>
      </w:r>
      <w:r>
        <w:br/>
        <w:t>*indicates that number of cases is low and that standard errors are likely to be high.</w:t>
      </w:r>
    </w:p>
    <w:p w:rsidR="00374F9E" w:rsidRDefault="00374F9E">
      <w:pPr>
        <w:spacing w:before="0" w:line="240" w:lineRule="auto"/>
        <w:rPr>
          <w:rFonts w:ascii="Tahoma" w:hAnsi="Tahoma"/>
          <w:b/>
          <w:sz w:val="17"/>
        </w:rPr>
      </w:pPr>
      <w:bookmarkStart w:id="46" w:name="_Toc322691607"/>
      <w:r>
        <w:br w:type="page"/>
      </w:r>
    </w:p>
    <w:p w:rsidR="00C925E9" w:rsidRDefault="00C925E9" w:rsidP="00200C9F">
      <w:pPr>
        <w:pStyle w:val="tabletitle"/>
      </w:pPr>
      <w:r>
        <w:lastRenderedPageBreak/>
        <w:t>Table 4</w:t>
      </w:r>
      <w:r>
        <w:tab/>
        <w:t>Gap-taking status by school-related characteristics (%)</w:t>
      </w:r>
      <w:bookmarkEnd w:id="46"/>
    </w:p>
    <w:tbl>
      <w:tblPr>
        <w:tblW w:w="0" w:type="auto"/>
        <w:tblInd w:w="95" w:type="dxa"/>
        <w:tblLook w:val="0000"/>
      </w:tblPr>
      <w:tblGrid>
        <w:gridCol w:w="3600"/>
        <w:gridCol w:w="1440"/>
        <w:gridCol w:w="1440"/>
        <w:gridCol w:w="1440"/>
      </w:tblGrid>
      <w:tr w:rsidR="00C925E9" w:rsidRPr="00E31DE8">
        <w:trPr>
          <w:trHeight w:val="255"/>
        </w:trPr>
        <w:tc>
          <w:tcPr>
            <w:tcW w:w="3600" w:type="dxa"/>
            <w:tcBorders>
              <w:top w:val="single" w:sz="4" w:space="0" w:color="auto"/>
              <w:left w:val="nil"/>
              <w:right w:val="nil"/>
            </w:tcBorders>
            <w:shd w:val="clear" w:color="auto" w:fill="auto"/>
            <w:noWrap/>
            <w:vAlign w:val="bottom"/>
          </w:tcPr>
          <w:p w:rsidR="00C925E9" w:rsidRPr="00E31DE8" w:rsidRDefault="00B21581" w:rsidP="00B21581">
            <w:pPr>
              <w:pStyle w:val="Tablehead1"/>
            </w:pPr>
            <w:r>
              <w:t>Characteristics</w:t>
            </w:r>
          </w:p>
        </w:tc>
        <w:tc>
          <w:tcPr>
            <w:tcW w:w="4320" w:type="dxa"/>
            <w:gridSpan w:val="3"/>
            <w:tcBorders>
              <w:top w:val="single" w:sz="4" w:space="0" w:color="auto"/>
              <w:left w:val="nil"/>
              <w:right w:val="nil"/>
            </w:tcBorders>
            <w:shd w:val="clear" w:color="auto" w:fill="auto"/>
            <w:noWrap/>
            <w:vAlign w:val="bottom"/>
          </w:tcPr>
          <w:p w:rsidR="00C925E9" w:rsidRPr="00E31DE8" w:rsidRDefault="00C925E9" w:rsidP="00B21581">
            <w:pPr>
              <w:pStyle w:val="Tablehead1"/>
              <w:ind w:right="286"/>
              <w:jc w:val="right"/>
            </w:pPr>
            <w:r>
              <w:t>All gappers (one- and two-years)</w:t>
            </w:r>
          </w:p>
        </w:tc>
      </w:tr>
      <w:tr w:rsidR="00C925E9" w:rsidRPr="00E31DE8">
        <w:trPr>
          <w:trHeight w:val="255"/>
        </w:trPr>
        <w:tc>
          <w:tcPr>
            <w:tcW w:w="3600" w:type="dxa"/>
            <w:tcBorders>
              <w:top w:val="nil"/>
              <w:left w:val="nil"/>
              <w:bottom w:val="single" w:sz="4" w:space="0" w:color="auto"/>
              <w:right w:val="nil"/>
            </w:tcBorders>
            <w:shd w:val="clear" w:color="auto" w:fill="auto"/>
            <w:noWrap/>
            <w:vAlign w:val="bottom"/>
          </w:tcPr>
          <w:p w:rsidR="00C925E9" w:rsidRPr="00E31DE8" w:rsidRDefault="00C925E9" w:rsidP="00200C9F">
            <w:pPr>
              <w:pStyle w:val="Tablehead2"/>
            </w:pPr>
          </w:p>
        </w:tc>
        <w:tc>
          <w:tcPr>
            <w:tcW w:w="1440" w:type="dxa"/>
            <w:tcBorders>
              <w:top w:val="nil"/>
              <w:left w:val="nil"/>
              <w:bottom w:val="single" w:sz="4" w:space="0" w:color="auto"/>
              <w:right w:val="nil"/>
            </w:tcBorders>
            <w:shd w:val="clear" w:color="auto" w:fill="auto"/>
            <w:noWrap/>
            <w:vAlign w:val="bottom"/>
          </w:tcPr>
          <w:p w:rsidR="00C925E9" w:rsidRPr="00E31DE8" w:rsidRDefault="00C925E9" w:rsidP="00B21581">
            <w:pPr>
              <w:pStyle w:val="Tablehead2"/>
              <w:jc w:val="right"/>
            </w:pPr>
            <w:r>
              <w:t>Y95</w:t>
            </w:r>
          </w:p>
        </w:tc>
        <w:tc>
          <w:tcPr>
            <w:tcW w:w="1440" w:type="dxa"/>
            <w:tcBorders>
              <w:top w:val="nil"/>
              <w:left w:val="nil"/>
              <w:bottom w:val="single" w:sz="4" w:space="0" w:color="auto"/>
              <w:right w:val="nil"/>
            </w:tcBorders>
            <w:shd w:val="clear" w:color="auto" w:fill="auto"/>
            <w:noWrap/>
            <w:vAlign w:val="bottom"/>
          </w:tcPr>
          <w:p w:rsidR="00C925E9" w:rsidRPr="00E31DE8" w:rsidRDefault="00C925E9" w:rsidP="00B21581">
            <w:pPr>
              <w:pStyle w:val="Tablehead2"/>
              <w:jc w:val="right"/>
            </w:pPr>
            <w:r>
              <w:t>Y98</w:t>
            </w:r>
          </w:p>
        </w:tc>
        <w:tc>
          <w:tcPr>
            <w:tcW w:w="1440" w:type="dxa"/>
            <w:tcBorders>
              <w:top w:val="nil"/>
              <w:left w:val="nil"/>
              <w:bottom w:val="single" w:sz="4" w:space="0" w:color="auto"/>
              <w:right w:val="nil"/>
            </w:tcBorders>
            <w:shd w:val="clear" w:color="auto" w:fill="auto"/>
            <w:noWrap/>
            <w:vAlign w:val="bottom"/>
          </w:tcPr>
          <w:p w:rsidR="00C925E9" w:rsidRPr="00E31DE8" w:rsidRDefault="00C925E9" w:rsidP="00B21581">
            <w:pPr>
              <w:pStyle w:val="Tablehead2"/>
              <w:jc w:val="right"/>
            </w:pPr>
            <w:r>
              <w:t>Y03</w:t>
            </w:r>
          </w:p>
        </w:tc>
      </w:tr>
      <w:tr w:rsidR="00C925E9" w:rsidRPr="00E31DE8">
        <w:trPr>
          <w:trHeight w:val="255"/>
        </w:trPr>
        <w:tc>
          <w:tcPr>
            <w:tcW w:w="3600" w:type="dxa"/>
            <w:tcBorders>
              <w:top w:val="single" w:sz="4" w:space="0" w:color="auto"/>
              <w:left w:val="nil"/>
              <w:bottom w:val="nil"/>
              <w:right w:val="nil"/>
            </w:tcBorders>
            <w:shd w:val="clear" w:color="auto" w:fill="auto"/>
            <w:noWrap/>
            <w:vAlign w:val="bottom"/>
          </w:tcPr>
          <w:p w:rsidR="00C925E9" w:rsidRPr="00E31DE8" w:rsidRDefault="00C925E9" w:rsidP="00200C9F">
            <w:pPr>
              <w:pStyle w:val="Tabletext"/>
            </w:pPr>
            <w:r w:rsidRPr="00E31DE8">
              <w:t>Academic achievement</w:t>
            </w:r>
          </w:p>
        </w:tc>
        <w:tc>
          <w:tcPr>
            <w:tcW w:w="1440" w:type="dxa"/>
            <w:tcBorders>
              <w:top w:val="single" w:sz="4" w:space="0" w:color="auto"/>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c>
          <w:tcPr>
            <w:tcW w:w="1440" w:type="dxa"/>
            <w:tcBorders>
              <w:top w:val="single" w:sz="4" w:space="0" w:color="auto"/>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c>
          <w:tcPr>
            <w:tcW w:w="1440" w:type="dxa"/>
            <w:tcBorders>
              <w:top w:val="single" w:sz="4" w:space="0" w:color="auto"/>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Low achievement</w:t>
            </w:r>
            <w:r w:rsidRPr="00E31DE8">
              <w:t xml:space="preserve"> 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14</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20</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17</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Low–medium achievement</w:t>
            </w:r>
            <w:r w:rsidRPr="00E31DE8">
              <w:t xml:space="preserve"> 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13</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19</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16</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Medium–high achievement</w:t>
            </w:r>
            <w:r w:rsidRPr="00E31DE8">
              <w:t xml:space="preserve"> 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10</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18</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16</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High achievement</w:t>
            </w:r>
            <w:r w:rsidRPr="00E31DE8">
              <w:t xml:space="preserve"> 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9</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14</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16</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rsidRPr="00E31DE8">
              <w:t>Unknown</w:t>
            </w:r>
            <w:r>
              <w:t xml:space="preserve"> achievement status</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pPr>
            <w:r w:rsidRPr="00E31DE8">
              <w:t>TER</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 xml:space="preserve">Low TER </w:t>
            </w:r>
            <w:r w:rsidRPr="00E31DE8">
              <w:t>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21</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26</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26</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 xml:space="preserve">Low–medium TER </w:t>
            </w:r>
            <w:r w:rsidRPr="00E31DE8">
              <w:t>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13</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18</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17</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 xml:space="preserve">Medium–high TER </w:t>
            </w:r>
            <w:r w:rsidRPr="00E31DE8">
              <w:t>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7</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14</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13</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 xml:space="preserve">High TER </w:t>
            </w:r>
            <w:r w:rsidRPr="00E31DE8">
              <w:t>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4</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11</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12</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rsidRPr="00E31DE8">
              <w:t>Unknown</w:t>
            </w:r>
            <w:r>
              <w:t xml:space="preserve"> TER</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16</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31</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21</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pPr>
            <w:r w:rsidRPr="00E31DE8">
              <w:t>Satisfaction with school life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 xml:space="preserve">Low satisfaction </w:t>
            </w:r>
            <w:r w:rsidRPr="00E31DE8">
              <w:t>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17</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20</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16</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 xml:space="preserve">Low–medium satisfaction </w:t>
            </w:r>
            <w:r w:rsidRPr="00E31DE8">
              <w:t>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11</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18</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16</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 xml:space="preserve">Medium–high satisfaction </w:t>
            </w:r>
            <w:r w:rsidRPr="00E31DE8">
              <w:t>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11</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17</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15</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t xml:space="preserve">High satisfaction </w:t>
            </w:r>
            <w:r w:rsidRPr="00E31DE8">
              <w:t>quartile</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7</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13</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18</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rsidRPr="00E31DE8">
              <w:t>Unknown</w:t>
            </w:r>
            <w:r>
              <w:t xml:space="preserve"> school satisfaction</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pPr>
            <w:r>
              <w:t>Youth A</w:t>
            </w:r>
            <w:r w:rsidRPr="00E31DE8">
              <w:t xml:space="preserve">llowance </w:t>
            </w:r>
            <w:r>
              <w:t>(YA) at</w:t>
            </w:r>
            <w:r w:rsidRPr="00E31DE8">
              <w:t xml:space="preserve"> school</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rsidRPr="00E31DE8">
              <w:t xml:space="preserve">Never received </w:t>
            </w:r>
            <w:r>
              <w:t>YA</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10</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17</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17</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1810E3">
            <w:pPr>
              <w:pStyle w:val="Tabletext"/>
              <w:ind w:left="189"/>
            </w:pPr>
            <w:r w:rsidRPr="00E31DE8">
              <w:t xml:space="preserve">Received </w:t>
            </w:r>
            <w:r>
              <w:t xml:space="preserve">YA </w:t>
            </w:r>
            <w:r w:rsidRPr="00E31DE8">
              <w:t>in</w:t>
            </w:r>
            <w:r w:rsidR="001810E3">
              <w:t xml:space="preserve"> at least one </w:t>
            </w:r>
            <w:r w:rsidRPr="00E31DE8">
              <w:t xml:space="preserve">year </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11</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14</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14</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rsidRPr="00E31DE8">
              <w:t>Unknown</w:t>
            </w:r>
            <w:r>
              <w:t xml:space="preserve"> YA status</w:t>
            </w:r>
          </w:p>
        </w:tc>
        <w:tc>
          <w:tcPr>
            <w:tcW w:w="1440" w:type="dxa"/>
            <w:tcBorders>
              <w:top w:val="nil"/>
              <w:left w:val="nil"/>
              <w:bottom w:val="nil"/>
              <w:right w:val="nil"/>
            </w:tcBorders>
            <w:shd w:val="clear" w:color="auto" w:fill="auto"/>
            <w:noWrap/>
            <w:vAlign w:val="bottom"/>
          </w:tcPr>
          <w:p w:rsidR="00C925E9" w:rsidRPr="00927A64" w:rsidRDefault="00C925E9" w:rsidP="00B21581">
            <w:pPr>
              <w:pStyle w:val="Tabletext"/>
              <w:tabs>
                <w:tab w:val="decimal" w:pos="720"/>
              </w:tabs>
              <w:jc w:val="right"/>
              <w:rPr>
                <w:highlight w:val="yellow"/>
              </w:rPr>
            </w:pPr>
            <w:r>
              <w:t>-</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pPr>
            <w:r w:rsidRPr="00E31DE8">
              <w:t>School sector</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rsidRPr="00E31DE8">
              <w:t>Government</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11</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17</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15</w:t>
            </w:r>
          </w:p>
        </w:tc>
      </w:tr>
      <w:tr w:rsidR="00C925E9" w:rsidRPr="00E31DE8">
        <w:trPr>
          <w:trHeight w:val="255"/>
        </w:trPr>
        <w:tc>
          <w:tcPr>
            <w:tcW w:w="3600" w:type="dxa"/>
            <w:tcBorders>
              <w:top w:val="nil"/>
              <w:left w:val="nil"/>
              <w:bottom w:val="nil"/>
              <w:right w:val="nil"/>
            </w:tcBorders>
            <w:shd w:val="clear" w:color="auto" w:fill="auto"/>
            <w:noWrap/>
            <w:vAlign w:val="bottom"/>
          </w:tcPr>
          <w:p w:rsidR="00C925E9" w:rsidRPr="00E31DE8" w:rsidRDefault="00C925E9" w:rsidP="00200C9F">
            <w:pPr>
              <w:pStyle w:val="Tabletext"/>
              <w:ind w:left="189"/>
            </w:pPr>
            <w:r w:rsidRPr="00E31DE8">
              <w:t>Catholic</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11</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15</w:t>
            </w:r>
          </w:p>
        </w:tc>
        <w:tc>
          <w:tcPr>
            <w:tcW w:w="1440" w:type="dxa"/>
            <w:tcBorders>
              <w:top w:val="nil"/>
              <w:left w:val="nil"/>
              <w:bottom w:val="nil"/>
              <w:right w:val="nil"/>
            </w:tcBorders>
            <w:shd w:val="clear" w:color="auto" w:fill="auto"/>
            <w:noWrap/>
            <w:vAlign w:val="bottom"/>
          </w:tcPr>
          <w:p w:rsidR="00C925E9" w:rsidRPr="00E31DE8" w:rsidRDefault="00C925E9" w:rsidP="00B21581">
            <w:pPr>
              <w:pStyle w:val="Tabletext"/>
              <w:tabs>
                <w:tab w:val="decimal" w:pos="720"/>
              </w:tabs>
              <w:jc w:val="right"/>
            </w:pPr>
            <w:r>
              <w:t>16</w:t>
            </w:r>
          </w:p>
        </w:tc>
      </w:tr>
      <w:tr w:rsidR="00C925E9" w:rsidRPr="00E31DE8">
        <w:trPr>
          <w:trHeight w:val="255"/>
        </w:trPr>
        <w:tc>
          <w:tcPr>
            <w:tcW w:w="3600" w:type="dxa"/>
            <w:tcBorders>
              <w:top w:val="nil"/>
              <w:left w:val="nil"/>
              <w:right w:val="nil"/>
            </w:tcBorders>
            <w:shd w:val="clear" w:color="auto" w:fill="auto"/>
            <w:noWrap/>
            <w:vAlign w:val="bottom"/>
          </w:tcPr>
          <w:p w:rsidR="00C925E9" w:rsidRPr="00E31DE8" w:rsidRDefault="00C925E9" w:rsidP="00200C9F">
            <w:pPr>
              <w:pStyle w:val="Tabletext"/>
              <w:ind w:left="189"/>
            </w:pPr>
            <w:r w:rsidRPr="00E31DE8">
              <w:t>Independent</w:t>
            </w:r>
          </w:p>
        </w:tc>
        <w:tc>
          <w:tcPr>
            <w:tcW w:w="1440" w:type="dxa"/>
            <w:tcBorders>
              <w:top w:val="nil"/>
              <w:left w:val="nil"/>
              <w:right w:val="nil"/>
            </w:tcBorders>
            <w:shd w:val="clear" w:color="auto" w:fill="auto"/>
            <w:noWrap/>
            <w:vAlign w:val="bottom"/>
          </w:tcPr>
          <w:p w:rsidR="00C925E9" w:rsidRPr="00E31DE8" w:rsidRDefault="00C925E9" w:rsidP="00B21581">
            <w:pPr>
              <w:pStyle w:val="Tabletext"/>
              <w:tabs>
                <w:tab w:val="decimal" w:pos="720"/>
              </w:tabs>
              <w:jc w:val="right"/>
            </w:pPr>
            <w:r>
              <w:t>9</w:t>
            </w:r>
          </w:p>
        </w:tc>
        <w:tc>
          <w:tcPr>
            <w:tcW w:w="1440" w:type="dxa"/>
            <w:tcBorders>
              <w:top w:val="nil"/>
              <w:left w:val="nil"/>
              <w:right w:val="nil"/>
            </w:tcBorders>
            <w:shd w:val="clear" w:color="auto" w:fill="auto"/>
            <w:noWrap/>
            <w:vAlign w:val="bottom"/>
          </w:tcPr>
          <w:p w:rsidR="00C925E9" w:rsidRPr="00E31DE8" w:rsidRDefault="00C925E9" w:rsidP="00B21581">
            <w:pPr>
              <w:pStyle w:val="Tabletext"/>
              <w:tabs>
                <w:tab w:val="decimal" w:pos="720"/>
              </w:tabs>
              <w:jc w:val="right"/>
            </w:pPr>
            <w:r>
              <w:t>17</w:t>
            </w:r>
          </w:p>
        </w:tc>
        <w:tc>
          <w:tcPr>
            <w:tcW w:w="1440" w:type="dxa"/>
            <w:tcBorders>
              <w:top w:val="nil"/>
              <w:left w:val="nil"/>
              <w:right w:val="nil"/>
            </w:tcBorders>
            <w:shd w:val="clear" w:color="auto" w:fill="auto"/>
            <w:noWrap/>
            <w:vAlign w:val="bottom"/>
          </w:tcPr>
          <w:p w:rsidR="00C925E9" w:rsidRPr="00E31DE8" w:rsidRDefault="00C925E9" w:rsidP="00B21581">
            <w:pPr>
              <w:pStyle w:val="Tabletext"/>
              <w:tabs>
                <w:tab w:val="decimal" w:pos="720"/>
              </w:tabs>
              <w:jc w:val="right"/>
            </w:pPr>
            <w:r>
              <w:t>18</w:t>
            </w:r>
          </w:p>
        </w:tc>
      </w:tr>
      <w:tr w:rsidR="00C925E9" w:rsidRPr="00E31DE8" w:rsidTr="001810E3">
        <w:trPr>
          <w:trHeight w:val="255"/>
        </w:trPr>
        <w:tc>
          <w:tcPr>
            <w:tcW w:w="3600" w:type="dxa"/>
            <w:tcBorders>
              <w:top w:val="nil"/>
              <w:left w:val="nil"/>
              <w:right w:val="nil"/>
            </w:tcBorders>
            <w:shd w:val="clear" w:color="auto" w:fill="auto"/>
            <w:noWrap/>
            <w:vAlign w:val="bottom"/>
          </w:tcPr>
          <w:p w:rsidR="00C925E9" w:rsidRPr="00E31DE8" w:rsidRDefault="00C925E9" w:rsidP="00200C9F">
            <w:pPr>
              <w:pStyle w:val="Tabletext"/>
              <w:ind w:left="189"/>
            </w:pPr>
            <w:r w:rsidRPr="00E31DE8">
              <w:t>Unknown</w:t>
            </w:r>
          </w:p>
        </w:tc>
        <w:tc>
          <w:tcPr>
            <w:tcW w:w="1440" w:type="dxa"/>
            <w:tcBorders>
              <w:top w:val="nil"/>
              <w:left w:val="nil"/>
              <w:right w:val="nil"/>
            </w:tcBorders>
            <w:shd w:val="clear" w:color="auto" w:fill="auto"/>
            <w:noWrap/>
            <w:vAlign w:val="bottom"/>
          </w:tcPr>
          <w:p w:rsidR="00C925E9" w:rsidRPr="00E31DE8" w:rsidRDefault="00C925E9" w:rsidP="00B21581">
            <w:pPr>
              <w:pStyle w:val="Tabletext"/>
              <w:tabs>
                <w:tab w:val="decimal" w:pos="720"/>
              </w:tabs>
              <w:jc w:val="right"/>
            </w:pPr>
            <w:r>
              <w:t>-</w:t>
            </w:r>
          </w:p>
        </w:tc>
        <w:tc>
          <w:tcPr>
            <w:tcW w:w="1440" w:type="dxa"/>
            <w:tcBorders>
              <w:top w:val="nil"/>
              <w:left w:val="nil"/>
              <w:right w:val="nil"/>
            </w:tcBorders>
            <w:shd w:val="clear" w:color="auto" w:fill="auto"/>
            <w:noWrap/>
            <w:vAlign w:val="bottom"/>
          </w:tcPr>
          <w:p w:rsidR="00C925E9" w:rsidRPr="00E31DE8" w:rsidRDefault="00C925E9" w:rsidP="00B21581">
            <w:pPr>
              <w:pStyle w:val="Tabletext"/>
              <w:tabs>
                <w:tab w:val="decimal" w:pos="720"/>
              </w:tabs>
              <w:jc w:val="right"/>
            </w:pPr>
            <w:r>
              <w:t>-</w:t>
            </w:r>
          </w:p>
        </w:tc>
        <w:tc>
          <w:tcPr>
            <w:tcW w:w="1440" w:type="dxa"/>
            <w:tcBorders>
              <w:top w:val="nil"/>
              <w:left w:val="nil"/>
              <w:right w:val="nil"/>
            </w:tcBorders>
            <w:shd w:val="clear" w:color="auto" w:fill="auto"/>
            <w:noWrap/>
            <w:vAlign w:val="bottom"/>
          </w:tcPr>
          <w:p w:rsidR="00C925E9" w:rsidRPr="00E31DE8" w:rsidRDefault="00C925E9" w:rsidP="00B21581">
            <w:pPr>
              <w:pStyle w:val="Tabletext"/>
              <w:tabs>
                <w:tab w:val="decimal" w:pos="720"/>
              </w:tabs>
              <w:jc w:val="right"/>
            </w:pPr>
            <w:r>
              <w:t>-</w:t>
            </w:r>
          </w:p>
        </w:tc>
      </w:tr>
      <w:tr w:rsidR="00C925E9" w:rsidRPr="00927A64" w:rsidTr="001810E3">
        <w:trPr>
          <w:trHeight w:val="255"/>
        </w:trPr>
        <w:tc>
          <w:tcPr>
            <w:tcW w:w="3600" w:type="dxa"/>
            <w:tcBorders>
              <w:left w:val="nil"/>
              <w:bottom w:val="nil"/>
              <w:right w:val="nil"/>
            </w:tcBorders>
            <w:shd w:val="clear" w:color="auto" w:fill="auto"/>
            <w:noWrap/>
            <w:vAlign w:val="bottom"/>
          </w:tcPr>
          <w:p w:rsidR="00C925E9" w:rsidRPr="00927A64" w:rsidRDefault="00C925E9" w:rsidP="00200C9F">
            <w:pPr>
              <w:pStyle w:val="Tabletext"/>
              <w:rPr>
                <w:b/>
                <w:bCs/>
              </w:rPr>
            </w:pPr>
            <w:r w:rsidRPr="00927A64">
              <w:rPr>
                <w:b/>
                <w:bCs/>
              </w:rPr>
              <w:t>Total gappers (%)</w:t>
            </w:r>
          </w:p>
        </w:tc>
        <w:tc>
          <w:tcPr>
            <w:tcW w:w="1440" w:type="dxa"/>
            <w:tcBorders>
              <w:left w:val="nil"/>
              <w:bottom w:val="nil"/>
              <w:right w:val="nil"/>
            </w:tcBorders>
            <w:shd w:val="clear" w:color="auto" w:fill="auto"/>
            <w:noWrap/>
            <w:vAlign w:val="bottom"/>
          </w:tcPr>
          <w:p w:rsidR="00C925E9" w:rsidRPr="00927A64" w:rsidRDefault="00C925E9" w:rsidP="00B21581">
            <w:pPr>
              <w:pStyle w:val="Tabletext"/>
              <w:tabs>
                <w:tab w:val="decimal" w:pos="720"/>
              </w:tabs>
              <w:jc w:val="right"/>
              <w:rPr>
                <w:b/>
                <w:bCs/>
              </w:rPr>
            </w:pPr>
            <w:r>
              <w:rPr>
                <w:b/>
                <w:bCs/>
              </w:rPr>
              <w:t>10</w:t>
            </w:r>
          </w:p>
        </w:tc>
        <w:tc>
          <w:tcPr>
            <w:tcW w:w="1440" w:type="dxa"/>
            <w:tcBorders>
              <w:left w:val="nil"/>
              <w:bottom w:val="nil"/>
              <w:right w:val="nil"/>
            </w:tcBorders>
            <w:shd w:val="clear" w:color="auto" w:fill="auto"/>
            <w:noWrap/>
            <w:vAlign w:val="bottom"/>
          </w:tcPr>
          <w:p w:rsidR="00C925E9" w:rsidRPr="00927A64" w:rsidRDefault="00C925E9" w:rsidP="00B21581">
            <w:pPr>
              <w:pStyle w:val="Tabletext"/>
              <w:tabs>
                <w:tab w:val="decimal" w:pos="720"/>
              </w:tabs>
              <w:jc w:val="right"/>
              <w:rPr>
                <w:b/>
                <w:bCs/>
              </w:rPr>
            </w:pPr>
            <w:r>
              <w:rPr>
                <w:b/>
                <w:bCs/>
              </w:rPr>
              <w:t>16</w:t>
            </w:r>
          </w:p>
        </w:tc>
        <w:tc>
          <w:tcPr>
            <w:tcW w:w="1440" w:type="dxa"/>
            <w:tcBorders>
              <w:left w:val="nil"/>
              <w:bottom w:val="nil"/>
              <w:right w:val="nil"/>
            </w:tcBorders>
            <w:shd w:val="clear" w:color="auto" w:fill="auto"/>
            <w:noWrap/>
            <w:vAlign w:val="bottom"/>
          </w:tcPr>
          <w:p w:rsidR="00C925E9" w:rsidRPr="00927A64" w:rsidRDefault="00C925E9" w:rsidP="00B21581">
            <w:pPr>
              <w:pStyle w:val="Tabletext"/>
              <w:tabs>
                <w:tab w:val="decimal" w:pos="720"/>
              </w:tabs>
              <w:jc w:val="right"/>
              <w:rPr>
                <w:b/>
                <w:bCs/>
              </w:rPr>
            </w:pPr>
            <w:r>
              <w:rPr>
                <w:b/>
                <w:bCs/>
              </w:rPr>
              <w:t>16</w:t>
            </w:r>
          </w:p>
        </w:tc>
      </w:tr>
      <w:tr w:rsidR="00C925E9" w:rsidRPr="00927A64">
        <w:trPr>
          <w:trHeight w:val="255"/>
        </w:trPr>
        <w:tc>
          <w:tcPr>
            <w:tcW w:w="3600" w:type="dxa"/>
            <w:tcBorders>
              <w:top w:val="nil"/>
              <w:left w:val="nil"/>
              <w:bottom w:val="single" w:sz="4" w:space="0" w:color="auto"/>
              <w:right w:val="nil"/>
            </w:tcBorders>
            <w:shd w:val="clear" w:color="auto" w:fill="auto"/>
            <w:noWrap/>
            <w:vAlign w:val="bottom"/>
          </w:tcPr>
          <w:p w:rsidR="00C925E9" w:rsidRPr="00927A64" w:rsidRDefault="00C925E9" w:rsidP="00200C9F">
            <w:pPr>
              <w:pStyle w:val="Tabletext"/>
              <w:rPr>
                <w:b/>
                <w:bCs/>
              </w:rPr>
            </w:pPr>
            <w:r w:rsidRPr="00927A64">
              <w:rPr>
                <w:b/>
                <w:bCs/>
              </w:rPr>
              <w:t>Total gappers (N)</w:t>
            </w:r>
          </w:p>
        </w:tc>
        <w:tc>
          <w:tcPr>
            <w:tcW w:w="1440" w:type="dxa"/>
            <w:tcBorders>
              <w:top w:val="nil"/>
              <w:left w:val="nil"/>
              <w:bottom w:val="single" w:sz="4" w:space="0" w:color="auto"/>
              <w:right w:val="nil"/>
            </w:tcBorders>
            <w:shd w:val="clear" w:color="auto" w:fill="auto"/>
            <w:noWrap/>
            <w:vAlign w:val="bottom"/>
          </w:tcPr>
          <w:p w:rsidR="00C925E9" w:rsidRPr="00927A64" w:rsidRDefault="00C925E9" w:rsidP="00B21581">
            <w:pPr>
              <w:pStyle w:val="Tabletext"/>
              <w:tabs>
                <w:tab w:val="decimal" w:pos="720"/>
              </w:tabs>
              <w:jc w:val="right"/>
              <w:rPr>
                <w:b/>
                <w:bCs/>
              </w:rPr>
            </w:pPr>
            <w:r w:rsidRPr="00927A64">
              <w:rPr>
                <w:b/>
                <w:bCs/>
              </w:rPr>
              <w:t>366</w:t>
            </w:r>
          </w:p>
        </w:tc>
        <w:tc>
          <w:tcPr>
            <w:tcW w:w="1440" w:type="dxa"/>
            <w:tcBorders>
              <w:top w:val="nil"/>
              <w:left w:val="nil"/>
              <w:bottom w:val="single" w:sz="4" w:space="0" w:color="auto"/>
              <w:right w:val="nil"/>
            </w:tcBorders>
            <w:shd w:val="clear" w:color="auto" w:fill="auto"/>
            <w:noWrap/>
            <w:vAlign w:val="bottom"/>
          </w:tcPr>
          <w:p w:rsidR="00C925E9" w:rsidRPr="00927A64" w:rsidRDefault="00C925E9" w:rsidP="00B21581">
            <w:pPr>
              <w:pStyle w:val="Tabletext"/>
              <w:tabs>
                <w:tab w:val="decimal" w:pos="720"/>
              </w:tabs>
              <w:jc w:val="right"/>
              <w:rPr>
                <w:b/>
                <w:bCs/>
              </w:rPr>
            </w:pPr>
            <w:r w:rsidRPr="00927A64">
              <w:rPr>
                <w:b/>
                <w:bCs/>
              </w:rPr>
              <w:t>549</w:t>
            </w:r>
          </w:p>
        </w:tc>
        <w:tc>
          <w:tcPr>
            <w:tcW w:w="1440" w:type="dxa"/>
            <w:tcBorders>
              <w:top w:val="nil"/>
              <w:left w:val="nil"/>
              <w:bottom w:val="single" w:sz="4" w:space="0" w:color="auto"/>
              <w:right w:val="nil"/>
            </w:tcBorders>
            <w:shd w:val="clear" w:color="auto" w:fill="auto"/>
            <w:noWrap/>
            <w:vAlign w:val="bottom"/>
          </w:tcPr>
          <w:p w:rsidR="00C925E9" w:rsidRPr="00927A64" w:rsidRDefault="00C925E9" w:rsidP="00B21581">
            <w:pPr>
              <w:pStyle w:val="Tabletext"/>
              <w:tabs>
                <w:tab w:val="decimal" w:pos="720"/>
              </w:tabs>
              <w:jc w:val="right"/>
              <w:rPr>
                <w:b/>
                <w:bCs/>
              </w:rPr>
            </w:pPr>
            <w:r w:rsidRPr="00927A64">
              <w:rPr>
                <w:b/>
                <w:bCs/>
              </w:rPr>
              <w:t>542</w:t>
            </w:r>
          </w:p>
        </w:tc>
      </w:tr>
    </w:tbl>
    <w:p w:rsidR="00C925E9" w:rsidRDefault="00C925E9" w:rsidP="00200C9F">
      <w:pPr>
        <w:pStyle w:val="Source"/>
        <w:tabs>
          <w:tab w:val="left" w:pos="993"/>
        </w:tabs>
      </w:pPr>
      <w:r>
        <w:t xml:space="preserve">Notes: </w:t>
      </w:r>
      <w:r>
        <w:tab/>
        <w:t>- indicates that there were no or too few cases to generate an estimate.</w:t>
      </w:r>
    </w:p>
    <w:p w:rsidR="00C925E9" w:rsidRPr="00927A64" w:rsidRDefault="00C925E9" w:rsidP="00200C9F">
      <w:pPr>
        <w:pStyle w:val="Source"/>
        <w:tabs>
          <w:tab w:val="left" w:pos="993"/>
        </w:tabs>
      </w:pPr>
      <w:r>
        <w:tab/>
        <w:t>* indicates that number of cases is low and that standard errors are likely to be high.</w:t>
      </w:r>
    </w:p>
    <w:p w:rsidR="00C925E9" w:rsidRDefault="00C925E9" w:rsidP="00200C9F">
      <w:pPr>
        <w:pStyle w:val="Heading2"/>
        <w:rPr>
          <w:lang w:val="en-US"/>
        </w:rPr>
      </w:pPr>
      <w:bookmarkStart w:id="47" w:name="_Toc323035606"/>
      <w:r>
        <w:rPr>
          <w:lang w:val="en-US"/>
        </w:rPr>
        <w:t>An explanatory model of gap-taking</w:t>
      </w:r>
      <w:bookmarkEnd w:id="47"/>
    </w:p>
    <w:p w:rsidR="00C925E9" w:rsidRDefault="00C925E9" w:rsidP="00200C9F">
      <w:pPr>
        <w:pStyle w:val="Heading3"/>
      </w:pPr>
      <w:r>
        <w:t>Description of model</w:t>
      </w:r>
    </w:p>
    <w:p w:rsidR="00C925E9" w:rsidRPr="00BA2A1A" w:rsidRDefault="00C925E9" w:rsidP="00200C9F">
      <w:pPr>
        <w:pStyle w:val="Text"/>
      </w:pPr>
      <w:r>
        <w:rPr>
          <w:lang w:val="en-US"/>
        </w:rPr>
        <w:t xml:space="preserve">A multivariate logistic regression model was developed for the Y98 cohort using gap-taking status as the dependent variable. The model explains </w:t>
      </w:r>
      <w:r w:rsidRPr="00425AB7">
        <w:rPr>
          <w:lang w:val="en-US"/>
        </w:rPr>
        <w:t xml:space="preserve">5% of </w:t>
      </w:r>
      <w:r>
        <w:rPr>
          <w:lang w:val="en-US"/>
        </w:rPr>
        <w:t xml:space="preserve">the </w:t>
      </w:r>
      <w:r w:rsidRPr="00425AB7">
        <w:rPr>
          <w:lang w:val="en-US"/>
        </w:rPr>
        <w:t>variance</w:t>
      </w:r>
      <w:r>
        <w:rPr>
          <w:lang w:val="en-US"/>
        </w:rPr>
        <w:t xml:space="preserve"> in gap-taking</w:t>
      </w:r>
      <w:r w:rsidRPr="00425AB7">
        <w:rPr>
          <w:lang w:val="en-US"/>
        </w:rPr>
        <w:t>. This suggests that there are unobserved influences that may i</w:t>
      </w:r>
      <w:r>
        <w:rPr>
          <w:lang w:val="en-US"/>
        </w:rPr>
        <w:t>nteract with observed variables, which means</w:t>
      </w:r>
      <w:r w:rsidRPr="00425AB7">
        <w:rPr>
          <w:lang w:val="en-US"/>
        </w:rPr>
        <w:t xml:space="preserve"> that the model</w:t>
      </w:r>
      <w:r>
        <w:rPr>
          <w:lang w:val="en-US"/>
        </w:rPr>
        <w:t xml:space="preserve"> findings should be interpreted as being indicative rather than conclusive</w:t>
      </w:r>
      <w:r w:rsidRPr="00425AB7">
        <w:rPr>
          <w:lang w:val="en-US"/>
        </w:rPr>
        <w:t>.</w:t>
      </w:r>
      <w:r>
        <w:rPr>
          <w:lang w:val="en-US"/>
        </w:rPr>
        <w:t xml:space="preserve"> Socioeconomic status, parental education and living in a rural location, which from the tabulations shown above appear to influence gap-taking, are not included in the regression model as they were found not to be significant. However, there are strong associations between many of the variables (correlations are provided in appendix 2). There is a strong relationship between socioeconomic status and receipt of Youth Allowance while at school, and Youth Allowance has displaced socioeconomic status in the model. The influence of parental education, which is also related to the occupation-based measure of socioeconomic status, has </w:t>
      </w:r>
      <w:r>
        <w:rPr>
          <w:lang w:val="en-US"/>
        </w:rPr>
        <w:lastRenderedPageBreak/>
        <w:t>also been explained by a number of variables, including the Youth Allowance and achievement variables. Similarly, rural locations tend to have low-socioeconomic status rankings, and this variable may have been displaced by the Youth Allowance at school and achievement variables. The relatively low numbers of individual gap-takers from rural locations may also contribute to the non-</w:t>
      </w:r>
      <w:r w:rsidRPr="00BA2A1A">
        <w:t>significance of this variable in the modelling.</w:t>
      </w:r>
    </w:p>
    <w:p w:rsidR="00C925E9" w:rsidRDefault="00C925E9" w:rsidP="00200C9F">
      <w:pPr>
        <w:pStyle w:val="Text"/>
        <w:rPr>
          <w:lang w:val="en-US"/>
        </w:rPr>
      </w:pPr>
      <w:r>
        <w:rPr>
          <w:lang w:val="en-US"/>
        </w:rPr>
        <w:t xml:space="preserve">Scaled versions of variables are used in the analysis where possible. In this model students’ tertiary entrance scores, which are classified into quartiles for the tabulations shown above, are measured on a scale that potentially ranges from zero to 100. Other variables for which scaled variables are used include socioeconomic status, attitude towards school and achievement, for which separate </w:t>
      </w:r>
      <w:r w:rsidRPr="0001715C">
        <w:rPr>
          <w:lang w:val="en-US"/>
        </w:rPr>
        <w:t>reading</w:t>
      </w:r>
      <w:r>
        <w:rPr>
          <w:rStyle w:val="FootnoteReference"/>
          <w:lang w:val="en-US"/>
        </w:rPr>
        <w:footnoteReference w:id="6"/>
      </w:r>
      <w:r w:rsidRPr="0001715C">
        <w:rPr>
          <w:lang w:val="en-US"/>
        </w:rPr>
        <w:t xml:space="preserve"> and</w:t>
      </w:r>
      <w:r>
        <w:rPr>
          <w:lang w:val="en-US"/>
        </w:rPr>
        <w:t xml:space="preserve"> mathematics scores are used. Year 9 mathematics is measured on a scale from zero</w:t>
      </w:r>
      <w:r>
        <w:t xml:space="preserve"> to </w:t>
      </w:r>
      <w:r>
        <w:rPr>
          <w:lang w:val="en-US"/>
        </w:rPr>
        <w:t>20. Parents’ education categories are converted to years of education. Other variables, including gender, home location, home language background and school sector are used as categorical variables. Initially, all variables are entered into the model and are removed one at a time, using backward elimination of the least significant one.</w:t>
      </w:r>
    </w:p>
    <w:p w:rsidR="00C925E9" w:rsidRDefault="00C925E9" w:rsidP="00200C9F">
      <w:pPr>
        <w:pStyle w:val="Text"/>
        <w:rPr>
          <w:lang w:val="en-US"/>
        </w:rPr>
      </w:pPr>
      <w:r>
        <w:rPr>
          <w:lang w:val="en-US"/>
        </w:rPr>
        <w:t>It is common to report the results of these analyses in terms of the relative likelihood of a person of a given characteristic (for example, non-English speaking background compared with English speaking background) of being a gap-taker. If gap-taking was an equally likely outcome for members of both g</w:t>
      </w:r>
      <w:r w:rsidR="001810E3">
        <w:rPr>
          <w:lang w:val="en-US"/>
        </w:rPr>
        <w:t>roups, the odds ratio would be one</w:t>
      </w:r>
      <w:r>
        <w:rPr>
          <w:lang w:val="en-US"/>
        </w:rPr>
        <w:t xml:space="preserve"> (the odds might be written as 1:1). If the outcome is very unlikely for the target group relative to the comparison grou</w:t>
      </w:r>
      <w:r w:rsidR="001810E3">
        <w:rPr>
          <w:lang w:val="en-US"/>
        </w:rPr>
        <w:t>p, the odds ratio is less than one</w:t>
      </w:r>
      <w:r>
        <w:rPr>
          <w:lang w:val="en-US"/>
        </w:rPr>
        <w:t xml:space="preserve">. If the outcome is more likely for members of the target group compared with the reference group, the odds are greater than 1. The odds ratios are compared more easily than the regression parameters (also shown in table 5) estimated in the model. In this model, the odds ratios for tertiary entrance score, </w:t>
      </w:r>
      <w:r w:rsidRPr="00425AB7">
        <w:rPr>
          <w:lang w:val="en-US"/>
        </w:rPr>
        <w:t>Year 9 mathematics score</w:t>
      </w:r>
      <w:r>
        <w:rPr>
          <w:lang w:val="en-US"/>
        </w:rPr>
        <w:t xml:space="preserve"> and attitude towards school indicate the change in the likelihood of gap-taking per unit change in the variable. For example, an increase in tertiary entrance score of one unit results in a 2% reduction in the odds of gap-taking (odds ratio = 0.98). The standard deviations for tertiary entrance score, Year 9 mathematics score and attitude towards school are 14.15, 4.10 and 9.79 respectively.</w:t>
      </w:r>
    </w:p>
    <w:p w:rsidR="00C925E9" w:rsidRDefault="00C925E9" w:rsidP="00200C9F">
      <w:pPr>
        <w:pStyle w:val="Heading3"/>
      </w:pPr>
      <w:r>
        <w:t>What influences gap-taking?</w:t>
      </w:r>
    </w:p>
    <w:p w:rsidR="00C925E9" w:rsidRDefault="00C925E9" w:rsidP="00200C9F">
      <w:pPr>
        <w:pStyle w:val="Text"/>
        <w:rPr>
          <w:lang w:val="en-US"/>
        </w:rPr>
      </w:pPr>
      <w:r>
        <w:rPr>
          <w:lang w:val="en-US"/>
        </w:rPr>
        <w:t>A</w:t>
      </w:r>
      <w:r w:rsidRPr="00425AB7">
        <w:rPr>
          <w:lang w:val="en-US"/>
        </w:rPr>
        <w:t>cademic achievement (</w:t>
      </w:r>
      <w:r>
        <w:rPr>
          <w:lang w:val="en-US"/>
        </w:rPr>
        <w:t>tertiary entrance</w:t>
      </w:r>
      <w:r w:rsidRPr="00425AB7">
        <w:rPr>
          <w:lang w:val="en-US"/>
        </w:rPr>
        <w:t xml:space="preserve"> and</w:t>
      </w:r>
      <w:r w:rsidRPr="00F476AA">
        <w:rPr>
          <w:lang w:val="en-US"/>
        </w:rPr>
        <w:t xml:space="preserve"> </w:t>
      </w:r>
      <w:r w:rsidRPr="00425AB7">
        <w:rPr>
          <w:lang w:val="en-US"/>
        </w:rPr>
        <w:t>Year 9 mathematics score</w:t>
      </w:r>
      <w:r>
        <w:rPr>
          <w:lang w:val="en-US"/>
        </w:rPr>
        <w:t>s</w:t>
      </w:r>
      <w:r w:rsidRPr="00425AB7">
        <w:rPr>
          <w:lang w:val="en-US"/>
        </w:rPr>
        <w:t xml:space="preserve">) and the </w:t>
      </w:r>
      <w:r>
        <w:rPr>
          <w:lang w:val="en-US"/>
        </w:rPr>
        <w:t>related attitude towards school</w:t>
      </w:r>
      <w:r w:rsidRPr="00425AB7">
        <w:rPr>
          <w:lang w:val="en-US"/>
        </w:rPr>
        <w:t xml:space="preserve"> variable</w:t>
      </w:r>
      <w:r w:rsidRPr="00F476AA">
        <w:rPr>
          <w:lang w:val="en-US"/>
        </w:rPr>
        <w:t xml:space="preserve"> </w:t>
      </w:r>
      <w:r w:rsidRPr="00425AB7">
        <w:rPr>
          <w:lang w:val="en-US"/>
        </w:rPr>
        <w:t>appear to influenc</w:t>
      </w:r>
      <w:r>
        <w:rPr>
          <w:lang w:val="en-US"/>
        </w:rPr>
        <w:t>e</w:t>
      </w:r>
      <w:r w:rsidRPr="00425AB7">
        <w:rPr>
          <w:lang w:val="en-US"/>
        </w:rPr>
        <w:t xml:space="preserve"> gap-taking. </w:t>
      </w:r>
      <w:r>
        <w:rPr>
          <w:lang w:val="en-US"/>
        </w:rPr>
        <w:t xml:space="preserve">Low-achieving students (students with low tertiary entrance and low Year 9 mathematics scores), as well as those with less favourable attitudes towards school, are more </w:t>
      </w:r>
      <w:r w:rsidRPr="00D65835">
        <w:rPr>
          <w:lang w:val="en-US"/>
        </w:rPr>
        <w:t>likely than others to take</w:t>
      </w:r>
      <w:r>
        <w:rPr>
          <w:lang w:val="en-US"/>
        </w:rPr>
        <w:t xml:space="preserve"> a gap year. High-</w:t>
      </w:r>
      <w:r w:rsidRPr="00425AB7">
        <w:rPr>
          <w:lang w:val="en-US"/>
        </w:rPr>
        <w:t xml:space="preserve">achieving students </w:t>
      </w:r>
      <w:r>
        <w:rPr>
          <w:lang w:val="en-US"/>
        </w:rPr>
        <w:t>with a tertiary entrance around 14 points higher than</w:t>
      </w:r>
      <w:r w:rsidRPr="00425AB7">
        <w:rPr>
          <w:lang w:val="en-US"/>
        </w:rPr>
        <w:t xml:space="preserve"> average are 2</w:t>
      </w:r>
      <w:r>
        <w:rPr>
          <w:lang w:val="en-US"/>
        </w:rPr>
        <w:t>8%</w:t>
      </w:r>
      <w:r w:rsidRPr="00425AB7">
        <w:rPr>
          <w:lang w:val="en-US"/>
        </w:rPr>
        <w:t xml:space="preserve"> less likely than average achievers to take gap years. </w:t>
      </w:r>
      <w:r>
        <w:rPr>
          <w:lang w:val="en-US"/>
        </w:rPr>
        <w:t>The results of the model are summarised in table 5.</w:t>
      </w:r>
    </w:p>
    <w:p w:rsidR="00C925E9" w:rsidRDefault="00C925E9" w:rsidP="00200C9F">
      <w:pPr>
        <w:pStyle w:val="Text"/>
        <w:rPr>
          <w:lang w:val="en-US"/>
        </w:rPr>
      </w:pPr>
      <w:r>
        <w:rPr>
          <w:lang w:val="en-US"/>
        </w:rPr>
        <w:t>Students from regional locations are over 30% more likely than metropolitan students to take a gap year</w:t>
      </w:r>
      <w:r w:rsidRPr="00425AB7">
        <w:rPr>
          <w:lang w:val="en-US"/>
        </w:rPr>
        <w:t>.</w:t>
      </w:r>
      <w:r>
        <w:rPr>
          <w:lang w:val="en-US"/>
        </w:rPr>
        <w:t xml:space="preserve"> Students who do not receive Youth Allowance while at school are more likely to take a gap year than those who do receive this allowance. Students from English speaking home backgrounds are more likely than those from non-English speaking backgrounds to take a gap year.</w:t>
      </w:r>
    </w:p>
    <w:p w:rsidR="00C925E9" w:rsidRDefault="00C925E9" w:rsidP="00200C9F">
      <w:pPr>
        <w:pStyle w:val="Text"/>
        <w:rPr>
          <w:lang w:val="en-US"/>
        </w:rPr>
      </w:pPr>
      <w:r>
        <w:rPr>
          <w:lang w:val="en-US"/>
        </w:rPr>
        <w:lastRenderedPageBreak/>
        <w:t>C</w:t>
      </w:r>
      <w:r w:rsidRPr="00425AB7">
        <w:rPr>
          <w:lang w:val="en-US"/>
        </w:rPr>
        <w:t xml:space="preserve">oming from a regional location </w:t>
      </w:r>
      <w:r>
        <w:rPr>
          <w:lang w:val="en-US"/>
        </w:rPr>
        <w:t>appears to exert</w:t>
      </w:r>
      <w:r w:rsidRPr="00425AB7">
        <w:rPr>
          <w:lang w:val="en-US"/>
        </w:rPr>
        <w:t xml:space="preserve"> a stronger influence on gap-taking than being a </w:t>
      </w:r>
      <w:r>
        <w:rPr>
          <w:lang w:val="en-US"/>
        </w:rPr>
        <w:t>low</w:t>
      </w:r>
      <w:r w:rsidRPr="00425AB7">
        <w:rPr>
          <w:lang w:val="en-US"/>
        </w:rPr>
        <w:t xml:space="preserve"> achiever</w:t>
      </w:r>
      <w:r>
        <w:rPr>
          <w:lang w:val="en-US"/>
        </w:rPr>
        <w:t xml:space="preserve"> or </w:t>
      </w:r>
      <w:r w:rsidRPr="00425AB7">
        <w:rPr>
          <w:lang w:val="en-US"/>
        </w:rPr>
        <w:t xml:space="preserve">being in a sufficiently </w:t>
      </w:r>
      <w:r>
        <w:rPr>
          <w:lang w:val="en-US"/>
        </w:rPr>
        <w:t>low socioeconomic status</w:t>
      </w:r>
      <w:r w:rsidRPr="00425AB7">
        <w:rPr>
          <w:lang w:val="en-US"/>
        </w:rPr>
        <w:t xml:space="preserve"> category to have received Y</w:t>
      </w:r>
      <w:r>
        <w:rPr>
          <w:lang w:val="en-US"/>
        </w:rPr>
        <w:t>outh Allowance while at school</w:t>
      </w:r>
      <w:r w:rsidRPr="00425AB7">
        <w:rPr>
          <w:lang w:val="en-US"/>
        </w:rPr>
        <w:t xml:space="preserve">. </w:t>
      </w:r>
      <w:r>
        <w:rPr>
          <w:lang w:val="en-US"/>
        </w:rPr>
        <w:t>In relative terms,</w:t>
      </w:r>
      <w:r w:rsidRPr="00425AB7">
        <w:rPr>
          <w:lang w:val="en-US"/>
        </w:rPr>
        <w:t xml:space="preserve"> a </w:t>
      </w:r>
      <w:r>
        <w:rPr>
          <w:lang w:val="en-US"/>
        </w:rPr>
        <w:t xml:space="preserve">high-achieving </w:t>
      </w:r>
      <w:r w:rsidRPr="00425AB7">
        <w:rPr>
          <w:lang w:val="en-US"/>
        </w:rPr>
        <w:t>individual from a regional location</w:t>
      </w:r>
      <w:r>
        <w:rPr>
          <w:lang w:val="en-US"/>
        </w:rPr>
        <w:t xml:space="preserve"> who has a tertiary entrance score of at least 14 points above average has about</w:t>
      </w:r>
      <w:r w:rsidRPr="00425AB7">
        <w:rPr>
          <w:lang w:val="en-US"/>
        </w:rPr>
        <w:t xml:space="preserve"> the same likelihood of gap-taking as a metropolitan student</w:t>
      </w:r>
      <w:r>
        <w:rPr>
          <w:lang w:val="en-US"/>
        </w:rPr>
        <w:t xml:space="preserve"> with an average tertiary entrance score</w:t>
      </w:r>
      <w:r w:rsidRPr="00425AB7">
        <w:rPr>
          <w:lang w:val="en-US"/>
        </w:rPr>
        <w:t>.</w:t>
      </w:r>
      <w:r>
        <w:rPr>
          <w:lang w:val="en-US"/>
        </w:rPr>
        <w:t xml:space="preserve"> The effect of </w:t>
      </w:r>
      <w:r w:rsidRPr="00425AB7">
        <w:rPr>
          <w:lang w:val="en-US"/>
        </w:rPr>
        <w:t xml:space="preserve">being in a sufficiently </w:t>
      </w:r>
      <w:r>
        <w:rPr>
          <w:lang w:val="en-US"/>
        </w:rPr>
        <w:t>low socioeconomic status</w:t>
      </w:r>
      <w:r w:rsidRPr="00425AB7">
        <w:rPr>
          <w:lang w:val="en-US"/>
        </w:rPr>
        <w:t xml:space="preserve"> category to have received Youth Allowance while at school</w:t>
      </w:r>
      <w:r>
        <w:rPr>
          <w:lang w:val="en-US"/>
        </w:rPr>
        <w:t xml:space="preserve"> is </w:t>
      </w:r>
      <w:r w:rsidRPr="00425AB7">
        <w:rPr>
          <w:lang w:val="en-US"/>
        </w:rPr>
        <w:t>similar</w:t>
      </w:r>
      <w:r>
        <w:rPr>
          <w:lang w:val="en-US"/>
        </w:rPr>
        <w:t xml:space="preserve"> in size</w:t>
      </w:r>
      <w:r w:rsidRPr="00425AB7">
        <w:rPr>
          <w:lang w:val="en-US"/>
        </w:rPr>
        <w:t xml:space="preserve"> to the effect of</w:t>
      </w:r>
      <w:r>
        <w:rPr>
          <w:lang w:val="en-US"/>
        </w:rPr>
        <w:t xml:space="preserve"> academic achievement</w:t>
      </w:r>
      <w:r w:rsidRPr="00425AB7">
        <w:rPr>
          <w:lang w:val="en-US"/>
        </w:rPr>
        <w:t xml:space="preserve">. </w:t>
      </w:r>
    </w:p>
    <w:p w:rsidR="00C925E9" w:rsidRPr="00425AB7" w:rsidRDefault="00C925E9" w:rsidP="00200C9F">
      <w:pPr>
        <w:pStyle w:val="Text"/>
        <w:rPr>
          <w:lang w:val="en-US"/>
        </w:rPr>
      </w:pPr>
      <w:r w:rsidRPr="00425AB7">
        <w:rPr>
          <w:lang w:val="en-US"/>
        </w:rPr>
        <w:t>The effect of coming from a non-English speaking</w:t>
      </w:r>
      <w:r>
        <w:rPr>
          <w:lang w:val="en-US"/>
        </w:rPr>
        <w:t xml:space="preserve"> home background is very strong:</w:t>
      </w:r>
      <w:r w:rsidRPr="00425AB7">
        <w:rPr>
          <w:lang w:val="en-US"/>
        </w:rPr>
        <w:t xml:space="preserve"> it reduces the likelih</w:t>
      </w:r>
      <w:r>
        <w:rPr>
          <w:lang w:val="en-US"/>
        </w:rPr>
        <w:t>ood of gap-taking by almost one-</w:t>
      </w:r>
      <w:r w:rsidRPr="00425AB7">
        <w:rPr>
          <w:lang w:val="en-US"/>
        </w:rPr>
        <w:t xml:space="preserve">half. </w:t>
      </w:r>
      <w:r>
        <w:rPr>
          <w:lang w:val="en-US"/>
        </w:rPr>
        <w:t xml:space="preserve">The finding that youth from non-English speaking home backgrounds are less likely to take a gap year is interesting in the context of much previous research. In </w:t>
      </w:r>
      <w:smartTag w:uri="urn:schemas-microsoft-com:office:smarttags" w:element="place">
        <w:smartTag w:uri="urn:schemas-microsoft-com:office:smarttags" w:element="country-region">
          <w:r>
            <w:rPr>
              <w:lang w:val="en-US"/>
            </w:rPr>
            <w:t>Australia</w:t>
          </w:r>
        </w:smartTag>
      </w:smartTag>
      <w:r>
        <w:rPr>
          <w:lang w:val="en-US"/>
        </w:rPr>
        <w:t>, these young people have more favourable education outcomes than youth from English speaking homes (Cresswell 2004). Marjoribanks (2005) attributes this to interactions among language background, gender, socioeconomic status and aspiration.</w:t>
      </w:r>
    </w:p>
    <w:p w:rsidR="00C925E9" w:rsidRDefault="00C925E9" w:rsidP="00200C9F">
      <w:pPr>
        <w:pStyle w:val="tabletitle"/>
      </w:pPr>
      <w:bookmarkStart w:id="48" w:name="_Toc322691608"/>
      <w:r>
        <w:t>Table 5</w:t>
      </w:r>
      <w:r>
        <w:tab/>
        <w:t>Variables predicting gap-taking among university entrants, Y98 cohort</w:t>
      </w:r>
      <w:bookmarkEnd w:id="48"/>
    </w:p>
    <w:tbl>
      <w:tblPr>
        <w:tblW w:w="0" w:type="auto"/>
        <w:tblInd w:w="95" w:type="dxa"/>
        <w:tblLayout w:type="fixed"/>
        <w:tblLook w:val="04A0"/>
      </w:tblPr>
      <w:tblGrid>
        <w:gridCol w:w="3600"/>
        <w:gridCol w:w="1440"/>
        <w:gridCol w:w="1440"/>
        <w:gridCol w:w="1440"/>
      </w:tblGrid>
      <w:tr w:rsidR="00B21581" w:rsidRPr="00BA4219" w:rsidTr="00B21581">
        <w:trPr>
          <w:trHeight w:val="310"/>
        </w:trPr>
        <w:tc>
          <w:tcPr>
            <w:tcW w:w="3600" w:type="dxa"/>
            <w:tcBorders>
              <w:top w:val="single" w:sz="4" w:space="0" w:color="000000"/>
            </w:tcBorders>
            <w:shd w:val="clear" w:color="auto" w:fill="auto"/>
            <w:vAlign w:val="bottom"/>
          </w:tcPr>
          <w:p w:rsidR="00B21581" w:rsidRDefault="00B21581" w:rsidP="001810E3">
            <w:pPr>
              <w:pStyle w:val="Tablehead1"/>
            </w:pPr>
            <w:r>
              <w:t>Variable</w:t>
            </w:r>
          </w:p>
        </w:tc>
        <w:tc>
          <w:tcPr>
            <w:tcW w:w="1440" w:type="dxa"/>
            <w:vMerge w:val="restart"/>
            <w:tcBorders>
              <w:top w:val="single" w:sz="4" w:space="0" w:color="000000"/>
            </w:tcBorders>
            <w:shd w:val="clear" w:color="auto" w:fill="auto"/>
          </w:tcPr>
          <w:p w:rsidR="00B21581" w:rsidRPr="00B54B51" w:rsidRDefault="00B21581" w:rsidP="00B21581">
            <w:pPr>
              <w:pStyle w:val="Tablehead1"/>
              <w:jc w:val="right"/>
              <w:rPr>
                <w:bCs/>
              </w:rPr>
            </w:pPr>
            <w:r w:rsidRPr="00B54B51">
              <w:rPr>
                <w:bCs/>
              </w:rPr>
              <w:t>Regression coefficient</w:t>
            </w:r>
          </w:p>
        </w:tc>
        <w:tc>
          <w:tcPr>
            <w:tcW w:w="1440" w:type="dxa"/>
            <w:vMerge w:val="restart"/>
            <w:tcBorders>
              <w:top w:val="single" w:sz="4" w:space="0" w:color="000000"/>
            </w:tcBorders>
            <w:shd w:val="clear" w:color="auto" w:fill="auto"/>
          </w:tcPr>
          <w:p w:rsidR="00B21581" w:rsidRPr="00B54B51" w:rsidRDefault="00B21581" w:rsidP="00B21581">
            <w:pPr>
              <w:pStyle w:val="Tablehead1"/>
              <w:jc w:val="right"/>
              <w:rPr>
                <w:bCs/>
              </w:rPr>
            </w:pPr>
            <w:r w:rsidRPr="00B54B51">
              <w:rPr>
                <w:bCs/>
              </w:rPr>
              <w:t>Odds</w:t>
            </w:r>
            <w:r>
              <w:rPr>
                <w:bCs/>
              </w:rPr>
              <w:br/>
            </w:r>
            <w:r w:rsidRPr="00B54B51">
              <w:rPr>
                <w:bCs/>
              </w:rPr>
              <w:t xml:space="preserve"> ratio</w:t>
            </w:r>
          </w:p>
        </w:tc>
        <w:tc>
          <w:tcPr>
            <w:tcW w:w="1440" w:type="dxa"/>
            <w:vMerge w:val="restart"/>
            <w:tcBorders>
              <w:top w:val="single" w:sz="4" w:space="0" w:color="000000"/>
            </w:tcBorders>
            <w:shd w:val="clear" w:color="auto" w:fill="auto"/>
          </w:tcPr>
          <w:p w:rsidR="00B21581" w:rsidRPr="00B54B51" w:rsidRDefault="00B21581" w:rsidP="00B21581">
            <w:pPr>
              <w:pStyle w:val="Tablehead1"/>
              <w:jc w:val="right"/>
              <w:rPr>
                <w:bCs/>
              </w:rPr>
            </w:pPr>
            <w:r w:rsidRPr="00B54B51">
              <w:rPr>
                <w:bCs/>
              </w:rPr>
              <w:t>Significance (p)</w:t>
            </w:r>
          </w:p>
        </w:tc>
      </w:tr>
      <w:tr w:rsidR="00B21581" w:rsidRPr="00BA4219" w:rsidTr="00B21581">
        <w:trPr>
          <w:trHeight w:val="310"/>
        </w:trPr>
        <w:tc>
          <w:tcPr>
            <w:tcW w:w="3600" w:type="dxa"/>
            <w:tcBorders>
              <w:bottom w:val="single" w:sz="4" w:space="0" w:color="000000"/>
            </w:tcBorders>
            <w:shd w:val="clear" w:color="auto" w:fill="auto"/>
            <w:vAlign w:val="bottom"/>
          </w:tcPr>
          <w:p w:rsidR="00B21581" w:rsidRDefault="00B21581" w:rsidP="00200C9F">
            <w:pPr>
              <w:pStyle w:val="Tablehead2"/>
            </w:pPr>
          </w:p>
        </w:tc>
        <w:tc>
          <w:tcPr>
            <w:tcW w:w="1440" w:type="dxa"/>
            <w:vMerge/>
            <w:tcBorders>
              <w:bottom w:val="single" w:sz="4" w:space="0" w:color="000000"/>
            </w:tcBorders>
            <w:shd w:val="clear" w:color="auto" w:fill="auto"/>
            <w:vAlign w:val="bottom"/>
          </w:tcPr>
          <w:p w:rsidR="00B21581" w:rsidRPr="00B54B51" w:rsidRDefault="00B21581" w:rsidP="00B21581">
            <w:pPr>
              <w:pStyle w:val="Tablehead1"/>
              <w:jc w:val="right"/>
              <w:rPr>
                <w:bCs/>
              </w:rPr>
            </w:pPr>
          </w:p>
        </w:tc>
        <w:tc>
          <w:tcPr>
            <w:tcW w:w="1440" w:type="dxa"/>
            <w:vMerge/>
            <w:tcBorders>
              <w:bottom w:val="single" w:sz="4" w:space="0" w:color="000000"/>
            </w:tcBorders>
            <w:shd w:val="clear" w:color="auto" w:fill="auto"/>
            <w:vAlign w:val="bottom"/>
          </w:tcPr>
          <w:p w:rsidR="00B21581" w:rsidRPr="00B54B51" w:rsidRDefault="00B21581" w:rsidP="00B21581">
            <w:pPr>
              <w:pStyle w:val="Tablehead1"/>
              <w:jc w:val="right"/>
              <w:rPr>
                <w:bCs/>
              </w:rPr>
            </w:pPr>
          </w:p>
        </w:tc>
        <w:tc>
          <w:tcPr>
            <w:tcW w:w="1440" w:type="dxa"/>
            <w:vMerge/>
            <w:tcBorders>
              <w:bottom w:val="single" w:sz="4" w:space="0" w:color="000000"/>
            </w:tcBorders>
            <w:shd w:val="clear" w:color="auto" w:fill="auto"/>
            <w:vAlign w:val="bottom"/>
          </w:tcPr>
          <w:p w:rsidR="00B21581" w:rsidRPr="00B54B51" w:rsidRDefault="00B21581" w:rsidP="00B21581">
            <w:pPr>
              <w:pStyle w:val="Tablehead1"/>
              <w:jc w:val="right"/>
              <w:rPr>
                <w:bCs/>
              </w:rPr>
            </w:pPr>
          </w:p>
        </w:tc>
      </w:tr>
      <w:tr w:rsidR="00C925E9" w:rsidRPr="00BA4219">
        <w:trPr>
          <w:trHeight w:val="315"/>
        </w:trPr>
        <w:tc>
          <w:tcPr>
            <w:tcW w:w="3600" w:type="dxa"/>
            <w:shd w:val="clear" w:color="auto" w:fill="auto"/>
            <w:vAlign w:val="bottom"/>
          </w:tcPr>
          <w:p w:rsidR="00C925E9" w:rsidRPr="00BA4219" w:rsidRDefault="00C925E9" w:rsidP="00200C9F">
            <w:pPr>
              <w:pStyle w:val="Tabletext"/>
            </w:pPr>
            <w:r w:rsidRPr="00BA4219">
              <w:t>TER</w:t>
            </w:r>
            <w:r>
              <w:t xml:space="preserve"> score</w:t>
            </w:r>
          </w:p>
        </w:tc>
        <w:tc>
          <w:tcPr>
            <w:tcW w:w="1440" w:type="dxa"/>
            <w:shd w:val="clear" w:color="auto" w:fill="auto"/>
            <w:vAlign w:val="bottom"/>
          </w:tcPr>
          <w:p w:rsidR="00C925E9" w:rsidRPr="00BA4219" w:rsidRDefault="00C925E9" w:rsidP="00B21581">
            <w:pPr>
              <w:pStyle w:val="Tabletext"/>
              <w:tabs>
                <w:tab w:val="decimal" w:pos="504"/>
              </w:tabs>
              <w:jc w:val="right"/>
            </w:pPr>
            <w:r>
              <w:t>-0.021</w:t>
            </w:r>
          </w:p>
        </w:tc>
        <w:tc>
          <w:tcPr>
            <w:tcW w:w="1440" w:type="dxa"/>
            <w:shd w:val="clear" w:color="auto" w:fill="auto"/>
            <w:vAlign w:val="bottom"/>
          </w:tcPr>
          <w:p w:rsidR="00C925E9" w:rsidRPr="00BA4219" w:rsidRDefault="00C925E9" w:rsidP="00B21581">
            <w:pPr>
              <w:pStyle w:val="Tabletext"/>
              <w:tabs>
                <w:tab w:val="decimal" w:pos="504"/>
              </w:tabs>
              <w:jc w:val="right"/>
            </w:pPr>
            <w:r w:rsidRPr="00BA4219">
              <w:t>0.980</w:t>
            </w:r>
          </w:p>
        </w:tc>
        <w:tc>
          <w:tcPr>
            <w:tcW w:w="1440" w:type="dxa"/>
            <w:shd w:val="clear" w:color="auto" w:fill="auto"/>
            <w:vAlign w:val="bottom"/>
          </w:tcPr>
          <w:p w:rsidR="00C925E9" w:rsidRPr="00BA4219" w:rsidRDefault="00C925E9" w:rsidP="00B21581">
            <w:pPr>
              <w:pStyle w:val="Tabletext"/>
              <w:tabs>
                <w:tab w:val="decimal" w:pos="504"/>
              </w:tabs>
              <w:jc w:val="right"/>
            </w:pPr>
            <w:r>
              <w:t>&lt;0.001</w:t>
            </w:r>
          </w:p>
        </w:tc>
      </w:tr>
      <w:tr w:rsidR="00C925E9" w:rsidRPr="00BA4219">
        <w:trPr>
          <w:trHeight w:val="315"/>
        </w:trPr>
        <w:tc>
          <w:tcPr>
            <w:tcW w:w="3600" w:type="dxa"/>
            <w:shd w:val="clear" w:color="auto" w:fill="auto"/>
            <w:vAlign w:val="bottom"/>
          </w:tcPr>
          <w:p w:rsidR="00C925E9" w:rsidRPr="00BA4219" w:rsidRDefault="00C925E9" w:rsidP="00200C9F">
            <w:pPr>
              <w:pStyle w:val="Tabletext"/>
            </w:pPr>
            <w:r>
              <w:t>Attitude towards school</w:t>
            </w:r>
          </w:p>
        </w:tc>
        <w:tc>
          <w:tcPr>
            <w:tcW w:w="1440" w:type="dxa"/>
            <w:shd w:val="clear" w:color="auto" w:fill="auto"/>
            <w:vAlign w:val="bottom"/>
          </w:tcPr>
          <w:p w:rsidR="00C925E9" w:rsidRDefault="00C925E9" w:rsidP="00B21581">
            <w:pPr>
              <w:pStyle w:val="Tabletext"/>
              <w:tabs>
                <w:tab w:val="decimal" w:pos="504"/>
              </w:tabs>
              <w:jc w:val="right"/>
            </w:pPr>
            <w:r>
              <w:t>-0.017</w:t>
            </w:r>
          </w:p>
        </w:tc>
        <w:tc>
          <w:tcPr>
            <w:tcW w:w="1440" w:type="dxa"/>
            <w:shd w:val="clear" w:color="auto" w:fill="auto"/>
            <w:vAlign w:val="bottom"/>
          </w:tcPr>
          <w:p w:rsidR="00C925E9" w:rsidRPr="00BA4219" w:rsidRDefault="00C925E9" w:rsidP="00B21581">
            <w:pPr>
              <w:pStyle w:val="Tabletext"/>
              <w:tabs>
                <w:tab w:val="decimal" w:pos="504"/>
              </w:tabs>
              <w:jc w:val="right"/>
            </w:pPr>
            <w:r>
              <w:t>0.983</w:t>
            </w:r>
          </w:p>
        </w:tc>
        <w:tc>
          <w:tcPr>
            <w:tcW w:w="1440" w:type="dxa"/>
            <w:shd w:val="clear" w:color="auto" w:fill="auto"/>
            <w:vAlign w:val="bottom"/>
          </w:tcPr>
          <w:p w:rsidR="00C925E9" w:rsidRDefault="00C925E9" w:rsidP="00B21581">
            <w:pPr>
              <w:pStyle w:val="Tabletext"/>
              <w:tabs>
                <w:tab w:val="decimal" w:pos="504"/>
              </w:tabs>
              <w:jc w:val="right"/>
            </w:pPr>
            <w:r>
              <w:t>0.004</w:t>
            </w:r>
          </w:p>
        </w:tc>
      </w:tr>
      <w:tr w:rsidR="00C925E9" w:rsidRPr="00BA4219">
        <w:trPr>
          <w:trHeight w:val="315"/>
        </w:trPr>
        <w:tc>
          <w:tcPr>
            <w:tcW w:w="3600" w:type="dxa"/>
            <w:shd w:val="clear" w:color="auto" w:fill="auto"/>
            <w:vAlign w:val="bottom"/>
          </w:tcPr>
          <w:p w:rsidR="00C925E9" w:rsidRPr="00BA4219" w:rsidRDefault="00C925E9" w:rsidP="00200C9F">
            <w:pPr>
              <w:pStyle w:val="Tabletext"/>
            </w:pPr>
            <w:r>
              <w:t>Year 9 maths score</w:t>
            </w:r>
          </w:p>
        </w:tc>
        <w:tc>
          <w:tcPr>
            <w:tcW w:w="1440" w:type="dxa"/>
            <w:shd w:val="clear" w:color="auto" w:fill="auto"/>
            <w:vAlign w:val="bottom"/>
          </w:tcPr>
          <w:p w:rsidR="00C925E9" w:rsidRPr="00BA4219" w:rsidRDefault="00C925E9" w:rsidP="00B21581">
            <w:pPr>
              <w:pStyle w:val="Tabletext"/>
              <w:tabs>
                <w:tab w:val="decimal" w:pos="504"/>
              </w:tabs>
              <w:jc w:val="right"/>
            </w:pPr>
            <w:r>
              <w:t>-0.034</w:t>
            </w:r>
          </w:p>
        </w:tc>
        <w:tc>
          <w:tcPr>
            <w:tcW w:w="1440" w:type="dxa"/>
            <w:shd w:val="clear" w:color="auto" w:fill="auto"/>
            <w:vAlign w:val="bottom"/>
          </w:tcPr>
          <w:p w:rsidR="00C925E9" w:rsidRPr="00BA4219" w:rsidRDefault="00C925E9" w:rsidP="00B21581">
            <w:pPr>
              <w:pStyle w:val="Tabletext"/>
              <w:tabs>
                <w:tab w:val="decimal" w:pos="504"/>
              </w:tabs>
              <w:jc w:val="right"/>
            </w:pPr>
            <w:r w:rsidRPr="00BA4219">
              <w:t>0.967</w:t>
            </w:r>
          </w:p>
        </w:tc>
        <w:tc>
          <w:tcPr>
            <w:tcW w:w="1440" w:type="dxa"/>
            <w:shd w:val="clear" w:color="auto" w:fill="auto"/>
            <w:vAlign w:val="bottom"/>
          </w:tcPr>
          <w:p w:rsidR="00C925E9" w:rsidRPr="00BA4219" w:rsidRDefault="00C925E9" w:rsidP="00B21581">
            <w:pPr>
              <w:pStyle w:val="Tabletext"/>
              <w:tabs>
                <w:tab w:val="decimal" w:pos="504"/>
              </w:tabs>
              <w:jc w:val="right"/>
            </w:pPr>
            <w:r>
              <w:t>0.018</w:t>
            </w:r>
          </w:p>
        </w:tc>
      </w:tr>
      <w:tr w:rsidR="00C925E9" w:rsidRPr="00BA4219">
        <w:trPr>
          <w:trHeight w:val="315"/>
        </w:trPr>
        <w:tc>
          <w:tcPr>
            <w:tcW w:w="3600" w:type="dxa"/>
            <w:shd w:val="clear" w:color="auto" w:fill="auto"/>
            <w:vAlign w:val="bottom"/>
          </w:tcPr>
          <w:p w:rsidR="00C925E9" w:rsidRPr="00BA4219" w:rsidRDefault="00C925E9" w:rsidP="00200C9F">
            <w:pPr>
              <w:pStyle w:val="Tabletext"/>
            </w:pPr>
            <w:r>
              <w:t>Non-English speaking home language (relative to English speaking)</w:t>
            </w:r>
          </w:p>
        </w:tc>
        <w:tc>
          <w:tcPr>
            <w:tcW w:w="1440" w:type="dxa"/>
            <w:shd w:val="clear" w:color="auto" w:fill="auto"/>
            <w:vAlign w:val="bottom"/>
          </w:tcPr>
          <w:p w:rsidR="00C925E9" w:rsidRPr="00BA4219" w:rsidRDefault="00C925E9" w:rsidP="00B21581">
            <w:pPr>
              <w:pStyle w:val="Tabletext"/>
              <w:tabs>
                <w:tab w:val="decimal" w:pos="504"/>
              </w:tabs>
              <w:jc w:val="right"/>
            </w:pPr>
            <w:r>
              <w:t>-0.560</w:t>
            </w:r>
          </w:p>
        </w:tc>
        <w:tc>
          <w:tcPr>
            <w:tcW w:w="1440" w:type="dxa"/>
            <w:shd w:val="clear" w:color="auto" w:fill="auto"/>
            <w:vAlign w:val="bottom"/>
          </w:tcPr>
          <w:p w:rsidR="00C925E9" w:rsidRPr="00BA4219" w:rsidRDefault="00C925E9" w:rsidP="00B21581">
            <w:pPr>
              <w:pStyle w:val="Tabletext"/>
              <w:tabs>
                <w:tab w:val="decimal" w:pos="504"/>
              </w:tabs>
              <w:jc w:val="right"/>
            </w:pPr>
            <w:r>
              <w:t>0.549</w:t>
            </w:r>
          </w:p>
        </w:tc>
        <w:tc>
          <w:tcPr>
            <w:tcW w:w="1440" w:type="dxa"/>
            <w:shd w:val="clear" w:color="auto" w:fill="auto"/>
            <w:vAlign w:val="bottom"/>
          </w:tcPr>
          <w:p w:rsidR="00C925E9" w:rsidRPr="00BA4219" w:rsidRDefault="00C925E9" w:rsidP="00B21581">
            <w:pPr>
              <w:pStyle w:val="Tabletext"/>
              <w:tabs>
                <w:tab w:val="decimal" w:pos="504"/>
              </w:tabs>
              <w:jc w:val="right"/>
            </w:pPr>
            <w:r>
              <w:t>0.012</w:t>
            </w:r>
          </w:p>
        </w:tc>
      </w:tr>
      <w:tr w:rsidR="00C925E9" w:rsidRPr="00BA4219">
        <w:trPr>
          <w:trHeight w:val="315"/>
        </w:trPr>
        <w:tc>
          <w:tcPr>
            <w:tcW w:w="3600" w:type="dxa"/>
            <w:shd w:val="clear" w:color="auto" w:fill="auto"/>
            <w:vAlign w:val="bottom"/>
          </w:tcPr>
          <w:p w:rsidR="00C925E9" w:rsidRPr="00BA4219" w:rsidRDefault="00C925E9" w:rsidP="00200C9F">
            <w:pPr>
              <w:pStyle w:val="Tabletext"/>
            </w:pPr>
            <w:r>
              <w:t>R</w:t>
            </w:r>
            <w:r w:rsidRPr="00BA4219">
              <w:t>egional</w:t>
            </w:r>
            <w:r>
              <w:t xml:space="preserve"> (relative to metropolitan location)</w:t>
            </w:r>
          </w:p>
        </w:tc>
        <w:tc>
          <w:tcPr>
            <w:tcW w:w="1440" w:type="dxa"/>
            <w:shd w:val="clear" w:color="auto" w:fill="auto"/>
            <w:vAlign w:val="bottom"/>
          </w:tcPr>
          <w:p w:rsidR="00C925E9" w:rsidRPr="00BA4219" w:rsidRDefault="00C925E9" w:rsidP="00B21581">
            <w:pPr>
              <w:pStyle w:val="Tabletext"/>
              <w:tabs>
                <w:tab w:val="decimal" w:pos="504"/>
              </w:tabs>
              <w:jc w:val="right"/>
            </w:pPr>
            <w:r>
              <w:t>0.283</w:t>
            </w:r>
          </w:p>
        </w:tc>
        <w:tc>
          <w:tcPr>
            <w:tcW w:w="1440" w:type="dxa"/>
            <w:shd w:val="clear" w:color="auto" w:fill="auto"/>
            <w:vAlign w:val="bottom"/>
          </w:tcPr>
          <w:p w:rsidR="00C925E9" w:rsidRPr="00BA4219" w:rsidRDefault="00C925E9" w:rsidP="00B21581">
            <w:pPr>
              <w:pStyle w:val="Tabletext"/>
              <w:tabs>
                <w:tab w:val="decimal" w:pos="504"/>
              </w:tabs>
              <w:jc w:val="right"/>
            </w:pPr>
            <w:r w:rsidRPr="00BA4219">
              <w:t>1.327</w:t>
            </w:r>
          </w:p>
        </w:tc>
        <w:tc>
          <w:tcPr>
            <w:tcW w:w="1440" w:type="dxa"/>
            <w:shd w:val="clear" w:color="auto" w:fill="auto"/>
            <w:vAlign w:val="bottom"/>
          </w:tcPr>
          <w:p w:rsidR="00C925E9" w:rsidRPr="00BA4219" w:rsidRDefault="00C925E9" w:rsidP="00B21581">
            <w:pPr>
              <w:pStyle w:val="Tabletext"/>
              <w:tabs>
                <w:tab w:val="decimal" w:pos="504"/>
              </w:tabs>
              <w:jc w:val="right"/>
            </w:pPr>
            <w:r>
              <w:t>0.025</w:t>
            </w:r>
          </w:p>
        </w:tc>
      </w:tr>
      <w:tr w:rsidR="00C925E9" w:rsidRPr="00BA4219">
        <w:trPr>
          <w:trHeight w:val="330"/>
        </w:trPr>
        <w:tc>
          <w:tcPr>
            <w:tcW w:w="3600" w:type="dxa"/>
            <w:shd w:val="clear" w:color="auto" w:fill="auto"/>
            <w:vAlign w:val="bottom"/>
          </w:tcPr>
          <w:p w:rsidR="00C925E9" w:rsidRPr="00BA4219" w:rsidRDefault="00C925E9" w:rsidP="00200C9F">
            <w:pPr>
              <w:pStyle w:val="Tabletext"/>
            </w:pPr>
            <w:r>
              <w:t>Received Y</w:t>
            </w:r>
            <w:r w:rsidRPr="00BA4219">
              <w:t>outh</w:t>
            </w:r>
            <w:r>
              <w:t xml:space="preserve"> A</w:t>
            </w:r>
            <w:r w:rsidRPr="00BA4219">
              <w:t>llow</w:t>
            </w:r>
            <w:r>
              <w:t>ance at school (relative to those who did not)</w:t>
            </w:r>
          </w:p>
        </w:tc>
        <w:tc>
          <w:tcPr>
            <w:tcW w:w="1440" w:type="dxa"/>
            <w:shd w:val="clear" w:color="auto" w:fill="auto"/>
            <w:vAlign w:val="bottom"/>
          </w:tcPr>
          <w:p w:rsidR="00C925E9" w:rsidRPr="00BA4219" w:rsidRDefault="00C925E9" w:rsidP="00B21581">
            <w:pPr>
              <w:pStyle w:val="Tabletext"/>
              <w:tabs>
                <w:tab w:val="decimal" w:pos="504"/>
              </w:tabs>
              <w:jc w:val="right"/>
            </w:pPr>
            <w:r>
              <w:t>-0.291</w:t>
            </w:r>
          </w:p>
        </w:tc>
        <w:tc>
          <w:tcPr>
            <w:tcW w:w="1440" w:type="dxa"/>
            <w:shd w:val="clear" w:color="auto" w:fill="auto"/>
            <w:vAlign w:val="bottom"/>
          </w:tcPr>
          <w:p w:rsidR="00C925E9" w:rsidRPr="00BA4219" w:rsidRDefault="00C925E9" w:rsidP="00B21581">
            <w:pPr>
              <w:pStyle w:val="Tabletext"/>
              <w:tabs>
                <w:tab w:val="decimal" w:pos="504"/>
              </w:tabs>
              <w:jc w:val="right"/>
            </w:pPr>
            <w:r w:rsidRPr="00BA4219">
              <w:t>0.748</w:t>
            </w:r>
          </w:p>
        </w:tc>
        <w:tc>
          <w:tcPr>
            <w:tcW w:w="1440" w:type="dxa"/>
            <w:shd w:val="clear" w:color="auto" w:fill="auto"/>
            <w:vAlign w:val="bottom"/>
          </w:tcPr>
          <w:p w:rsidR="00C925E9" w:rsidRPr="00BA4219" w:rsidRDefault="00C925E9" w:rsidP="00B21581">
            <w:pPr>
              <w:pStyle w:val="Tabletext"/>
              <w:tabs>
                <w:tab w:val="decimal" w:pos="504"/>
              </w:tabs>
              <w:jc w:val="right"/>
            </w:pPr>
            <w:r>
              <w:t>0.030</w:t>
            </w:r>
          </w:p>
        </w:tc>
      </w:tr>
      <w:tr w:rsidR="00C925E9" w:rsidRPr="00BA4219">
        <w:trPr>
          <w:trHeight w:val="330"/>
        </w:trPr>
        <w:tc>
          <w:tcPr>
            <w:tcW w:w="3600" w:type="dxa"/>
            <w:tcBorders>
              <w:bottom w:val="single" w:sz="4" w:space="0" w:color="000000"/>
            </w:tcBorders>
            <w:shd w:val="clear" w:color="auto" w:fill="auto"/>
            <w:vAlign w:val="bottom"/>
          </w:tcPr>
          <w:p w:rsidR="00C925E9" w:rsidRPr="00BA4219" w:rsidRDefault="00C925E9" w:rsidP="00200C9F">
            <w:pPr>
              <w:pStyle w:val="Tabletext"/>
            </w:pPr>
            <w:r>
              <w:t>Intercept</w:t>
            </w:r>
          </w:p>
        </w:tc>
        <w:tc>
          <w:tcPr>
            <w:tcW w:w="1440" w:type="dxa"/>
            <w:tcBorders>
              <w:bottom w:val="single" w:sz="4" w:space="0" w:color="000000"/>
            </w:tcBorders>
            <w:shd w:val="clear" w:color="auto" w:fill="auto"/>
            <w:vAlign w:val="bottom"/>
          </w:tcPr>
          <w:p w:rsidR="00C925E9" w:rsidRPr="00BA4219" w:rsidRDefault="00C925E9" w:rsidP="00B21581">
            <w:pPr>
              <w:pStyle w:val="Tabletext"/>
              <w:tabs>
                <w:tab w:val="decimal" w:pos="504"/>
              </w:tabs>
              <w:jc w:val="right"/>
            </w:pPr>
            <w:r>
              <w:t>-0.932</w:t>
            </w:r>
          </w:p>
        </w:tc>
        <w:tc>
          <w:tcPr>
            <w:tcW w:w="1440" w:type="dxa"/>
            <w:tcBorders>
              <w:bottom w:val="single" w:sz="4" w:space="0" w:color="000000"/>
            </w:tcBorders>
            <w:shd w:val="clear" w:color="auto" w:fill="auto"/>
            <w:vAlign w:val="bottom"/>
          </w:tcPr>
          <w:p w:rsidR="00C925E9" w:rsidRPr="00BA4219" w:rsidRDefault="00C925E9" w:rsidP="00B21581">
            <w:pPr>
              <w:pStyle w:val="Tabletext"/>
              <w:tabs>
                <w:tab w:val="decimal" w:pos="504"/>
              </w:tabs>
              <w:jc w:val="right"/>
            </w:pPr>
          </w:p>
        </w:tc>
        <w:tc>
          <w:tcPr>
            <w:tcW w:w="1440" w:type="dxa"/>
            <w:tcBorders>
              <w:bottom w:val="single" w:sz="4" w:space="0" w:color="000000"/>
            </w:tcBorders>
            <w:shd w:val="clear" w:color="auto" w:fill="auto"/>
            <w:vAlign w:val="bottom"/>
          </w:tcPr>
          <w:p w:rsidR="00C925E9" w:rsidRPr="00BA4219" w:rsidRDefault="00C925E9" w:rsidP="00B21581">
            <w:pPr>
              <w:pStyle w:val="Tabletext"/>
              <w:tabs>
                <w:tab w:val="decimal" w:pos="504"/>
              </w:tabs>
              <w:jc w:val="right"/>
            </w:pPr>
            <w:r>
              <w:t>0.060</w:t>
            </w:r>
          </w:p>
        </w:tc>
      </w:tr>
    </w:tbl>
    <w:p w:rsidR="00C925E9" w:rsidRDefault="00C925E9" w:rsidP="00200C9F">
      <w:pPr>
        <w:pStyle w:val="Source"/>
        <w:rPr>
          <w:lang w:val="en-US"/>
        </w:rPr>
      </w:pPr>
      <w:r>
        <w:rPr>
          <w:lang w:val="en-US"/>
        </w:rPr>
        <w:t>Note:</w:t>
      </w:r>
      <w:r>
        <w:rPr>
          <w:lang w:val="en-US"/>
        </w:rPr>
        <w:tab/>
        <w:t>R</w:t>
      </w:r>
      <w:r w:rsidRPr="00CD018B">
        <w:rPr>
          <w:vertAlign w:val="superscript"/>
          <w:lang w:val="en-US"/>
        </w:rPr>
        <w:t>2</w:t>
      </w:r>
      <w:r>
        <w:rPr>
          <w:lang w:val="en-US"/>
        </w:rPr>
        <w:t xml:space="preserve"> = 0.052. This is very low, with 5% of variance explained. This suggests that there are unobserved influences, that they may interact with observed variables, and that caution should be exercised in interpreting the model.</w:t>
      </w:r>
    </w:p>
    <w:p w:rsidR="00C925E9" w:rsidRDefault="00C925E9" w:rsidP="00200C9F">
      <w:pPr>
        <w:pStyle w:val="Heading2"/>
        <w:rPr>
          <w:lang w:val="en-US"/>
        </w:rPr>
      </w:pPr>
      <w:bookmarkStart w:id="49" w:name="_Toc323035607"/>
      <w:r>
        <w:rPr>
          <w:lang w:val="en-US"/>
        </w:rPr>
        <w:t xml:space="preserve">Evidence for gap-taking in order to qualify for </w:t>
      </w:r>
      <w:r w:rsidR="00200C9F">
        <w:rPr>
          <w:lang w:val="en-US"/>
        </w:rPr>
        <w:br/>
      </w:r>
      <w:r>
        <w:rPr>
          <w:lang w:val="en-US"/>
        </w:rPr>
        <w:t>Youth Allowance payments</w:t>
      </w:r>
      <w:bookmarkEnd w:id="49"/>
    </w:p>
    <w:p w:rsidR="00C925E9" w:rsidRDefault="00C925E9" w:rsidP="00200C9F">
      <w:pPr>
        <w:pStyle w:val="Text"/>
        <w:rPr>
          <w:lang w:val="en-US"/>
        </w:rPr>
      </w:pPr>
      <w:r>
        <w:rPr>
          <w:lang w:val="en-US"/>
        </w:rPr>
        <w:t>Lane (2008) claims that young people from affluent backgrounds are able to access Youth Allowance and that the scheme is now serving these individuals more than those in disadvantaged circumstances. We use LSAY data to test his claims. We coded students as being recipients of Youth Allowance if they indicated they had received it in any year of their sojourn at university. We tabulate gap-taking status and socioeconomic status category against receipt of Youth Allowance payments while at university. The results are presented in table 6 (Y95 cohort) and table 7 (Y98 cohort).</w:t>
      </w:r>
    </w:p>
    <w:p w:rsidR="00C925E9" w:rsidRDefault="00C925E9" w:rsidP="00200C9F">
      <w:pPr>
        <w:pStyle w:val="Text"/>
        <w:rPr>
          <w:lang w:val="en-US"/>
        </w:rPr>
      </w:pPr>
      <w:r>
        <w:rPr>
          <w:lang w:val="en-US"/>
        </w:rPr>
        <w:t xml:space="preserve">Receipt of Youth Allowance payments is more common among gap-takers than non-gappers, with 54% of Y95 </w:t>
      </w:r>
      <w:r w:rsidRPr="007321ED">
        <w:rPr>
          <w:lang w:val="en-US"/>
        </w:rPr>
        <w:t>and 63</w:t>
      </w:r>
      <w:r>
        <w:rPr>
          <w:lang w:val="en-US"/>
        </w:rPr>
        <w:t>% of Y98 gappers reporting receiving the payment, compared with 41% (Y95) and 44% (Y98) of non-gappers.</w:t>
      </w:r>
    </w:p>
    <w:p w:rsidR="00C925E9" w:rsidRDefault="00C925E9" w:rsidP="00200C9F">
      <w:pPr>
        <w:pStyle w:val="Text"/>
        <w:rPr>
          <w:lang w:val="en-US"/>
        </w:rPr>
      </w:pPr>
      <w:r>
        <w:rPr>
          <w:lang w:val="en-US"/>
        </w:rPr>
        <w:t>Low-socioeconomic status</w:t>
      </w:r>
      <w:r w:rsidRPr="0001715C">
        <w:rPr>
          <w:lang w:val="en-US"/>
        </w:rPr>
        <w:t xml:space="preserve"> individual</w:t>
      </w:r>
      <w:r>
        <w:rPr>
          <w:lang w:val="en-US"/>
        </w:rPr>
        <w:t>s</w:t>
      </w:r>
      <w:r w:rsidRPr="0001715C">
        <w:rPr>
          <w:lang w:val="en-US"/>
        </w:rPr>
        <w:t xml:space="preserve"> </w:t>
      </w:r>
      <w:r>
        <w:rPr>
          <w:lang w:val="en-US"/>
        </w:rPr>
        <w:t>are</w:t>
      </w:r>
      <w:r w:rsidRPr="0001715C">
        <w:rPr>
          <w:lang w:val="en-US"/>
        </w:rPr>
        <w:t xml:space="preserve"> more likely to receive Youth Allowance</w:t>
      </w:r>
      <w:r>
        <w:rPr>
          <w:lang w:val="en-US"/>
        </w:rPr>
        <w:t xml:space="preserve"> as a dependent because their parents are more likely to have income and assets low enough to satisfy the </w:t>
      </w:r>
      <w:r>
        <w:rPr>
          <w:lang w:val="en-US"/>
        </w:rPr>
        <w:lastRenderedPageBreak/>
        <w:t>parenta</w:t>
      </w:r>
      <w:r w:rsidRPr="002162D6">
        <w:rPr>
          <w:lang w:val="en-US"/>
        </w:rPr>
        <w:t>l means test</w:t>
      </w:r>
      <w:r w:rsidR="00E81BB0" w:rsidRPr="002162D6">
        <w:rPr>
          <w:lang w:val="en-US"/>
        </w:rPr>
        <w:t>.</w:t>
      </w:r>
      <w:r w:rsidR="00742974">
        <w:rPr>
          <w:rStyle w:val="FootnoteReference"/>
          <w:lang w:val="en-US"/>
        </w:rPr>
        <w:footnoteReference w:id="7"/>
      </w:r>
      <w:r w:rsidR="00E81BB0">
        <w:rPr>
          <w:lang w:val="en-US"/>
        </w:rPr>
        <w:t xml:space="preserve"> </w:t>
      </w:r>
      <w:r>
        <w:rPr>
          <w:lang w:val="en-US"/>
        </w:rPr>
        <w:t>However, t</w:t>
      </w:r>
      <w:r w:rsidRPr="0001715C">
        <w:rPr>
          <w:lang w:val="en-US"/>
        </w:rPr>
        <w:t xml:space="preserve">he </w:t>
      </w:r>
      <w:r>
        <w:rPr>
          <w:lang w:val="en-US"/>
        </w:rPr>
        <w:t>likelihood</w:t>
      </w:r>
      <w:r w:rsidRPr="0001715C">
        <w:rPr>
          <w:lang w:val="en-US"/>
        </w:rPr>
        <w:t xml:space="preserve"> of receiving Youth Allowance payments change</w:t>
      </w:r>
      <w:r>
        <w:rPr>
          <w:lang w:val="en-US"/>
        </w:rPr>
        <w:t>s</w:t>
      </w:r>
      <w:r w:rsidRPr="0001715C">
        <w:rPr>
          <w:lang w:val="en-US"/>
        </w:rPr>
        <w:t xml:space="preserve"> after taking a gap year.</w:t>
      </w:r>
      <w:r>
        <w:rPr>
          <w:lang w:val="en-US"/>
        </w:rPr>
        <w:t xml:space="preserve"> For example, for the Y95 cohort, t</w:t>
      </w:r>
      <w:r w:rsidRPr="0001715C">
        <w:rPr>
          <w:lang w:val="en-US"/>
        </w:rPr>
        <w:t>he odds of a high</w:t>
      </w:r>
      <w:r>
        <w:rPr>
          <w:lang w:val="en-US"/>
        </w:rPr>
        <w:t xml:space="preserve"> socioeconomic status</w:t>
      </w:r>
      <w:r w:rsidRPr="0001715C">
        <w:rPr>
          <w:lang w:val="en-US"/>
        </w:rPr>
        <w:t>, compared with a low</w:t>
      </w:r>
      <w:r>
        <w:rPr>
          <w:lang w:val="en-US"/>
        </w:rPr>
        <w:t xml:space="preserve"> socioeconomic status</w:t>
      </w:r>
      <w:r w:rsidRPr="0001715C">
        <w:rPr>
          <w:lang w:val="en-US"/>
        </w:rPr>
        <w:t>, non-gapper receiving a Youth Allowance payment is 0.62</w:t>
      </w:r>
      <w:r>
        <w:rPr>
          <w:lang w:val="en-US"/>
        </w:rPr>
        <w:t>; that is, relative to low-socioeconomic status individuals, high-socioeconomic status non-gappers are much less likely to receive Youth Allowance. T</w:t>
      </w:r>
      <w:r w:rsidRPr="0001715C">
        <w:rPr>
          <w:lang w:val="en-US"/>
        </w:rPr>
        <w:t>he corresponding odds ratio for gappers is 0.79</w:t>
      </w:r>
      <w:r>
        <w:rPr>
          <w:lang w:val="en-US"/>
        </w:rPr>
        <w:t xml:space="preserve">; that is, relative to low-socioeconomic status individuals, high-socioeconomic status gappers remain less likely to qualify for Youth Allowance, but the difference between the low and high groups has narrowed. </w:t>
      </w:r>
      <w:r w:rsidRPr="0001715C">
        <w:rPr>
          <w:lang w:val="en-US"/>
        </w:rPr>
        <w:t>Thus, the likelihood of a high</w:t>
      </w:r>
      <w:r>
        <w:rPr>
          <w:lang w:val="en-US"/>
        </w:rPr>
        <w:t>-socioeconomic status</w:t>
      </w:r>
      <w:r w:rsidRPr="0001715C">
        <w:rPr>
          <w:lang w:val="en-US"/>
        </w:rPr>
        <w:t xml:space="preserve"> student gaining access to Youth Allowance payments, while still lower, improves relative to a low</w:t>
      </w:r>
      <w:r>
        <w:rPr>
          <w:lang w:val="en-US"/>
        </w:rPr>
        <w:t>-socioeconomic status</w:t>
      </w:r>
      <w:r w:rsidRPr="0001715C">
        <w:rPr>
          <w:lang w:val="en-US"/>
        </w:rPr>
        <w:t xml:space="preserve"> student, following a gap year.</w:t>
      </w:r>
    </w:p>
    <w:p w:rsidR="00C925E9" w:rsidRPr="00BA2736" w:rsidRDefault="00C925E9" w:rsidP="00200C9F">
      <w:pPr>
        <w:pStyle w:val="tabletitle"/>
      </w:pPr>
      <w:bookmarkStart w:id="50" w:name="_Toc322691609"/>
      <w:r>
        <w:t>Table 6</w:t>
      </w:r>
      <w:r>
        <w:tab/>
        <w:t xml:space="preserve">Receipt of Youth Allowance by </w:t>
      </w:r>
      <w:r>
        <w:rPr>
          <w:lang w:val="en-US"/>
        </w:rPr>
        <w:t>socioeconomic status</w:t>
      </w:r>
      <w:r>
        <w:t xml:space="preserve"> quartile and gap year status, </w:t>
      </w:r>
      <w:r w:rsidR="00B21581">
        <w:br/>
      </w:r>
      <w:r>
        <w:t>Y95 students</w:t>
      </w:r>
      <w:bookmarkEnd w:id="50"/>
    </w:p>
    <w:tbl>
      <w:tblPr>
        <w:tblW w:w="0" w:type="auto"/>
        <w:tblInd w:w="95" w:type="dxa"/>
        <w:tblLook w:val="04A0"/>
      </w:tblPr>
      <w:tblGrid>
        <w:gridCol w:w="1856"/>
        <w:gridCol w:w="1418"/>
        <w:gridCol w:w="1134"/>
        <w:gridCol w:w="992"/>
        <w:gridCol w:w="2520"/>
      </w:tblGrid>
      <w:tr w:rsidR="002E6BE2" w:rsidRPr="00BA2736" w:rsidTr="002E6BE2">
        <w:trPr>
          <w:trHeight w:val="255"/>
        </w:trPr>
        <w:tc>
          <w:tcPr>
            <w:tcW w:w="1856" w:type="dxa"/>
            <w:tcBorders>
              <w:top w:val="single" w:sz="4" w:space="0" w:color="000000"/>
              <w:left w:val="nil"/>
              <w:bottom w:val="nil"/>
              <w:right w:val="nil"/>
            </w:tcBorders>
            <w:shd w:val="clear" w:color="auto" w:fill="auto"/>
            <w:noWrap/>
            <w:vAlign w:val="bottom"/>
          </w:tcPr>
          <w:p w:rsidR="002E6BE2" w:rsidRPr="00BA2736" w:rsidRDefault="002E6BE2" w:rsidP="00B21581">
            <w:pPr>
              <w:pStyle w:val="Tablehead1"/>
            </w:pPr>
            <w:r>
              <w:t>Gap status and SES</w:t>
            </w:r>
          </w:p>
        </w:tc>
        <w:tc>
          <w:tcPr>
            <w:tcW w:w="6064" w:type="dxa"/>
            <w:gridSpan w:val="4"/>
            <w:tcBorders>
              <w:top w:val="single" w:sz="4" w:space="0" w:color="000000"/>
              <w:left w:val="nil"/>
              <w:bottom w:val="nil"/>
              <w:right w:val="nil"/>
            </w:tcBorders>
            <w:shd w:val="clear" w:color="auto" w:fill="auto"/>
            <w:noWrap/>
            <w:vAlign w:val="bottom"/>
          </w:tcPr>
          <w:p w:rsidR="002E6BE2" w:rsidRPr="00BA2736" w:rsidRDefault="002E6BE2" w:rsidP="001810E3">
            <w:pPr>
              <w:pStyle w:val="Tablehead1"/>
              <w:jc w:val="center"/>
            </w:pPr>
            <w:r w:rsidRPr="00636756">
              <w:t>Youth Allowance</w:t>
            </w:r>
          </w:p>
        </w:tc>
      </w:tr>
      <w:tr w:rsidR="00C925E9" w:rsidRPr="00BA2736" w:rsidTr="002E6BE2">
        <w:trPr>
          <w:trHeight w:val="255"/>
        </w:trPr>
        <w:tc>
          <w:tcPr>
            <w:tcW w:w="1856" w:type="dxa"/>
            <w:tcBorders>
              <w:top w:val="nil"/>
              <w:left w:val="nil"/>
              <w:bottom w:val="single" w:sz="4" w:space="0" w:color="auto"/>
              <w:right w:val="nil"/>
            </w:tcBorders>
            <w:shd w:val="clear" w:color="auto" w:fill="auto"/>
            <w:noWrap/>
            <w:vAlign w:val="bottom"/>
          </w:tcPr>
          <w:p w:rsidR="00C925E9" w:rsidRPr="00BA2736" w:rsidRDefault="00C925E9" w:rsidP="00200C9F">
            <w:pPr>
              <w:pStyle w:val="Tablehead2"/>
            </w:pPr>
          </w:p>
        </w:tc>
        <w:tc>
          <w:tcPr>
            <w:tcW w:w="1418" w:type="dxa"/>
            <w:tcBorders>
              <w:top w:val="nil"/>
              <w:left w:val="nil"/>
              <w:bottom w:val="single" w:sz="4" w:space="0" w:color="auto"/>
              <w:right w:val="nil"/>
            </w:tcBorders>
            <w:shd w:val="clear" w:color="auto" w:fill="auto"/>
            <w:noWrap/>
            <w:vAlign w:val="bottom"/>
          </w:tcPr>
          <w:p w:rsidR="00C925E9" w:rsidRPr="00BA2736" w:rsidRDefault="00C925E9" w:rsidP="00B21581">
            <w:pPr>
              <w:pStyle w:val="Tablehead2"/>
              <w:jc w:val="right"/>
            </w:pPr>
            <w:r w:rsidRPr="00BA2736">
              <w:t>No</w:t>
            </w:r>
            <w:r>
              <w:t>t</w:t>
            </w:r>
            <w:r w:rsidRPr="00BA2736">
              <w:t xml:space="preserve"> </w:t>
            </w:r>
            <w:r>
              <w:t>received (%)</w:t>
            </w:r>
          </w:p>
        </w:tc>
        <w:tc>
          <w:tcPr>
            <w:tcW w:w="1134" w:type="dxa"/>
            <w:tcBorders>
              <w:top w:val="nil"/>
              <w:left w:val="nil"/>
              <w:bottom w:val="single" w:sz="4" w:space="0" w:color="auto"/>
              <w:right w:val="nil"/>
            </w:tcBorders>
            <w:shd w:val="clear" w:color="auto" w:fill="auto"/>
            <w:noWrap/>
            <w:vAlign w:val="bottom"/>
          </w:tcPr>
          <w:p w:rsidR="00C925E9" w:rsidRPr="00BA2736" w:rsidRDefault="00C925E9" w:rsidP="00B21581">
            <w:pPr>
              <w:pStyle w:val="Tablehead2"/>
              <w:jc w:val="right"/>
            </w:pPr>
            <w:r>
              <w:t>Received (%)</w:t>
            </w:r>
          </w:p>
        </w:tc>
        <w:tc>
          <w:tcPr>
            <w:tcW w:w="992" w:type="dxa"/>
            <w:tcBorders>
              <w:top w:val="nil"/>
              <w:left w:val="nil"/>
              <w:bottom w:val="single" w:sz="4" w:space="0" w:color="auto"/>
              <w:right w:val="nil"/>
            </w:tcBorders>
            <w:shd w:val="clear" w:color="auto" w:fill="auto"/>
            <w:noWrap/>
            <w:vAlign w:val="bottom"/>
          </w:tcPr>
          <w:p w:rsidR="00C925E9" w:rsidRPr="00BA2736" w:rsidRDefault="00C925E9" w:rsidP="00B21581">
            <w:pPr>
              <w:pStyle w:val="Tablehead2"/>
              <w:jc w:val="right"/>
            </w:pPr>
            <w:r w:rsidRPr="00BA2736">
              <w:t>Total</w:t>
            </w:r>
          </w:p>
        </w:tc>
        <w:tc>
          <w:tcPr>
            <w:tcW w:w="2520" w:type="dxa"/>
            <w:tcBorders>
              <w:top w:val="nil"/>
              <w:left w:val="nil"/>
              <w:bottom w:val="single" w:sz="4" w:space="0" w:color="auto"/>
              <w:right w:val="nil"/>
            </w:tcBorders>
            <w:shd w:val="clear" w:color="auto" w:fill="auto"/>
            <w:noWrap/>
            <w:vAlign w:val="bottom"/>
          </w:tcPr>
          <w:p w:rsidR="00C925E9" w:rsidRPr="00BA2736" w:rsidRDefault="00C925E9" w:rsidP="00B21581">
            <w:pPr>
              <w:pStyle w:val="Tablehead2"/>
              <w:jc w:val="right"/>
            </w:pPr>
            <w:r>
              <w:t>Likelihood of receiving YA (relative to low-SES)</w:t>
            </w:r>
          </w:p>
        </w:tc>
      </w:tr>
      <w:tr w:rsidR="00C925E9" w:rsidRPr="00BA2736" w:rsidTr="002E6BE2">
        <w:trPr>
          <w:trHeight w:val="255"/>
        </w:trPr>
        <w:tc>
          <w:tcPr>
            <w:tcW w:w="1856" w:type="dxa"/>
            <w:tcBorders>
              <w:top w:val="single" w:sz="4" w:space="0" w:color="auto"/>
              <w:left w:val="nil"/>
              <w:right w:val="nil"/>
            </w:tcBorders>
            <w:shd w:val="clear" w:color="auto" w:fill="auto"/>
            <w:noWrap/>
            <w:vAlign w:val="bottom"/>
          </w:tcPr>
          <w:p w:rsidR="00C925E9" w:rsidRPr="00BA2736" w:rsidRDefault="00C925E9" w:rsidP="00200C9F">
            <w:pPr>
              <w:pStyle w:val="Tabletext"/>
            </w:pPr>
            <w:r w:rsidRPr="00BA2736">
              <w:t>Non</w:t>
            </w:r>
            <w:r>
              <w:t>-gappers</w:t>
            </w:r>
          </w:p>
        </w:tc>
        <w:tc>
          <w:tcPr>
            <w:tcW w:w="1418" w:type="dxa"/>
            <w:tcBorders>
              <w:top w:val="single" w:sz="4" w:space="0" w:color="auto"/>
              <w:left w:val="nil"/>
              <w:right w:val="nil"/>
            </w:tcBorders>
            <w:shd w:val="clear" w:color="auto" w:fill="auto"/>
            <w:noWrap/>
            <w:vAlign w:val="bottom"/>
          </w:tcPr>
          <w:p w:rsidR="00C925E9" w:rsidRPr="00BA2736" w:rsidRDefault="00C925E9" w:rsidP="00B21581">
            <w:pPr>
              <w:pStyle w:val="Tabletext"/>
              <w:jc w:val="right"/>
            </w:pPr>
          </w:p>
        </w:tc>
        <w:tc>
          <w:tcPr>
            <w:tcW w:w="1134" w:type="dxa"/>
            <w:tcBorders>
              <w:top w:val="single" w:sz="4" w:space="0" w:color="auto"/>
              <w:left w:val="nil"/>
              <w:right w:val="nil"/>
            </w:tcBorders>
            <w:shd w:val="clear" w:color="auto" w:fill="auto"/>
            <w:noWrap/>
            <w:vAlign w:val="bottom"/>
          </w:tcPr>
          <w:p w:rsidR="00C925E9" w:rsidRPr="00BA2736" w:rsidRDefault="00C925E9" w:rsidP="00B21581">
            <w:pPr>
              <w:pStyle w:val="Tabletext"/>
              <w:jc w:val="right"/>
            </w:pPr>
          </w:p>
        </w:tc>
        <w:tc>
          <w:tcPr>
            <w:tcW w:w="992" w:type="dxa"/>
            <w:tcBorders>
              <w:top w:val="single" w:sz="4" w:space="0" w:color="auto"/>
              <w:left w:val="nil"/>
              <w:right w:val="nil"/>
            </w:tcBorders>
            <w:shd w:val="clear" w:color="auto" w:fill="auto"/>
            <w:noWrap/>
            <w:vAlign w:val="bottom"/>
          </w:tcPr>
          <w:p w:rsidR="00C925E9" w:rsidRPr="00BA2736" w:rsidRDefault="00C925E9" w:rsidP="00B21581">
            <w:pPr>
              <w:pStyle w:val="Tabletext"/>
              <w:jc w:val="right"/>
            </w:pPr>
          </w:p>
        </w:tc>
        <w:tc>
          <w:tcPr>
            <w:tcW w:w="2520" w:type="dxa"/>
            <w:tcBorders>
              <w:top w:val="single" w:sz="4" w:space="0" w:color="auto"/>
              <w:left w:val="nil"/>
              <w:right w:val="nil"/>
            </w:tcBorders>
            <w:shd w:val="clear" w:color="auto" w:fill="auto"/>
            <w:noWrap/>
            <w:vAlign w:val="bottom"/>
          </w:tcPr>
          <w:p w:rsidR="00C925E9" w:rsidRPr="00BA2736" w:rsidRDefault="00C925E9" w:rsidP="00B21581">
            <w:pPr>
              <w:pStyle w:val="Tabletext"/>
              <w:jc w:val="right"/>
            </w:pPr>
          </w:p>
        </w:tc>
      </w:tr>
      <w:tr w:rsidR="00C925E9" w:rsidRPr="00BA2736" w:rsidTr="002E6BE2">
        <w:trPr>
          <w:trHeight w:val="255"/>
        </w:trPr>
        <w:tc>
          <w:tcPr>
            <w:tcW w:w="1856" w:type="dxa"/>
            <w:tcBorders>
              <w:top w:val="nil"/>
              <w:left w:val="nil"/>
              <w:right w:val="nil"/>
            </w:tcBorders>
            <w:shd w:val="clear" w:color="auto" w:fill="auto"/>
            <w:noWrap/>
            <w:vAlign w:val="bottom"/>
          </w:tcPr>
          <w:p w:rsidR="00C925E9" w:rsidRPr="00BA2736" w:rsidRDefault="00C925E9" w:rsidP="00200C9F">
            <w:pPr>
              <w:pStyle w:val="Tabletext"/>
              <w:ind w:left="189"/>
            </w:pPr>
            <w:r w:rsidRPr="00BA2736">
              <w:t>SES</w:t>
            </w:r>
            <w:r>
              <w:t xml:space="preserve"> quartile</w:t>
            </w:r>
          </w:p>
        </w:tc>
        <w:tc>
          <w:tcPr>
            <w:tcW w:w="1418" w:type="dxa"/>
            <w:tcBorders>
              <w:top w:val="nil"/>
              <w:left w:val="nil"/>
              <w:right w:val="nil"/>
            </w:tcBorders>
            <w:shd w:val="clear" w:color="auto" w:fill="auto"/>
            <w:noWrap/>
            <w:vAlign w:val="bottom"/>
          </w:tcPr>
          <w:p w:rsidR="00C925E9" w:rsidRPr="00BA2736" w:rsidRDefault="00C925E9" w:rsidP="00B21581">
            <w:pPr>
              <w:pStyle w:val="Tabletext"/>
              <w:jc w:val="right"/>
            </w:pPr>
          </w:p>
        </w:tc>
        <w:tc>
          <w:tcPr>
            <w:tcW w:w="1134" w:type="dxa"/>
            <w:tcBorders>
              <w:top w:val="nil"/>
              <w:left w:val="nil"/>
              <w:right w:val="nil"/>
            </w:tcBorders>
            <w:shd w:val="clear" w:color="auto" w:fill="auto"/>
            <w:noWrap/>
            <w:vAlign w:val="bottom"/>
          </w:tcPr>
          <w:p w:rsidR="00C925E9" w:rsidRPr="00BA2736" w:rsidRDefault="00C925E9" w:rsidP="00B21581">
            <w:pPr>
              <w:pStyle w:val="Tabletext"/>
              <w:jc w:val="right"/>
            </w:pPr>
          </w:p>
        </w:tc>
        <w:tc>
          <w:tcPr>
            <w:tcW w:w="992" w:type="dxa"/>
            <w:tcBorders>
              <w:top w:val="nil"/>
              <w:left w:val="nil"/>
              <w:right w:val="nil"/>
            </w:tcBorders>
            <w:shd w:val="clear" w:color="auto" w:fill="auto"/>
            <w:noWrap/>
            <w:vAlign w:val="bottom"/>
          </w:tcPr>
          <w:p w:rsidR="00C925E9" w:rsidRPr="00BA2736" w:rsidRDefault="00C925E9" w:rsidP="00B21581">
            <w:pPr>
              <w:pStyle w:val="Tabletext"/>
              <w:jc w:val="right"/>
            </w:pPr>
          </w:p>
        </w:tc>
        <w:tc>
          <w:tcPr>
            <w:tcW w:w="2520" w:type="dxa"/>
            <w:tcBorders>
              <w:top w:val="nil"/>
              <w:left w:val="nil"/>
              <w:right w:val="nil"/>
            </w:tcBorders>
            <w:shd w:val="clear" w:color="auto" w:fill="auto"/>
            <w:noWrap/>
            <w:vAlign w:val="bottom"/>
          </w:tcPr>
          <w:p w:rsidR="00C925E9" w:rsidRPr="00BA2736" w:rsidRDefault="00C925E9" w:rsidP="00B21581">
            <w:pPr>
              <w:pStyle w:val="Tabletext"/>
              <w:jc w:val="right"/>
            </w:pPr>
          </w:p>
        </w:tc>
      </w:tr>
      <w:tr w:rsidR="00C925E9" w:rsidRPr="00BA2736" w:rsidTr="002E6BE2">
        <w:trPr>
          <w:trHeight w:val="255"/>
        </w:trPr>
        <w:tc>
          <w:tcPr>
            <w:tcW w:w="1856" w:type="dxa"/>
            <w:tcBorders>
              <w:left w:val="nil"/>
              <w:bottom w:val="nil"/>
              <w:right w:val="nil"/>
            </w:tcBorders>
            <w:shd w:val="clear" w:color="auto" w:fill="auto"/>
            <w:noWrap/>
            <w:vAlign w:val="bottom"/>
          </w:tcPr>
          <w:p w:rsidR="00C925E9" w:rsidRPr="00BA2736" w:rsidRDefault="00C925E9" w:rsidP="00200C9F">
            <w:pPr>
              <w:pStyle w:val="Tabletext"/>
              <w:ind w:left="331"/>
            </w:pPr>
            <w:r w:rsidRPr="00BA2736">
              <w:t>Low</w:t>
            </w:r>
          </w:p>
        </w:tc>
        <w:tc>
          <w:tcPr>
            <w:tcW w:w="1418" w:type="dxa"/>
            <w:tcBorders>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49</w:t>
            </w:r>
          </w:p>
        </w:tc>
        <w:tc>
          <w:tcPr>
            <w:tcW w:w="1134" w:type="dxa"/>
            <w:tcBorders>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51</w:t>
            </w:r>
          </w:p>
        </w:tc>
        <w:tc>
          <w:tcPr>
            <w:tcW w:w="992" w:type="dxa"/>
            <w:tcBorders>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100</w:t>
            </w:r>
          </w:p>
        </w:tc>
        <w:tc>
          <w:tcPr>
            <w:tcW w:w="2520" w:type="dxa"/>
            <w:tcBorders>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t>1.00</w:t>
            </w:r>
          </w:p>
        </w:tc>
      </w:tr>
      <w:tr w:rsidR="00C925E9" w:rsidRPr="00BA2736" w:rsidTr="002E6BE2">
        <w:trPr>
          <w:trHeight w:val="255"/>
        </w:trPr>
        <w:tc>
          <w:tcPr>
            <w:tcW w:w="1856" w:type="dxa"/>
            <w:tcBorders>
              <w:top w:val="nil"/>
              <w:left w:val="nil"/>
              <w:bottom w:val="nil"/>
              <w:right w:val="nil"/>
            </w:tcBorders>
            <w:shd w:val="clear" w:color="auto" w:fill="auto"/>
            <w:noWrap/>
            <w:vAlign w:val="bottom"/>
          </w:tcPr>
          <w:p w:rsidR="00C925E9" w:rsidRPr="00BA2736" w:rsidRDefault="00C925E9" w:rsidP="00200C9F">
            <w:pPr>
              <w:pStyle w:val="Tabletext"/>
              <w:ind w:left="331"/>
            </w:pPr>
            <w:r w:rsidRPr="00BA2736">
              <w:t>Low</w:t>
            </w:r>
            <w:r>
              <w:t>–</w:t>
            </w:r>
            <w:r w:rsidRPr="00BA2736">
              <w:t>medium</w:t>
            </w:r>
          </w:p>
        </w:tc>
        <w:tc>
          <w:tcPr>
            <w:tcW w:w="1418"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54</w:t>
            </w:r>
          </w:p>
        </w:tc>
        <w:tc>
          <w:tcPr>
            <w:tcW w:w="1134"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46</w:t>
            </w:r>
          </w:p>
        </w:tc>
        <w:tc>
          <w:tcPr>
            <w:tcW w:w="992"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100</w:t>
            </w:r>
          </w:p>
        </w:tc>
        <w:tc>
          <w:tcPr>
            <w:tcW w:w="2520"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0.91</w:t>
            </w:r>
          </w:p>
        </w:tc>
      </w:tr>
      <w:tr w:rsidR="00C925E9" w:rsidRPr="00BA2736" w:rsidTr="002E6BE2">
        <w:trPr>
          <w:trHeight w:val="255"/>
        </w:trPr>
        <w:tc>
          <w:tcPr>
            <w:tcW w:w="1856" w:type="dxa"/>
            <w:tcBorders>
              <w:top w:val="nil"/>
              <w:left w:val="nil"/>
              <w:bottom w:val="nil"/>
              <w:right w:val="nil"/>
            </w:tcBorders>
            <w:shd w:val="clear" w:color="auto" w:fill="auto"/>
            <w:noWrap/>
            <w:vAlign w:val="bottom"/>
          </w:tcPr>
          <w:p w:rsidR="00C925E9" w:rsidRPr="00BA2736" w:rsidRDefault="00C925E9" w:rsidP="00200C9F">
            <w:pPr>
              <w:pStyle w:val="Tabletext"/>
              <w:ind w:left="331"/>
            </w:pPr>
            <w:r w:rsidRPr="00BA2736">
              <w:t>Medium</w:t>
            </w:r>
            <w:r>
              <w:t>–</w:t>
            </w:r>
            <w:r w:rsidRPr="00BA2736">
              <w:t>high</w:t>
            </w:r>
          </w:p>
        </w:tc>
        <w:tc>
          <w:tcPr>
            <w:tcW w:w="1418"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60</w:t>
            </w:r>
          </w:p>
        </w:tc>
        <w:tc>
          <w:tcPr>
            <w:tcW w:w="1134"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40</w:t>
            </w:r>
          </w:p>
        </w:tc>
        <w:tc>
          <w:tcPr>
            <w:tcW w:w="992"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100</w:t>
            </w:r>
          </w:p>
        </w:tc>
        <w:tc>
          <w:tcPr>
            <w:tcW w:w="2520"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0.79</w:t>
            </w:r>
          </w:p>
        </w:tc>
      </w:tr>
      <w:tr w:rsidR="00C925E9" w:rsidRPr="00BA2736" w:rsidTr="002E6BE2">
        <w:trPr>
          <w:trHeight w:val="255"/>
        </w:trPr>
        <w:tc>
          <w:tcPr>
            <w:tcW w:w="1856" w:type="dxa"/>
            <w:tcBorders>
              <w:top w:val="nil"/>
              <w:left w:val="nil"/>
              <w:bottom w:val="nil"/>
              <w:right w:val="nil"/>
            </w:tcBorders>
            <w:shd w:val="clear" w:color="auto" w:fill="auto"/>
            <w:noWrap/>
            <w:vAlign w:val="bottom"/>
          </w:tcPr>
          <w:p w:rsidR="00C925E9" w:rsidRPr="00BA2736" w:rsidRDefault="00C925E9" w:rsidP="00200C9F">
            <w:pPr>
              <w:pStyle w:val="Tabletext"/>
              <w:ind w:left="331"/>
            </w:pPr>
            <w:r w:rsidRPr="00BA2736">
              <w:t>High</w:t>
            </w:r>
          </w:p>
        </w:tc>
        <w:tc>
          <w:tcPr>
            <w:tcW w:w="1418"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68</w:t>
            </w:r>
          </w:p>
        </w:tc>
        <w:tc>
          <w:tcPr>
            <w:tcW w:w="1134"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32</w:t>
            </w:r>
          </w:p>
        </w:tc>
        <w:tc>
          <w:tcPr>
            <w:tcW w:w="992"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100</w:t>
            </w:r>
          </w:p>
        </w:tc>
        <w:tc>
          <w:tcPr>
            <w:tcW w:w="2520"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0.62</w:t>
            </w:r>
          </w:p>
        </w:tc>
      </w:tr>
      <w:tr w:rsidR="00C925E9" w:rsidRPr="00BA2736" w:rsidTr="002E6BE2">
        <w:trPr>
          <w:trHeight w:val="255"/>
        </w:trPr>
        <w:tc>
          <w:tcPr>
            <w:tcW w:w="1856" w:type="dxa"/>
            <w:tcBorders>
              <w:top w:val="nil"/>
              <w:left w:val="nil"/>
              <w:right w:val="nil"/>
            </w:tcBorders>
            <w:shd w:val="clear" w:color="auto" w:fill="auto"/>
            <w:noWrap/>
            <w:vAlign w:val="bottom"/>
          </w:tcPr>
          <w:p w:rsidR="00C925E9" w:rsidRPr="00BA2736" w:rsidRDefault="00C925E9" w:rsidP="00200C9F">
            <w:pPr>
              <w:pStyle w:val="Tabletext"/>
              <w:ind w:left="331"/>
            </w:pPr>
            <w:r w:rsidRPr="00BA2736">
              <w:t>Unknown</w:t>
            </w:r>
          </w:p>
        </w:tc>
        <w:tc>
          <w:tcPr>
            <w:tcW w:w="1418"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46</w:t>
            </w:r>
          </w:p>
        </w:tc>
        <w:tc>
          <w:tcPr>
            <w:tcW w:w="1134"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54</w:t>
            </w:r>
          </w:p>
        </w:tc>
        <w:tc>
          <w:tcPr>
            <w:tcW w:w="992"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100</w:t>
            </w:r>
          </w:p>
        </w:tc>
        <w:tc>
          <w:tcPr>
            <w:tcW w:w="2520"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1.05</w:t>
            </w:r>
          </w:p>
        </w:tc>
      </w:tr>
      <w:tr w:rsidR="00C925E9" w:rsidRPr="00636756" w:rsidTr="002E6BE2">
        <w:trPr>
          <w:trHeight w:val="255"/>
        </w:trPr>
        <w:tc>
          <w:tcPr>
            <w:tcW w:w="1856" w:type="dxa"/>
            <w:tcBorders>
              <w:top w:val="nil"/>
              <w:left w:val="nil"/>
              <w:right w:val="nil"/>
            </w:tcBorders>
            <w:shd w:val="clear" w:color="auto" w:fill="auto"/>
            <w:noWrap/>
            <w:vAlign w:val="bottom"/>
          </w:tcPr>
          <w:p w:rsidR="00C925E9" w:rsidRPr="00636756" w:rsidRDefault="00C925E9" w:rsidP="00200C9F">
            <w:pPr>
              <w:pStyle w:val="Tabletext"/>
              <w:ind w:left="331"/>
              <w:rPr>
                <w:b/>
              </w:rPr>
            </w:pPr>
            <w:r w:rsidRPr="00636756">
              <w:rPr>
                <w:b/>
              </w:rPr>
              <w:t>Total</w:t>
            </w:r>
          </w:p>
        </w:tc>
        <w:tc>
          <w:tcPr>
            <w:tcW w:w="1418" w:type="dxa"/>
            <w:tcBorders>
              <w:top w:val="nil"/>
              <w:left w:val="nil"/>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59</w:t>
            </w:r>
          </w:p>
        </w:tc>
        <w:tc>
          <w:tcPr>
            <w:tcW w:w="1134" w:type="dxa"/>
            <w:tcBorders>
              <w:top w:val="nil"/>
              <w:left w:val="nil"/>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41</w:t>
            </w:r>
          </w:p>
        </w:tc>
        <w:tc>
          <w:tcPr>
            <w:tcW w:w="992" w:type="dxa"/>
            <w:tcBorders>
              <w:top w:val="nil"/>
              <w:left w:val="nil"/>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100</w:t>
            </w:r>
          </w:p>
        </w:tc>
        <w:tc>
          <w:tcPr>
            <w:tcW w:w="2520" w:type="dxa"/>
            <w:tcBorders>
              <w:top w:val="nil"/>
              <w:left w:val="nil"/>
              <w:right w:val="nil"/>
            </w:tcBorders>
            <w:shd w:val="clear" w:color="auto" w:fill="auto"/>
            <w:noWrap/>
            <w:vAlign w:val="bottom"/>
          </w:tcPr>
          <w:p w:rsidR="00C925E9" w:rsidRPr="00636756" w:rsidRDefault="00C925E9" w:rsidP="00B21581">
            <w:pPr>
              <w:pStyle w:val="Tabletext"/>
              <w:tabs>
                <w:tab w:val="decimal" w:pos="720"/>
              </w:tabs>
              <w:jc w:val="right"/>
              <w:rPr>
                <w:b/>
              </w:rPr>
            </w:pPr>
          </w:p>
        </w:tc>
      </w:tr>
      <w:tr w:rsidR="00C925E9" w:rsidRPr="00BA2736" w:rsidTr="002E6BE2">
        <w:trPr>
          <w:trHeight w:val="255"/>
        </w:trPr>
        <w:tc>
          <w:tcPr>
            <w:tcW w:w="1856" w:type="dxa"/>
            <w:tcBorders>
              <w:left w:val="nil"/>
              <w:right w:val="nil"/>
            </w:tcBorders>
            <w:shd w:val="clear" w:color="auto" w:fill="auto"/>
            <w:noWrap/>
            <w:vAlign w:val="bottom"/>
          </w:tcPr>
          <w:p w:rsidR="00C925E9" w:rsidRPr="00BA2736" w:rsidRDefault="00C925E9" w:rsidP="00200C9F">
            <w:pPr>
              <w:pStyle w:val="Tabletext"/>
            </w:pPr>
            <w:r w:rsidRPr="00BA2736">
              <w:t>Gappers</w:t>
            </w:r>
          </w:p>
        </w:tc>
        <w:tc>
          <w:tcPr>
            <w:tcW w:w="1418" w:type="dxa"/>
            <w:tcBorders>
              <w:left w:val="nil"/>
              <w:right w:val="nil"/>
            </w:tcBorders>
            <w:shd w:val="clear" w:color="auto" w:fill="auto"/>
            <w:noWrap/>
            <w:vAlign w:val="bottom"/>
          </w:tcPr>
          <w:p w:rsidR="00C925E9" w:rsidRPr="00BA2736" w:rsidRDefault="00C925E9" w:rsidP="00B21581">
            <w:pPr>
              <w:pStyle w:val="Tabletext"/>
              <w:tabs>
                <w:tab w:val="decimal" w:pos="720"/>
              </w:tabs>
              <w:jc w:val="right"/>
            </w:pPr>
          </w:p>
        </w:tc>
        <w:tc>
          <w:tcPr>
            <w:tcW w:w="1134" w:type="dxa"/>
            <w:tcBorders>
              <w:left w:val="nil"/>
              <w:right w:val="nil"/>
            </w:tcBorders>
            <w:shd w:val="clear" w:color="auto" w:fill="auto"/>
            <w:noWrap/>
            <w:vAlign w:val="bottom"/>
          </w:tcPr>
          <w:p w:rsidR="00C925E9" w:rsidRPr="00BA2736" w:rsidRDefault="00C925E9" w:rsidP="00B21581">
            <w:pPr>
              <w:pStyle w:val="Tabletext"/>
              <w:tabs>
                <w:tab w:val="decimal" w:pos="720"/>
              </w:tabs>
              <w:jc w:val="right"/>
            </w:pPr>
          </w:p>
        </w:tc>
        <w:tc>
          <w:tcPr>
            <w:tcW w:w="992" w:type="dxa"/>
            <w:tcBorders>
              <w:left w:val="nil"/>
              <w:right w:val="nil"/>
            </w:tcBorders>
            <w:shd w:val="clear" w:color="auto" w:fill="auto"/>
            <w:noWrap/>
            <w:vAlign w:val="bottom"/>
          </w:tcPr>
          <w:p w:rsidR="00C925E9" w:rsidRPr="00BA2736" w:rsidRDefault="00C925E9" w:rsidP="00B21581">
            <w:pPr>
              <w:pStyle w:val="Tabletext"/>
              <w:tabs>
                <w:tab w:val="decimal" w:pos="720"/>
              </w:tabs>
              <w:jc w:val="right"/>
            </w:pPr>
          </w:p>
        </w:tc>
        <w:tc>
          <w:tcPr>
            <w:tcW w:w="2520" w:type="dxa"/>
            <w:tcBorders>
              <w:left w:val="nil"/>
              <w:right w:val="nil"/>
            </w:tcBorders>
            <w:shd w:val="clear" w:color="auto" w:fill="auto"/>
            <w:noWrap/>
            <w:vAlign w:val="bottom"/>
          </w:tcPr>
          <w:p w:rsidR="00C925E9" w:rsidRPr="00BA2736" w:rsidRDefault="00C925E9" w:rsidP="00B21581">
            <w:pPr>
              <w:pStyle w:val="Tabletext"/>
              <w:tabs>
                <w:tab w:val="decimal" w:pos="720"/>
              </w:tabs>
              <w:jc w:val="right"/>
            </w:pPr>
          </w:p>
        </w:tc>
      </w:tr>
      <w:tr w:rsidR="00C925E9" w:rsidRPr="00BA2736" w:rsidTr="002E6BE2">
        <w:trPr>
          <w:trHeight w:val="255"/>
        </w:trPr>
        <w:tc>
          <w:tcPr>
            <w:tcW w:w="1856" w:type="dxa"/>
            <w:tcBorders>
              <w:top w:val="nil"/>
              <w:left w:val="nil"/>
              <w:right w:val="nil"/>
            </w:tcBorders>
            <w:shd w:val="clear" w:color="auto" w:fill="auto"/>
            <w:noWrap/>
            <w:vAlign w:val="bottom"/>
          </w:tcPr>
          <w:p w:rsidR="00C925E9" w:rsidRPr="00BA2736" w:rsidRDefault="00C925E9" w:rsidP="00200C9F">
            <w:pPr>
              <w:pStyle w:val="Tabletext"/>
              <w:ind w:left="189"/>
            </w:pPr>
            <w:r w:rsidRPr="00BA2736">
              <w:t>SES</w:t>
            </w:r>
            <w:r>
              <w:t xml:space="preserve"> quartile</w:t>
            </w:r>
          </w:p>
        </w:tc>
        <w:tc>
          <w:tcPr>
            <w:tcW w:w="1418"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p>
        </w:tc>
        <w:tc>
          <w:tcPr>
            <w:tcW w:w="1134"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p>
        </w:tc>
        <w:tc>
          <w:tcPr>
            <w:tcW w:w="992"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p>
        </w:tc>
        <w:tc>
          <w:tcPr>
            <w:tcW w:w="2520"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p>
        </w:tc>
      </w:tr>
      <w:tr w:rsidR="00C925E9" w:rsidRPr="00BA2736" w:rsidTr="002E6BE2">
        <w:trPr>
          <w:trHeight w:val="255"/>
        </w:trPr>
        <w:tc>
          <w:tcPr>
            <w:tcW w:w="1856" w:type="dxa"/>
            <w:tcBorders>
              <w:left w:val="nil"/>
              <w:bottom w:val="nil"/>
              <w:right w:val="nil"/>
            </w:tcBorders>
            <w:shd w:val="clear" w:color="auto" w:fill="auto"/>
            <w:noWrap/>
            <w:vAlign w:val="bottom"/>
          </w:tcPr>
          <w:p w:rsidR="00C925E9" w:rsidRPr="00BA2736" w:rsidRDefault="00C925E9" w:rsidP="00200C9F">
            <w:pPr>
              <w:pStyle w:val="Tabletext"/>
              <w:ind w:left="331"/>
            </w:pPr>
            <w:r w:rsidRPr="00BA2736">
              <w:t>Low</w:t>
            </w:r>
          </w:p>
        </w:tc>
        <w:tc>
          <w:tcPr>
            <w:tcW w:w="1418" w:type="dxa"/>
            <w:tcBorders>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41</w:t>
            </w:r>
          </w:p>
        </w:tc>
        <w:tc>
          <w:tcPr>
            <w:tcW w:w="1134" w:type="dxa"/>
            <w:tcBorders>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59</w:t>
            </w:r>
          </w:p>
        </w:tc>
        <w:tc>
          <w:tcPr>
            <w:tcW w:w="992" w:type="dxa"/>
            <w:tcBorders>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100</w:t>
            </w:r>
          </w:p>
        </w:tc>
        <w:tc>
          <w:tcPr>
            <w:tcW w:w="2520" w:type="dxa"/>
            <w:tcBorders>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t>1.00</w:t>
            </w:r>
          </w:p>
        </w:tc>
      </w:tr>
      <w:tr w:rsidR="00C925E9" w:rsidRPr="00BA2736" w:rsidTr="002E6BE2">
        <w:trPr>
          <w:trHeight w:val="255"/>
        </w:trPr>
        <w:tc>
          <w:tcPr>
            <w:tcW w:w="1856" w:type="dxa"/>
            <w:tcBorders>
              <w:top w:val="nil"/>
              <w:left w:val="nil"/>
              <w:bottom w:val="nil"/>
              <w:right w:val="nil"/>
            </w:tcBorders>
            <w:shd w:val="clear" w:color="auto" w:fill="auto"/>
            <w:noWrap/>
            <w:vAlign w:val="bottom"/>
          </w:tcPr>
          <w:p w:rsidR="00C925E9" w:rsidRPr="00BA2736" w:rsidRDefault="00C925E9" w:rsidP="00200C9F">
            <w:pPr>
              <w:pStyle w:val="Tabletext"/>
              <w:ind w:left="331"/>
            </w:pPr>
            <w:r w:rsidRPr="00BA2736">
              <w:t>Low</w:t>
            </w:r>
            <w:r>
              <w:t>–</w:t>
            </w:r>
            <w:r w:rsidRPr="00BA2736">
              <w:t>medium</w:t>
            </w:r>
          </w:p>
        </w:tc>
        <w:tc>
          <w:tcPr>
            <w:tcW w:w="1418"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41</w:t>
            </w:r>
          </w:p>
        </w:tc>
        <w:tc>
          <w:tcPr>
            <w:tcW w:w="1134"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59</w:t>
            </w:r>
          </w:p>
        </w:tc>
        <w:tc>
          <w:tcPr>
            <w:tcW w:w="992"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100</w:t>
            </w:r>
          </w:p>
        </w:tc>
        <w:tc>
          <w:tcPr>
            <w:tcW w:w="2520"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0.99</w:t>
            </w:r>
          </w:p>
        </w:tc>
      </w:tr>
      <w:tr w:rsidR="00C925E9" w:rsidRPr="00BA2736" w:rsidTr="002E6BE2">
        <w:trPr>
          <w:trHeight w:val="255"/>
        </w:trPr>
        <w:tc>
          <w:tcPr>
            <w:tcW w:w="1856" w:type="dxa"/>
            <w:tcBorders>
              <w:top w:val="nil"/>
              <w:left w:val="nil"/>
              <w:bottom w:val="nil"/>
              <w:right w:val="nil"/>
            </w:tcBorders>
            <w:shd w:val="clear" w:color="auto" w:fill="auto"/>
            <w:noWrap/>
            <w:vAlign w:val="bottom"/>
          </w:tcPr>
          <w:p w:rsidR="00C925E9" w:rsidRPr="00BA2736" w:rsidRDefault="00C925E9" w:rsidP="00200C9F">
            <w:pPr>
              <w:pStyle w:val="Tabletext"/>
              <w:ind w:left="331"/>
            </w:pPr>
            <w:r w:rsidRPr="00BA2736">
              <w:t>Medium</w:t>
            </w:r>
            <w:r>
              <w:t>–</w:t>
            </w:r>
            <w:r w:rsidRPr="00BA2736">
              <w:t>high</w:t>
            </w:r>
          </w:p>
        </w:tc>
        <w:tc>
          <w:tcPr>
            <w:tcW w:w="1418"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49</w:t>
            </w:r>
          </w:p>
        </w:tc>
        <w:tc>
          <w:tcPr>
            <w:tcW w:w="1134"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51</w:t>
            </w:r>
          </w:p>
        </w:tc>
        <w:tc>
          <w:tcPr>
            <w:tcW w:w="992"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100</w:t>
            </w:r>
          </w:p>
        </w:tc>
        <w:tc>
          <w:tcPr>
            <w:tcW w:w="2520"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0.85</w:t>
            </w:r>
          </w:p>
        </w:tc>
      </w:tr>
      <w:tr w:rsidR="00C925E9" w:rsidRPr="00BA2736" w:rsidTr="002E6BE2">
        <w:trPr>
          <w:trHeight w:val="255"/>
        </w:trPr>
        <w:tc>
          <w:tcPr>
            <w:tcW w:w="1856" w:type="dxa"/>
            <w:tcBorders>
              <w:top w:val="nil"/>
              <w:left w:val="nil"/>
              <w:bottom w:val="nil"/>
              <w:right w:val="nil"/>
            </w:tcBorders>
            <w:shd w:val="clear" w:color="auto" w:fill="auto"/>
            <w:noWrap/>
            <w:vAlign w:val="bottom"/>
          </w:tcPr>
          <w:p w:rsidR="00C925E9" w:rsidRPr="00BA2736" w:rsidRDefault="00C925E9" w:rsidP="00200C9F">
            <w:pPr>
              <w:pStyle w:val="Tabletext"/>
              <w:ind w:left="331"/>
            </w:pPr>
            <w:r w:rsidRPr="00BA2736">
              <w:t>High</w:t>
            </w:r>
          </w:p>
        </w:tc>
        <w:tc>
          <w:tcPr>
            <w:tcW w:w="1418"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53</w:t>
            </w:r>
          </w:p>
        </w:tc>
        <w:tc>
          <w:tcPr>
            <w:tcW w:w="1134"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47</w:t>
            </w:r>
          </w:p>
        </w:tc>
        <w:tc>
          <w:tcPr>
            <w:tcW w:w="992"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100</w:t>
            </w:r>
          </w:p>
        </w:tc>
        <w:tc>
          <w:tcPr>
            <w:tcW w:w="2520" w:type="dxa"/>
            <w:tcBorders>
              <w:top w:val="nil"/>
              <w:left w:val="nil"/>
              <w:bottom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0.79</w:t>
            </w:r>
          </w:p>
        </w:tc>
      </w:tr>
      <w:tr w:rsidR="00C925E9" w:rsidRPr="00BA2736" w:rsidTr="002E6BE2">
        <w:trPr>
          <w:trHeight w:val="255"/>
        </w:trPr>
        <w:tc>
          <w:tcPr>
            <w:tcW w:w="1856" w:type="dxa"/>
            <w:tcBorders>
              <w:top w:val="nil"/>
              <w:left w:val="nil"/>
              <w:right w:val="nil"/>
            </w:tcBorders>
            <w:shd w:val="clear" w:color="auto" w:fill="auto"/>
            <w:noWrap/>
            <w:vAlign w:val="bottom"/>
          </w:tcPr>
          <w:p w:rsidR="00C925E9" w:rsidRPr="00BA2736" w:rsidRDefault="00C925E9" w:rsidP="00200C9F">
            <w:pPr>
              <w:pStyle w:val="Tabletext"/>
              <w:ind w:left="331"/>
            </w:pPr>
            <w:r w:rsidRPr="00BA2736">
              <w:t>Unknown</w:t>
            </w:r>
          </w:p>
        </w:tc>
        <w:tc>
          <w:tcPr>
            <w:tcW w:w="1418"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32</w:t>
            </w:r>
          </w:p>
        </w:tc>
        <w:tc>
          <w:tcPr>
            <w:tcW w:w="1134"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68</w:t>
            </w:r>
          </w:p>
        </w:tc>
        <w:tc>
          <w:tcPr>
            <w:tcW w:w="992"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100</w:t>
            </w:r>
          </w:p>
        </w:tc>
        <w:tc>
          <w:tcPr>
            <w:tcW w:w="2520" w:type="dxa"/>
            <w:tcBorders>
              <w:top w:val="nil"/>
              <w:left w:val="nil"/>
              <w:right w:val="nil"/>
            </w:tcBorders>
            <w:shd w:val="clear" w:color="auto" w:fill="auto"/>
            <w:noWrap/>
            <w:vAlign w:val="bottom"/>
          </w:tcPr>
          <w:p w:rsidR="00C925E9" w:rsidRPr="00BA2736" w:rsidRDefault="00C925E9" w:rsidP="00B21581">
            <w:pPr>
              <w:pStyle w:val="Tabletext"/>
              <w:tabs>
                <w:tab w:val="decimal" w:pos="720"/>
              </w:tabs>
              <w:jc w:val="right"/>
            </w:pPr>
            <w:r w:rsidRPr="00BA2736">
              <w:t>1.16</w:t>
            </w:r>
          </w:p>
        </w:tc>
      </w:tr>
      <w:tr w:rsidR="00C925E9" w:rsidRPr="00636756" w:rsidTr="002E6BE2">
        <w:trPr>
          <w:trHeight w:val="255"/>
        </w:trPr>
        <w:tc>
          <w:tcPr>
            <w:tcW w:w="1856" w:type="dxa"/>
            <w:tcBorders>
              <w:top w:val="nil"/>
              <w:left w:val="nil"/>
              <w:bottom w:val="single" w:sz="4" w:space="0" w:color="000000"/>
              <w:right w:val="nil"/>
            </w:tcBorders>
            <w:shd w:val="clear" w:color="auto" w:fill="auto"/>
            <w:noWrap/>
            <w:vAlign w:val="bottom"/>
          </w:tcPr>
          <w:p w:rsidR="00C925E9" w:rsidRPr="00636756" w:rsidRDefault="00C925E9" w:rsidP="00200C9F">
            <w:pPr>
              <w:pStyle w:val="Tabletext"/>
              <w:ind w:left="331"/>
              <w:rPr>
                <w:b/>
              </w:rPr>
            </w:pPr>
            <w:r w:rsidRPr="00636756">
              <w:rPr>
                <w:b/>
              </w:rPr>
              <w:t>Total</w:t>
            </w:r>
          </w:p>
        </w:tc>
        <w:tc>
          <w:tcPr>
            <w:tcW w:w="1418" w:type="dxa"/>
            <w:tcBorders>
              <w:top w:val="nil"/>
              <w:left w:val="nil"/>
              <w:bottom w:val="single" w:sz="4" w:space="0" w:color="000000"/>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46</w:t>
            </w:r>
          </w:p>
        </w:tc>
        <w:tc>
          <w:tcPr>
            <w:tcW w:w="1134" w:type="dxa"/>
            <w:tcBorders>
              <w:top w:val="nil"/>
              <w:left w:val="nil"/>
              <w:bottom w:val="single" w:sz="4" w:space="0" w:color="000000"/>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54</w:t>
            </w:r>
          </w:p>
        </w:tc>
        <w:tc>
          <w:tcPr>
            <w:tcW w:w="992" w:type="dxa"/>
            <w:tcBorders>
              <w:top w:val="nil"/>
              <w:left w:val="nil"/>
              <w:bottom w:val="single" w:sz="4" w:space="0" w:color="000000"/>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100</w:t>
            </w:r>
          </w:p>
        </w:tc>
        <w:tc>
          <w:tcPr>
            <w:tcW w:w="2520" w:type="dxa"/>
            <w:tcBorders>
              <w:top w:val="nil"/>
              <w:left w:val="nil"/>
              <w:bottom w:val="single" w:sz="4" w:space="0" w:color="000000"/>
              <w:right w:val="nil"/>
            </w:tcBorders>
            <w:shd w:val="clear" w:color="auto" w:fill="auto"/>
            <w:noWrap/>
            <w:vAlign w:val="bottom"/>
          </w:tcPr>
          <w:p w:rsidR="00C925E9" w:rsidRPr="00636756" w:rsidRDefault="00C925E9" w:rsidP="00B21581">
            <w:pPr>
              <w:pStyle w:val="Tabletext"/>
              <w:tabs>
                <w:tab w:val="decimal" w:pos="720"/>
              </w:tabs>
              <w:jc w:val="right"/>
              <w:rPr>
                <w:b/>
              </w:rPr>
            </w:pPr>
          </w:p>
        </w:tc>
      </w:tr>
    </w:tbl>
    <w:p w:rsidR="00C925E9" w:rsidRDefault="00C925E9" w:rsidP="002E6BE2">
      <w:pPr>
        <w:pStyle w:val="Source"/>
        <w:tabs>
          <w:tab w:val="left" w:pos="709"/>
        </w:tabs>
        <w:ind w:left="709" w:hanging="709"/>
        <w:rPr>
          <w:lang w:val="en-US"/>
        </w:rPr>
      </w:pPr>
      <w:r>
        <w:rPr>
          <w:lang w:val="en-US"/>
        </w:rPr>
        <w:t>Note:</w:t>
      </w:r>
      <w:r>
        <w:rPr>
          <w:lang w:val="en-US"/>
        </w:rPr>
        <w:tab/>
        <w:t xml:space="preserve">The percentages of those reported as receiving Youth Allowance are based on the number of cases whose Youth Allowance status </w:t>
      </w:r>
      <w:r w:rsidRPr="009A6031">
        <w:rPr>
          <w:lang w:val="en-US"/>
        </w:rPr>
        <w:t>was known (93%).</w:t>
      </w:r>
    </w:p>
    <w:p w:rsidR="00C925E9" w:rsidRDefault="00C925E9" w:rsidP="002E6BE2">
      <w:pPr>
        <w:pStyle w:val="Text"/>
        <w:spacing w:before="300"/>
        <w:ind w:right="0"/>
        <w:rPr>
          <w:lang w:val="en-US"/>
        </w:rPr>
      </w:pPr>
      <w:r>
        <w:rPr>
          <w:lang w:val="en-US"/>
        </w:rPr>
        <w:t>We find Lane’s (2008) claim that a greater number of high-socioeconomic status individuals receive Youth Allowance payments is misleading. He does not draw attention to the relative proportions of low- and high-socioeconomic status university commencers and this distorts his evaluation.</w:t>
      </w:r>
    </w:p>
    <w:p w:rsidR="00C925E9" w:rsidRDefault="00C925E9" w:rsidP="00200C9F">
      <w:pPr>
        <w:pStyle w:val="Text"/>
        <w:rPr>
          <w:lang w:val="en-US"/>
        </w:rPr>
      </w:pPr>
      <w:r>
        <w:rPr>
          <w:lang w:val="en-US"/>
        </w:rPr>
        <w:t>We find that 32% of high-socioeconomic status non-gappers in Y95 and Y98 have qualified for the Youth Allowance payment. They may have qualified by working while studying at university or may qualify due to their personal or family circumstances. The assessment of individuals’ socioeconomic status was made when they were in Year 9 at school. Between then and commencing university, the circumstances of some could have changed to make them eligible.</w:t>
      </w:r>
    </w:p>
    <w:p w:rsidR="00C925E9" w:rsidRPr="00BA2736" w:rsidRDefault="00C925E9" w:rsidP="00200C9F">
      <w:pPr>
        <w:pStyle w:val="tabletitle"/>
      </w:pPr>
      <w:r>
        <w:br w:type="page"/>
      </w:r>
      <w:bookmarkStart w:id="51" w:name="_Toc322691610"/>
      <w:r>
        <w:lastRenderedPageBreak/>
        <w:t>Table 7</w:t>
      </w:r>
      <w:r>
        <w:tab/>
        <w:t xml:space="preserve">Receipt of Youth Allowance by </w:t>
      </w:r>
      <w:r>
        <w:rPr>
          <w:lang w:val="en-US"/>
        </w:rPr>
        <w:t>socioeconomic status</w:t>
      </w:r>
      <w:r>
        <w:t xml:space="preserve"> quartile and gap year status, </w:t>
      </w:r>
      <w:r w:rsidR="001810E3">
        <w:br/>
      </w:r>
      <w:r>
        <w:t>Y98 students</w:t>
      </w:r>
      <w:bookmarkEnd w:id="51"/>
    </w:p>
    <w:tbl>
      <w:tblPr>
        <w:tblW w:w="0" w:type="auto"/>
        <w:tblInd w:w="95" w:type="dxa"/>
        <w:tblLook w:val="04A0"/>
      </w:tblPr>
      <w:tblGrid>
        <w:gridCol w:w="1998"/>
        <w:gridCol w:w="1276"/>
        <w:gridCol w:w="1134"/>
        <w:gridCol w:w="1134"/>
        <w:gridCol w:w="2378"/>
      </w:tblGrid>
      <w:tr w:rsidR="002E6BE2" w:rsidRPr="00A45F0B" w:rsidTr="002E6BE2">
        <w:trPr>
          <w:trHeight w:val="255"/>
        </w:trPr>
        <w:tc>
          <w:tcPr>
            <w:tcW w:w="1998" w:type="dxa"/>
            <w:tcBorders>
              <w:top w:val="single" w:sz="4" w:space="0" w:color="000000"/>
              <w:left w:val="nil"/>
              <w:right w:val="nil"/>
            </w:tcBorders>
            <w:shd w:val="clear" w:color="auto" w:fill="auto"/>
            <w:noWrap/>
            <w:vAlign w:val="bottom"/>
          </w:tcPr>
          <w:p w:rsidR="002E6BE2" w:rsidRPr="00A45F0B" w:rsidRDefault="002E6BE2" w:rsidP="00B21581">
            <w:pPr>
              <w:pStyle w:val="Tablehead1"/>
            </w:pPr>
            <w:r w:rsidRPr="00A45F0B">
              <w:t>Gap status and SES</w:t>
            </w:r>
          </w:p>
        </w:tc>
        <w:tc>
          <w:tcPr>
            <w:tcW w:w="5922" w:type="dxa"/>
            <w:gridSpan w:val="4"/>
            <w:tcBorders>
              <w:top w:val="single" w:sz="4" w:space="0" w:color="000000"/>
              <w:left w:val="nil"/>
              <w:right w:val="nil"/>
            </w:tcBorders>
            <w:shd w:val="clear" w:color="auto" w:fill="auto"/>
            <w:noWrap/>
            <w:vAlign w:val="bottom"/>
          </w:tcPr>
          <w:p w:rsidR="002E6BE2" w:rsidRPr="00A45F0B" w:rsidRDefault="002E6BE2" w:rsidP="001810E3">
            <w:pPr>
              <w:pStyle w:val="Tablehead1"/>
              <w:jc w:val="center"/>
            </w:pPr>
            <w:r w:rsidRPr="00636756">
              <w:t>Youth Allowance</w:t>
            </w:r>
          </w:p>
        </w:tc>
      </w:tr>
      <w:tr w:rsidR="00C925E9" w:rsidRPr="00A45F0B" w:rsidTr="002E6BE2">
        <w:trPr>
          <w:trHeight w:val="255"/>
        </w:trPr>
        <w:tc>
          <w:tcPr>
            <w:tcW w:w="1998" w:type="dxa"/>
            <w:tcBorders>
              <w:top w:val="nil"/>
              <w:left w:val="nil"/>
              <w:bottom w:val="single" w:sz="4" w:space="0" w:color="auto"/>
              <w:right w:val="nil"/>
            </w:tcBorders>
            <w:shd w:val="clear" w:color="auto" w:fill="auto"/>
            <w:noWrap/>
            <w:vAlign w:val="bottom"/>
          </w:tcPr>
          <w:p w:rsidR="00C925E9" w:rsidRPr="00A45F0B" w:rsidRDefault="00C925E9" w:rsidP="00200C9F">
            <w:pPr>
              <w:pStyle w:val="Tablehead2"/>
            </w:pPr>
          </w:p>
        </w:tc>
        <w:tc>
          <w:tcPr>
            <w:tcW w:w="1276" w:type="dxa"/>
            <w:tcBorders>
              <w:top w:val="nil"/>
              <w:left w:val="nil"/>
              <w:bottom w:val="single" w:sz="4" w:space="0" w:color="auto"/>
              <w:right w:val="nil"/>
            </w:tcBorders>
            <w:shd w:val="clear" w:color="auto" w:fill="auto"/>
            <w:noWrap/>
            <w:vAlign w:val="bottom"/>
          </w:tcPr>
          <w:p w:rsidR="00C925E9" w:rsidRPr="00A45F0B" w:rsidRDefault="00C925E9" w:rsidP="00B21581">
            <w:pPr>
              <w:pStyle w:val="Tablehead2"/>
              <w:jc w:val="right"/>
            </w:pPr>
            <w:r w:rsidRPr="00A45F0B">
              <w:t>Not received (%)</w:t>
            </w:r>
          </w:p>
        </w:tc>
        <w:tc>
          <w:tcPr>
            <w:tcW w:w="1134" w:type="dxa"/>
            <w:tcBorders>
              <w:top w:val="nil"/>
              <w:left w:val="nil"/>
              <w:bottom w:val="single" w:sz="4" w:space="0" w:color="auto"/>
              <w:right w:val="nil"/>
            </w:tcBorders>
            <w:shd w:val="clear" w:color="auto" w:fill="auto"/>
            <w:noWrap/>
            <w:vAlign w:val="bottom"/>
          </w:tcPr>
          <w:p w:rsidR="00C925E9" w:rsidRPr="00A45F0B" w:rsidRDefault="00C925E9" w:rsidP="00B21581">
            <w:pPr>
              <w:pStyle w:val="Tablehead2"/>
              <w:jc w:val="right"/>
            </w:pPr>
            <w:r w:rsidRPr="00A45F0B">
              <w:t>Received (%)</w:t>
            </w:r>
          </w:p>
        </w:tc>
        <w:tc>
          <w:tcPr>
            <w:tcW w:w="1134" w:type="dxa"/>
            <w:tcBorders>
              <w:top w:val="nil"/>
              <w:left w:val="nil"/>
              <w:bottom w:val="single" w:sz="4" w:space="0" w:color="auto"/>
              <w:right w:val="nil"/>
            </w:tcBorders>
            <w:shd w:val="clear" w:color="auto" w:fill="auto"/>
            <w:noWrap/>
            <w:vAlign w:val="bottom"/>
          </w:tcPr>
          <w:p w:rsidR="00C925E9" w:rsidRPr="00A45F0B" w:rsidRDefault="00C925E9" w:rsidP="00B21581">
            <w:pPr>
              <w:pStyle w:val="Tablehead2"/>
              <w:jc w:val="right"/>
            </w:pPr>
            <w:r w:rsidRPr="00A45F0B">
              <w:t>Total</w:t>
            </w:r>
          </w:p>
        </w:tc>
        <w:tc>
          <w:tcPr>
            <w:tcW w:w="2378" w:type="dxa"/>
            <w:tcBorders>
              <w:top w:val="nil"/>
              <w:left w:val="nil"/>
              <w:bottom w:val="single" w:sz="4" w:space="0" w:color="auto"/>
              <w:right w:val="nil"/>
            </w:tcBorders>
            <w:shd w:val="clear" w:color="auto" w:fill="auto"/>
            <w:noWrap/>
            <w:vAlign w:val="bottom"/>
          </w:tcPr>
          <w:p w:rsidR="00C925E9" w:rsidRPr="00A45F0B" w:rsidRDefault="00C925E9" w:rsidP="00B21581">
            <w:pPr>
              <w:pStyle w:val="Tablehead2"/>
              <w:jc w:val="right"/>
            </w:pPr>
            <w:r>
              <w:t>Likelihood of receiving YA (relative to low-SES)</w:t>
            </w:r>
          </w:p>
        </w:tc>
      </w:tr>
      <w:tr w:rsidR="00C925E9" w:rsidRPr="00A45F0B" w:rsidTr="002E6BE2">
        <w:trPr>
          <w:trHeight w:val="255"/>
        </w:trPr>
        <w:tc>
          <w:tcPr>
            <w:tcW w:w="1998" w:type="dxa"/>
            <w:tcBorders>
              <w:top w:val="single" w:sz="4" w:space="0" w:color="auto"/>
              <w:left w:val="nil"/>
              <w:right w:val="nil"/>
            </w:tcBorders>
            <w:shd w:val="clear" w:color="auto" w:fill="auto"/>
            <w:noWrap/>
            <w:vAlign w:val="bottom"/>
          </w:tcPr>
          <w:p w:rsidR="00C925E9" w:rsidRPr="00A45F0B" w:rsidRDefault="00C925E9" w:rsidP="00200C9F">
            <w:pPr>
              <w:pStyle w:val="Tabletext"/>
            </w:pPr>
            <w:r w:rsidRPr="00A45F0B">
              <w:t>Non-gappers</w:t>
            </w:r>
          </w:p>
        </w:tc>
        <w:tc>
          <w:tcPr>
            <w:tcW w:w="1276" w:type="dxa"/>
            <w:tcBorders>
              <w:top w:val="single" w:sz="4" w:space="0" w:color="auto"/>
              <w:left w:val="nil"/>
              <w:right w:val="nil"/>
            </w:tcBorders>
            <w:shd w:val="clear" w:color="auto" w:fill="auto"/>
            <w:noWrap/>
            <w:vAlign w:val="bottom"/>
          </w:tcPr>
          <w:p w:rsidR="00C925E9" w:rsidRPr="00A45F0B" w:rsidRDefault="00C925E9" w:rsidP="00B21581">
            <w:pPr>
              <w:pStyle w:val="Tabletext"/>
              <w:jc w:val="right"/>
            </w:pPr>
          </w:p>
        </w:tc>
        <w:tc>
          <w:tcPr>
            <w:tcW w:w="1134" w:type="dxa"/>
            <w:tcBorders>
              <w:top w:val="single" w:sz="4" w:space="0" w:color="auto"/>
              <w:left w:val="nil"/>
              <w:right w:val="nil"/>
            </w:tcBorders>
            <w:shd w:val="clear" w:color="auto" w:fill="auto"/>
            <w:noWrap/>
            <w:vAlign w:val="bottom"/>
          </w:tcPr>
          <w:p w:rsidR="00C925E9" w:rsidRPr="00A45F0B" w:rsidRDefault="00C925E9" w:rsidP="00B21581">
            <w:pPr>
              <w:pStyle w:val="Tabletext"/>
              <w:jc w:val="right"/>
            </w:pPr>
          </w:p>
        </w:tc>
        <w:tc>
          <w:tcPr>
            <w:tcW w:w="1134" w:type="dxa"/>
            <w:tcBorders>
              <w:top w:val="single" w:sz="4" w:space="0" w:color="auto"/>
              <w:left w:val="nil"/>
              <w:right w:val="nil"/>
            </w:tcBorders>
            <w:shd w:val="clear" w:color="auto" w:fill="auto"/>
            <w:noWrap/>
            <w:vAlign w:val="bottom"/>
          </w:tcPr>
          <w:p w:rsidR="00C925E9" w:rsidRPr="00A45F0B" w:rsidRDefault="00C925E9" w:rsidP="00B21581">
            <w:pPr>
              <w:pStyle w:val="Tabletext"/>
              <w:jc w:val="right"/>
            </w:pPr>
          </w:p>
        </w:tc>
        <w:tc>
          <w:tcPr>
            <w:tcW w:w="2378" w:type="dxa"/>
            <w:tcBorders>
              <w:top w:val="single" w:sz="4" w:space="0" w:color="auto"/>
              <w:left w:val="nil"/>
              <w:right w:val="nil"/>
            </w:tcBorders>
            <w:shd w:val="clear" w:color="auto" w:fill="auto"/>
            <w:noWrap/>
            <w:vAlign w:val="bottom"/>
          </w:tcPr>
          <w:p w:rsidR="00C925E9" w:rsidRPr="00A45F0B" w:rsidRDefault="00C925E9" w:rsidP="00B21581">
            <w:pPr>
              <w:pStyle w:val="Tabletext"/>
              <w:jc w:val="right"/>
            </w:pPr>
          </w:p>
        </w:tc>
      </w:tr>
      <w:tr w:rsidR="00C925E9" w:rsidRPr="00A45F0B" w:rsidTr="002E6BE2">
        <w:trPr>
          <w:trHeight w:val="255"/>
        </w:trPr>
        <w:tc>
          <w:tcPr>
            <w:tcW w:w="1998" w:type="dxa"/>
            <w:tcBorders>
              <w:left w:val="nil"/>
              <w:right w:val="nil"/>
            </w:tcBorders>
            <w:shd w:val="clear" w:color="auto" w:fill="auto"/>
            <w:noWrap/>
            <w:vAlign w:val="bottom"/>
          </w:tcPr>
          <w:p w:rsidR="00C925E9" w:rsidRPr="00A45F0B" w:rsidRDefault="00C925E9" w:rsidP="00200C9F">
            <w:pPr>
              <w:pStyle w:val="Tabletext"/>
              <w:ind w:left="189"/>
            </w:pPr>
            <w:r w:rsidRPr="00A45F0B">
              <w:t>SES quartile</w:t>
            </w:r>
          </w:p>
        </w:tc>
        <w:tc>
          <w:tcPr>
            <w:tcW w:w="1276" w:type="dxa"/>
            <w:tcBorders>
              <w:left w:val="nil"/>
              <w:right w:val="nil"/>
            </w:tcBorders>
            <w:shd w:val="clear" w:color="auto" w:fill="auto"/>
            <w:noWrap/>
            <w:vAlign w:val="bottom"/>
          </w:tcPr>
          <w:p w:rsidR="00C925E9" w:rsidRPr="00A45F0B" w:rsidRDefault="00C925E9" w:rsidP="00B21581">
            <w:pPr>
              <w:pStyle w:val="Tabletext"/>
              <w:jc w:val="right"/>
            </w:pPr>
          </w:p>
        </w:tc>
        <w:tc>
          <w:tcPr>
            <w:tcW w:w="1134" w:type="dxa"/>
            <w:tcBorders>
              <w:left w:val="nil"/>
              <w:right w:val="nil"/>
            </w:tcBorders>
            <w:shd w:val="clear" w:color="auto" w:fill="auto"/>
            <w:noWrap/>
            <w:vAlign w:val="bottom"/>
          </w:tcPr>
          <w:p w:rsidR="00C925E9" w:rsidRPr="00A45F0B" w:rsidRDefault="00C925E9" w:rsidP="00B21581">
            <w:pPr>
              <w:pStyle w:val="Tabletext"/>
              <w:jc w:val="right"/>
            </w:pPr>
          </w:p>
        </w:tc>
        <w:tc>
          <w:tcPr>
            <w:tcW w:w="1134" w:type="dxa"/>
            <w:tcBorders>
              <w:left w:val="nil"/>
              <w:right w:val="nil"/>
            </w:tcBorders>
            <w:shd w:val="clear" w:color="auto" w:fill="auto"/>
            <w:noWrap/>
            <w:vAlign w:val="bottom"/>
          </w:tcPr>
          <w:p w:rsidR="00C925E9" w:rsidRPr="00A45F0B" w:rsidRDefault="00C925E9" w:rsidP="00B21581">
            <w:pPr>
              <w:pStyle w:val="Tabletext"/>
              <w:jc w:val="right"/>
            </w:pPr>
          </w:p>
        </w:tc>
        <w:tc>
          <w:tcPr>
            <w:tcW w:w="2378" w:type="dxa"/>
            <w:tcBorders>
              <w:left w:val="nil"/>
              <w:right w:val="nil"/>
            </w:tcBorders>
            <w:shd w:val="clear" w:color="auto" w:fill="auto"/>
            <w:noWrap/>
            <w:vAlign w:val="bottom"/>
          </w:tcPr>
          <w:p w:rsidR="00C925E9" w:rsidRPr="00A45F0B" w:rsidRDefault="00C925E9" w:rsidP="00B21581">
            <w:pPr>
              <w:pStyle w:val="Tabletext"/>
              <w:jc w:val="right"/>
            </w:pPr>
          </w:p>
        </w:tc>
      </w:tr>
      <w:tr w:rsidR="00C925E9" w:rsidRPr="00A45F0B" w:rsidTr="002E6BE2">
        <w:trPr>
          <w:trHeight w:val="255"/>
        </w:trPr>
        <w:tc>
          <w:tcPr>
            <w:tcW w:w="1998" w:type="dxa"/>
            <w:tcBorders>
              <w:left w:val="nil"/>
              <w:bottom w:val="nil"/>
              <w:right w:val="nil"/>
            </w:tcBorders>
            <w:shd w:val="clear" w:color="auto" w:fill="auto"/>
            <w:noWrap/>
            <w:vAlign w:val="bottom"/>
          </w:tcPr>
          <w:p w:rsidR="00C925E9" w:rsidRPr="00A45F0B" w:rsidRDefault="00C925E9" w:rsidP="00200C9F">
            <w:pPr>
              <w:pStyle w:val="Tabletext"/>
              <w:ind w:left="331"/>
            </w:pPr>
            <w:r w:rsidRPr="00A45F0B">
              <w:t>Low</w:t>
            </w:r>
          </w:p>
        </w:tc>
        <w:tc>
          <w:tcPr>
            <w:tcW w:w="1276" w:type="dxa"/>
            <w:tcBorders>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48</w:t>
            </w:r>
          </w:p>
        </w:tc>
        <w:tc>
          <w:tcPr>
            <w:tcW w:w="1134" w:type="dxa"/>
            <w:tcBorders>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52</w:t>
            </w:r>
          </w:p>
        </w:tc>
        <w:tc>
          <w:tcPr>
            <w:tcW w:w="1134" w:type="dxa"/>
            <w:tcBorders>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100</w:t>
            </w:r>
          </w:p>
        </w:tc>
        <w:tc>
          <w:tcPr>
            <w:tcW w:w="2378" w:type="dxa"/>
            <w:tcBorders>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t>1.00</w:t>
            </w:r>
          </w:p>
        </w:tc>
      </w:tr>
      <w:tr w:rsidR="00C925E9" w:rsidRPr="00A45F0B" w:rsidTr="002E6BE2">
        <w:trPr>
          <w:trHeight w:val="255"/>
        </w:trPr>
        <w:tc>
          <w:tcPr>
            <w:tcW w:w="1998" w:type="dxa"/>
            <w:tcBorders>
              <w:top w:val="nil"/>
              <w:left w:val="nil"/>
              <w:bottom w:val="nil"/>
              <w:right w:val="nil"/>
            </w:tcBorders>
            <w:shd w:val="clear" w:color="auto" w:fill="auto"/>
            <w:noWrap/>
            <w:vAlign w:val="bottom"/>
          </w:tcPr>
          <w:p w:rsidR="00C925E9" w:rsidRPr="00A45F0B" w:rsidRDefault="00C925E9" w:rsidP="00200C9F">
            <w:pPr>
              <w:pStyle w:val="Tabletext"/>
              <w:ind w:left="331"/>
            </w:pPr>
            <w:r w:rsidRPr="00A45F0B">
              <w:t>Low</w:t>
            </w:r>
            <w:r>
              <w:t>–</w:t>
            </w:r>
            <w:r w:rsidRPr="00A45F0B">
              <w:t>medium</w:t>
            </w:r>
          </w:p>
        </w:tc>
        <w:tc>
          <w:tcPr>
            <w:tcW w:w="1276"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48</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52</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100</w:t>
            </w:r>
          </w:p>
        </w:tc>
        <w:tc>
          <w:tcPr>
            <w:tcW w:w="2378"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1.00</w:t>
            </w:r>
          </w:p>
        </w:tc>
      </w:tr>
      <w:tr w:rsidR="00C925E9" w:rsidRPr="00A45F0B" w:rsidTr="002E6BE2">
        <w:trPr>
          <w:trHeight w:val="255"/>
        </w:trPr>
        <w:tc>
          <w:tcPr>
            <w:tcW w:w="1998" w:type="dxa"/>
            <w:tcBorders>
              <w:top w:val="nil"/>
              <w:left w:val="nil"/>
              <w:bottom w:val="nil"/>
              <w:right w:val="nil"/>
            </w:tcBorders>
            <w:shd w:val="clear" w:color="auto" w:fill="auto"/>
            <w:noWrap/>
            <w:vAlign w:val="bottom"/>
          </w:tcPr>
          <w:p w:rsidR="00C925E9" w:rsidRPr="00A45F0B" w:rsidRDefault="00C925E9" w:rsidP="00200C9F">
            <w:pPr>
              <w:pStyle w:val="Tabletext"/>
              <w:ind w:left="331"/>
            </w:pPr>
            <w:r w:rsidRPr="00A45F0B">
              <w:t>Medium</w:t>
            </w:r>
            <w:r>
              <w:t>–</w:t>
            </w:r>
            <w:r w:rsidRPr="00A45F0B">
              <w:t>high</w:t>
            </w:r>
          </w:p>
        </w:tc>
        <w:tc>
          <w:tcPr>
            <w:tcW w:w="1276"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55</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45</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100</w:t>
            </w:r>
          </w:p>
        </w:tc>
        <w:tc>
          <w:tcPr>
            <w:tcW w:w="2378"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0.86</w:t>
            </w:r>
          </w:p>
        </w:tc>
      </w:tr>
      <w:tr w:rsidR="00C925E9" w:rsidRPr="00A45F0B" w:rsidTr="002E6BE2">
        <w:trPr>
          <w:trHeight w:val="255"/>
        </w:trPr>
        <w:tc>
          <w:tcPr>
            <w:tcW w:w="1998" w:type="dxa"/>
            <w:tcBorders>
              <w:top w:val="nil"/>
              <w:left w:val="nil"/>
              <w:bottom w:val="nil"/>
              <w:right w:val="nil"/>
            </w:tcBorders>
            <w:shd w:val="clear" w:color="auto" w:fill="auto"/>
            <w:noWrap/>
            <w:vAlign w:val="bottom"/>
          </w:tcPr>
          <w:p w:rsidR="00C925E9" w:rsidRPr="00A45F0B" w:rsidRDefault="00C925E9" w:rsidP="00200C9F">
            <w:pPr>
              <w:pStyle w:val="Tabletext"/>
              <w:ind w:left="331"/>
            </w:pPr>
            <w:r w:rsidRPr="00A45F0B">
              <w:t>High</w:t>
            </w:r>
          </w:p>
        </w:tc>
        <w:tc>
          <w:tcPr>
            <w:tcW w:w="1276"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68</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32</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100</w:t>
            </w:r>
          </w:p>
        </w:tc>
        <w:tc>
          <w:tcPr>
            <w:tcW w:w="2378"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0.60</w:t>
            </w:r>
          </w:p>
        </w:tc>
      </w:tr>
      <w:tr w:rsidR="00C925E9" w:rsidRPr="00A45F0B" w:rsidTr="002E6BE2">
        <w:trPr>
          <w:trHeight w:val="255"/>
        </w:trPr>
        <w:tc>
          <w:tcPr>
            <w:tcW w:w="1998" w:type="dxa"/>
            <w:tcBorders>
              <w:top w:val="nil"/>
              <w:left w:val="nil"/>
              <w:right w:val="nil"/>
            </w:tcBorders>
            <w:shd w:val="clear" w:color="auto" w:fill="auto"/>
            <w:noWrap/>
            <w:vAlign w:val="bottom"/>
          </w:tcPr>
          <w:p w:rsidR="00C925E9" w:rsidRPr="00A45F0B" w:rsidRDefault="00C925E9" w:rsidP="00200C9F">
            <w:pPr>
              <w:pStyle w:val="Tabletext"/>
              <w:ind w:left="331"/>
            </w:pPr>
            <w:r w:rsidRPr="00A45F0B">
              <w:t>Unknown</w:t>
            </w:r>
          </w:p>
        </w:tc>
        <w:tc>
          <w:tcPr>
            <w:tcW w:w="1276" w:type="dxa"/>
            <w:tcBorders>
              <w:top w:val="nil"/>
              <w:left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38</w:t>
            </w:r>
          </w:p>
        </w:tc>
        <w:tc>
          <w:tcPr>
            <w:tcW w:w="1134" w:type="dxa"/>
            <w:tcBorders>
              <w:top w:val="nil"/>
              <w:left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62</w:t>
            </w:r>
          </w:p>
        </w:tc>
        <w:tc>
          <w:tcPr>
            <w:tcW w:w="1134" w:type="dxa"/>
            <w:tcBorders>
              <w:top w:val="nil"/>
              <w:left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100</w:t>
            </w:r>
          </w:p>
        </w:tc>
        <w:tc>
          <w:tcPr>
            <w:tcW w:w="2378" w:type="dxa"/>
            <w:tcBorders>
              <w:top w:val="nil"/>
              <w:left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1.18</w:t>
            </w:r>
          </w:p>
        </w:tc>
      </w:tr>
      <w:tr w:rsidR="00C925E9" w:rsidRPr="00636756" w:rsidTr="002E6BE2">
        <w:trPr>
          <w:trHeight w:val="255"/>
        </w:trPr>
        <w:tc>
          <w:tcPr>
            <w:tcW w:w="1998" w:type="dxa"/>
            <w:tcBorders>
              <w:top w:val="nil"/>
              <w:left w:val="nil"/>
              <w:right w:val="nil"/>
            </w:tcBorders>
            <w:shd w:val="clear" w:color="auto" w:fill="auto"/>
            <w:noWrap/>
            <w:vAlign w:val="bottom"/>
          </w:tcPr>
          <w:p w:rsidR="00C925E9" w:rsidRPr="00636756" w:rsidRDefault="00C925E9" w:rsidP="00200C9F">
            <w:pPr>
              <w:pStyle w:val="Tabletext"/>
              <w:ind w:left="331"/>
              <w:rPr>
                <w:b/>
              </w:rPr>
            </w:pPr>
            <w:r w:rsidRPr="00636756">
              <w:rPr>
                <w:b/>
              </w:rPr>
              <w:t>Total</w:t>
            </w:r>
          </w:p>
        </w:tc>
        <w:tc>
          <w:tcPr>
            <w:tcW w:w="1276" w:type="dxa"/>
            <w:tcBorders>
              <w:top w:val="nil"/>
              <w:left w:val="nil"/>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56</w:t>
            </w:r>
          </w:p>
        </w:tc>
        <w:tc>
          <w:tcPr>
            <w:tcW w:w="1134" w:type="dxa"/>
            <w:tcBorders>
              <w:top w:val="nil"/>
              <w:left w:val="nil"/>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44</w:t>
            </w:r>
          </w:p>
        </w:tc>
        <w:tc>
          <w:tcPr>
            <w:tcW w:w="1134" w:type="dxa"/>
            <w:tcBorders>
              <w:top w:val="nil"/>
              <w:left w:val="nil"/>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100</w:t>
            </w:r>
          </w:p>
        </w:tc>
        <w:tc>
          <w:tcPr>
            <w:tcW w:w="2378" w:type="dxa"/>
            <w:tcBorders>
              <w:top w:val="nil"/>
              <w:left w:val="nil"/>
              <w:right w:val="nil"/>
            </w:tcBorders>
            <w:shd w:val="clear" w:color="auto" w:fill="auto"/>
            <w:noWrap/>
            <w:vAlign w:val="bottom"/>
          </w:tcPr>
          <w:p w:rsidR="00C925E9" w:rsidRPr="00636756" w:rsidRDefault="00C925E9" w:rsidP="00B21581">
            <w:pPr>
              <w:pStyle w:val="Tabletext"/>
              <w:tabs>
                <w:tab w:val="decimal" w:pos="720"/>
              </w:tabs>
              <w:jc w:val="right"/>
              <w:rPr>
                <w:b/>
              </w:rPr>
            </w:pPr>
          </w:p>
        </w:tc>
      </w:tr>
      <w:tr w:rsidR="00C925E9" w:rsidRPr="00A45F0B" w:rsidTr="002E6BE2">
        <w:trPr>
          <w:trHeight w:val="255"/>
        </w:trPr>
        <w:tc>
          <w:tcPr>
            <w:tcW w:w="1998" w:type="dxa"/>
            <w:tcBorders>
              <w:left w:val="nil"/>
              <w:right w:val="nil"/>
            </w:tcBorders>
            <w:shd w:val="clear" w:color="auto" w:fill="auto"/>
            <w:noWrap/>
            <w:vAlign w:val="bottom"/>
          </w:tcPr>
          <w:p w:rsidR="00C925E9" w:rsidRPr="00A45F0B" w:rsidRDefault="00C925E9" w:rsidP="00200C9F">
            <w:pPr>
              <w:pStyle w:val="Tabletext"/>
            </w:pPr>
            <w:r w:rsidRPr="00A45F0B">
              <w:t>Gappers</w:t>
            </w:r>
          </w:p>
        </w:tc>
        <w:tc>
          <w:tcPr>
            <w:tcW w:w="1276" w:type="dxa"/>
            <w:tcBorders>
              <w:left w:val="nil"/>
              <w:right w:val="nil"/>
            </w:tcBorders>
            <w:shd w:val="clear" w:color="auto" w:fill="auto"/>
            <w:noWrap/>
            <w:vAlign w:val="bottom"/>
          </w:tcPr>
          <w:p w:rsidR="00C925E9" w:rsidRPr="00A45F0B" w:rsidRDefault="00C925E9" w:rsidP="00B21581">
            <w:pPr>
              <w:pStyle w:val="Tabletext"/>
              <w:tabs>
                <w:tab w:val="decimal" w:pos="720"/>
              </w:tabs>
              <w:jc w:val="right"/>
            </w:pPr>
          </w:p>
        </w:tc>
        <w:tc>
          <w:tcPr>
            <w:tcW w:w="1134" w:type="dxa"/>
            <w:tcBorders>
              <w:left w:val="nil"/>
              <w:right w:val="nil"/>
            </w:tcBorders>
            <w:shd w:val="clear" w:color="auto" w:fill="auto"/>
            <w:noWrap/>
            <w:vAlign w:val="bottom"/>
          </w:tcPr>
          <w:p w:rsidR="00C925E9" w:rsidRPr="00A45F0B" w:rsidRDefault="00C925E9" w:rsidP="00B21581">
            <w:pPr>
              <w:pStyle w:val="Tabletext"/>
              <w:tabs>
                <w:tab w:val="decimal" w:pos="720"/>
              </w:tabs>
              <w:jc w:val="right"/>
            </w:pPr>
          </w:p>
        </w:tc>
        <w:tc>
          <w:tcPr>
            <w:tcW w:w="1134" w:type="dxa"/>
            <w:tcBorders>
              <w:left w:val="nil"/>
              <w:right w:val="nil"/>
            </w:tcBorders>
            <w:shd w:val="clear" w:color="auto" w:fill="auto"/>
            <w:noWrap/>
            <w:vAlign w:val="bottom"/>
          </w:tcPr>
          <w:p w:rsidR="00C925E9" w:rsidRPr="00A45F0B" w:rsidRDefault="00C925E9" w:rsidP="00B21581">
            <w:pPr>
              <w:pStyle w:val="Tabletext"/>
              <w:tabs>
                <w:tab w:val="decimal" w:pos="720"/>
              </w:tabs>
              <w:jc w:val="right"/>
            </w:pPr>
          </w:p>
        </w:tc>
        <w:tc>
          <w:tcPr>
            <w:tcW w:w="2378" w:type="dxa"/>
            <w:tcBorders>
              <w:left w:val="nil"/>
              <w:right w:val="nil"/>
            </w:tcBorders>
            <w:shd w:val="clear" w:color="auto" w:fill="auto"/>
            <w:noWrap/>
            <w:vAlign w:val="bottom"/>
          </w:tcPr>
          <w:p w:rsidR="00C925E9" w:rsidRPr="00A45F0B" w:rsidRDefault="00C925E9" w:rsidP="00B21581">
            <w:pPr>
              <w:pStyle w:val="Tabletext"/>
              <w:tabs>
                <w:tab w:val="decimal" w:pos="720"/>
              </w:tabs>
              <w:jc w:val="right"/>
            </w:pPr>
          </w:p>
        </w:tc>
      </w:tr>
      <w:tr w:rsidR="00C925E9" w:rsidRPr="00A45F0B" w:rsidTr="002E6BE2">
        <w:trPr>
          <w:trHeight w:val="255"/>
        </w:trPr>
        <w:tc>
          <w:tcPr>
            <w:tcW w:w="1998" w:type="dxa"/>
            <w:tcBorders>
              <w:left w:val="nil"/>
              <w:right w:val="nil"/>
            </w:tcBorders>
            <w:shd w:val="clear" w:color="auto" w:fill="auto"/>
            <w:noWrap/>
            <w:vAlign w:val="bottom"/>
          </w:tcPr>
          <w:p w:rsidR="00C925E9" w:rsidRPr="00A45F0B" w:rsidRDefault="00C925E9" w:rsidP="00200C9F">
            <w:pPr>
              <w:pStyle w:val="Tabletext"/>
              <w:ind w:left="189"/>
            </w:pPr>
            <w:r w:rsidRPr="00A45F0B">
              <w:t>SES quartile</w:t>
            </w:r>
          </w:p>
        </w:tc>
        <w:tc>
          <w:tcPr>
            <w:tcW w:w="1276" w:type="dxa"/>
            <w:tcBorders>
              <w:left w:val="nil"/>
              <w:right w:val="nil"/>
            </w:tcBorders>
            <w:shd w:val="clear" w:color="auto" w:fill="auto"/>
            <w:noWrap/>
            <w:vAlign w:val="bottom"/>
          </w:tcPr>
          <w:p w:rsidR="00C925E9" w:rsidRPr="00A45F0B" w:rsidRDefault="00C925E9" w:rsidP="00B21581">
            <w:pPr>
              <w:pStyle w:val="Tabletext"/>
              <w:tabs>
                <w:tab w:val="decimal" w:pos="720"/>
              </w:tabs>
              <w:jc w:val="right"/>
            </w:pPr>
          </w:p>
        </w:tc>
        <w:tc>
          <w:tcPr>
            <w:tcW w:w="1134" w:type="dxa"/>
            <w:tcBorders>
              <w:left w:val="nil"/>
              <w:right w:val="nil"/>
            </w:tcBorders>
            <w:shd w:val="clear" w:color="auto" w:fill="auto"/>
            <w:noWrap/>
            <w:vAlign w:val="bottom"/>
          </w:tcPr>
          <w:p w:rsidR="00C925E9" w:rsidRPr="00A45F0B" w:rsidRDefault="00C925E9" w:rsidP="00B21581">
            <w:pPr>
              <w:pStyle w:val="Tabletext"/>
              <w:tabs>
                <w:tab w:val="decimal" w:pos="720"/>
              </w:tabs>
              <w:jc w:val="right"/>
            </w:pPr>
          </w:p>
        </w:tc>
        <w:tc>
          <w:tcPr>
            <w:tcW w:w="1134" w:type="dxa"/>
            <w:tcBorders>
              <w:left w:val="nil"/>
              <w:right w:val="nil"/>
            </w:tcBorders>
            <w:shd w:val="clear" w:color="auto" w:fill="auto"/>
            <w:noWrap/>
            <w:vAlign w:val="bottom"/>
          </w:tcPr>
          <w:p w:rsidR="00C925E9" w:rsidRPr="00A45F0B" w:rsidRDefault="00C925E9" w:rsidP="00B21581">
            <w:pPr>
              <w:pStyle w:val="Tabletext"/>
              <w:tabs>
                <w:tab w:val="decimal" w:pos="720"/>
              </w:tabs>
              <w:jc w:val="right"/>
            </w:pPr>
          </w:p>
        </w:tc>
        <w:tc>
          <w:tcPr>
            <w:tcW w:w="2378" w:type="dxa"/>
            <w:tcBorders>
              <w:left w:val="nil"/>
              <w:right w:val="nil"/>
            </w:tcBorders>
            <w:shd w:val="clear" w:color="auto" w:fill="auto"/>
            <w:noWrap/>
            <w:vAlign w:val="bottom"/>
          </w:tcPr>
          <w:p w:rsidR="00C925E9" w:rsidRPr="00A45F0B" w:rsidRDefault="00C925E9" w:rsidP="00B21581">
            <w:pPr>
              <w:pStyle w:val="Tabletext"/>
              <w:tabs>
                <w:tab w:val="decimal" w:pos="720"/>
              </w:tabs>
              <w:jc w:val="right"/>
            </w:pPr>
          </w:p>
        </w:tc>
      </w:tr>
      <w:tr w:rsidR="00C925E9" w:rsidRPr="00A45F0B" w:rsidTr="002E6BE2">
        <w:trPr>
          <w:trHeight w:val="255"/>
        </w:trPr>
        <w:tc>
          <w:tcPr>
            <w:tcW w:w="1998" w:type="dxa"/>
            <w:tcBorders>
              <w:left w:val="nil"/>
              <w:bottom w:val="nil"/>
              <w:right w:val="nil"/>
            </w:tcBorders>
            <w:shd w:val="clear" w:color="auto" w:fill="auto"/>
            <w:noWrap/>
            <w:vAlign w:val="bottom"/>
          </w:tcPr>
          <w:p w:rsidR="00C925E9" w:rsidRPr="00A45F0B" w:rsidRDefault="00C925E9" w:rsidP="00200C9F">
            <w:pPr>
              <w:pStyle w:val="Tabletext"/>
              <w:ind w:left="331"/>
            </w:pPr>
            <w:r w:rsidRPr="00A45F0B">
              <w:t>Low</w:t>
            </w:r>
          </w:p>
        </w:tc>
        <w:tc>
          <w:tcPr>
            <w:tcW w:w="1276" w:type="dxa"/>
            <w:tcBorders>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28</w:t>
            </w:r>
          </w:p>
        </w:tc>
        <w:tc>
          <w:tcPr>
            <w:tcW w:w="1134" w:type="dxa"/>
            <w:tcBorders>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72</w:t>
            </w:r>
          </w:p>
        </w:tc>
        <w:tc>
          <w:tcPr>
            <w:tcW w:w="1134" w:type="dxa"/>
            <w:tcBorders>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100</w:t>
            </w:r>
          </w:p>
        </w:tc>
        <w:tc>
          <w:tcPr>
            <w:tcW w:w="2378" w:type="dxa"/>
            <w:tcBorders>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t>1.00</w:t>
            </w:r>
          </w:p>
        </w:tc>
      </w:tr>
      <w:tr w:rsidR="00C925E9" w:rsidRPr="00A45F0B" w:rsidTr="002E6BE2">
        <w:trPr>
          <w:trHeight w:val="255"/>
        </w:trPr>
        <w:tc>
          <w:tcPr>
            <w:tcW w:w="1998" w:type="dxa"/>
            <w:tcBorders>
              <w:top w:val="nil"/>
              <w:left w:val="nil"/>
              <w:bottom w:val="nil"/>
              <w:right w:val="nil"/>
            </w:tcBorders>
            <w:shd w:val="clear" w:color="auto" w:fill="auto"/>
            <w:noWrap/>
            <w:vAlign w:val="bottom"/>
          </w:tcPr>
          <w:p w:rsidR="00C925E9" w:rsidRPr="00A45F0B" w:rsidRDefault="00C925E9" w:rsidP="00200C9F">
            <w:pPr>
              <w:pStyle w:val="Tabletext"/>
              <w:ind w:left="331"/>
            </w:pPr>
            <w:r w:rsidRPr="00A45F0B">
              <w:t>Low</w:t>
            </w:r>
            <w:r>
              <w:t>–</w:t>
            </w:r>
            <w:r w:rsidRPr="00A45F0B">
              <w:t>medium</w:t>
            </w:r>
          </w:p>
        </w:tc>
        <w:tc>
          <w:tcPr>
            <w:tcW w:w="1276"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37</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63</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100</w:t>
            </w:r>
          </w:p>
        </w:tc>
        <w:tc>
          <w:tcPr>
            <w:tcW w:w="2378"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0.88</w:t>
            </w:r>
          </w:p>
        </w:tc>
      </w:tr>
      <w:tr w:rsidR="00C925E9" w:rsidRPr="00A45F0B" w:rsidTr="002E6BE2">
        <w:trPr>
          <w:trHeight w:val="255"/>
        </w:trPr>
        <w:tc>
          <w:tcPr>
            <w:tcW w:w="1998" w:type="dxa"/>
            <w:tcBorders>
              <w:top w:val="nil"/>
              <w:left w:val="nil"/>
              <w:bottom w:val="nil"/>
              <w:right w:val="nil"/>
            </w:tcBorders>
            <w:shd w:val="clear" w:color="auto" w:fill="auto"/>
            <w:noWrap/>
            <w:vAlign w:val="bottom"/>
          </w:tcPr>
          <w:p w:rsidR="00C925E9" w:rsidRPr="00A45F0B" w:rsidRDefault="00C925E9" w:rsidP="00200C9F">
            <w:pPr>
              <w:pStyle w:val="Tabletext"/>
              <w:ind w:left="331"/>
            </w:pPr>
            <w:r w:rsidRPr="00A45F0B">
              <w:t>Medium</w:t>
            </w:r>
            <w:r>
              <w:t>–</w:t>
            </w:r>
            <w:r w:rsidRPr="00A45F0B">
              <w:t>high</w:t>
            </w:r>
          </w:p>
        </w:tc>
        <w:tc>
          <w:tcPr>
            <w:tcW w:w="1276"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35</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65</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100</w:t>
            </w:r>
          </w:p>
        </w:tc>
        <w:tc>
          <w:tcPr>
            <w:tcW w:w="2378"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0.90</w:t>
            </w:r>
          </w:p>
        </w:tc>
      </w:tr>
      <w:tr w:rsidR="00C925E9" w:rsidRPr="00A45F0B" w:rsidTr="002E6BE2">
        <w:trPr>
          <w:trHeight w:val="255"/>
        </w:trPr>
        <w:tc>
          <w:tcPr>
            <w:tcW w:w="1998" w:type="dxa"/>
            <w:tcBorders>
              <w:top w:val="nil"/>
              <w:left w:val="nil"/>
              <w:bottom w:val="nil"/>
              <w:right w:val="nil"/>
            </w:tcBorders>
            <w:shd w:val="clear" w:color="auto" w:fill="auto"/>
            <w:noWrap/>
            <w:vAlign w:val="bottom"/>
          </w:tcPr>
          <w:p w:rsidR="00C925E9" w:rsidRPr="00A45F0B" w:rsidRDefault="00C925E9" w:rsidP="00200C9F">
            <w:pPr>
              <w:pStyle w:val="Tabletext"/>
              <w:ind w:left="331"/>
            </w:pPr>
            <w:r w:rsidRPr="00A45F0B">
              <w:t>High</w:t>
            </w:r>
          </w:p>
        </w:tc>
        <w:tc>
          <w:tcPr>
            <w:tcW w:w="1276"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44</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56</w:t>
            </w:r>
          </w:p>
        </w:tc>
        <w:tc>
          <w:tcPr>
            <w:tcW w:w="1134"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100</w:t>
            </w:r>
          </w:p>
        </w:tc>
        <w:tc>
          <w:tcPr>
            <w:tcW w:w="2378" w:type="dxa"/>
            <w:tcBorders>
              <w:top w:val="nil"/>
              <w:left w:val="nil"/>
              <w:bottom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0.78</w:t>
            </w:r>
          </w:p>
        </w:tc>
      </w:tr>
      <w:tr w:rsidR="00C925E9" w:rsidRPr="00A45F0B" w:rsidTr="002E6BE2">
        <w:trPr>
          <w:trHeight w:val="255"/>
        </w:trPr>
        <w:tc>
          <w:tcPr>
            <w:tcW w:w="1998" w:type="dxa"/>
            <w:tcBorders>
              <w:top w:val="nil"/>
              <w:left w:val="nil"/>
              <w:right w:val="nil"/>
            </w:tcBorders>
            <w:shd w:val="clear" w:color="auto" w:fill="auto"/>
            <w:noWrap/>
            <w:vAlign w:val="bottom"/>
          </w:tcPr>
          <w:p w:rsidR="00C925E9" w:rsidRPr="00A45F0B" w:rsidRDefault="00C925E9" w:rsidP="00200C9F">
            <w:pPr>
              <w:pStyle w:val="Tabletext"/>
              <w:ind w:left="331"/>
            </w:pPr>
            <w:r w:rsidRPr="00A45F0B">
              <w:t>Unknown</w:t>
            </w:r>
          </w:p>
        </w:tc>
        <w:tc>
          <w:tcPr>
            <w:tcW w:w="1276" w:type="dxa"/>
            <w:tcBorders>
              <w:top w:val="nil"/>
              <w:left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37</w:t>
            </w:r>
          </w:p>
        </w:tc>
        <w:tc>
          <w:tcPr>
            <w:tcW w:w="1134" w:type="dxa"/>
            <w:tcBorders>
              <w:top w:val="nil"/>
              <w:left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63</w:t>
            </w:r>
          </w:p>
        </w:tc>
        <w:tc>
          <w:tcPr>
            <w:tcW w:w="1134" w:type="dxa"/>
            <w:tcBorders>
              <w:top w:val="nil"/>
              <w:left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100</w:t>
            </w:r>
          </w:p>
        </w:tc>
        <w:tc>
          <w:tcPr>
            <w:tcW w:w="2378" w:type="dxa"/>
            <w:tcBorders>
              <w:top w:val="nil"/>
              <w:left w:val="nil"/>
              <w:right w:val="nil"/>
            </w:tcBorders>
            <w:shd w:val="clear" w:color="auto" w:fill="auto"/>
            <w:noWrap/>
            <w:vAlign w:val="bottom"/>
          </w:tcPr>
          <w:p w:rsidR="00C925E9" w:rsidRPr="00A45F0B" w:rsidRDefault="00C925E9" w:rsidP="00B21581">
            <w:pPr>
              <w:pStyle w:val="Tabletext"/>
              <w:tabs>
                <w:tab w:val="decimal" w:pos="720"/>
              </w:tabs>
              <w:jc w:val="right"/>
            </w:pPr>
            <w:r w:rsidRPr="00A45F0B">
              <w:t>n/e</w:t>
            </w:r>
          </w:p>
        </w:tc>
      </w:tr>
      <w:tr w:rsidR="00C925E9" w:rsidRPr="00636756" w:rsidTr="002E6BE2">
        <w:trPr>
          <w:trHeight w:val="255"/>
        </w:trPr>
        <w:tc>
          <w:tcPr>
            <w:tcW w:w="1998" w:type="dxa"/>
            <w:tcBorders>
              <w:top w:val="nil"/>
              <w:left w:val="nil"/>
              <w:bottom w:val="single" w:sz="4" w:space="0" w:color="000000"/>
              <w:right w:val="nil"/>
            </w:tcBorders>
            <w:shd w:val="clear" w:color="auto" w:fill="auto"/>
            <w:noWrap/>
            <w:vAlign w:val="bottom"/>
          </w:tcPr>
          <w:p w:rsidR="00C925E9" w:rsidRPr="00636756" w:rsidRDefault="00C925E9" w:rsidP="00200C9F">
            <w:pPr>
              <w:pStyle w:val="Tabletext"/>
              <w:ind w:left="331"/>
              <w:rPr>
                <w:b/>
              </w:rPr>
            </w:pPr>
            <w:r w:rsidRPr="00636756">
              <w:rPr>
                <w:b/>
              </w:rPr>
              <w:t>Total</w:t>
            </w:r>
          </w:p>
        </w:tc>
        <w:tc>
          <w:tcPr>
            <w:tcW w:w="1276" w:type="dxa"/>
            <w:tcBorders>
              <w:top w:val="nil"/>
              <w:left w:val="nil"/>
              <w:bottom w:val="single" w:sz="4" w:space="0" w:color="000000"/>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37</w:t>
            </w:r>
          </w:p>
        </w:tc>
        <w:tc>
          <w:tcPr>
            <w:tcW w:w="1134" w:type="dxa"/>
            <w:tcBorders>
              <w:top w:val="nil"/>
              <w:left w:val="nil"/>
              <w:bottom w:val="single" w:sz="4" w:space="0" w:color="000000"/>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63</w:t>
            </w:r>
          </w:p>
        </w:tc>
        <w:tc>
          <w:tcPr>
            <w:tcW w:w="1134" w:type="dxa"/>
            <w:tcBorders>
              <w:top w:val="nil"/>
              <w:left w:val="nil"/>
              <w:bottom w:val="single" w:sz="4" w:space="0" w:color="000000"/>
              <w:right w:val="nil"/>
            </w:tcBorders>
            <w:shd w:val="clear" w:color="auto" w:fill="auto"/>
            <w:noWrap/>
            <w:vAlign w:val="bottom"/>
          </w:tcPr>
          <w:p w:rsidR="00C925E9" w:rsidRPr="00636756" w:rsidRDefault="00C925E9" w:rsidP="00B21581">
            <w:pPr>
              <w:pStyle w:val="Tabletext"/>
              <w:tabs>
                <w:tab w:val="decimal" w:pos="720"/>
              </w:tabs>
              <w:jc w:val="right"/>
              <w:rPr>
                <w:b/>
              </w:rPr>
            </w:pPr>
            <w:r w:rsidRPr="00636756">
              <w:rPr>
                <w:b/>
              </w:rPr>
              <w:t>100</w:t>
            </w:r>
          </w:p>
        </w:tc>
        <w:tc>
          <w:tcPr>
            <w:tcW w:w="2378" w:type="dxa"/>
            <w:tcBorders>
              <w:top w:val="nil"/>
              <w:left w:val="nil"/>
              <w:bottom w:val="single" w:sz="4" w:space="0" w:color="000000"/>
              <w:right w:val="nil"/>
            </w:tcBorders>
            <w:shd w:val="clear" w:color="auto" w:fill="auto"/>
            <w:noWrap/>
            <w:vAlign w:val="bottom"/>
          </w:tcPr>
          <w:p w:rsidR="00C925E9" w:rsidRPr="00636756" w:rsidRDefault="00C925E9" w:rsidP="00B21581">
            <w:pPr>
              <w:pStyle w:val="Tabletext"/>
              <w:tabs>
                <w:tab w:val="decimal" w:pos="720"/>
              </w:tabs>
              <w:jc w:val="right"/>
              <w:rPr>
                <w:b/>
              </w:rPr>
            </w:pPr>
          </w:p>
        </w:tc>
      </w:tr>
    </w:tbl>
    <w:p w:rsidR="00C925E9" w:rsidRDefault="00C925E9" w:rsidP="00200C9F">
      <w:pPr>
        <w:pStyle w:val="Source"/>
        <w:tabs>
          <w:tab w:val="left" w:pos="993"/>
        </w:tabs>
        <w:ind w:left="993" w:hanging="1004"/>
        <w:rPr>
          <w:lang w:val="en-US"/>
        </w:rPr>
      </w:pPr>
      <w:r>
        <w:rPr>
          <w:lang w:val="en-US"/>
        </w:rPr>
        <w:t xml:space="preserve">Note: </w:t>
      </w:r>
      <w:r>
        <w:rPr>
          <w:lang w:val="en-US"/>
        </w:rPr>
        <w:tab/>
        <w:t>n/e indicates there were too few cases to estimate the odds ratio reliably.</w:t>
      </w:r>
    </w:p>
    <w:p w:rsidR="00C925E9" w:rsidRPr="0001715C" w:rsidRDefault="00C925E9" w:rsidP="002E6BE2">
      <w:pPr>
        <w:pStyle w:val="Text"/>
        <w:spacing w:before="300"/>
        <w:ind w:right="0"/>
        <w:rPr>
          <w:lang w:val="en-US"/>
        </w:rPr>
      </w:pPr>
      <w:r>
        <w:rPr>
          <w:lang w:val="en-US"/>
        </w:rPr>
        <w:t>M</w:t>
      </w:r>
      <w:r w:rsidRPr="0001715C">
        <w:rPr>
          <w:lang w:val="en-US"/>
        </w:rPr>
        <w:t>ore high</w:t>
      </w:r>
      <w:r>
        <w:rPr>
          <w:lang w:val="en-US"/>
        </w:rPr>
        <w:t>-socioeconomic status</w:t>
      </w:r>
      <w:r w:rsidRPr="0001715C">
        <w:rPr>
          <w:lang w:val="en-US"/>
        </w:rPr>
        <w:t xml:space="preserve"> students </w:t>
      </w:r>
      <w:r>
        <w:rPr>
          <w:lang w:val="en-US"/>
        </w:rPr>
        <w:t>than low-socioeconomic status students study</w:t>
      </w:r>
      <w:r w:rsidRPr="0001715C">
        <w:rPr>
          <w:lang w:val="en-US"/>
        </w:rPr>
        <w:t xml:space="preserve"> at university: 32</w:t>
      </w:r>
      <w:r>
        <w:rPr>
          <w:lang w:val="en-US"/>
        </w:rPr>
        <w:t>%</w:t>
      </w:r>
      <w:r w:rsidRPr="0001715C">
        <w:rPr>
          <w:lang w:val="en-US"/>
        </w:rPr>
        <w:t xml:space="preserve"> of the cohort are high</w:t>
      </w:r>
      <w:r>
        <w:rPr>
          <w:lang w:val="en-US"/>
        </w:rPr>
        <w:t>-socioeconomic status individuals compared with 15%</w:t>
      </w:r>
      <w:r w:rsidRPr="0001715C">
        <w:rPr>
          <w:lang w:val="en-US"/>
        </w:rPr>
        <w:t xml:space="preserve"> </w:t>
      </w:r>
      <w:r>
        <w:rPr>
          <w:lang w:val="en-US"/>
        </w:rPr>
        <w:t>who are</w:t>
      </w:r>
      <w:r w:rsidRPr="0001715C">
        <w:rPr>
          <w:lang w:val="en-US"/>
        </w:rPr>
        <w:t xml:space="preserve"> low</w:t>
      </w:r>
      <w:r>
        <w:rPr>
          <w:lang w:val="en-US"/>
        </w:rPr>
        <w:t>-socioeconomic status</w:t>
      </w:r>
      <w:r w:rsidRPr="0001715C">
        <w:rPr>
          <w:lang w:val="en-US"/>
        </w:rPr>
        <w:t xml:space="preserve"> students</w:t>
      </w:r>
      <w:r>
        <w:rPr>
          <w:lang w:val="en-US"/>
        </w:rPr>
        <w:t>. T</w:t>
      </w:r>
      <w:r w:rsidRPr="0001715C">
        <w:rPr>
          <w:lang w:val="en-US"/>
        </w:rPr>
        <w:t>he greater proportion of high</w:t>
      </w:r>
      <w:r>
        <w:rPr>
          <w:lang w:val="en-US"/>
        </w:rPr>
        <w:t>-socioeconomic status</w:t>
      </w:r>
      <w:r w:rsidRPr="0001715C">
        <w:rPr>
          <w:lang w:val="en-US"/>
        </w:rPr>
        <w:t xml:space="preserve"> students </w:t>
      </w:r>
      <w:r>
        <w:rPr>
          <w:lang w:val="en-US"/>
        </w:rPr>
        <w:t>attending university and the increase in the likelihood of qualifying for Youth Allowance after taking a gap year results in a greater number of high-socioeconomic status university students receiving Youth Allowance compared with low-socioeconomic status students.</w:t>
      </w:r>
    </w:p>
    <w:p w:rsidR="00C925E9" w:rsidRDefault="00C925E9" w:rsidP="00200C9F">
      <w:pPr>
        <w:pStyle w:val="Text"/>
        <w:rPr>
          <w:lang w:val="en-US"/>
        </w:rPr>
      </w:pPr>
      <w:r>
        <w:rPr>
          <w:lang w:val="en-US"/>
        </w:rPr>
        <w:t xml:space="preserve">We note, as have many other observers, the under-representation of low-socioeconomic status individuals at university (James 2002; James </w:t>
      </w:r>
      <w:r w:rsidRPr="009215CC">
        <w:rPr>
          <w:lang w:val="en-US"/>
        </w:rPr>
        <w:t>et al.</w:t>
      </w:r>
      <w:r>
        <w:rPr>
          <w:lang w:val="en-US"/>
        </w:rPr>
        <w:t xml:space="preserve"> 2004). This difficult issue continues to receive the attention of policy-makers and universities, many of whom have introduced a variety of schemes to encourage low-socioeconomic status students to enrol.</w:t>
      </w:r>
    </w:p>
    <w:p w:rsidR="00C925E9" w:rsidRPr="00BA2736" w:rsidRDefault="00C925E9" w:rsidP="00200C9F">
      <w:pPr>
        <w:pStyle w:val="tabletitle"/>
      </w:pPr>
      <w:bookmarkStart w:id="52" w:name="_Toc322691611"/>
      <w:r>
        <w:t>Table 8</w:t>
      </w:r>
      <w:r>
        <w:tab/>
        <w:t xml:space="preserve">Proportion of university entrants by </w:t>
      </w:r>
      <w:r w:rsidR="001810E3">
        <w:br/>
      </w:r>
      <w:r>
        <w:t>socioeconomic status, Y98 students</w:t>
      </w:r>
      <w:bookmarkEnd w:id="52"/>
    </w:p>
    <w:tbl>
      <w:tblPr>
        <w:tblW w:w="4660" w:type="dxa"/>
        <w:tblInd w:w="-15" w:type="dxa"/>
        <w:tblCellMar>
          <w:left w:w="0" w:type="dxa"/>
          <w:right w:w="0" w:type="dxa"/>
        </w:tblCellMar>
        <w:tblLook w:val="04A0"/>
      </w:tblPr>
      <w:tblGrid>
        <w:gridCol w:w="1780"/>
        <w:gridCol w:w="960"/>
        <w:gridCol w:w="960"/>
        <w:gridCol w:w="960"/>
      </w:tblGrid>
      <w:tr w:rsidR="00C925E9" w:rsidRPr="00CD4110" w:rsidTr="00B21581">
        <w:trPr>
          <w:trHeight w:val="255"/>
        </w:trPr>
        <w:tc>
          <w:tcPr>
            <w:tcW w:w="1780" w:type="dxa"/>
            <w:tcBorders>
              <w:top w:val="single" w:sz="8" w:space="0" w:color="auto"/>
              <w:left w:val="nil"/>
              <w:bottom w:val="single" w:sz="4" w:space="0" w:color="auto"/>
              <w:right w:val="nil"/>
            </w:tcBorders>
            <w:noWrap/>
            <w:tcMar>
              <w:top w:w="0" w:type="dxa"/>
              <w:left w:w="108" w:type="dxa"/>
              <w:bottom w:w="0" w:type="dxa"/>
              <w:right w:w="108" w:type="dxa"/>
            </w:tcMar>
          </w:tcPr>
          <w:p w:rsidR="00C925E9" w:rsidRPr="00CD4110" w:rsidRDefault="00C925E9" w:rsidP="00B21581">
            <w:pPr>
              <w:pStyle w:val="Tablehead1"/>
            </w:pPr>
            <w:r w:rsidRPr="00CD4110">
              <w:t>SES quartile</w:t>
            </w:r>
          </w:p>
        </w:tc>
        <w:tc>
          <w:tcPr>
            <w:tcW w:w="960" w:type="dxa"/>
            <w:tcBorders>
              <w:top w:val="single" w:sz="8" w:space="0" w:color="auto"/>
              <w:left w:val="nil"/>
              <w:bottom w:val="single" w:sz="4" w:space="0" w:color="auto"/>
              <w:right w:val="nil"/>
            </w:tcBorders>
            <w:noWrap/>
            <w:tcMar>
              <w:top w:w="0" w:type="dxa"/>
              <w:left w:w="108" w:type="dxa"/>
              <w:bottom w:w="0" w:type="dxa"/>
              <w:right w:w="108" w:type="dxa"/>
            </w:tcMar>
          </w:tcPr>
          <w:p w:rsidR="00C925E9" w:rsidRPr="00CD4110" w:rsidRDefault="00C925E9" w:rsidP="00B21581">
            <w:pPr>
              <w:pStyle w:val="Tablehead1"/>
              <w:jc w:val="right"/>
            </w:pPr>
            <w:r w:rsidRPr="00CD4110">
              <w:t>Gappers</w:t>
            </w:r>
            <w:r w:rsidR="00B21581">
              <w:t xml:space="preserve"> %</w:t>
            </w:r>
          </w:p>
        </w:tc>
        <w:tc>
          <w:tcPr>
            <w:tcW w:w="960" w:type="dxa"/>
            <w:tcBorders>
              <w:top w:val="single" w:sz="8" w:space="0" w:color="auto"/>
              <w:left w:val="nil"/>
              <w:bottom w:val="single" w:sz="4" w:space="0" w:color="auto"/>
              <w:right w:val="nil"/>
            </w:tcBorders>
            <w:noWrap/>
            <w:tcMar>
              <w:top w:w="0" w:type="dxa"/>
              <w:left w:w="108" w:type="dxa"/>
              <w:bottom w:w="0" w:type="dxa"/>
              <w:right w:w="108" w:type="dxa"/>
            </w:tcMar>
          </w:tcPr>
          <w:p w:rsidR="00C925E9" w:rsidRPr="00CD4110" w:rsidRDefault="00C925E9" w:rsidP="00B21581">
            <w:pPr>
              <w:pStyle w:val="Tablehead1"/>
              <w:jc w:val="right"/>
            </w:pPr>
            <w:r w:rsidRPr="00CD4110">
              <w:t>Non-gappers</w:t>
            </w:r>
            <w:r w:rsidR="00B21581">
              <w:t xml:space="preserve"> %</w:t>
            </w:r>
          </w:p>
        </w:tc>
        <w:tc>
          <w:tcPr>
            <w:tcW w:w="960" w:type="dxa"/>
            <w:tcBorders>
              <w:top w:val="single" w:sz="8" w:space="0" w:color="auto"/>
              <w:left w:val="nil"/>
              <w:bottom w:val="single" w:sz="4" w:space="0" w:color="auto"/>
              <w:right w:val="nil"/>
            </w:tcBorders>
            <w:noWrap/>
            <w:tcMar>
              <w:top w:w="0" w:type="dxa"/>
              <w:left w:w="108" w:type="dxa"/>
              <w:bottom w:w="0" w:type="dxa"/>
              <w:right w:w="108" w:type="dxa"/>
            </w:tcMar>
          </w:tcPr>
          <w:p w:rsidR="00C925E9" w:rsidRPr="00CD4110" w:rsidRDefault="00C925E9" w:rsidP="00B21581">
            <w:pPr>
              <w:pStyle w:val="Tablehead1"/>
              <w:jc w:val="right"/>
            </w:pPr>
            <w:r w:rsidRPr="00CD4110">
              <w:t>Total</w:t>
            </w:r>
            <w:r w:rsidR="00B21581">
              <w:t xml:space="preserve"> %</w:t>
            </w:r>
          </w:p>
        </w:tc>
      </w:tr>
      <w:tr w:rsidR="00C925E9" w:rsidRPr="00CD4110" w:rsidTr="00B21581">
        <w:trPr>
          <w:trHeight w:val="255"/>
        </w:trPr>
        <w:tc>
          <w:tcPr>
            <w:tcW w:w="1780" w:type="dxa"/>
            <w:tcBorders>
              <w:top w:val="single" w:sz="4" w:space="0" w:color="auto"/>
            </w:tcBorders>
            <w:noWrap/>
            <w:tcMar>
              <w:top w:w="0" w:type="dxa"/>
              <w:left w:w="108" w:type="dxa"/>
              <w:bottom w:w="0" w:type="dxa"/>
              <w:right w:w="108" w:type="dxa"/>
            </w:tcMar>
            <w:vAlign w:val="bottom"/>
          </w:tcPr>
          <w:p w:rsidR="00C925E9" w:rsidRPr="00CD4110" w:rsidRDefault="00C925E9" w:rsidP="00200C9F">
            <w:pPr>
              <w:pStyle w:val="Tabletext"/>
            </w:pPr>
            <w:r w:rsidRPr="00CD4110">
              <w:t>High</w:t>
            </w:r>
          </w:p>
        </w:tc>
        <w:tc>
          <w:tcPr>
            <w:tcW w:w="960" w:type="dxa"/>
            <w:tcBorders>
              <w:top w:val="single" w:sz="4" w:space="0" w:color="auto"/>
            </w:tcBorders>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29</w:t>
            </w:r>
          </w:p>
        </w:tc>
        <w:tc>
          <w:tcPr>
            <w:tcW w:w="960" w:type="dxa"/>
            <w:tcBorders>
              <w:top w:val="single" w:sz="4" w:space="0" w:color="auto"/>
            </w:tcBorders>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32</w:t>
            </w:r>
          </w:p>
        </w:tc>
        <w:tc>
          <w:tcPr>
            <w:tcW w:w="960" w:type="dxa"/>
            <w:tcBorders>
              <w:top w:val="single" w:sz="4" w:space="0" w:color="auto"/>
            </w:tcBorders>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32</w:t>
            </w:r>
          </w:p>
        </w:tc>
      </w:tr>
      <w:tr w:rsidR="00C925E9" w:rsidRPr="00CD4110">
        <w:trPr>
          <w:trHeight w:val="255"/>
        </w:trPr>
        <w:tc>
          <w:tcPr>
            <w:tcW w:w="1780" w:type="dxa"/>
            <w:noWrap/>
            <w:tcMar>
              <w:top w:w="0" w:type="dxa"/>
              <w:left w:w="108" w:type="dxa"/>
              <w:bottom w:w="0" w:type="dxa"/>
              <w:right w:w="108" w:type="dxa"/>
            </w:tcMar>
            <w:vAlign w:val="bottom"/>
          </w:tcPr>
          <w:p w:rsidR="00C925E9" w:rsidRPr="00CD4110" w:rsidRDefault="00C925E9" w:rsidP="00200C9F">
            <w:pPr>
              <w:pStyle w:val="Tabletext"/>
            </w:pPr>
            <w:r w:rsidRPr="00CD4110">
              <w:t>Medium</w:t>
            </w:r>
            <w:r>
              <w:t>–</w:t>
            </w:r>
            <w:r w:rsidRPr="00CD4110">
              <w:t>high</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30</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26</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26</w:t>
            </w:r>
          </w:p>
        </w:tc>
      </w:tr>
      <w:tr w:rsidR="00C925E9" w:rsidRPr="00CD4110">
        <w:trPr>
          <w:trHeight w:val="255"/>
        </w:trPr>
        <w:tc>
          <w:tcPr>
            <w:tcW w:w="1780" w:type="dxa"/>
            <w:noWrap/>
            <w:tcMar>
              <w:top w:w="0" w:type="dxa"/>
              <w:left w:w="108" w:type="dxa"/>
              <w:bottom w:w="0" w:type="dxa"/>
              <w:right w:w="108" w:type="dxa"/>
            </w:tcMar>
            <w:vAlign w:val="bottom"/>
          </w:tcPr>
          <w:p w:rsidR="00C925E9" w:rsidRPr="00CD4110" w:rsidRDefault="00C925E9" w:rsidP="00200C9F">
            <w:pPr>
              <w:pStyle w:val="Tabletext"/>
            </w:pPr>
            <w:r w:rsidRPr="00CD4110">
              <w:t>Low</w:t>
            </w:r>
            <w:r>
              <w:t>–</w:t>
            </w:r>
            <w:r w:rsidRPr="00CD4110">
              <w:t>medium</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22</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21</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21</w:t>
            </w:r>
          </w:p>
        </w:tc>
      </w:tr>
      <w:tr w:rsidR="00C925E9" w:rsidRPr="00CD4110">
        <w:trPr>
          <w:trHeight w:val="255"/>
        </w:trPr>
        <w:tc>
          <w:tcPr>
            <w:tcW w:w="1780" w:type="dxa"/>
            <w:noWrap/>
            <w:tcMar>
              <w:top w:w="0" w:type="dxa"/>
              <w:left w:w="108" w:type="dxa"/>
              <w:bottom w:w="0" w:type="dxa"/>
              <w:right w:w="108" w:type="dxa"/>
            </w:tcMar>
            <w:vAlign w:val="bottom"/>
          </w:tcPr>
          <w:p w:rsidR="00C925E9" w:rsidRPr="00CD4110" w:rsidRDefault="00C925E9" w:rsidP="00200C9F">
            <w:pPr>
              <w:pStyle w:val="Tabletext"/>
            </w:pPr>
            <w:r w:rsidRPr="00CD4110">
              <w:t>Low</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15</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16</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15</w:t>
            </w:r>
          </w:p>
        </w:tc>
      </w:tr>
      <w:tr w:rsidR="00C925E9" w:rsidRPr="00CD4110" w:rsidTr="001810E3">
        <w:trPr>
          <w:trHeight w:val="255"/>
        </w:trPr>
        <w:tc>
          <w:tcPr>
            <w:tcW w:w="1780" w:type="dxa"/>
            <w:noWrap/>
            <w:tcMar>
              <w:top w:w="0" w:type="dxa"/>
              <w:left w:w="108" w:type="dxa"/>
              <w:bottom w:w="0" w:type="dxa"/>
              <w:right w:w="108" w:type="dxa"/>
            </w:tcMar>
            <w:vAlign w:val="bottom"/>
          </w:tcPr>
          <w:p w:rsidR="00C925E9" w:rsidRPr="00CD4110" w:rsidRDefault="00C925E9" w:rsidP="00200C9F">
            <w:pPr>
              <w:pStyle w:val="Tabletext"/>
            </w:pPr>
            <w:r w:rsidRPr="00CD4110">
              <w:t>Unknown</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4</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6</w:t>
            </w:r>
          </w:p>
        </w:tc>
        <w:tc>
          <w:tcPr>
            <w:tcW w:w="960" w:type="dxa"/>
            <w:noWrap/>
            <w:tcMar>
              <w:top w:w="0" w:type="dxa"/>
              <w:left w:w="108" w:type="dxa"/>
              <w:bottom w:w="0" w:type="dxa"/>
              <w:right w:w="108" w:type="dxa"/>
            </w:tcMar>
            <w:vAlign w:val="bottom"/>
          </w:tcPr>
          <w:p w:rsidR="00C925E9" w:rsidRPr="00CD4110" w:rsidRDefault="00C925E9" w:rsidP="00B21581">
            <w:pPr>
              <w:pStyle w:val="Tabletext"/>
              <w:tabs>
                <w:tab w:val="decimal" w:pos="515"/>
              </w:tabs>
              <w:jc w:val="right"/>
            </w:pPr>
            <w:r w:rsidRPr="00CD4110">
              <w:t>6</w:t>
            </w:r>
          </w:p>
        </w:tc>
      </w:tr>
      <w:tr w:rsidR="00C925E9" w:rsidRPr="003219F5" w:rsidTr="001810E3">
        <w:trPr>
          <w:trHeight w:val="255"/>
        </w:trPr>
        <w:tc>
          <w:tcPr>
            <w:tcW w:w="1780" w:type="dxa"/>
            <w:tcBorders>
              <w:left w:val="nil"/>
              <w:right w:val="nil"/>
            </w:tcBorders>
            <w:noWrap/>
            <w:tcMar>
              <w:top w:w="0" w:type="dxa"/>
              <w:left w:w="108" w:type="dxa"/>
              <w:bottom w:w="0" w:type="dxa"/>
              <w:right w:w="108" w:type="dxa"/>
            </w:tcMar>
            <w:vAlign w:val="bottom"/>
          </w:tcPr>
          <w:p w:rsidR="00C925E9" w:rsidRPr="003219F5" w:rsidRDefault="00C925E9" w:rsidP="00200C9F">
            <w:pPr>
              <w:pStyle w:val="Tabletext"/>
              <w:rPr>
                <w:b/>
              </w:rPr>
            </w:pPr>
            <w:r w:rsidRPr="003219F5">
              <w:rPr>
                <w:b/>
              </w:rPr>
              <w:t>Total</w:t>
            </w:r>
          </w:p>
        </w:tc>
        <w:tc>
          <w:tcPr>
            <w:tcW w:w="960" w:type="dxa"/>
            <w:tcBorders>
              <w:left w:val="nil"/>
              <w:right w:val="nil"/>
            </w:tcBorders>
            <w:noWrap/>
            <w:tcMar>
              <w:top w:w="0" w:type="dxa"/>
              <w:left w:w="108" w:type="dxa"/>
              <w:bottom w:w="0" w:type="dxa"/>
              <w:right w:w="108" w:type="dxa"/>
            </w:tcMar>
            <w:vAlign w:val="bottom"/>
          </w:tcPr>
          <w:p w:rsidR="00C925E9" w:rsidRPr="003219F5" w:rsidRDefault="00C925E9" w:rsidP="00B21581">
            <w:pPr>
              <w:pStyle w:val="Tabletext"/>
              <w:tabs>
                <w:tab w:val="decimal" w:pos="515"/>
              </w:tabs>
              <w:jc w:val="right"/>
              <w:rPr>
                <w:b/>
              </w:rPr>
            </w:pPr>
            <w:r w:rsidRPr="003219F5">
              <w:rPr>
                <w:b/>
              </w:rPr>
              <w:t>100</w:t>
            </w:r>
          </w:p>
        </w:tc>
        <w:tc>
          <w:tcPr>
            <w:tcW w:w="960" w:type="dxa"/>
            <w:tcBorders>
              <w:left w:val="nil"/>
              <w:right w:val="nil"/>
            </w:tcBorders>
            <w:noWrap/>
            <w:tcMar>
              <w:top w:w="0" w:type="dxa"/>
              <w:left w:w="108" w:type="dxa"/>
              <w:bottom w:w="0" w:type="dxa"/>
              <w:right w:w="108" w:type="dxa"/>
            </w:tcMar>
            <w:vAlign w:val="bottom"/>
          </w:tcPr>
          <w:p w:rsidR="00C925E9" w:rsidRPr="003219F5" w:rsidRDefault="00C925E9" w:rsidP="00B21581">
            <w:pPr>
              <w:pStyle w:val="Tabletext"/>
              <w:tabs>
                <w:tab w:val="decimal" w:pos="515"/>
              </w:tabs>
              <w:jc w:val="right"/>
              <w:rPr>
                <w:b/>
              </w:rPr>
            </w:pPr>
            <w:r w:rsidRPr="003219F5">
              <w:rPr>
                <w:b/>
              </w:rPr>
              <w:t>100</w:t>
            </w:r>
          </w:p>
        </w:tc>
        <w:tc>
          <w:tcPr>
            <w:tcW w:w="960" w:type="dxa"/>
            <w:tcBorders>
              <w:left w:val="nil"/>
              <w:right w:val="nil"/>
            </w:tcBorders>
            <w:noWrap/>
            <w:tcMar>
              <w:top w:w="0" w:type="dxa"/>
              <w:left w:w="108" w:type="dxa"/>
              <w:bottom w:w="0" w:type="dxa"/>
              <w:right w:w="108" w:type="dxa"/>
            </w:tcMar>
            <w:vAlign w:val="bottom"/>
          </w:tcPr>
          <w:p w:rsidR="00C925E9" w:rsidRPr="003219F5" w:rsidRDefault="00C925E9" w:rsidP="00B21581">
            <w:pPr>
              <w:pStyle w:val="Tabletext"/>
              <w:tabs>
                <w:tab w:val="decimal" w:pos="515"/>
              </w:tabs>
              <w:jc w:val="right"/>
              <w:rPr>
                <w:b/>
              </w:rPr>
            </w:pPr>
            <w:r w:rsidRPr="003219F5">
              <w:rPr>
                <w:b/>
              </w:rPr>
              <w:t>100</w:t>
            </w:r>
          </w:p>
        </w:tc>
      </w:tr>
      <w:tr w:rsidR="00C925E9" w:rsidRPr="003219F5" w:rsidTr="00B21581">
        <w:trPr>
          <w:trHeight w:val="255"/>
        </w:trPr>
        <w:tc>
          <w:tcPr>
            <w:tcW w:w="1780" w:type="dxa"/>
            <w:tcBorders>
              <w:left w:val="nil"/>
              <w:bottom w:val="single" w:sz="4" w:space="0" w:color="auto"/>
              <w:right w:val="nil"/>
            </w:tcBorders>
            <w:noWrap/>
            <w:tcMar>
              <w:top w:w="0" w:type="dxa"/>
              <w:left w:w="108" w:type="dxa"/>
              <w:bottom w:w="0" w:type="dxa"/>
              <w:right w:w="108" w:type="dxa"/>
            </w:tcMar>
            <w:vAlign w:val="bottom"/>
          </w:tcPr>
          <w:p w:rsidR="00C925E9" w:rsidRPr="003219F5" w:rsidRDefault="00C925E9" w:rsidP="00200C9F">
            <w:pPr>
              <w:pStyle w:val="Tabletext"/>
              <w:rPr>
                <w:b/>
              </w:rPr>
            </w:pPr>
            <w:r w:rsidRPr="003219F5">
              <w:rPr>
                <w:b/>
              </w:rPr>
              <w:t>Total (N)</w:t>
            </w:r>
          </w:p>
        </w:tc>
        <w:tc>
          <w:tcPr>
            <w:tcW w:w="960" w:type="dxa"/>
            <w:tcBorders>
              <w:left w:val="nil"/>
              <w:bottom w:val="single" w:sz="4" w:space="0" w:color="auto"/>
              <w:right w:val="nil"/>
            </w:tcBorders>
            <w:noWrap/>
            <w:tcMar>
              <w:top w:w="0" w:type="dxa"/>
              <w:left w:w="108" w:type="dxa"/>
              <w:bottom w:w="0" w:type="dxa"/>
              <w:right w:w="108" w:type="dxa"/>
            </w:tcMar>
            <w:vAlign w:val="bottom"/>
          </w:tcPr>
          <w:p w:rsidR="00C925E9" w:rsidRPr="003219F5" w:rsidRDefault="00C925E9" w:rsidP="00B21581">
            <w:pPr>
              <w:pStyle w:val="Tabletext"/>
              <w:tabs>
                <w:tab w:val="decimal" w:pos="515"/>
              </w:tabs>
              <w:jc w:val="right"/>
              <w:rPr>
                <w:b/>
              </w:rPr>
            </w:pPr>
            <w:r w:rsidRPr="003219F5">
              <w:rPr>
                <w:b/>
              </w:rPr>
              <w:t>549</w:t>
            </w:r>
          </w:p>
        </w:tc>
        <w:tc>
          <w:tcPr>
            <w:tcW w:w="960" w:type="dxa"/>
            <w:tcBorders>
              <w:left w:val="nil"/>
              <w:bottom w:val="single" w:sz="4" w:space="0" w:color="auto"/>
              <w:right w:val="nil"/>
            </w:tcBorders>
            <w:noWrap/>
            <w:tcMar>
              <w:top w:w="0" w:type="dxa"/>
              <w:left w:w="108" w:type="dxa"/>
              <w:bottom w:w="0" w:type="dxa"/>
              <w:right w:w="108" w:type="dxa"/>
            </w:tcMar>
            <w:vAlign w:val="bottom"/>
          </w:tcPr>
          <w:p w:rsidR="00C925E9" w:rsidRPr="003219F5" w:rsidRDefault="00C925E9" w:rsidP="00B21581">
            <w:pPr>
              <w:pStyle w:val="Tabletext"/>
              <w:tabs>
                <w:tab w:val="decimal" w:pos="515"/>
              </w:tabs>
              <w:jc w:val="right"/>
              <w:rPr>
                <w:b/>
              </w:rPr>
            </w:pPr>
            <w:r w:rsidRPr="003219F5">
              <w:rPr>
                <w:b/>
              </w:rPr>
              <w:t>2636</w:t>
            </w:r>
          </w:p>
        </w:tc>
        <w:tc>
          <w:tcPr>
            <w:tcW w:w="960" w:type="dxa"/>
            <w:tcBorders>
              <w:left w:val="nil"/>
              <w:bottom w:val="single" w:sz="4" w:space="0" w:color="auto"/>
              <w:right w:val="nil"/>
            </w:tcBorders>
            <w:noWrap/>
            <w:tcMar>
              <w:top w:w="0" w:type="dxa"/>
              <w:left w:w="108" w:type="dxa"/>
              <w:bottom w:w="0" w:type="dxa"/>
              <w:right w:w="108" w:type="dxa"/>
            </w:tcMar>
            <w:vAlign w:val="bottom"/>
          </w:tcPr>
          <w:p w:rsidR="00C925E9" w:rsidRPr="003219F5" w:rsidRDefault="00C925E9" w:rsidP="00B21581">
            <w:pPr>
              <w:pStyle w:val="Tabletext"/>
              <w:tabs>
                <w:tab w:val="decimal" w:pos="515"/>
              </w:tabs>
              <w:jc w:val="right"/>
              <w:rPr>
                <w:b/>
              </w:rPr>
            </w:pPr>
            <w:r w:rsidRPr="003219F5">
              <w:rPr>
                <w:b/>
              </w:rPr>
              <w:t>3185</w:t>
            </w:r>
          </w:p>
        </w:tc>
      </w:tr>
    </w:tbl>
    <w:p w:rsidR="00C925E9" w:rsidRDefault="00C925E9" w:rsidP="00200C9F">
      <w:pPr>
        <w:pStyle w:val="Heading2"/>
        <w:rPr>
          <w:lang w:val="en-US"/>
        </w:rPr>
      </w:pPr>
      <w:bookmarkStart w:id="53" w:name="_Toc322691658"/>
      <w:bookmarkStart w:id="54" w:name="_Toc323035608"/>
      <w:r>
        <w:rPr>
          <w:lang w:val="en-US"/>
        </w:rPr>
        <w:lastRenderedPageBreak/>
        <w:t>Summary</w:t>
      </w:r>
      <w:bookmarkEnd w:id="53"/>
      <w:bookmarkEnd w:id="54"/>
    </w:p>
    <w:p w:rsidR="00C925E9" w:rsidRDefault="00C925E9" w:rsidP="00200C9F">
      <w:pPr>
        <w:pStyle w:val="Dotpoint1"/>
        <w:rPr>
          <w:lang w:val="en-US"/>
        </w:rPr>
      </w:pPr>
      <w:r>
        <w:rPr>
          <w:lang w:val="en-US"/>
        </w:rPr>
        <w:t>The incidence of gap-taking is increasing: it was 10% for the Y95 cohort, 16% for Y98 and is projected to be about 20% for Y03.</w:t>
      </w:r>
    </w:p>
    <w:p w:rsidR="00C925E9" w:rsidRDefault="00C925E9" w:rsidP="00200C9F">
      <w:pPr>
        <w:pStyle w:val="Dotpoint1"/>
        <w:rPr>
          <w:lang w:val="en-US"/>
        </w:rPr>
      </w:pPr>
      <w:r>
        <w:rPr>
          <w:lang w:val="en-US"/>
        </w:rPr>
        <w:t>Low-achieving students, in mathematics at school and in end of Year 12 assessments, are more likely to take a gap year than higher achievers.</w:t>
      </w:r>
    </w:p>
    <w:p w:rsidR="00C925E9" w:rsidRDefault="00C925E9" w:rsidP="00200C9F">
      <w:pPr>
        <w:pStyle w:val="Dotpoint1"/>
        <w:rPr>
          <w:lang w:val="en-US"/>
        </w:rPr>
      </w:pPr>
      <w:r>
        <w:rPr>
          <w:lang w:val="en-US"/>
        </w:rPr>
        <w:t>Students with relatively unfavourable attitudes towards school are more likely to take a gap year than those with more favourable dispositions.</w:t>
      </w:r>
    </w:p>
    <w:p w:rsidR="00C925E9" w:rsidRDefault="00C925E9" w:rsidP="00200C9F">
      <w:pPr>
        <w:pStyle w:val="Dotpoint1"/>
        <w:rPr>
          <w:lang w:val="en-US"/>
        </w:rPr>
      </w:pPr>
      <w:r>
        <w:rPr>
          <w:lang w:val="en-US"/>
        </w:rPr>
        <w:t>Students who received Youth Allowance payments while at school (and who were from low-socioeconomic status families) were less likely to take a gap year than students who did not receive this allowance while at school.</w:t>
      </w:r>
    </w:p>
    <w:p w:rsidR="00C925E9" w:rsidRDefault="00C925E9" w:rsidP="00200C9F">
      <w:pPr>
        <w:pStyle w:val="Dotpoint1"/>
        <w:rPr>
          <w:lang w:val="en-US"/>
        </w:rPr>
      </w:pPr>
      <w:r>
        <w:rPr>
          <w:lang w:val="en-US"/>
        </w:rPr>
        <w:t>Students from regional locations were more likely than those from metropolitan locations to take a gap year.</w:t>
      </w:r>
    </w:p>
    <w:p w:rsidR="00C925E9" w:rsidRDefault="00C925E9" w:rsidP="00200C9F">
      <w:pPr>
        <w:pStyle w:val="Dotpoint1"/>
        <w:rPr>
          <w:lang w:val="en-US"/>
        </w:rPr>
      </w:pPr>
      <w:r>
        <w:rPr>
          <w:lang w:val="en-US"/>
        </w:rPr>
        <w:t>Students from non-English speaking backgrounds were less likely than those from English speaking home backgrounds to be gap-takers.</w:t>
      </w:r>
    </w:p>
    <w:p w:rsidR="00C925E9" w:rsidRDefault="00C925E9" w:rsidP="00200C9F">
      <w:pPr>
        <w:pStyle w:val="Dotpoint1"/>
        <w:rPr>
          <w:lang w:val="en-US"/>
        </w:rPr>
      </w:pPr>
      <w:r>
        <w:rPr>
          <w:lang w:val="en-US"/>
        </w:rPr>
        <w:t>C</w:t>
      </w:r>
      <w:r w:rsidRPr="00425AB7">
        <w:rPr>
          <w:lang w:val="en-US"/>
        </w:rPr>
        <w:t xml:space="preserve">oming from a regional location </w:t>
      </w:r>
      <w:r>
        <w:rPr>
          <w:lang w:val="en-US"/>
        </w:rPr>
        <w:t>appears to exert</w:t>
      </w:r>
      <w:r w:rsidRPr="00425AB7">
        <w:rPr>
          <w:lang w:val="en-US"/>
        </w:rPr>
        <w:t xml:space="preserve"> a stronger influence on gap-taking than being a </w:t>
      </w:r>
      <w:r>
        <w:rPr>
          <w:lang w:val="en-US"/>
        </w:rPr>
        <w:t>low</w:t>
      </w:r>
      <w:r w:rsidRPr="00425AB7">
        <w:rPr>
          <w:lang w:val="en-US"/>
        </w:rPr>
        <w:t xml:space="preserve"> achiever</w:t>
      </w:r>
      <w:r>
        <w:rPr>
          <w:lang w:val="en-US"/>
        </w:rPr>
        <w:t xml:space="preserve"> or </w:t>
      </w:r>
      <w:r w:rsidRPr="00425AB7">
        <w:rPr>
          <w:lang w:val="en-US"/>
        </w:rPr>
        <w:t xml:space="preserve">being in a sufficiently </w:t>
      </w:r>
      <w:r>
        <w:rPr>
          <w:lang w:val="en-US"/>
        </w:rPr>
        <w:t>low socioeconomic status</w:t>
      </w:r>
      <w:r w:rsidRPr="00425AB7">
        <w:rPr>
          <w:lang w:val="en-US"/>
        </w:rPr>
        <w:t xml:space="preserve"> category to have received Y</w:t>
      </w:r>
      <w:r>
        <w:rPr>
          <w:lang w:val="en-US"/>
        </w:rPr>
        <w:t>outh Allowance while at school</w:t>
      </w:r>
      <w:r w:rsidRPr="00425AB7">
        <w:rPr>
          <w:lang w:val="en-US"/>
        </w:rPr>
        <w:t>.</w:t>
      </w:r>
    </w:p>
    <w:p w:rsidR="00C925E9" w:rsidRDefault="00C925E9" w:rsidP="00200C9F">
      <w:pPr>
        <w:pStyle w:val="Dotpoint1"/>
        <w:rPr>
          <w:lang w:val="en-US"/>
        </w:rPr>
      </w:pPr>
      <w:r>
        <w:rPr>
          <w:lang w:val="en-US"/>
        </w:rPr>
        <w:t>T</w:t>
      </w:r>
      <w:r w:rsidRPr="0001715C">
        <w:rPr>
          <w:lang w:val="en-US"/>
        </w:rPr>
        <w:t xml:space="preserve">he </w:t>
      </w:r>
      <w:r>
        <w:rPr>
          <w:lang w:val="en-US"/>
        </w:rPr>
        <w:t>likelihood</w:t>
      </w:r>
      <w:r w:rsidRPr="0001715C">
        <w:rPr>
          <w:lang w:val="en-US"/>
        </w:rPr>
        <w:t xml:space="preserve"> of receiving Youth Allowance payments change</w:t>
      </w:r>
      <w:r>
        <w:rPr>
          <w:lang w:val="en-US"/>
        </w:rPr>
        <w:t>s</w:t>
      </w:r>
      <w:r w:rsidRPr="0001715C">
        <w:rPr>
          <w:lang w:val="en-US"/>
        </w:rPr>
        <w:t xml:space="preserve"> after taking a gap year</w:t>
      </w:r>
      <w:r>
        <w:rPr>
          <w:lang w:val="en-US"/>
        </w:rPr>
        <w:t>. T</w:t>
      </w:r>
      <w:r w:rsidRPr="0001715C">
        <w:rPr>
          <w:lang w:val="en-US"/>
        </w:rPr>
        <w:t>he likelihood of a high</w:t>
      </w:r>
      <w:r>
        <w:rPr>
          <w:lang w:val="en-US"/>
        </w:rPr>
        <w:t>-socioeconomic status</w:t>
      </w:r>
      <w:r w:rsidRPr="0001715C">
        <w:rPr>
          <w:lang w:val="en-US"/>
        </w:rPr>
        <w:t xml:space="preserve"> student gaining access to Youth Allowance payments</w:t>
      </w:r>
      <w:r>
        <w:rPr>
          <w:lang w:val="en-US"/>
        </w:rPr>
        <w:t xml:space="preserve"> </w:t>
      </w:r>
      <w:r w:rsidRPr="0001715C">
        <w:rPr>
          <w:lang w:val="en-US"/>
        </w:rPr>
        <w:t>improv</w:t>
      </w:r>
      <w:r>
        <w:rPr>
          <w:lang w:val="en-US"/>
        </w:rPr>
        <w:t>es</w:t>
      </w:r>
      <w:r w:rsidRPr="0001715C">
        <w:rPr>
          <w:lang w:val="en-US"/>
        </w:rPr>
        <w:t xml:space="preserve"> relative to a low</w:t>
      </w:r>
      <w:r>
        <w:rPr>
          <w:lang w:val="en-US"/>
        </w:rPr>
        <w:t>-socioeconomic status</w:t>
      </w:r>
      <w:r w:rsidRPr="0001715C">
        <w:rPr>
          <w:lang w:val="en-US"/>
        </w:rPr>
        <w:t xml:space="preserve"> student, following a gap year.</w:t>
      </w:r>
    </w:p>
    <w:p w:rsidR="00C925E9" w:rsidRPr="0001715C" w:rsidRDefault="00C925E9" w:rsidP="00200C9F">
      <w:pPr>
        <w:pStyle w:val="Dotpoint1"/>
        <w:rPr>
          <w:lang w:val="en-US"/>
        </w:rPr>
      </w:pPr>
      <w:r>
        <w:rPr>
          <w:lang w:val="en-US"/>
        </w:rPr>
        <w:t xml:space="preserve">The </w:t>
      </w:r>
      <w:r w:rsidRPr="0001715C">
        <w:rPr>
          <w:lang w:val="en-US"/>
        </w:rPr>
        <w:t>greater proportion of high</w:t>
      </w:r>
      <w:r>
        <w:rPr>
          <w:lang w:val="en-US"/>
        </w:rPr>
        <w:t>-socioeconomic status</w:t>
      </w:r>
      <w:r w:rsidRPr="0001715C">
        <w:rPr>
          <w:lang w:val="en-US"/>
        </w:rPr>
        <w:t xml:space="preserve"> students </w:t>
      </w:r>
      <w:r>
        <w:rPr>
          <w:lang w:val="en-US"/>
        </w:rPr>
        <w:t>attending university and the increase in the likelihood of qualifying for Youth Allowance after taking a gap year results in a greater number of high-socioeconomic status university students receiving Youth Allowance compared with low-socioeconomic status students.</w:t>
      </w:r>
    </w:p>
    <w:p w:rsidR="00C925E9" w:rsidRDefault="00C925E9" w:rsidP="00200C9F">
      <w:pPr>
        <w:pStyle w:val="Text"/>
        <w:spacing w:before="60" w:after="60"/>
        <w:rPr>
          <w:lang w:val="en-US"/>
        </w:rPr>
      </w:pPr>
    </w:p>
    <w:p w:rsidR="00C925E9" w:rsidRDefault="00C925E9" w:rsidP="00200C9F">
      <w:pPr>
        <w:pStyle w:val="Heading1"/>
        <w:rPr>
          <w:lang w:val="en-US"/>
        </w:rPr>
      </w:pPr>
      <w:r>
        <w:rPr>
          <w:lang w:val="en-US"/>
        </w:rPr>
        <w:br w:type="page"/>
      </w:r>
      <w:bookmarkStart w:id="55" w:name="_Toc323035609"/>
      <w:r>
        <w:rPr>
          <w:lang w:val="en-US"/>
        </w:rPr>
        <w:lastRenderedPageBreak/>
        <w:t>Reasons for deferring</w:t>
      </w:r>
      <w:bookmarkEnd w:id="55"/>
    </w:p>
    <w:p w:rsidR="00C925E9" w:rsidRDefault="00C925E9" w:rsidP="00200C9F">
      <w:pPr>
        <w:pStyle w:val="Text"/>
        <w:rPr>
          <w:lang w:val="en-US"/>
        </w:rPr>
      </w:pPr>
      <w:r>
        <w:rPr>
          <w:lang w:val="en-US"/>
        </w:rPr>
        <w:t>Deferral differs from gap-taking. Gap-taking describes the situation of a student entering university one or two years after completing secondary schooling. Deferral occurs when an individual applies for a university place, receives an offer, but defers entry to their chosen course. Gap-takers may have deferred an offer, but they may also delay application for university until after they have taken a gap. Some students who defer do not enter university and so do not become gappers.</w:t>
      </w:r>
    </w:p>
    <w:p w:rsidR="00C925E9" w:rsidRDefault="00C925E9" w:rsidP="00200C9F">
      <w:pPr>
        <w:pStyle w:val="Text"/>
        <w:rPr>
          <w:lang w:val="en-US"/>
        </w:rPr>
      </w:pPr>
      <w:r>
        <w:rPr>
          <w:lang w:val="en-US"/>
        </w:rPr>
        <w:t>In this section, we examine the frequency of deferral, compare it with the frequency of gap-taking, and tabulate the reasons students give for deferring entry to their courses. Information on reasons for students deferring university offers is available for members of the Y03 cohort for 2006 and 2007.</w:t>
      </w:r>
    </w:p>
    <w:p w:rsidR="00C925E9" w:rsidRDefault="00C925E9" w:rsidP="00200C9F">
      <w:pPr>
        <w:pStyle w:val="Text"/>
        <w:rPr>
          <w:lang w:val="en-US"/>
        </w:rPr>
      </w:pPr>
      <w:r>
        <w:rPr>
          <w:lang w:val="en-US"/>
        </w:rPr>
        <w:t>The tables in this section show weighted frequency counts, not percentages. This is because the absolute frequencies of reasons for deferral are rather low</w:t>
      </w:r>
      <w:r w:rsidR="004C0A3C">
        <w:rPr>
          <w:lang w:val="en-US"/>
        </w:rPr>
        <w:t>, which limits how results can be generalised.</w:t>
      </w:r>
      <w:r>
        <w:rPr>
          <w:lang w:val="en-US"/>
        </w:rPr>
        <w:t xml:space="preserve"> (In previous sections, tables showed weighted percentages.)</w:t>
      </w:r>
    </w:p>
    <w:p w:rsidR="00C925E9" w:rsidRDefault="00C925E9" w:rsidP="00200C9F">
      <w:pPr>
        <w:pStyle w:val="Heading2"/>
        <w:rPr>
          <w:lang w:val="en-US"/>
        </w:rPr>
      </w:pPr>
      <w:bookmarkStart w:id="56" w:name="_Toc323035610"/>
      <w:r>
        <w:rPr>
          <w:lang w:val="en-US"/>
        </w:rPr>
        <w:t>Gap-takers and deferrals</w:t>
      </w:r>
      <w:bookmarkEnd w:id="56"/>
    </w:p>
    <w:p w:rsidR="00C925E9" w:rsidRDefault="00C925E9" w:rsidP="00200C9F">
      <w:pPr>
        <w:pStyle w:val="Text"/>
        <w:rPr>
          <w:lang w:val="en-US"/>
        </w:rPr>
      </w:pPr>
      <w:r>
        <w:rPr>
          <w:lang w:val="en-US"/>
        </w:rPr>
        <w:t xml:space="preserve">Fewer individuals accept an offer but defer entry than those who apply for university after taking a gap year. In 2005 and 2006, 515 students took gaps of one year between completing school and entering university (see table 9). Over the same period one-quarter of that number (144 individuals) deferred university offers. The proportion of students who apply for university after taking a gap in </w:t>
      </w:r>
      <w:smartTag w:uri="urn:schemas-microsoft-com:office:smarttags" w:element="country-region">
        <w:r>
          <w:rPr>
            <w:lang w:val="en-US"/>
          </w:rPr>
          <w:t>Australia</w:t>
        </w:r>
      </w:smartTag>
      <w:r>
        <w:rPr>
          <w:lang w:val="en-US"/>
        </w:rPr>
        <w:t xml:space="preserve"> is substantially higher than Heath (2005) estimates for the </w:t>
      </w:r>
      <w:smartTag w:uri="urn:schemas-microsoft-com:office:smarttags" w:element="place">
        <w:smartTag w:uri="urn:schemas-microsoft-com:office:smarttags" w:element="country-region">
          <w:r>
            <w:rPr>
              <w:lang w:val="en-US"/>
            </w:rPr>
            <w:t>UK</w:t>
          </w:r>
        </w:smartTag>
      </w:smartTag>
      <w:r>
        <w:rPr>
          <w:lang w:val="en-US"/>
        </w:rPr>
        <w:t>.</w:t>
      </w:r>
    </w:p>
    <w:p w:rsidR="00C925E9" w:rsidRDefault="00C925E9" w:rsidP="00200C9F">
      <w:pPr>
        <w:pStyle w:val="Text"/>
        <w:rPr>
          <w:lang w:val="en-US"/>
        </w:rPr>
      </w:pPr>
      <w:r>
        <w:rPr>
          <w:lang w:val="en-US"/>
        </w:rPr>
        <w:t>In table 9 we report the numbers of university entrants, deferrals and gap-takers for each calendar year from 2004 to 2007. University entrants include all people who began university for the first time in that year and include direct entrants and one- and two-year gappers. The number of gappers shown in a year includes some, but not all, deferrals. Some individuals who defer entry do not take up that offer and are therefore not classed as gappers.</w:t>
      </w:r>
      <w:r>
        <w:rPr>
          <w:rStyle w:val="FootnoteReference"/>
          <w:lang w:val="en-US"/>
        </w:rPr>
        <w:footnoteReference w:id="8"/>
      </w:r>
    </w:p>
    <w:p w:rsidR="00C925E9" w:rsidRDefault="00C925E9" w:rsidP="00200C9F">
      <w:pPr>
        <w:pStyle w:val="tabletitle"/>
        <w:rPr>
          <w:lang w:val="en-US"/>
        </w:rPr>
      </w:pPr>
      <w:bookmarkStart w:id="57" w:name="_Toc322691612"/>
      <w:r>
        <w:rPr>
          <w:lang w:val="en-US"/>
        </w:rPr>
        <w:t>Table 9</w:t>
      </w:r>
      <w:r>
        <w:rPr>
          <w:lang w:val="en-US"/>
        </w:rPr>
        <w:tab/>
        <w:t>Gap-taking and deferrals, Y03 cohort</w:t>
      </w:r>
      <w:bookmarkEnd w:id="57"/>
    </w:p>
    <w:tbl>
      <w:tblPr>
        <w:tblW w:w="0" w:type="auto"/>
        <w:tblInd w:w="93" w:type="dxa"/>
        <w:tblLook w:val="04A0"/>
      </w:tblPr>
      <w:tblGrid>
        <w:gridCol w:w="1440"/>
        <w:gridCol w:w="1152"/>
        <w:gridCol w:w="1152"/>
        <w:gridCol w:w="1152"/>
        <w:gridCol w:w="1152"/>
        <w:gridCol w:w="1152"/>
      </w:tblGrid>
      <w:tr w:rsidR="00C925E9" w:rsidRPr="00E41E0C">
        <w:trPr>
          <w:trHeight w:val="240"/>
        </w:trPr>
        <w:tc>
          <w:tcPr>
            <w:tcW w:w="1440" w:type="dxa"/>
            <w:tcBorders>
              <w:top w:val="single" w:sz="4" w:space="0" w:color="auto"/>
              <w:left w:val="nil"/>
              <w:right w:val="nil"/>
            </w:tcBorders>
            <w:shd w:val="clear" w:color="auto" w:fill="auto"/>
            <w:vAlign w:val="bottom"/>
          </w:tcPr>
          <w:p w:rsidR="00C925E9" w:rsidRPr="00E41E0C" w:rsidRDefault="00C925E9" w:rsidP="00200C9F">
            <w:pPr>
              <w:pStyle w:val="Tabletext"/>
            </w:pPr>
          </w:p>
        </w:tc>
        <w:tc>
          <w:tcPr>
            <w:tcW w:w="4608" w:type="dxa"/>
            <w:gridSpan w:val="4"/>
            <w:tcBorders>
              <w:top w:val="single" w:sz="4" w:space="0" w:color="auto"/>
              <w:left w:val="nil"/>
              <w:right w:val="nil"/>
            </w:tcBorders>
            <w:shd w:val="clear" w:color="auto" w:fill="auto"/>
            <w:vAlign w:val="bottom"/>
          </w:tcPr>
          <w:p w:rsidR="00C925E9" w:rsidRPr="00E41E0C" w:rsidRDefault="00C925E9" w:rsidP="001810E3">
            <w:pPr>
              <w:pStyle w:val="Tablehead1"/>
              <w:ind w:right="1389"/>
              <w:jc w:val="right"/>
            </w:pPr>
            <w:r>
              <w:t>Calendar year</w:t>
            </w:r>
          </w:p>
        </w:tc>
        <w:tc>
          <w:tcPr>
            <w:tcW w:w="1152" w:type="dxa"/>
            <w:tcBorders>
              <w:top w:val="single" w:sz="4" w:space="0" w:color="auto"/>
              <w:left w:val="nil"/>
              <w:right w:val="nil"/>
            </w:tcBorders>
            <w:shd w:val="clear" w:color="auto" w:fill="auto"/>
            <w:vAlign w:val="bottom"/>
          </w:tcPr>
          <w:p w:rsidR="00C925E9" w:rsidRPr="00E41E0C" w:rsidRDefault="002E6BE2" w:rsidP="002E6BE2">
            <w:pPr>
              <w:pStyle w:val="Tablehead1"/>
              <w:jc w:val="right"/>
            </w:pPr>
            <w:r w:rsidRPr="00E41E0C">
              <w:t>Total</w:t>
            </w:r>
          </w:p>
        </w:tc>
      </w:tr>
      <w:tr w:rsidR="00C925E9" w:rsidRPr="00E41E0C">
        <w:trPr>
          <w:trHeight w:val="240"/>
        </w:trPr>
        <w:tc>
          <w:tcPr>
            <w:tcW w:w="1440" w:type="dxa"/>
            <w:tcBorders>
              <w:top w:val="nil"/>
              <w:left w:val="nil"/>
              <w:bottom w:val="single" w:sz="4" w:space="0" w:color="auto"/>
              <w:right w:val="nil"/>
            </w:tcBorders>
            <w:shd w:val="clear" w:color="auto" w:fill="auto"/>
            <w:vAlign w:val="bottom"/>
          </w:tcPr>
          <w:p w:rsidR="00C925E9" w:rsidRPr="00E41E0C" w:rsidRDefault="00C925E9" w:rsidP="00200C9F">
            <w:pPr>
              <w:pStyle w:val="Tabletext"/>
            </w:pPr>
          </w:p>
        </w:tc>
        <w:tc>
          <w:tcPr>
            <w:tcW w:w="1152" w:type="dxa"/>
            <w:tcBorders>
              <w:top w:val="nil"/>
              <w:left w:val="nil"/>
              <w:bottom w:val="single" w:sz="4" w:space="0" w:color="auto"/>
              <w:right w:val="nil"/>
            </w:tcBorders>
            <w:shd w:val="clear" w:color="auto" w:fill="auto"/>
            <w:vAlign w:val="bottom"/>
          </w:tcPr>
          <w:p w:rsidR="00C925E9" w:rsidRPr="00E41E0C" w:rsidRDefault="00C925E9" w:rsidP="00B21581">
            <w:pPr>
              <w:pStyle w:val="Tablehead2"/>
              <w:jc w:val="right"/>
            </w:pPr>
            <w:r w:rsidRPr="00E41E0C">
              <w:t>2004</w:t>
            </w:r>
          </w:p>
        </w:tc>
        <w:tc>
          <w:tcPr>
            <w:tcW w:w="1152" w:type="dxa"/>
            <w:tcBorders>
              <w:top w:val="nil"/>
              <w:left w:val="nil"/>
              <w:bottom w:val="single" w:sz="4" w:space="0" w:color="auto"/>
              <w:right w:val="nil"/>
            </w:tcBorders>
            <w:shd w:val="clear" w:color="auto" w:fill="auto"/>
            <w:vAlign w:val="bottom"/>
          </w:tcPr>
          <w:p w:rsidR="00C925E9" w:rsidRPr="00E41E0C" w:rsidRDefault="00C925E9" w:rsidP="00B21581">
            <w:pPr>
              <w:pStyle w:val="Tablehead2"/>
              <w:jc w:val="right"/>
            </w:pPr>
            <w:r w:rsidRPr="00E41E0C">
              <w:t>2005</w:t>
            </w:r>
          </w:p>
        </w:tc>
        <w:tc>
          <w:tcPr>
            <w:tcW w:w="1152" w:type="dxa"/>
            <w:tcBorders>
              <w:top w:val="nil"/>
              <w:left w:val="nil"/>
              <w:bottom w:val="single" w:sz="4" w:space="0" w:color="auto"/>
              <w:right w:val="nil"/>
            </w:tcBorders>
            <w:shd w:val="clear" w:color="auto" w:fill="auto"/>
            <w:vAlign w:val="bottom"/>
          </w:tcPr>
          <w:p w:rsidR="00C925E9" w:rsidRPr="00E41E0C" w:rsidRDefault="00C925E9" w:rsidP="00B21581">
            <w:pPr>
              <w:pStyle w:val="Tablehead2"/>
              <w:jc w:val="right"/>
            </w:pPr>
            <w:r w:rsidRPr="00E41E0C">
              <w:t>2006</w:t>
            </w:r>
          </w:p>
        </w:tc>
        <w:tc>
          <w:tcPr>
            <w:tcW w:w="1152" w:type="dxa"/>
            <w:tcBorders>
              <w:top w:val="nil"/>
              <w:left w:val="nil"/>
              <w:bottom w:val="single" w:sz="4" w:space="0" w:color="auto"/>
              <w:right w:val="nil"/>
            </w:tcBorders>
            <w:shd w:val="clear" w:color="auto" w:fill="auto"/>
            <w:vAlign w:val="bottom"/>
          </w:tcPr>
          <w:p w:rsidR="00C925E9" w:rsidRPr="00E41E0C" w:rsidRDefault="00C925E9" w:rsidP="00B21581">
            <w:pPr>
              <w:pStyle w:val="Tablehead2"/>
              <w:jc w:val="right"/>
            </w:pPr>
            <w:r w:rsidRPr="00E41E0C">
              <w:t>2007</w:t>
            </w:r>
          </w:p>
        </w:tc>
        <w:tc>
          <w:tcPr>
            <w:tcW w:w="1152" w:type="dxa"/>
            <w:tcBorders>
              <w:top w:val="nil"/>
              <w:left w:val="nil"/>
              <w:bottom w:val="single" w:sz="4" w:space="0" w:color="auto"/>
              <w:right w:val="nil"/>
            </w:tcBorders>
            <w:shd w:val="clear" w:color="auto" w:fill="auto"/>
            <w:vAlign w:val="bottom"/>
          </w:tcPr>
          <w:p w:rsidR="00C925E9" w:rsidRPr="00E41E0C" w:rsidRDefault="00C925E9" w:rsidP="00B21581">
            <w:pPr>
              <w:pStyle w:val="Tablehead2"/>
              <w:jc w:val="right"/>
            </w:pPr>
          </w:p>
        </w:tc>
      </w:tr>
      <w:tr w:rsidR="00C925E9" w:rsidRPr="00E41E0C">
        <w:trPr>
          <w:trHeight w:val="240"/>
        </w:trPr>
        <w:tc>
          <w:tcPr>
            <w:tcW w:w="1440" w:type="dxa"/>
            <w:tcBorders>
              <w:top w:val="single" w:sz="4" w:space="0" w:color="auto"/>
              <w:left w:val="nil"/>
              <w:bottom w:val="nil"/>
              <w:right w:val="nil"/>
            </w:tcBorders>
            <w:shd w:val="clear" w:color="auto" w:fill="auto"/>
            <w:vAlign w:val="bottom"/>
          </w:tcPr>
          <w:p w:rsidR="00C925E9" w:rsidRPr="00E41E0C" w:rsidRDefault="00C925E9" w:rsidP="00200C9F">
            <w:pPr>
              <w:pStyle w:val="Tabletext"/>
            </w:pPr>
            <w:r w:rsidRPr="00E41E0C">
              <w:t>Entrants</w:t>
            </w:r>
          </w:p>
        </w:tc>
        <w:tc>
          <w:tcPr>
            <w:tcW w:w="1152" w:type="dxa"/>
            <w:tcBorders>
              <w:top w:val="single" w:sz="4" w:space="0" w:color="auto"/>
              <w:left w:val="nil"/>
              <w:bottom w:val="nil"/>
              <w:right w:val="nil"/>
            </w:tcBorders>
            <w:shd w:val="clear" w:color="auto" w:fill="auto"/>
            <w:vAlign w:val="bottom"/>
          </w:tcPr>
          <w:p w:rsidR="00C925E9" w:rsidRPr="00E41E0C" w:rsidRDefault="00C925E9" w:rsidP="00B21581">
            <w:pPr>
              <w:pStyle w:val="Tabletext"/>
              <w:tabs>
                <w:tab w:val="decimal" w:pos="576"/>
              </w:tabs>
              <w:jc w:val="right"/>
            </w:pPr>
            <w:r>
              <w:t>8</w:t>
            </w:r>
          </w:p>
        </w:tc>
        <w:tc>
          <w:tcPr>
            <w:tcW w:w="1152" w:type="dxa"/>
            <w:tcBorders>
              <w:top w:val="single" w:sz="4" w:space="0" w:color="auto"/>
              <w:left w:val="nil"/>
              <w:bottom w:val="nil"/>
              <w:right w:val="nil"/>
            </w:tcBorders>
            <w:shd w:val="clear" w:color="auto" w:fill="auto"/>
            <w:vAlign w:val="bottom"/>
          </w:tcPr>
          <w:p w:rsidR="00C925E9" w:rsidRPr="00E41E0C" w:rsidRDefault="00C925E9" w:rsidP="00B21581">
            <w:pPr>
              <w:pStyle w:val="Tabletext"/>
              <w:tabs>
                <w:tab w:val="decimal" w:pos="576"/>
              </w:tabs>
              <w:jc w:val="right"/>
            </w:pPr>
            <w:r w:rsidRPr="00E41E0C">
              <w:t>673</w:t>
            </w:r>
          </w:p>
        </w:tc>
        <w:tc>
          <w:tcPr>
            <w:tcW w:w="1152" w:type="dxa"/>
            <w:tcBorders>
              <w:top w:val="single" w:sz="4" w:space="0" w:color="auto"/>
              <w:left w:val="nil"/>
              <w:bottom w:val="nil"/>
              <w:right w:val="nil"/>
            </w:tcBorders>
            <w:shd w:val="clear" w:color="auto" w:fill="auto"/>
            <w:vAlign w:val="bottom"/>
          </w:tcPr>
          <w:p w:rsidR="00C925E9" w:rsidRPr="00E41E0C" w:rsidRDefault="00C925E9" w:rsidP="00B21581">
            <w:pPr>
              <w:pStyle w:val="Tabletext"/>
              <w:tabs>
                <w:tab w:val="decimal" w:pos="576"/>
              </w:tabs>
              <w:jc w:val="right"/>
            </w:pPr>
            <w:r w:rsidRPr="00E41E0C">
              <w:t>208</w:t>
            </w:r>
            <w:r>
              <w:t>3</w:t>
            </w:r>
          </w:p>
        </w:tc>
        <w:tc>
          <w:tcPr>
            <w:tcW w:w="1152" w:type="dxa"/>
            <w:tcBorders>
              <w:top w:val="single" w:sz="4" w:space="0" w:color="auto"/>
              <w:left w:val="nil"/>
              <w:bottom w:val="nil"/>
              <w:right w:val="nil"/>
            </w:tcBorders>
            <w:shd w:val="clear" w:color="auto" w:fill="auto"/>
            <w:vAlign w:val="bottom"/>
          </w:tcPr>
          <w:p w:rsidR="00C925E9" w:rsidRPr="00E41E0C" w:rsidRDefault="00C925E9" w:rsidP="00B21581">
            <w:pPr>
              <w:pStyle w:val="Tabletext"/>
              <w:tabs>
                <w:tab w:val="decimal" w:pos="576"/>
              </w:tabs>
              <w:jc w:val="right"/>
            </w:pPr>
            <w:r w:rsidRPr="00E41E0C">
              <w:t>59</w:t>
            </w:r>
            <w:r>
              <w:t>6</w:t>
            </w:r>
          </w:p>
        </w:tc>
        <w:tc>
          <w:tcPr>
            <w:tcW w:w="1152" w:type="dxa"/>
            <w:tcBorders>
              <w:top w:val="single" w:sz="4" w:space="0" w:color="auto"/>
              <w:left w:val="nil"/>
              <w:bottom w:val="nil"/>
              <w:right w:val="nil"/>
            </w:tcBorders>
            <w:shd w:val="clear" w:color="auto" w:fill="auto"/>
            <w:vAlign w:val="bottom"/>
          </w:tcPr>
          <w:p w:rsidR="00C925E9" w:rsidRPr="00DA3C18" w:rsidRDefault="00C925E9" w:rsidP="00B21581">
            <w:pPr>
              <w:pStyle w:val="Tabletext"/>
              <w:tabs>
                <w:tab w:val="decimal" w:pos="576"/>
              </w:tabs>
              <w:jc w:val="right"/>
              <w:rPr>
                <w:b/>
              </w:rPr>
            </w:pPr>
            <w:r w:rsidRPr="00DA3C18">
              <w:rPr>
                <w:b/>
              </w:rPr>
              <w:t>33</w:t>
            </w:r>
            <w:r>
              <w:rPr>
                <w:b/>
              </w:rPr>
              <w:t>60</w:t>
            </w:r>
          </w:p>
        </w:tc>
      </w:tr>
      <w:tr w:rsidR="00C925E9" w:rsidRPr="00E41E0C">
        <w:trPr>
          <w:trHeight w:val="240"/>
        </w:trPr>
        <w:tc>
          <w:tcPr>
            <w:tcW w:w="1440" w:type="dxa"/>
            <w:tcBorders>
              <w:top w:val="nil"/>
              <w:left w:val="nil"/>
              <w:bottom w:val="nil"/>
              <w:right w:val="nil"/>
            </w:tcBorders>
            <w:shd w:val="clear" w:color="auto" w:fill="auto"/>
            <w:vAlign w:val="bottom"/>
          </w:tcPr>
          <w:p w:rsidR="00C925E9" w:rsidRPr="00E41E0C" w:rsidRDefault="00C925E9" w:rsidP="00200C9F">
            <w:pPr>
              <w:pStyle w:val="Tabletext"/>
            </w:pPr>
            <w:r>
              <w:t>1</w:t>
            </w:r>
            <w:r w:rsidRPr="00E41E0C">
              <w:t>-year gappers</w:t>
            </w:r>
          </w:p>
        </w:tc>
        <w:tc>
          <w:tcPr>
            <w:tcW w:w="1152" w:type="dxa"/>
            <w:tcBorders>
              <w:top w:val="nil"/>
              <w:left w:val="nil"/>
              <w:bottom w:val="nil"/>
              <w:right w:val="nil"/>
            </w:tcBorders>
            <w:shd w:val="clear" w:color="auto" w:fill="auto"/>
            <w:vAlign w:val="bottom"/>
          </w:tcPr>
          <w:p w:rsidR="00C925E9" w:rsidRPr="00E41E0C" w:rsidRDefault="00C925E9" w:rsidP="00B21581">
            <w:pPr>
              <w:pStyle w:val="Tabletext"/>
              <w:tabs>
                <w:tab w:val="decimal" w:pos="576"/>
              </w:tabs>
              <w:jc w:val="right"/>
            </w:pPr>
          </w:p>
        </w:tc>
        <w:tc>
          <w:tcPr>
            <w:tcW w:w="1152" w:type="dxa"/>
            <w:tcBorders>
              <w:top w:val="nil"/>
              <w:left w:val="nil"/>
              <w:bottom w:val="nil"/>
              <w:right w:val="nil"/>
            </w:tcBorders>
            <w:shd w:val="clear" w:color="auto" w:fill="auto"/>
            <w:vAlign w:val="bottom"/>
          </w:tcPr>
          <w:p w:rsidR="00C925E9" w:rsidRPr="00E41E0C" w:rsidRDefault="00C925E9" w:rsidP="00B21581">
            <w:pPr>
              <w:pStyle w:val="Tabletext"/>
              <w:tabs>
                <w:tab w:val="decimal" w:pos="576"/>
              </w:tabs>
              <w:jc w:val="right"/>
            </w:pPr>
            <w:r w:rsidRPr="00E41E0C">
              <w:t>120</w:t>
            </w:r>
          </w:p>
        </w:tc>
        <w:tc>
          <w:tcPr>
            <w:tcW w:w="1152" w:type="dxa"/>
            <w:tcBorders>
              <w:top w:val="nil"/>
              <w:left w:val="nil"/>
              <w:bottom w:val="nil"/>
              <w:right w:val="nil"/>
            </w:tcBorders>
            <w:shd w:val="clear" w:color="auto" w:fill="auto"/>
            <w:vAlign w:val="bottom"/>
          </w:tcPr>
          <w:p w:rsidR="00C925E9" w:rsidRPr="00E41E0C" w:rsidRDefault="00C925E9" w:rsidP="00B21581">
            <w:pPr>
              <w:pStyle w:val="Tabletext"/>
              <w:tabs>
                <w:tab w:val="decimal" w:pos="576"/>
              </w:tabs>
              <w:jc w:val="right"/>
            </w:pPr>
            <w:r w:rsidRPr="00E41E0C">
              <w:t>39</w:t>
            </w:r>
            <w:r>
              <w:t>6</w:t>
            </w:r>
          </w:p>
        </w:tc>
        <w:tc>
          <w:tcPr>
            <w:tcW w:w="1152" w:type="dxa"/>
            <w:tcBorders>
              <w:top w:val="nil"/>
              <w:left w:val="nil"/>
              <w:bottom w:val="nil"/>
              <w:right w:val="nil"/>
            </w:tcBorders>
            <w:shd w:val="clear" w:color="auto" w:fill="auto"/>
            <w:vAlign w:val="bottom"/>
          </w:tcPr>
          <w:p w:rsidR="00C925E9" w:rsidRPr="00E41E0C" w:rsidRDefault="00C925E9" w:rsidP="00B21581">
            <w:pPr>
              <w:pStyle w:val="Tabletext"/>
              <w:tabs>
                <w:tab w:val="decimal" w:pos="576"/>
              </w:tabs>
              <w:jc w:val="right"/>
            </w:pPr>
            <w:r>
              <w:t>na*</w:t>
            </w:r>
          </w:p>
        </w:tc>
        <w:tc>
          <w:tcPr>
            <w:tcW w:w="1152" w:type="dxa"/>
            <w:tcBorders>
              <w:top w:val="nil"/>
              <w:left w:val="nil"/>
              <w:bottom w:val="nil"/>
              <w:right w:val="nil"/>
            </w:tcBorders>
            <w:shd w:val="clear" w:color="auto" w:fill="auto"/>
            <w:vAlign w:val="bottom"/>
          </w:tcPr>
          <w:p w:rsidR="00C925E9" w:rsidRPr="00DA3C18" w:rsidRDefault="00C925E9" w:rsidP="00B21581">
            <w:pPr>
              <w:pStyle w:val="Tabletext"/>
              <w:tabs>
                <w:tab w:val="decimal" w:pos="576"/>
              </w:tabs>
              <w:jc w:val="right"/>
              <w:rPr>
                <w:b/>
              </w:rPr>
            </w:pPr>
            <w:r w:rsidRPr="00DA3C18">
              <w:rPr>
                <w:b/>
              </w:rPr>
              <w:t>51</w:t>
            </w:r>
            <w:r>
              <w:rPr>
                <w:b/>
              </w:rPr>
              <w:t>6</w:t>
            </w:r>
          </w:p>
        </w:tc>
      </w:tr>
      <w:tr w:rsidR="00C925E9" w:rsidRPr="00E41E0C">
        <w:trPr>
          <w:trHeight w:val="240"/>
        </w:trPr>
        <w:tc>
          <w:tcPr>
            <w:tcW w:w="1440" w:type="dxa"/>
            <w:tcBorders>
              <w:top w:val="nil"/>
              <w:left w:val="nil"/>
              <w:bottom w:val="nil"/>
              <w:right w:val="nil"/>
            </w:tcBorders>
            <w:shd w:val="clear" w:color="auto" w:fill="auto"/>
            <w:vAlign w:val="bottom"/>
          </w:tcPr>
          <w:p w:rsidR="00C925E9" w:rsidRPr="00E41E0C" w:rsidRDefault="00C925E9" w:rsidP="00200C9F">
            <w:pPr>
              <w:pStyle w:val="Tabletext"/>
            </w:pPr>
            <w:r>
              <w:t>2</w:t>
            </w:r>
            <w:r w:rsidRPr="00E41E0C">
              <w:t>-year gappers</w:t>
            </w:r>
          </w:p>
        </w:tc>
        <w:tc>
          <w:tcPr>
            <w:tcW w:w="1152" w:type="dxa"/>
            <w:tcBorders>
              <w:top w:val="nil"/>
              <w:left w:val="nil"/>
              <w:bottom w:val="nil"/>
              <w:right w:val="nil"/>
            </w:tcBorders>
            <w:shd w:val="clear" w:color="auto" w:fill="auto"/>
            <w:vAlign w:val="bottom"/>
          </w:tcPr>
          <w:p w:rsidR="00C925E9" w:rsidRPr="00E41E0C" w:rsidRDefault="00C925E9" w:rsidP="00B21581">
            <w:pPr>
              <w:pStyle w:val="Tabletext"/>
              <w:tabs>
                <w:tab w:val="decimal" w:pos="576"/>
              </w:tabs>
              <w:jc w:val="right"/>
            </w:pPr>
          </w:p>
        </w:tc>
        <w:tc>
          <w:tcPr>
            <w:tcW w:w="1152" w:type="dxa"/>
            <w:tcBorders>
              <w:top w:val="nil"/>
              <w:left w:val="nil"/>
              <w:bottom w:val="nil"/>
              <w:right w:val="nil"/>
            </w:tcBorders>
            <w:shd w:val="clear" w:color="auto" w:fill="auto"/>
            <w:vAlign w:val="bottom"/>
          </w:tcPr>
          <w:p w:rsidR="00C925E9" w:rsidRPr="00E41E0C" w:rsidRDefault="00C925E9" w:rsidP="00B21581">
            <w:pPr>
              <w:pStyle w:val="Tabletext"/>
              <w:tabs>
                <w:tab w:val="decimal" w:pos="576"/>
              </w:tabs>
              <w:jc w:val="right"/>
            </w:pPr>
          </w:p>
        </w:tc>
        <w:tc>
          <w:tcPr>
            <w:tcW w:w="1152" w:type="dxa"/>
            <w:tcBorders>
              <w:top w:val="nil"/>
              <w:left w:val="nil"/>
              <w:bottom w:val="nil"/>
              <w:right w:val="nil"/>
            </w:tcBorders>
            <w:shd w:val="clear" w:color="auto" w:fill="auto"/>
            <w:vAlign w:val="bottom"/>
          </w:tcPr>
          <w:p w:rsidR="00C925E9" w:rsidRPr="00E41E0C" w:rsidRDefault="00C925E9" w:rsidP="00B21581">
            <w:pPr>
              <w:pStyle w:val="Tabletext"/>
              <w:tabs>
                <w:tab w:val="decimal" w:pos="576"/>
              </w:tabs>
              <w:jc w:val="right"/>
            </w:pPr>
            <w:r w:rsidRPr="00DE5806">
              <w:t>2</w:t>
            </w:r>
            <w:r>
              <w:t>5</w:t>
            </w:r>
          </w:p>
        </w:tc>
        <w:tc>
          <w:tcPr>
            <w:tcW w:w="1152" w:type="dxa"/>
            <w:tcBorders>
              <w:top w:val="nil"/>
              <w:left w:val="nil"/>
              <w:bottom w:val="nil"/>
              <w:right w:val="nil"/>
            </w:tcBorders>
            <w:shd w:val="clear" w:color="auto" w:fill="auto"/>
            <w:vAlign w:val="bottom"/>
          </w:tcPr>
          <w:p w:rsidR="00C925E9" w:rsidRPr="00E41E0C" w:rsidRDefault="00C925E9" w:rsidP="00B21581">
            <w:pPr>
              <w:pStyle w:val="Tabletext"/>
              <w:tabs>
                <w:tab w:val="decimal" w:pos="576"/>
              </w:tabs>
              <w:jc w:val="right"/>
            </w:pPr>
          </w:p>
        </w:tc>
        <w:tc>
          <w:tcPr>
            <w:tcW w:w="1152" w:type="dxa"/>
            <w:tcBorders>
              <w:top w:val="nil"/>
              <w:left w:val="nil"/>
              <w:bottom w:val="nil"/>
              <w:right w:val="nil"/>
            </w:tcBorders>
            <w:shd w:val="clear" w:color="auto" w:fill="auto"/>
            <w:vAlign w:val="bottom"/>
          </w:tcPr>
          <w:p w:rsidR="00C925E9" w:rsidRPr="00DA3C18" w:rsidRDefault="00C925E9" w:rsidP="00B21581">
            <w:pPr>
              <w:pStyle w:val="Tabletext"/>
              <w:tabs>
                <w:tab w:val="decimal" w:pos="576"/>
              </w:tabs>
              <w:jc w:val="right"/>
              <w:rPr>
                <w:b/>
              </w:rPr>
            </w:pPr>
            <w:r w:rsidRPr="00DA3C18">
              <w:rPr>
                <w:b/>
              </w:rPr>
              <w:t>2</w:t>
            </w:r>
            <w:r>
              <w:rPr>
                <w:b/>
              </w:rPr>
              <w:t>5</w:t>
            </w:r>
          </w:p>
        </w:tc>
      </w:tr>
      <w:tr w:rsidR="00C925E9" w:rsidRPr="00E41E0C">
        <w:trPr>
          <w:trHeight w:val="240"/>
        </w:trPr>
        <w:tc>
          <w:tcPr>
            <w:tcW w:w="1440" w:type="dxa"/>
            <w:tcBorders>
              <w:top w:val="nil"/>
              <w:left w:val="nil"/>
              <w:bottom w:val="single" w:sz="4" w:space="0" w:color="auto"/>
              <w:right w:val="nil"/>
            </w:tcBorders>
            <w:shd w:val="clear" w:color="auto" w:fill="auto"/>
            <w:vAlign w:val="bottom"/>
          </w:tcPr>
          <w:p w:rsidR="00C925E9" w:rsidRDefault="00C925E9" w:rsidP="00200C9F">
            <w:pPr>
              <w:pStyle w:val="Tabletext"/>
            </w:pPr>
            <w:r w:rsidRPr="00E41E0C">
              <w:t>Deferrals</w:t>
            </w:r>
          </w:p>
        </w:tc>
        <w:tc>
          <w:tcPr>
            <w:tcW w:w="1152" w:type="dxa"/>
            <w:tcBorders>
              <w:top w:val="nil"/>
              <w:left w:val="nil"/>
              <w:bottom w:val="single" w:sz="4" w:space="0" w:color="auto"/>
              <w:right w:val="nil"/>
            </w:tcBorders>
            <w:shd w:val="clear" w:color="auto" w:fill="auto"/>
            <w:vAlign w:val="bottom"/>
          </w:tcPr>
          <w:p w:rsidR="00C925E9" w:rsidRPr="00E41E0C" w:rsidRDefault="00C925E9" w:rsidP="00B21581">
            <w:pPr>
              <w:pStyle w:val="Tabletext"/>
              <w:tabs>
                <w:tab w:val="decimal" w:pos="576"/>
              </w:tabs>
              <w:jc w:val="right"/>
            </w:pPr>
            <w:r w:rsidRPr="00E41E0C">
              <w:t>2</w:t>
            </w:r>
          </w:p>
        </w:tc>
        <w:tc>
          <w:tcPr>
            <w:tcW w:w="1152" w:type="dxa"/>
            <w:tcBorders>
              <w:top w:val="nil"/>
              <w:left w:val="nil"/>
              <w:bottom w:val="single" w:sz="4" w:space="0" w:color="auto"/>
              <w:right w:val="nil"/>
            </w:tcBorders>
            <w:shd w:val="clear" w:color="auto" w:fill="auto"/>
            <w:vAlign w:val="bottom"/>
          </w:tcPr>
          <w:p w:rsidR="00C925E9" w:rsidRPr="00E41E0C" w:rsidRDefault="00C925E9" w:rsidP="00B21581">
            <w:pPr>
              <w:pStyle w:val="Tabletext"/>
              <w:tabs>
                <w:tab w:val="decimal" w:pos="576"/>
              </w:tabs>
              <w:jc w:val="right"/>
            </w:pPr>
            <w:r w:rsidRPr="00E41E0C">
              <w:t>81</w:t>
            </w:r>
          </w:p>
        </w:tc>
        <w:tc>
          <w:tcPr>
            <w:tcW w:w="1152" w:type="dxa"/>
            <w:tcBorders>
              <w:top w:val="nil"/>
              <w:left w:val="nil"/>
              <w:bottom w:val="single" w:sz="4" w:space="0" w:color="auto"/>
              <w:right w:val="nil"/>
            </w:tcBorders>
            <w:shd w:val="clear" w:color="auto" w:fill="auto"/>
            <w:vAlign w:val="bottom"/>
          </w:tcPr>
          <w:p w:rsidR="00C925E9" w:rsidRPr="00BC2BF1" w:rsidRDefault="00C925E9" w:rsidP="00B21581">
            <w:pPr>
              <w:pStyle w:val="Tabletext"/>
              <w:jc w:val="right"/>
              <w:rPr>
                <w:highlight w:val="red"/>
              </w:rPr>
            </w:pPr>
            <w:r w:rsidRPr="00E41E0C">
              <w:t>63</w:t>
            </w:r>
          </w:p>
        </w:tc>
        <w:tc>
          <w:tcPr>
            <w:tcW w:w="1152" w:type="dxa"/>
            <w:tcBorders>
              <w:top w:val="nil"/>
              <w:left w:val="nil"/>
              <w:bottom w:val="single" w:sz="4" w:space="0" w:color="auto"/>
              <w:right w:val="nil"/>
            </w:tcBorders>
            <w:shd w:val="clear" w:color="auto" w:fill="auto"/>
            <w:vAlign w:val="bottom"/>
          </w:tcPr>
          <w:p w:rsidR="00C925E9" w:rsidRPr="00BC2BF1" w:rsidRDefault="00C925E9" w:rsidP="00B21581">
            <w:pPr>
              <w:pStyle w:val="Tabletext"/>
              <w:jc w:val="right"/>
              <w:rPr>
                <w:highlight w:val="red"/>
              </w:rPr>
            </w:pPr>
            <w:r w:rsidRPr="00E41E0C">
              <w:t>7</w:t>
            </w:r>
          </w:p>
        </w:tc>
        <w:tc>
          <w:tcPr>
            <w:tcW w:w="1152" w:type="dxa"/>
            <w:tcBorders>
              <w:top w:val="nil"/>
              <w:left w:val="nil"/>
              <w:bottom w:val="single" w:sz="4" w:space="0" w:color="auto"/>
              <w:right w:val="nil"/>
            </w:tcBorders>
            <w:shd w:val="clear" w:color="auto" w:fill="auto"/>
            <w:vAlign w:val="bottom"/>
          </w:tcPr>
          <w:p w:rsidR="00C925E9" w:rsidRPr="00DA3C18" w:rsidRDefault="00C925E9" w:rsidP="00B21581">
            <w:pPr>
              <w:pStyle w:val="Tabletext"/>
              <w:tabs>
                <w:tab w:val="decimal" w:pos="576"/>
              </w:tabs>
              <w:jc w:val="right"/>
              <w:rPr>
                <w:b/>
              </w:rPr>
            </w:pPr>
            <w:r w:rsidRPr="00DA3C18">
              <w:rPr>
                <w:b/>
              </w:rPr>
              <w:t>153</w:t>
            </w:r>
          </w:p>
        </w:tc>
      </w:tr>
    </w:tbl>
    <w:p w:rsidR="00C925E9" w:rsidRDefault="00C925E9" w:rsidP="00534339">
      <w:pPr>
        <w:pStyle w:val="Source"/>
        <w:tabs>
          <w:tab w:val="left" w:pos="851"/>
        </w:tabs>
        <w:ind w:left="851" w:hanging="851"/>
        <w:rPr>
          <w:lang w:val="en-US"/>
        </w:rPr>
      </w:pPr>
      <w:r>
        <w:rPr>
          <w:lang w:val="en-US"/>
        </w:rPr>
        <w:t xml:space="preserve">Notes: </w:t>
      </w:r>
      <w:r>
        <w:rPr>
          <w:lang w:val="en-US"/>
        </w:rPr>
        <w:tab/>
      </w:r>
      <w:r w:rsidRPr="0003290E">
        <w:rPr>
          <w:lang w:val="en-US"/>
        </w:rPr>
        <w:t>*</w:t>
      </w:r>
      <w:r>
        <w:rPr>
          <w:lang w:val="en-US"/>
        </w:rPr>
        <w:t xml:space="preserve"> </w:t>
      </w:r>
      <w:r w:rsidRPr="0003290E">
        <w:rPr>
          <w:lang w:val="en-US"/>
        </w:rPr>
        <w:t>The lack of one-year gappers in 2007 is a result of the definition of gappers</w:t>
      </w:r>
      <w:r>
        <w:rPr>
          <w:lang w:val="en-US"/>
        </w:rPr>
        <w:t>. I</w:t>
      </w:r>
      <w:r w:rsidRPr="0003290E">
        <w:rPr>
          <w:lang w:val="en-US"/>
        </w:rPr>
        <w:t>ndividuals will only be classed as 2007 gappers if they completed school in 2005 (</w:t>
      </w:r>
      <w:r>
        <w:rPr>
          <w:lang w:val="en-US"/>
        </w:rPr>
        <w:t>two</w:t>
      </w:r>
      <w:r w:rsidRPr="0003290E">
        <w:rPr>
          <w:lang w:val="en-US"/>
        </w:rPr>
        <w:t>-year gappers) or 2006 (one-year gappers) and enter university in 2008</w:t>
      </w:r>
      <w:r>
        <w:rPr>
          <w:lang w:val="en-US"/>
        </w:rPr>
        <w:t xml:space="preserve">. We have no 2008 data. </w:t>
      </w:r>
    </w:p>
    <w:p w:rsidR="00C925E9" w:rsidRDefault="00C925E9" w:rsidP="00534339">
      <w:pPr>
        <w:pStyle w:val="Source"/>
        <w:tabs>
          <w:tab w:val="left" w:pos="993"/>
        </w:tabs>
        <w:ind w:left="851" w:hanging="851"/>
        <w:rPr>
          <w:lang w:val="en-US"/>
        </w:rPr>
      </w:pPr>
      <w:r>
        <w:rPr>
          <w:lang w:val="en-US"/>
        </w:rPr>
        <w:tab/>
        <w:t>Totals may vary from totals in earlier tables due to rounding.</w:t>
      </w:r>
    </w:p>
    <w:p w:rsidR="00C925E9" w:rsidRDefault="00C925E9" w:rsidP="00200C9F">
      <w:pPr>
        <w:pStyle w:val="Heading2"/>
        <w:rPr>
          <w:lang w:val="en-US"/>
        </w:rPr>
      </w:pPr>
      <w:bookmarkStart w:id="58" w:name="_Toc323035611"/>
      <w:r>
        <w:rPr>
          <w:lang w:val="en-US"/>
        </w:rPr>
        <w:lastRenderedPageBreak/>
        <w:t>Deferrals and university commencement</w:t>
      </w:r>
      <w:bookmarkEnd w:id="58"/>
    </w:p>
    <w:p w:rsidR="00C925E9" w:rsidRDefault="00C925E9" w:rsidP="00200C9F">
      <w:pPr>
        <w:pStyle w:val="Text"/>
        <w:rPr>
          <w:lang w:val="en-US"/>
        </w:rPr>
      </w:pPr>
      <w:r>
        <w:rPr>
          <w:lang w:val="en-US"/>
        </w:rPr>
        <w:t>Individuals who are offered a place in a university course may defer entry for one year. Those who enrol in that course after deferring meet the definition of gap-takers used in this study. That is, they are a subset of all gap-takers. Some students who defer do not subsequently enrol. They are not gap-takers because they do not enrol in a university course.</w:t>
      </w:r>
    </w:p>
    <w:p w:rsidR="00C925E9" w:rsidRDefault="00C925E9" w:rsidP="00200C9F">
      <w:pPr>
        <w:pStyle w:val="Text"/>
        <w:rPr>
          <w:lang w:val="en-US"/>
        </w:rPr>
      </w:pPr>
      <w:r>
        <w:rPr>
          <w:lang w:val="en-US"/>
        </w:rPr>
        <w:t>Approximately three-quarters of those individuals who defer university entry take up those courses. It is common practice for universities to allow applicants to defer entry for one year. We have information on university entry to 2007 so it is feasible to examine the enrolment of deferrals up to 2006. One hundred and forty-six students had deferred university offers up to 2006 (and a further seven in 2007; see table 9). We now examine their enrolments. Of the 146 applicants who deferred up to 2006, six had left the survey before their university entrance status could be established (see table 10). Of the remaining 140, three-quarters (106) had enrolled at university. However, 542 people were identified as gap-takers (see table 2). Thus, those who defer and subsequently enrol (106) make up less than 20% of the total number of gappers over the period 2004 to 2007. Clearly, many gappers do not apply for a place at university while at school, but do so during their gap year.</w:t>
      </w:r>
    </w:p>
    <w:p w:rsidR="00C925E9" w:rsidRDefault="00C925E9" w:rsidP="00200C9F">
      <w:pPr>
        <w:pStyle w:val="tabletitle"/>
        <w:rPr>
          <w:lang w:val="en-US"/>
        </w:rPr>
      </w:pPr>
      <w:bookmarkStart w:id="59" w:name="_Toc322691613"/>
      <w:r>
        <w:rPr>
          <w:lang w:val="en-US"/>
        </w:rPr>
        <w:t>Table 10</w:t>
      </w:r>
      <w:r>
        <w:rPr>
          <w:lang w:val="en-US"/>
        </w:rPr>
        <w:tab/>
        <w:t>University entrance status of deferrals, Y03 cohort</w:t>
      </w:r>
      <w:bookmarkEnd w:id="59"/>
    </w:p>
    <w:tbl>
      <w:tblPr>
        <w:tblW w:w="8046" w:type="dxa"/>
        <w:tblBorders>
          <w:top w:val="single" w:sz="12" w:space="0" w:color="000000"/>
          <w:bottom w:val="single" w:sz="12" w:space="0" w:color="000000"/>
        </w:tblBorders>
        <w:tblLook w:val="04A0"/>
      </w:tblPr>
      <w:tblGrid>
        <w:gridCol w:w="1809"/>
        <w:gridCol w:w="1701"/>
        <w:gridCol w:w="1560"/>
        <w:gridCol w:w="1559"/>
        <w:gridCol w:w="283"/>
        <w:gridCol w:w="142"/>
        <w:gridCol w:w="992"/>
      </w:tblGrid>
      <w:tr w:rsidR="002E6BE2" w:rsidRPr="00A004DA" w:rsidTr="001810E3">
        <w:trPr>
          <w:trHeight w:val="240"/>
        </w:trPr>
        <w:tc>
          <w:tcPr>
            <w:tcW w:w="1809" w:type="dxa"/>
            <w:tcBorders>
              <w:top w:val="single" w:sz="4" w:space="0" w:color="000000"/>
              <w:bottom w:val="nil"/>
              <w:right w:val="nil"/>
            </w:tcBorders>
            <w:shd w:val="clear" w:color="auto" w:fill="auto"/>
            <w:noWrap/>
          </w:tcPr>
          <w:p w:rsidR="002E6BE2" w:rsidRPr="00875D45" w:rsidRDefault="002E6BE2" w:rsidP="00200C9F">
            <w:pPr>
              <w:pStyle w:val="Tabletext"/>
              <w:rPr>
                <w:i/>
                <w:iCs/>
              </w:rPr>
            </w:pPr>
          </w:p>
        </w:tc>
        <w:tc>
          <w:tcPr>
            <w:tcW w:w="5245" w:type="dxa"/>
            <w:gridSpan w:val="5"/>
            <w:tcBorders>
              <w:top w:val="single" w:sz="4" w:space="0" w:color="000000"/>
              <w:left w:val="nil"/>
              <w:bottom w:val="nil"/>
              <w:right w:val="nil"/>
            </w:tcBorders>
            <w:shd w:val="clear" w:color="auto" w:fill="auto"/>
          </w:tcPr>
          <w:p w:rsidR="002E6BE2" w:rsidRPr="00875D45" w:rsidRDefault="002E6BE2" w:rsidP="002E6BE2">
            <w:pPr>
              <w:pStyle w:val="Tablehead1"/>
              <w:jc w:val="center"/>
              <w:rPr>
                <w:i/>
                <w:iCs/>
              </w:rPr>
            </w:pPr>
            <w:r w:rsidRPr="00B21581">
              <w:t>University enrolment status</w:t>
            </w:r>
          </w:p>
        </w:tc>
        <w:tc>
          <w:tcPr>
            <w:tcW w:w="992" w:type="dxa"/>
            <w:tcBorders>
              <w:top w:val="single" w:sz="4" w:space="0" w:color="000000"/>
              <w:left w:val="nil"/>
              <w:bottom w:val="nil"/>
            </w:tcBorders>
            <w:shd w:val="clear" w:color="auto" w:fill="auto"/>
          </w:tcPr>
          <w:p w:rsidR="002E6BE2" w:rsidRPr="00A004DA" w:rsidRDefault="002E6BE2" w:rsidP="002E6BE2">
            <w:pPr>
              <w:pStyle w:val="Tablehead1"/>
              <w:jc w:val="right"/>
            </w:pPr>
            <w:r w:rsidRPr="00A004DA">
              <w:t>Total</w:t>
            </w:r>
          </w:p>
        </w:tc>
      </w:tr>
      <w:tr w:rsidR="002E6BE2" w:rsidRPr="00A004DA" w:rsidTr="001810E3">
        <w:trPr>
          <w:trHeight w:val="240"/>
        </w:trPr>
        <w:tc>
          <w:tcPr>
            <w:tcW w:w="1809" w:type="dxa"/>
            <w:tcBorders>
              <w:top w:val="nil"/>
              <w:bottom w:val="single" w:sz="4" w:space="0" w:color="auto"/>
              <w:right w:val="nil"/>
            </w:tcBorders>
            <w:shd w:val="clear" w:color="auto" w:fill="auto"/>
            <w:noWrap/>
          </w:tcPr>
          <w:p w:rsidR="002E6BE2" w:rsidRPr="00A004DA" w:rsidRDefault="002E6BE2" w:rsidP="00200C9F">
            <w:pPr>
              <w:pStyle w:val="Tabletext"/>
            </w:pPr>
            <w:r>
              <w:t xml:space="preserve"> </w:t>
            </w:r>
          </w:p>
        </w:tc>
        <w:tc>
          <w:tcPr>
            <w:tcW w:w="1701" w:type="dxa"/>
            <w:tcBorders>
              <w:top w:val="nil"/>
              <w:left w:val="nil"/>
              <w:bottom w:val="single" w:sz="4" w:space="0" w:color="auto"/>
            </w:tcBorders>
            <w:shd w:val="clear" w:color="auto" w:fill="auto"/>
          </w:tcPr>
          <w:p w:rsidR="002E6BE2" w:rsidRPr="00A004DA" w:rsidRDefault="002E6BE2" w:rsidP="00B21581">
            <w:pPr>
              <w:pStyle w:val="Tablehead2"/>
              <w:jc w:val="right"/>
            </w:pPr>
            <w:r w:rsidRPr="00A004DA">
              <w:t>Never commenced university</w:t>
            </w:r>
          </w:p>
        </w:tc>
        <w:tc>
          <w:tcPr>
            <w:tcW w:w="1560" w:type="dxa"/>
            <w:tcBorders>
              <w:top w:val="nil"/>
              <w:bottom w:val="single" w:sz="4" w:space="0" w:color="auto"/>
            </w:tcBorders>
            <w:shd w:val="clear" w:color="auto" w:fill="auto"/>
          </w:tcPr>
          <w:p w:rsidR="002E6BE2" w:rsidRPr="00A004DA" w:rsidRDefault="002E6BE2" w:rsidP="00B21581">
            <w:pPr>
              <w:pStyle w:val="Tablehead2"/>
              <w:jc w:val="right"/>
            </w:pPr>
            <w:r w:rsidRPr="00A004DA">
              <w:t>Commenced university course</w:t>
            </w:r>
          </w:p>
        </w:tc>
        <w:tc>
          <w:tcPr>
            <w:tcW w:w="1842" w:type="dxa"/>
            <w:gridSpan w:val="2"/>
            <w:tcBorders>
              <w:top w:val="nil"/>
              <w:bottom w:val="single" w:sz="4" w:space="0" w:color="auto"/>
            </w:tcBorders>
            <w:shd w:val="clear" w:color="auto" w:fill="auto"/>
          </w:tcPr>
          <w:p w:rsidR="002E6BE2" w:rsidRPr="00A004DA" w:rsidRDefault="002E6BE2" w:rsidP="00B21581">
            <w:pPr>
              <w:pStyle w:val="Tablehead2"/>
              <w:jc w:val="right"/>
            </w:pPr>
            <w:r w:rsidRPr="00A004DA">
              <w:t>Unknown university entry status</w:t>
            </w:r>
          </w:p>
        </w:tc>
        <w:tc>
          <w:tcPr>
            <w:tcW w:w="1134" w:type="dxa"/>
            <w:gridSpan w:val="2"/>
            <w:tcBorders>
              <w:top w:val="nil"/>
              <w:bottom w:val="single" w:sz="4" w:space="0" w:color="auto"/>
            </w:tcBorders>
            <w:shd w:val="clear" w:color="auto" w:fill="auto"/>
          </w:tcPr>
          <w:p w:rsidR="002E6BE2" w:rsidRPr="00A004DA" w:rsidRDefault="002E6BE2" w:rsidP="00B21581">
            <w:pPr>
              <w:pStyle w:val="Tablehead2"/>
              <w:jc w:val="right"/>
            </w:pPr>
          </w:p>
        </w:tc>
      </w:tr>
      <w:tr w:rsidR="002E6BE2" w:rsidRPr="00875D45" w:rsidTr="001810E3">
        <w:trPr>
          <w:trHeight w:val="240"/>
        </w:trPr>
        <w:tc>
          <w:tcPr>
            <w:tcW w:w="1809" w:type="dxa"/>
            <w:tcBorders>
              <w:top w:val="single" w:sz="4" w:space="0" w:color="auto"/>
              <w:bottom w:val="single" w:sz="4" w:space="0" w:color="000000"/>
              <w:right w:val="nil"/>
            </w:tcBorders>
            <w:shd w:val="clear" w:color="auto" w:fill="auto"/>
            <w:noWrap/>
          </w:tcPr>
          <w:p w:rsidR="002E6BE2" w:rsidRPr="00A004DA" w:rsidRDefault="002E6BE2" w:rsidP="00200C9F">
            <w:pPr>
              <w:pStyle w:val="Tabletext"/>
            </w:pPr>
            <w:r w:rsidRPr="00A004DA">
              <w:t>Ever deferred study</w:t>
            </w:r>
            <w:r>
              <w:t xml:space="preserve"> </w:t>
            </w:r>
            <w:r w:rsidRPr="00A004DA">
              <w:t>(to 2006)</w:t>
            </w:r>
          </w:p>
        </w:tc>
        <w:tc>
          <w:tcPr>
            <w:tcW w:w="1701" w:type="dxa"/>
            <w:tcBorders>
              <w:top w:val="single" w:sz="4" w:space="0" w:color="auto"/>
              <w:left w:val="nil"/>
              <w:bottom w:val="single" w:sz="4" w:space="0" w:color="000000"/>
            </w:tcBorders>
            <w:shd w:val="clear" w:color="auto" w:fill="auto"/>
            <w:noWrap/>
          </w:tcPr>
          <w:p w:rsidR="002E6BE2" w:rsidRPr="00A004DA" w:rsidRDefault="002E6BE2" w:rsidP="00B21581">
            <w:pPr>
              <w:pStyle w:val="Tabletext"/>
              <w:tabs>
                <w:tab w:val="decimal" w:pos="576"/>
              </w:tabs>
              <w:jc w:val="right"/>
            </w:pPr>
            <w:r w:rsidRPr="00A004DA">
              <w:t>35</w:t>
            </w:r>
          </w:p>
        </w:tc>
        <w:tc>
          <w:tcPr>
            <w:tcW w:w="1560" w:type="dxa"/>
            <w:tcBorders>
              <w:top w:val="single" w:sz="4" w:space="0" w:color="auto"/>
              <w:bottom w:val="single" w:sz="4" w:space="0" w:color="000000"/>
            </w:tcBorders>
            <w:shd w:val="clear" w:color="auto" w:fill="auto"/>
            <w:noWrap/>
          </w:tcPr>
          <w:p w:rsidR="002E6BE2" w:rsidRPr="00A004DA" w:rsidRDefault="002E6BE2" w:rsidP="00B21581">
            <w:pPr>
              <w:pStyle w:val="Tabletext"/>
              <w:tabs>
                <w:tab w:val="decimal" w:pos="576"/>
              </w:tabs>
              <w:jc w:val="right"/>
            </w:pPr>
            <w:r w:rsidRPr="00A004DA">
              <w:t>106</w:t>
            </w:r>
          </w:p>
        </w:tc>
        <w:tc>
          <w:tcPr>
            <w:tcW w:w="1559" w:type="dxa"/>
            <w:tcBorders>
              <w:top w:val="single" w:sz="4" w:space="0" w:color="auto"/>
              <w:bottom w:val="single" w:sz="4" w:space="0" w:color="000000"/>
            </w:tcBorders>
            <w:shd w:val="clear" w:color="auto" w:fill="auto"/>
            <w:noWrap/>
          </w:tcPr>
          <w:p w:rsidR="002E6BE2" w:rsidRPr="00A004DA" w:rsidRDefault="002E6BE2" w:rsidP="00B21581">
            <w:pPr>
              <w:pStyle w:val="Tabletext"/>
              <w:tabs>
                <w:tab w:val="decimal" w:pos="576"/>
              </w:tabs>
              <w:jc w:val="right"/>
            </w:pPr>
            <w:r w:rsidRPr="00A004DA">
              <w:t>6</w:t>
            </w:r>
          </w:p>
        </w:tc>
        <w:tc>
          <w:tcPr>
            <w:tcW w:w="1417" w:type="dxa"/>
            <w:gridSpan w:val="3"/>
            <w:tcBorders>
              <w:top w:val="single" w:sz="4" w:space="0" w:color="auto"/>
              <w:bottom w:val="single" w:sz="4" w:space="0" w:color="000000"/>
            </w:tcBorders>
            <w:shd w:val="clear" w:color="auto" w:fill="auto"/>
            <w:noWrap/>
          </w:tcPr>
          <w:p w:rsidR="002E6BE2" w:rsidRPr="00A004DA" w:rsidRDefault="002E6BE2" w:rsidP="00B21581">
            <w:pPr>
              <w:pStyle w:val="Tabletext"/>
              <w:tabs>
                <w:tab w:val="decimal" w:pos="576"/>
              </w:tabs>
              <w:jc w:val="right"/>
            </w:pPr>
            <w:r w:rsidRPr="00A004DA">
              <w:t>147</w:t>
            </w:r>
          </w:p>
        </w:tc>
      </w:tr>
    </w:tbl>
    <w:p w:rsidR="00C925E9" w:rsidRDefault="00C925E9" w:rsidP="00534339">
      <w:pPr>
        <w:pStyle w:val="Source"/>
        <w:tabs>
          <w:tab w:val="left" w:pos="851"/>
        </w:tabs>
        <w:ind w:left="851" w:hanging="851"/>
        <w:rPr>
          <w:lang w:val="en-US"/>
        </w:rPr>
      </w:pPr>
      <w:r>
        <w:rPr>
          <w:lang w:val="en-US"/>
        </w:rPr>
        <w:t xml:space="preserve">Note: </w:t>
      </w:r>
      <w:r>
        <w:rPr>
          <w:lang w:val="en-US"/>
        </w:rPr>
        <w:tab/>
        <w:t>The number of cases (147) here differs from the 146 cases to 2006 shown in table 9 due to rounding of weighted estimates.</w:t>
      </w:r>
    </w:p>
    <w:p w:rsidR="00C925E9" w:rsidRDefault="00C925E9" w:rsidP="00200C9F">
      <w:pPr>
        <w:pStyle w:val="Heading2"/>
        <w:rPr>
          <w:lang w:val="en-US"/>
        </w:rPr>
      </w:pPr>
      <w:bookmarkStart w:id="60" w:name="_Toc323035612"/>
      <w:r>
        <w:rPr>
          <w:lang w:val="en-US"/>
        </w:rPr>
        <w:t>Why do people defer university entry?</w:t>
      </w:r>
      <w:bookmarkEnd w:id="60"/>
    </w:p>
    <w:p w:rsidR="00C925E9" w:rsidRDefault="00C925E9" w:rsidP="00200C9F">
      <w:pPr>
        <w:pStyle w:val="Text"/>
        <w:rPr>
          <w:lang w:val="en-US"/>
        </w:rPr>
      </w:pPr>
      <w:r>
        <w:rPr>
          <w:lang w:val="en-US"/>
        </w:rPr>
        <w:t xml:space="preserve">The most common reasons for deferring are to take a break and to work. We have information on the reasons </w:t>
      </w:r>
      <w:r w:rsidRPr="004640DB">
        <w:rPr>
          <w:lang w:val="en-US"/>
        </w:rPr>
        <w:t>for deferral for those</w:t>
      </w:r>
      <w:r>
        <w:rPr>
          <w:lang w:val="en-US"/>
        </w:rPr>
        <w:t xml:space="preserve"> people who deferred in 2006 and 2007. Of the individuals who deferred course offers in 2006 and 2007, the most common reason is ‘to have a break, holiday or travel’ (30 individuals, see table 11). A preference for work is a common reason, one given by 15 individuals. A diversity of ‘other’ unclassified reasons was relatively common. Other suggested reasons, including wanting to qualify for Youth Allowance, were offered by very few students.</w:t>
      </w:r>
    </w:p>
    <w:p w:rsidR="00C925E9" w:rsidRDefault="00C925E9" w:rsidP="00200C9F">
      <w:pPr>
        <w:pStyle w:val="Text"/>
        <w:rPr>
          <w:lang w:val="en-US"/>
        </w:rPr>
      </w:pPr>
      <w:r>
        <w:rPr>
          <w:lang w:val="en-US"/>
        </w:rPr>
        <w:t xml:space="preserve">Very few Y98 cohort members (3%) report travel as their main gap year activity (see next section). The higher proportion of deferring Y03 students nominating a break, holiday or travel suggests two possibilities: taking a break involves a range of activities other than travel; or that deferred, and perhaps planned, breaks involve activities different from those undertaken by gappers. The low incidence of travel may occur because Y03 cohort members may miss an interview in one year but rejoin the survey in the next year. It is possible that those who travel may miss an interview because of their travel. Few individuals miss interviews and rejoin the survey, so this is at best a partial explanation for the low incidence of travel among Australian students compared with the proportions of </w:t>
      </w:r>
      <w:smartTag w:uri="urn:schemas-microsoft-com:office:smarttags" w:element="place">
        <w:smartTag w:uri="urn:schemas-microsoft-com:office:smarttags" w:element="country-region">
          <w:r>
            <w:rPr>
              <w:lang w:val="en-US"/>
            </w:rPr>
            <w:t>UK</w:t>
          </w:r>
        </w:smartTag>
      </w:smartTag>
      <w:r>
        <w:rPr>
          <w:lang w:val="en-US"/>
        </w:rPr>
        <w:t xml:space="preserve"> gappers who travel.</w:t>
      </w:r>
    </w:p>
    <w:p w:rsidR="00C925E9" w:rsidRDefault="00C925E9" w:rsidP="00200C9F">
      <w:pPr>
        <w:pStyle w:val="Text"/>
        <w:rPr>
          <w:lang w:val="en-US"/>
        </w:rPr>
      </w:pPr>
      <w:r>
        <w:rPr>
          <w:lang w:val="en-US"/>
        </w:rPr>
        <w:lastRenderedPageBreak/>
        <w:t>We find that about 15% more gappers qualified for Youth Allowance following a gap year, during which they worked. By comparison, very few students who defer entry cite the need to qualify for this scheme as a reason for deferring, but about 20% of those deferring cite a desire to work as their reason for deferring. Even if qualifying for Youth Allowance is not an intention, it is a by-product of their decision to work.</w:t>
      </w:r>
    </w:p>
    <w:p w:rsidR="00C925E9" w:rsidRDefault="00C925E9" w:rsidP="00200C9F">
      <w:pPr>
        <w:pStyle w:val="tabletitle"/>
        <w:rPr>
          <w:lang w:val="en-US"/>
        </w:rPr>
      </w:pPr>
      <w:bookmarkStart w:id="61" w:name="_Toc322691614"/>
      <w:r>
        <w:rPr>
          <w:lang w:val="en-US"/>
        </w:rPr>
        <w:t>Table 11</w:t>
      </w:r>
      <w:r>
        <w:rPr>
          <w:lang w:val="en-US"/>
        </w:rPr>
        <w:tab/>
        <w:t>Reasons for deferring course entry, Y03 cohort, 2006 and 2007 respondents</w:t>
      </w:r>
      <w:bookmarkEnd w:id="61"/>
    </w:p>
    <w:tbl>
      <w:tblPr>
        <w:tblW w:w="0" w:type="auto"/>
        <w:tblInd w:w="95" w:type="dxa"/>
        <w:tblLook w:val="04A0"/>
      </w:tblPr>
      <w:tblGrid>
        <w:gridCol w:w="2880"/>
        <w:gridCol w:w="1440"/>
        <w:gridCol w:w="1440"/>
        <w:gridCol w:w="65"/>
        <w:gridCol w:w="1375"/>
      </w:tblGrid>
      <w:tr w:rsidR="006532BA" w:rsidRPr="00832229" w:rsidTr="00851FD6">
        <w:trPr>
          <w:trHeight w:val="240"/>
        </w:trPr>
        <w:tc>
          <w:tcPr>
            <w:tcW w:w="2880" w:type="dxa"/>
            <w:tcBorders>
              <w:top w:val="single" w:sz="4" w:space="0" w:color="auto"/>
              <w:left w:val="nil"/>
              <w:right w:val="nil"/>
            </w:tcBorders>
            <w:shd w:val="clear" w:color="auto" w:fill="auto"/>
            <w:noWrap/>
            <w:vAlign w:val="bottom"/>
          </w:tcPr>
          <w:p w:rsidR="006532BA" w:rsidRPr="00832229" w:rsidRDefault="006532BA" w:rsidP="00B21581">
            <w:pPr>
              <w:pStyle w:val="Tablehead1"/>
            </w:pPr>
            <w:r>
              <w:t>Reason for deferring enrolment</w:t>
            </w:r>
          </w:p>
        </w:tc>
        <w:tc>
          <w:tcPr>
            <w:tcW w:w="2945" w:type="dxa"/>
            <w:gridSpan w:val="3"/>
            <w:tcBorders>
              <w:top w:val="single" w:sz="4" w:space="0" w:color="auto"/>
              <w:left w:val="nil"/>
              <w:right w:val="nil"/>
            </w:tcBorders>
            <w:shd w:val="clear" w:color="auto" w:fill="auto"/>
            <w:tcMar>
              <w:right w:w="142" w:type="dxa"/>
            </w:tcMar>
            <w:vAlign w:val="bottom"/>
          </w:tcPr>
          <w:p w:rsidR="006532BA" w:rsidRPr="00832229" w:rsidRDefault="006532BA" w:rsidP="00851FD6">
            <w:pPr>
              <w:pStyle w:val="Tablehead1"/>
              <w:ind w:right="141"/>
              <w:jc w:val="right"/>
            </w:pPr>
            <w:r>
              <w:t>University enrolment status</w:t>
            </w:r>
          </w:p>
        </w:tc>
        <w:tc>
          <w:tcPr>
            <w:tcW w:w="1375" w:type="dxa"/>
            <w:tcBorders>
              <w:top w:val="single" w:sz="4" w:space="0" w:color="auto"/>
              <w:left w:val="nil"/>
              <w:right w:val="nil"/>
            </w:tcBorders>
            <w:shd w:val="clear" w:color="auto" w:fill="auto"/>
            <w:vAlign w:val="bottom"/>
          </w:tcPr>
          <w:p w:rsidR="006532BA" w:rsidRPr="00832229" w:rsidRDefault="00AF5A17" w:rsidP="00AF5A17">
            <w:pPr>
              <w:pStyle w:val="Tablehead1"/>
              <w:jc w:val="right"/>
            </w:pPr>
            <w:r w:rsidRPr="00AF5A17">
              <w:t>Total</w:t>
            </w:r>
          </w:p>
        </w:tc>
      </w:tr>
      <w:tr w:rsidR="00C925E9" w:rsidRPr="00832229">
        <w:trPr>
          <w:trHeight w:val="240"/>
        </w:trPr>
        <w:tc>
          <w:tcPr>
            <w:tcW w:w="2880" w:type="dxa"/>
            <w:tcBorders>
              <w:top w:val="nil"/>
              <w:left w:val="nil"/>
              <w:bottom w:val="single" w:sz="4" w:space="0" w:color="auto"/>
              <w:right w:val="nil"/>
            </w:tcBorders>
            <w:shd w:val="clear" w:color="auto" w:fill="auto"/>
            <w:noWrap/>
            <w:vAlign w:val="bottom"/>
          </w:tcPr>
          <w:p w:rsidR="00C925E9" w:rsidRPr="00832229" w:rsidRDefault="00C925E9" w:rsidP="00200C9F">
            <w:pPr>
              <w:pStyle w:val="Tablehead2"/>
            </w:pPr>
          </w:p>
        </w:tc>
        <w:tc>
          <w:tcPr>
            <w:tcW w:w="1440" w:type="dxa"/>
            <w:tcBorders>
              <w:top w:val="nil"/>
              <w:left w:val="nil"/>
              <w:bottom w:val="single" w:sz="4" w:space="0" w:color="auto"/>
              <w:right w:val="nil"/>
            </w:tcBorders>
            <w:shd w:val="clear" w:color="auto" w:fill="auto"/>
            <w:vAlign w:val="bottom"/>
          </w:tcPr>
          <w:p w:rsidR="00C925E9" w:rsidRPr="00832229" w:rsidRDefault="00C925E9" w:rsidP="00AF5A17">
            <w:pPr>
              <w:pStyle w:val="Tablehead2"/>
              <w:jc w:val="right"/>
            </w:pPr>
            <w:r w:rsidRPr="00832229">
              <w:t>Never commenced university</w:t>
            </w:r>
          </w:p>
        </w:tc>
        <w:tc>
          <w:tcPr>
            <w:tcW w:w="1440" w:type="dxa"/>
            <w:tcBorders>
              <w:top w:val="nil"/>
              <w:left w:val="nil"/>
              <w:bottom w:val="single" w:sz="4" w:space="0" w:color="auto"/>
              <w:right w:val="nil"/>
            </w:tcBorders>
            <w:shd w:val="clear" w:color="auto" w:fill="auto"/>
            <w:vAlign w:val="bottom"/>
          </w:tcPr>
          <w:p w:rsidR="00C925E9" w:rsidRPr="00832229" w:rsidRDefault="00C925E9" w:rsidP="00AF5A17">
            <w:pPr>
              <w:pStyle w:val="Tablehead2"/>
              <w:jc w:val="right"/>
            </w:pPr>
            <w:r w:rsidRPr="00832229">
              <w:t>Commenced university course</w:t>
            </w:r>
          </w:p>
        </w:tc>
        <w:tc>
          <w:tcPr>
            <w:tcW w:w="1440" w:type="dxa"/>
            <w:gridSpan w:val="2"/>
            <w:tcBorders>
              <w:top w:val="nil"/>
              <w:left w:val="nil"/>
              <w:bottom w:val="single" w:sz="4" w:space="0" w:color="auto"/>
              <w:right w:val="nil"/>
            </w:tcBorders>
            <w:shd w:val="clear" w:color="auto" w:fill="auto"/>
            <w:vAlign w:val="bottom"/>
          </w:tcPr>
          <w:p w:rsidR="00C925E9" w:rsidRPr="00832229" w:rsidRDefault="00C925E9" w:rsidP="00AF5A17">
            <w:pPr>
              <w:pStyle w:val="Tablehead2"/>
              <w:jc w:val="right"/>
            </w:pPr>
          </w:p>
        </w:tc>
      </w:tr>
      <w:tr w:rsidR="00C925E9" w:rsidRPr="00832229" w:rsidTr="001810E3">
        <w:trPr>
          <w:trHeight w:val="240"/>
        </w:trPr>
        <w:tc>
          <w:tcPr>
            <w:tcW w:w="2880" w:type="dxa"/>
            <w:tcBorders>
              <w:top w:val="single" w:sz="4" w:space="0" w:color="auto"/>
              <w:left w:val="nil"/>
              <w:bottom w:val="nil"/>
              <w:right w:val="nil"/>
            </w:tcBorders>
            <w:shd w:val="clear" w:color="auto" w:fill="auto"/>
            <w:noWrap/>
            <w:vAlign w:val="bottom"/>
          </w:tcPr>
          <w:p w:rsidR="00C925E9" w:rsidRPr="00832229" w:rsidRDefault="00C925E9" w:rsidP="00200C9F">
            <w:pPr>
              <w:pStyle w:val="Tabletext"/>
            </w:pPr>
            <w:r w:rsidRPr="00832229">
              <w:t>Taking a break, holiday or travelling</w:t>
            </w:r>
          </w:p>
        </w:tc>
        <w:tc>
          <w:tcPr>
            <w:tcW w:w="1440" w:type="dxa"/>
            <w:tcBorders>
              <w:top w:val="single" w:sz="4" w:space="0" w:color="auto"/>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11</w:t>
            </w:r>
          </w:p>
        </w:tc>
        <w:tc>
          <w:tcPr>
            <w:tcW w:w="1440" w:type="dxa"/>
            <w:tcBorders>
              <w:top w:val="single" w:sz="4" w:space="0" w:color="auto"/>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19</w:t>
            </w:r>
          </w:p>
        </w:tc>
        <w:tc>
          <w:tcPr>
            <w:tcW w:w="1440" w:type="dxa"/>
            <w:gridSpan w:val="2"/>
            <w:tcBorders>
              <w:top w:val="single" w:sz="4" w:space="0" w:color="auto"/>
              <w:left w:val="nil"/>
              <w:bottom w:val="nil"/>
              <w:right w:val="nil"/>
            </w:tcBorders>
            <w:shd w:val="clear" w:color="auto" w:fill="auto"/>
            <w:noWrap/>
            <w:tcMar>
              <w:right w:w="147" w:type="dxa"/>
            </w:tcMar>
            <w:vAlign w:val="bottom"/>
          </w:tcPr>
          <w:p w:rsidR="00C925E9" w:rsidRPr="00832229" w:rsidRDefault="00C925E9" w:rsidP="00AF5A17">
            <w:pPr>
              <w:pStyle w:val="Tabletext"/>
              <w:tabs>
                <w:tab w:val="decimal" w:pos="576"/>
              </w:tabs>
              <w:jc w:val="right"/>
            </w:pPr>
            <w:r w:rsidRPr="00832229">
              <w:t>30</w:t>
            </w:r>
          </w:p>
        </w:tc>
      </w:tr>
      <w:tr w:rsidR="00C925E9" w:rsidRPr="00832229" w:rsidTr="001810E3">
        <w:trPr>
          <w:trHeight w:val="240"/>
        </w:trPr>
        <w:tc>
          <w:tcPr>
            <w:tcW w:w="2880" w:type="dxa"/>
            <w:tcBorders>
              <w:top w:val="nil"/>
              <w:left w:val="nil"/>
              <w:bottom w:val="nil"/>
              <w:right w:val="nil"/>
            </w:tcBorders>
            <w:shd w:val="clear" w:color="auto" w:fill="auto"/>
            <w:noWrap/>
            <w:vAlign w:val="bottom"/>
          </w:tcPr>
          <w:p w:rsidR="00C925E9" w:rsidRPr="00832229" w:rsidRDefault="00C925E9" w:rsidP="00200C9F">
            <w:pPr>
              <w:pStyle w:val="Tabletext"/>
            </w:pPr>
            <w:r>
              <w:t>Unwilling to leave home</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t>0</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t>0</w:t>
            </w:r>
          </w:p>
        </w:tc>
        <w:tc>
          <w:tcPr>
            <w:tcW w:w="1440" w:type="dxa"/>
            <w:gridSpan w:val="2"/>
            <w:tcBorders>
              <w:top w:val="nil"/>
              <w:left w:val="nil"/>
              <w:bottom w:val="nil"/>
              <w:right w:val="nil"/>
            </w:tcBorders>
            <w:shd w:val="clear" w:color="auto" w:fill="auto"/>
            <w:noWrap/>
            <w:tcMar>
              <w:right w:w="147" w:type="dxa"/>
            </w:tcMar>
            <w:vAlign w:val="bottom"/>
          </w:tcPr>
          <w:p w:rsidR="00C925E9" w:rsidRPr="00832229" w:rsidRDefault="00C925E9" w:rsidP="00AF5A17">
            <w:pPr>
              <w:pStyle w:val="Tabletext"/>
              <w:tabs>
                <w:tab w:val="decimal" w:pos="576"/>
              </w:tabs>
              <w:jc w:val="right"/>
            </w:pPr>
            <w:r>
              <w:t>0</w:t>
            </w:r>
          </w:p>
        </w:tc>
      </w:tr>
      <w:tr w:rsidR="00C925E9" w:rsidRPr="00832229" w:rsidTr="001810E3">
        <w:trPr>
          <w:trHeight w:val="240"/>
        </w:trPr>
        <w:tc>
          <w:tcPr>
            <w:tcW w:w="2880" w:type="dxa"/>
            <w:tcBorders>
              <w:top w:val="nil"/>
              <w:left w:val="nil"/>
              <w:bottom w:val="nil"/>
              <w:right w:val="nil"/>
            </w:tcBorders>
            <w:shd w:val="clear" w:color="auto" w:fill="auto"/>
            <w:noWrap/>
            <w:vAlign w:val="bottom"/>
          </w:tcPr>
          <w:p w:rsidR="00C925E9" w:rsidRPr="00832229" w:rsidRDefault="00C925E9" w:rsidP="00200C9F">
            <w:pPr>
              <w:pStyle w:val="Tabletext"/>
            </w:pPr>
            <w:r w:rsidRPr="00832229">
              <w:t>Need to qualify for Youth Allowance</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1</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3</w:t>
            </w:r>
          </w:p>
        </w:tc>
        <w:tc>
          <w:tcPr>
            <w:tcW w:w="1440" w:type="dxa"/>
            <w:gridSpan w:val="2"/>
            <w:tcBorders>
              <w:top w:val="nil"/>
              <w:left w:val="nil"/>
              <w:bottom w:val="nil"/>
              <w:right w:val="nil"/>
            </w:tcBorders>
            <w:shd w:val="clear" w:color="auto" w:fill="auto"/>
            <w:noWrap/>
            <w:tcMar>
              <w:right w:w="147" w:type="dxa"/>
            </w:tcMar>
            <w:vAlign w:val="bottom"/>
          </w:tcPr>
          <w:p w:rsidR="00C925E9" w:rsidRPr="00832229" w:rsidRDefault="00C925E9" w:rsidP="00AF5A17">
            <w:pPr>
              <w:pStyle w:val="Tabletext"/>
              <w:tabs>
                <w:tab w:val="decimal" w:pos="576"/>
              </w:tabs>
              <w:jc w:val="right"/>
            </w:pPr>
            <w:r w:rsidRPr="00832229">
              <w:t>4</w:t>
            </w:r>
          </w:p>
        </w:tc>
      </w:tr>
      <w:tr w:rsidR="00C925E9" w:rsidRPr="00832229" w:rsidTr="001810E3">
        <w:trPr>
          <w:trHeight w:val="240"/>
        </w:trPr>
        <w:tc>
          <w:tcPr>
            <w:tcW w:w="2880" w:type="dxa"/>
            <w:tcBorders>
              <w:top w:val="nil"/>
              <w:left w:val="nil"/>
              <w:bottom w:val="nil"/>
              <w:right w:val="nil"/>
            </w:tcBorders>
            <w:shd w:val="clear" w:color="auto" w:fill="auto"/>
            <w:noWrap/>
            <w:vAlign w:val="bottom"/>
          </w:tcPr>
          <w:p w:rsidR="00C925E9" w:rsidRPr="00832229" w:rsidRDefault="00C925E9" w:rsidP="00200C9F">
            <w:pPr>
              <w:pStyle w:val="Tabletext"/>
            </w:pPr>
            <w:r w:rsidRPr="00832229">
              <w:t>Reconsidering options</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2</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1</w:t>
            </w:r>
          </w:p>
        </w:tc>
        <w:tc>
          <w:tcPr>
            <w:tcW w:w="1440" w:type="dxa"/>
            <w:gridSpan w:val="2"/>
            <w:tcBorders>
              <w:top w:val="nil"/>
              <w:left w:val="nil"/>
              <w:bottom w:val="nil"/>
              <w:right w:val="nil"/>
            </w:tcBorders>
            <w:shd w:val="clear" w:color="auto" w:fill="auto"/>
            <w:noWrap/>
            <w:tcMar>
              <w:right w:w="147" w:type="dxa"/>
            </w:tcMar>
            <w:vAlign w:val="bottom"/>
          </w:tcPr>
          <w:p w:rsidR="00C925E9" w:rsidRPr="00832229" w:rsidRDefault="00C925E9" w:rsidP="00AF5A17">
            <w:pPr>
              <w:pStyle w:val="Tabletext"/>
              <w:tabs>
                <w:tab w:val="decimal" w:pos="576"/>
              </w:tabs>
              <w:jc w:val="right"/>
            </w:pPr>
            <w:r w:rsidRPr="00832229">
              <w:t>3</w:t>
            </w:r>
          </w:p>
        </w:tc>
      </w:tr>
      <w:tr w:rsidR="00C925E9" w:rsidRPr="00832229" w:rsidTr="001810E3">
        <w:trPr>
          <w:trHeight w:val="240"/>
        </w:trPr>
        <w:tc>
          <w:tcPr>
            <w:tcW w:w="2880" w:type="dxa"/>
            <w:tcBorders>
              <w:top w:val="nil"/>
              <w:left w:val="nil"/>
              <w:bottom w:val="nil"/>
              <w:right w:val="nil"/>
            </w:tcBorders>
            <w:shd w:val="clear" w:color="auto" w:fill="auto"/>
            <w:noWrap/>
            <w:vAlign w:val="bottom"/>
          </w:tcPr>
          <w:p w:rsidR="00C925E9" w:rsidRPr="00832229" w:rsidRDefault="00C925E9" w:rsidP="00200C9F">
            <w:pPr>
              <w:pStyle w:val="Tabletext"/>
            </w:pPr>
            <w:r>
              <w:t>Did not want to incur HECS debt</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t>0</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t>0</w:t>
            </w:r>
          </w:p>
        </w:tc>
        <w:tc>
          <w:tcPr>
            <w:tcW w:w="1440" w:type="dxa"/>
            <w:gridSpan w:val="2"/>
            <w:tcBorders>
              <w:top w:val="nil"/>
              <w:left w:val="nil"/>
              <w:bottom w:val="nil"/>
              <w:right w:val="nil"/>
            </w:tcBorders>
            <w:shd w:val="clear" w:color="auto" w:fill="auto"/>
            <w:noWrap/>
            <w:tcMar>
              <w:right w:w="147" w:type="dxa"/>
            </w:tcMar>
            <w:vAlign w:val="bottom"/>
          </w:tcPr>
          <w:p w:rsidR="00C925E9" w:rsidRPr="00832229" w:rsidRDefault="00C925E9" w:rsidP="00AF5A17">
            <w:pPr>
              <w:pStyle w:val="Tabletext"/>
              <w:tabs>
                <w:tab w:val="decimal" w:pos="576"/>
              </w:tabs>
              <w:jc w:val="right"/>
            </w:pPr>
            <w:r>
              <w:t>0</w:t>
            </w:r>
          </w:p>
        </w:tc>
      </w:tr>
      <w:tr w:rsidR="00C925E9" w:rsidRPr="00832229" w:rsidTr="001810E3">
        <w:trPr>
          <w:trHeight w:val="240"/>
        </w:trPr>
        <w:tc>
          <w:tcPr>
            <w:tcW w:w="2880" w:type="dxa"/>
            <w:tcBorders>
              <w:top w:val="nil"/>
              <w:left w:val="nil"/>
              <w:bottom w:val="nil"/>
              <w:right w:val="nil"/>
            </w:tcBorders>
            <w:shd w:val="clear" w:color="auto" w:fill="auto"/>
            <w:noWrap/>
            <w:vAlign w:val="bottom"/>
          </w:tcPr>
          <w:p w:rsidR="00C925E9" w:rsidRPr="00832229" w:rsidRDefault="00C925E9" w:rsidP="00200C9F">
            <w:pPr>
              <w:pStyle w:val="Tabletext"/>
            </w:pPr>
            <w:r w:rsidRPr="00832229">
              <w:t>Could not afford fees or living costs</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0</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3</w:t>
            </w:r>
          </w:p>
        </w:tc>
        <w:tc>
          <w:tcPr>
            <w:tcW w:w="1440" w:type="dxa"/>
            <w:gridSpan w:val="2"/>
            <w:tcBorders>
              <w:top w:val="nil"/>
              <w:left w:val="nil"/>
              <w:bottom w:val="nil"/>
              <w:right w:val="nil"/>
            </w:tcBorders>
            <w:shd w:val="clear" w:color="auto" w:fill="auto"/>
            <w:noWrap/>
            <w:tcMar>
              <w:right w:w="147" w:type="dxa"/>
            </w:tcMar>
            <w:vAlign w:val="bottom"/>
          </w:tcPr>
          <w:p w:rsidR="00C925E9" w:rsidRPr="00832229" w:rsidRDefault="00C925E9" w:rsidP="00AF5A17">
            <w:pPr>
              <w:pStyle w:val="Tabletext"/>
              <w:tabs>
                <w:tab w:val="decimal" w:pos="576"/>
              </w:tabs>
              <w:jc w:val="right"/>
            </w:pPr>
            <w:r w:rsidRPr="00832229">
              <w:t>3</w:t>
            </w:r>
          </w:p>
        </w:tc>
      </w:tr>
      <w:tr w:rsidR="00C925E9" w:rsidRPr="00832229" w:rsidTr="001810E3">
        <w:trPr>
          <w:trHeight w:val="240"/>
        </w:trPr>
        <w:tc>
          <w:tcPr>
            <w:tcW w:w="2880" w:type="dxa"/>
            <w:tcBorders>
              <w:top w:val="nil"/>
              <w:left w:val="nil"/>
              <w:bottom w:val="nil"/>
              <w:right w:val="nil"/>
            </w:tcBorders>
            <w:shd w:val="clear" w:color="auto" w:fill="auto"/>
            <w:noWrap/>
            <w:vAlign w:val="bottom"/>
          </w:tcPr>
          <w:p w:rsidR="00C925E9" w:rsidRPr="00832229" w:rsidRDefault="00C925E9" w:rsidP="00200C9F">
            <w:pPr>
              <w:pStyle w:val="Tabletext"/>
            </w:pPr>
            <w:r w:rsidRPr="00832229">
              <w:t>Prefer to work</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6</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9</w:t>
            </w:r>
          </w:p>
        </w:tc>
        <w:tc>
          <w:tcPr>
            <w:tcW w:w="1440" w:type="dxa"/>
            <w:gridSpan w:val="2"/>
            <w:tcBorders>
              <w:top w:val="nil"/>
              <w:left w:val="nil"/>
              <w:bottom w:val="nil"/>
              <w:right w:val="nil"/>
            </w:tcBorders>
            <w:shd w:val="clear" w:color="auto" w:fill="auto"/>
            <w:noWrap/>
            <w:tcMar>
              <w:right w:w="147" w:type="dxa"/>
            </w:tcMar>
            <w:vAlign w:val="bottom"/>
          </w:tcPr>
          <w:p w:rsidR="00C925E9" w:rsidRPr="00832229" w:rsidRDefault="00C925E9" w:rsidP="00AF5A17">
            <w:pPr>
              <w:pStyle w:val="Tabletext"/>
              <w:tabs>
                <w:tab w:val="decimal" w:pos="576"/>
              </w:tabs>
              <w:jc w:val="right"/>
            </w:pPr>
            <w:r w:rsidRPr="00832229">
              <w:t>15</w:t>
            </w:r>
          </w:p>
        </w:tc>
      </w:tr>
      <w:tr w:rsidR="00C925E9" w:rsidRPr="00832229" w:rsidTr="001810E3">
        <w:trPr>
          <w:trHeight w:val="240"/>
        </w:trPr>
        <w:tc>
          <w:tcPr>
            <w:tcW w:w="2880" w:type="dxa"/>
            <w:tcBorders>
              <w:top w:val="nil"/>
              <w:left w:val="nil"/>
              <w:bottom w:val="nil"/>
              <w:right w:val="nil"/>
            </w:tcBorders>
            <w:shd w:val="clear" w:color="auto" w:fill="auto"/>
            <w:noWrap/>
            <w:vAlign w:val="bottom"/>
          </w:tcPr>
          <w:p w:rsidR="00C925E9" w:rsidRPr="00832229" w:rsidRDefault="00C925E9" w:rsidP="00200C9F">
            <w:pPr>
              <w:pStyle w:val="Tabletext"/>
            </w:pPr>
            <w:r w:rsidRPr="00832229">
              <w:t>Prefer to study at TAFE</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0</w:t>
            </w:r>
          </w:p>
        </w:tc>
        <w:tc>
          <w:tcPr>
            <w:tcW w:w="1440" w:type="dxa"/>
            <w:tcBorders>
              <w:top w:val="nil"/>
              <w:left w:val="nil"/>
              <w:bottom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0</w:t>
            </w:r>
          </w:p>
        </w:tc>
        <w:tc>
          <w:tcPr>
            <w:tcW w:w="1440" w:type="dxa"/>
            <w:gridSpan w:val="2"/>
            <w:tcBorders>
              <w:top w:val="nil"/>
              <w:left w:val="nil"/>
              <w:bottom w:val="nil"/>
              <w:right w:val="nil"/>
            </w:tcBorders>
            <w:shd w:val="clear" w:color="auto" w:fill="auto"/>
            <w:noWrap/>
            <w:tcMar>
              <w:right w:w="147" w:type="dxa"/>
            </w:tcMar>
            <w:vAlign w:val="bottom"/>
          </w:tcPr>
          <w:p w:rsidR="00C925E9" w:rsidRPr="00832229" w:rsidRDefault="00C925E9" w:rsidP="00AF5A17">
            <w:pPr>
              <w:pStyle w:val="Tabletext"/>
              <w:tabs>
                <w:tab w:val="decimal" w:pos="576"/>
              </w:tabs>
              <w:jc w:val="right"/>
            </w:pPr>
            <w:r w:rsidRPr="00832229">
              <w:t>0</w:t>
            </w:r>
          </w:p>
        </w:tc>
      </w:tr>
      <w:tr w:rsidR="00C925E9" w:rsidRPr="00832229" w:rsidTr="001810E3">
        <w:trPr>
          <w:trHeight w:val="240"/>
        </w:trPr>
        <w:tc>
          <w:tcPr>
            <w:tcW w:w="2880" w:type="dxa"/>
            <w:tcBorders>
              <w:top w:val="nil"/>
              <w:left w:val="nil"/>
              <w:right w:val="nil"/>
            </w:tcBorders>
            <w:shd w:val="clear" w:color="auto" w:fill="auto"/>
            <w:noWrap/>
            <w:vAlign w:val="bottom"/>
          </w:tcPr>
          <w:p w:rsidR="00C925E9" w:rsidRPr="00832229" w:rsidRDefault="00C925E9" w:rsidP="00200C9F">
            <w:pPr>
              <w:pStyle w:val="Tabletext"/>
            </w:pPr>
            <w:r w:rsidRPr="00832229">
              <w:t>Other</w:t>
            </w:r>
          </w:p>
        </w:tc>
        <w:tc>
          <w:tcPr>
            <w:tcW w:w="1440" w:type="dxa"/>
            <w:tcBorders>
              <w:top w:val="nil"/>
              <w:left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5</w:t>
            </w:r>
          </w:p>
        </w:tc>
        <w:tc>
          <w:tcPr>
            <w:tcW w:w="1440" w:type="dxa"/>
            <w:tcBorders>
              <w:top w:val="nil"/>
              <w:left w:val="nil"/>
              <w:right w:val="nil"/>
            </w:tcBorders>
            <w:shd w:val="clear" w:color="auto" w:fill="auto"/>
            <w:noWrap/>
            <w:vAlign w:val="bottom"/>
          </w:tcPr>
          <w:p w:rsidR="00C925E9" w:rsidRPr="00832229" w:rsidRDefault="00C925E9" w:rsidP="00AF5A17">
            <w:pPr>
              <w:pStyle w:val="Tabletext"/>
              <w:tabs>
                <w:tab w:val="decimal" w:pos="576"/>
              </w:tabs>
              <w:jc w:val="right"/>
            </w:pPr>
            <w:r w:rsidRPr="00832229">
              <w:t>9</w:t>
            </w:r>
          </w:p>
        </w:tc>
        <w:tc>
          <w:tcPr>
            <w:tcW w:w="1440" w:type="dxa"/>
            <w:gridSpan w:val="2"/>
            <w:tcBorders>
              <w:top w:val="nil"/>
              <w:left w:val="nil"/>
              <w:right w:val="nil"/>
            </w:tcBorders>
            <w:shd w:val="clear" w:color="auto" w:fill="auto"/>
            <w:noWrap/>
            <w:tcMar>
              <w:right w:w="147" w:type="dxa"/>
            </w:tcMar>
            <w:vAlign w:val="bottom"/>
          </w:tcPr>
          <w:p w:rsidR="00C925E9" w:rsidRPr="00832229" w:rsidRDefault="00C925E9" w:rsidP="00AF5A17">
            <w:pPr>
              <w:pStyle w:val="Tabletext"/>
              <w:tabs>
                <w:tab w:val="decimal" w:pos="576"/>
              </w:tabs>
              <w:jc w:val="right"/>
            </w:pPr>
            <w:r w:rsidRPr="00832229">
              <w:t>14</w:t>
            </w:r>
          </w:p>
        </w:tc>
      </w:tr>
      <w:tr w:rsidR="00C925E9" w:rsidRPr="00772087" w:rsidTr="006532BA">
        <w:trPr>
          <w:trHeight w:val="240"/>
        </w:trPr>
        <w:tc>
          <w:tcPr>
            <w:tcW w:w="2880" w:type="dxa"/>
            <w:tcBorders>
              <w:left w:val="nil"/>
              <w:bottom w:val="single" w:sz="4" w:space="0" w:color="auto"/>
              <w:right w:val="nil"/>
            </w:tcBorders>
            <w:shd w:val="clear" w:color="auto" w:fill="auto"/>
            <w:noWrap/>
            <w:vAlign w:val="bottom"/>
          </w:tcPr>
          <w:p w:rsidR="00C925E9" w:rsidRPr="00772087" w:rsidRDefault="00C925E9" w:rsidP="00200C9F">
            <w:pPr>
              <w:pStyle w:val="Tabletext"/>
              <w:rPr>
                <w:b/>
              </w:rPr>
            </w:pPr>
            <w:r w:rsidRPr="00772087">
              <w:rPr>
                <w:b/>
              </w:rPr>
              <w:t>Total</w:t>
            </w:r>
          </w:p>
        </w:tc>
        <w:tc>
          <w:tcPr>
            <w:tcW w:w="1440" w:type="dxa"/>
            <w:tcBorders>
              <w:left w:val="nil"/>
              <w:bottom w:val="single" w:sz="4" w:space="0" w:color="auto"/>
              <w:right w:val="nil"/>
            </w:tcBorders>
            <w:shd w:val="clear" w:color="auto" w:fill="auto"/>
            <w:noWrap/>
            <w:vAlign w:val="bottom"/>
          </w:tcPr>
          <w:p w:rsidR="00C925E9" w:rsidRPr="00772087" w:rsidRDefault="00C925E9" w:rsidP="00AF5A17">
            <w:pPr>
              <w:pStyle w:val="Tabletext"/>
              <w:tabs>
                <w:tab w:val="decimal" w:pos="576"/>
              </w:tabs>
              <w:jc w:val="right"/>
              <w:rPr>
                <w:b/>
              </w:rPr>
            </w:pPr>
            <w:r w:rsidRPr="00772087">
              <w:rPr>
                <w:b/>
              </w:rPr>
              <w:t>25</w:t>
            </w:r>
          </w:p>
        </w:tc>
        <w:tc>
          <w:tcPr>
            <w:tcW w:w="1440" w:type="dxa"/>
            <w:tcBorders>
              <w:left w:val="nil"/>
              <w:bottom w:val="single" w:sz="4" w:space="0" w:color="auto"/>
              <w:right w:val="nil"/>
            </w:tcBorders>
            <w:shd w:val="clear" w:color="auto" w:fill="auto"/>
            <w:noWrap/>
            <w:vAlign w:val="bottom"/>
          </w:tcPr>
          <w:p w:rsidR="00C925E9" w:rsidRPr="00772087" w:rsidRDefault="00C925E9" w:rsidP="00AF5A17">
            <w:pPr>
              <w:pStyle w:val="Tabletext"/>
              <w:tabs>
                <w:tab w:val="decimal" w:pos="576"/>
              </w:tabs>
              <w:jc w:val="right"/>
              <w:rPr>
                <w:b/>
              </w:rPr>
            </w:pPr>
            <w:r w:rsidRPr="00772087">
              <w:rPr>
                <w:b/>
              </w:rPr>
              <w:t>44</w:t>
            </w:r>
          </w:p>
        </w:tc>
        <w:tc>
          <w:tcPr>
            <w:tcW w:w="1440" w:type="dxa"/>
            <w:gridSpan w:val="2"/>
            <w:tcBorders>
              <w:left w:val="nil"/>
              <w:bottom w:val="single" w:sz="4" w:space="0" w:color="auto"/>
              <w:right w:val="nil"/>
            </w:tcBorders>
            <w:shd w:val="clear" w:color="auto" w:fill="auto"/>
            <w:noWrap/>
            <w:vAlign w:val="bottom"/>
          </w:tcPr>
          <w:p w:rsidR="00C925E9" w:rsidRPr="00772087" w:rsidRDefault="00C925E9" w:rsidP="00AF5A17">
            <w:pPr>
              <w:pStyle w:val="Tabletext"/>
              <w:tabs>
                <w:tab w:val="decimal" w:pos="576"/>
              </w:tabs>
              <w:jc w:val="right"/>
              <w:rPr>
                <w:b/>
              </w:rPr>
            </w:pPr>
            <w:r w:rsidRPr="00772087">
              <w:rPr>
                <w:b/>
              </w:rPr>
              <w:t>69</w:t>
            </w:r>
            <w:r w:rsidRPr="00AB667D">
              <w:t>*</w:t>
            </w:r>
          </w:p>
        </w:tc>
      </w:tr>
    </w:tbl>
    <w:p w:rsidR="00C925E9" w:rsidRDefault="00C925E9" w:rsidP="00A2463B">
      <w:pPr>
        <w:pStyle w:val="Source"/>
        <w:rPr>
          <w:lang w:val="en-US"/>
        </w:rPr>
      </w:pPr>
      <w:r>
        <w:rPr>
          <w:lang w:val="en-US"/>
        </w:rPr>
        <w:t xml:space="preserve">Notes: </w:t>
      </w:r>
      <w:r>
        <w:rPr>
          <w:lang w:val="en-US"/>
        </w:rPr>
        <w:tab/>
      </w:r>
      <w:r w:rsidRPr="00AB667D">
        <w:t>*</w:t>
      </w:r>
      <w:r w:rsidR="00AB667D">
        <w:t xml:space="preserve"> </w:t>
      </w:r>
      <w:r>
        <w:t>This is a small sub-group of the cohort because the question was only a</w:t>
      </w:r>
      <w:r w:rsidR="003241D2">
        <w:t xml:space="preserve">sked of deferrers and not those </w:t>
      </w:r>
      <w:r>
        <w:t>who were taking a gap year in the more general sense.</w:t>
      </w:r>
    </w:p>
    <w:p w:rsidR="00C925E9" w:rsidRDefault="00AB667D" w:rsidP="00A2463B">
      <w:pPr>
        <w:pStyle w:val="Source"/>
        <w:tabs>
          <w:tab w:val="left" w:pos="567"/>
        </w:tabs>
        <w:rPr>
          <w:lang w:val="en-US"/>
        </w:rPr>
      </w:pPr>
      <w:r>
        <w:rPr>
          <w:lang w:val="en-US"/>
        </w:rPr>
        <w:tab/>
      </w:r>
      <w:r w:rsidR="00C925E9">
        <w:rPr>
          <w:lang w:val="en-US"/>
        </w:rPr>
        <w:t>Data shown are weighted counts, not percentages. Totals are rounded.</w:t>
      </w:r>
    </w:p>
    <w:p w:rsidR="00C925E9" w:rsidRDefault="00C925E9" w:rsidP="002E6BE2">
      <w:pPr>
        <w:pStyle w:val="Text"/>
        <w:spacing w:before="300"/>
        <w:ind w:right="0"/>
        <w:rPr>
          <w:lang w:val="en-US"/>
        </w:rPr>
      </w:pPr>
      <w:r>
        <w:rPr>
          <w:lang w:val="en-US"/>
        </w:rPr>
        <w:t>There are no differences in the reasons for deferring between those who did enrol subsequently and those who did not take up the place offered. Reasons are available only for students who defer in 2006 and 2007. Those who deferred in 2007 have not had an opportunity to take their deferred places.</w:t>
      </w:r>
    </w:p>
    <w:p w:rsidR="00C925E9" w:rsidRDefault="00C925E9" w:rsidP="00200C9F">
      <w:pPr>
        <w:pStyle w:val="Heading2"/>
        <w:rPr>
          <w:lang w:val="en-US"/>
        </w:rPr>
      </w:pPr>
      <w:bookmarkStart w:id="62" w:name="_Toc323035613"/>
      <w:r>
        <w:rPr>
          <w:lang w:val="en-US"/>
        </w:rPr>
        <w:t>Summary</w:t>
      </w:r>
      <w:bookmarkEnd w:id="62"/>
    </w:p>
    <w:p w:rsidR="00C925E9" w:rsidRDefault="00C925E9" w:rsidP="00534339">
      <w:pPr>
        <w:pStyle w:val="Dotpoint1"/>
        <w:rPr>
          <w:lang w:val="en-US"/>
        </w:rPr>
      </w:pPr>
      <w:r>
        <w:rPr>
          <w:lang w:val="en-US"/>
        </w:rPr>
        <w:t>Deferring is much less common than gap-taking.</w:t>
      </w:r>
    </w:p>
    <w:p w:rsidR="00C925E9" w:rsidRDefault="00C925E9" w:rsidP="00534339">
      <w:pPr>
        <w:pStyle w:val="Dotpoint1"/>
        <w:rPr>
          <w:lang w:val="en-US"/>
        </w:rPr>
      </w:pPr>
      <w:r>
        <w:rPr>
          <w:lang w:val="en-US"/>
        </w:rPr>
        <w:t>Up to 2007, approximately three-quarters of the Y03 cohort who had deferred course entry proceeded to</w:t>
      </w:r>
      <w:r w:rsidRPr="00D20995">
        <w:rPr>
          <w:lang w:val="en-US"/>
        </w:rPr>
        <w:t xml:space="preserve"> enrol</w:t>
      </w:r>
      <w:r>
        <w:rPr>
          <w:lang w:val="en-US"/>
        </w:rPr>
        <w:t xml:space="preserve"> after a one-year deferral.</w:t>
      </w:r>
    </w:p>
    <w:p w:rsidR="00C925E9" w:rsidRDefault="00C925E9" w:rsidP="00534339">
      <w:pPr>
        <w:pStyle w:val="Dotpoint1"/>
        <w:rPr>
          <w:lang w:val="en-US"/>
        </w:rPr>
      </w:pPr>
      <w:r>
        <w:rPr>
          <w:lang w:val="en-US"/>
        </w:rPr>
        <w:t>The most common reasons given for deferring were to take a break, holiday or travel, and to work.</w:t>
      </w:r>
    </w:p>
    <w:p w:rsidR="00C925E9" w:rsidRPr="00AC4713" w:rsidRDefault="00C925E9" w:rsidP="00534339">
      <w:pPr>
        <w:pStyle w:val="Dotpoint1"/>
        <w:rPr>
          <w:lang w:val="en-US"/>
        </w:rPr>
      </w:pPr>
      <w:r w:rsidRPr="00AC4713">
        <w:rPr>
          <w:lang w:val="en-US"/>
        </w:rPr>
        <w:t>It appears that relatively few took a gap year principally to qualify for Youth Allowance: four out of 69 who deferred a university place gave ‘needing to qualify for Youth Allowance’ as a reason for their deferral</w:t>
      </w:r>
      <w:r>
        <w:rPr>
          <w:lang w:val="en-US"/>
        </w:rPr>
        <w:t>,</w:t>
      </w:r>
      <w:r w:rsidRPr="00AC4713">
        <w:rPr>
          <w:lang w:val="en-US"/>
        </w:rPr>
        <w:t xml:space="preserve"> and about 15</w:t>
      </w:r>
      <w:r>
        <w:rPr>
          <w:lang w:val="en-US"/>
        </w:rPr>
        <w:t>%</w:t>
      </w:r>
      <w:r w:rsidRPr="00AC4713">
        <w:rPr>
          <w:lang w:val="en-US"/>
        </w:rPr>
        <w:t xml:space="preserve"> of ‘gappers’ earned enough in their gap year to qualify for Youth Allowance. </w:t>
      </w:r>
    </w:p>
    <w:p w:rsidR="00C925E9" w:rsidRPr="00B01258" w:rsidRDefault="00C925E9" w:rsidP="00200C9F">
      <w:pPr>
        <w:pStyle w:val="Dotpoint2"/>
        <w:numPr>
          <w:ilvl w:val="0"/>
          <w:numId w:val="0"/>
        </w:numPr>
        <w:spacing w:before="60" w:after="60"/>
        <w:rPr>
          <w:lang w:val="en-US"/>
        </w:rPr>
      </w:pPr>
    </w:p>
    <w:p w:rsidR="00C925E9" w:rsidRDefault="00C925E9" w:rsidP="00200C9F">
      <w:pPr>
        <w:pStyle w:val="Text"/>
        <w:rPr>
          <w:lang w:val="en-US"/>
        </w:rPr>
      </w:pPr>
    </w:p>
    <w:p w:rsidR="00C925E9" w:rsidRDefault="00C925E9" w:rsidP="00200C9F">
      <w:pPr>
        <w:pStyle w:val="Heading1"/>
        <w:rPr>
          <w:lang w:val="en-US"/>
        </w:rPr>
      </w:pPr>
      <w:r>
        <w:rPr>
          <w:lang w:val="en-US"/>
        </w:rPr>
        <w:br w:type="page"/>
      </w:r>
      <w:bookmarkStart w:id="63" w:name="_Toc323035614"/>
      <w:r>
        <w:rPr>
          <w:lang w:val="en-US"/>
        </w:rPr>
        <w:lastRenderedPageBreak/>
        <w:t>Main activity during the gap year</w:t>
      </w:r>
      <w:bookmarkEnd w:id="63"/>
    </w:p>
    <w:p w:rsidR="00C925E9" w:rsidRDefault="00C925E9" w:rsidP="00200C9F">
      <w:pPr>
        <w:pStyle w:val="Text"/>
        <w:rPr>
          <w:lang w:val="en-US"/>
        </w:rPr>
      </w:pPr>
      <w:r>
        <w:rPr>
          <w:lang w:val="en-US"/>
        </w:rPr>
        <w:t>The activities undertaken by gap year students were investigated for the Y98 cohort. Of the 549 gappers in the Y98 cohort, 526 took their gap year in 2002. The activities of the 11 gappers in 2001 were unknown and the 12 in 2003 were either studying or working, but they are too few to support reliable inferences, so we focus on the 526 gappers in 2002. Their main activities are summarised in t</w:t>
      </w:r>
      <w:r w:rsidRPr="004F2FE3">
        <w:rPr>
          <w:lang w:val="en-US"/>
        </w:rPr>
        <w:t xml:space="preserve">able </w:t>
      </w:r>
      <w:r>
        <w:rPr>
          <w:lang w:val="en-US"/>
        </w:rPr>
        <w:t>12</w:t>
      </w:r>
      <w:r w:rsidRPr="004F2FE3">
        <w:rPr>
          <w:lang w:val="en-US"/>
        </w:rPr>
        <w:t>.</w:t>
      </w:r>
      <w:r>
        <w:rPr>
          <w:lang w:val="en-US"/>
        </w:rPr>
        <w:t xml:space="preserve"> The main activities of Y98 gappers in 2002 were work (40%) and study (32%).</w:t>
      </w:r>
    </w:p>
    <w:p w:rsidR="00C925E9" w:rsidRDefault="00C925E9" w:rsidP="00200C9F">
      <w:pPr>
        <w:pStyle w:val="tabletitle"/>
      </w:pPr>
      <w:bookmarkStart w:id="64" w:name="_Toc322691615"/>
      <w:r>
        <w:t>Table 12</w:t>
      </w:r>
      <w:r>
        <w:tab/>
        <w:t>Main activity during 2002 gap year for Y98 cohort members</w:t>
      </w:r>
      <w:bookmarkEnd w:id="64"/>
    </w:p>
    <w:tbl>
      <w:tblPr>
        <w:tblW w:w="0" w:type="auto"/>
        <w:tblInd w:w="144" w:type="dxa"/>
        <w:tblLook w:val="04A0"/>
      </w:tblPr>
      <w:tblGrid>
        <w:gridCol w:w="2880"/>
        <w:gridCol w:w="1440"/>
        <w:gridCol w:w="1440"/>
      </w:tblGrid>
      <w:tr w:rsidR="00C925E9" w:rsidRPr="00636756">
        <w:trPr>
          <w:trHeight w:val="255"/>
        </w:trPr>
        <w:tc>
          <w:tcPr>
            <w:tcW w:w="2880" w:type="dxa"/>
            <w:tcBorders>
              <w:top w:val="single" w:sz="4" w:space="0" w:color="000000"/>
            </w:tcBorders>
            <w:shd w:val="clear" w:color="auto" w:fill="auto"/>
            <w:noWrap/>
            <w:vAlign w:val="bottom"/>
          </w:tcPr>
          <w:p w:rsidR="00C925E9" w:rsidRPr="00636756" w:rsidRDefault="006532BA" w:rsidP="006532BA">
            <w:pPr>
              <w:pStyle w:val="Tablehead1"/>
              <w:rPr>
                <w:bCs/>
              </w:rPr>
            </w:pPr>
            <w:r>
              <w:t>Main activity</w:t>
            </w:r>
          </w:p>
        </w:tc>
        <w:tc>
          <w:tcPr>
            <w:tcW w:w="2880" w:type="dxa"/>
            <w:gridSpan w:val="2"/>
            <w:tcBorders>
              <w:top w:val="single" w:sz="4" w:space="0" w:color="000000"/>
            </w:tcBorders>
            <w:shd w:val="clear" w:color="auto" w:fill="auto"/>
            <w:noWrap/>
            <w:vAlign w:val="bottom"/>
          </w:tcPr>
          <w:p w:rsidR="00C925E9" w:rsidRPr="00636756" w:rsidRDefault="00C925E9" w:rsidP="006532BA">
            <w:pPr>
              <w:pStyle w:val="Tablehead1"/>
              <w:ind w:right="159"/>
              <w:jc w:val="right"/>
              <w:rPr>
                <w:bCs/>
              </w:rPr>
            </w:pPr>
            <w:r w:rsidRPr="00636756">
              <w:rPr>
                <w:bCs/>
              </w:rPr>
              <w:t>Weighted frequency</w:t>
            </w:r>
          </w:p>
        </w:tc>
      </w:tr>
      <w:tr w:rsidR="00C925E9" w:rsidRPr="002A22EE">
        <w:trPr>
          <w:trHeight w:val="255"/>
        </w:trPr>
        <w:tc>
          <w:tcPr>
            <w:tcW w:w="2880" w:type="dxa"/>
            <w:tcBorders>
              <w:bottom w:val="single" w:sz="4" w:space="0" w:color="000000"/>
            </w:tcBorders>
            <w:shd w:val="clear" w:color="auto" w:fill="auto"/>
            <w:noWrap/>
            <w:vAlign w:val="bottom"/>
          </w:tcPr>
          <w:p w:rsidR="00C925E9" w:rsidRPr="002A22EE" w:rsidRDefault="00C925E9" w:rsidP="00200C9F">
            <w:pPr>
              <w:pStyle w:val="Tablehead2"/>
            </w:pPr>
          </w:p>
        </w:tc>
        <w:tc>
          <w:tcPr>
            <w:tcW w:w="1440" w:type="dxa"/>
            <w:tcBorders>
              <w:bottom w:val="single" w:sz="4" w:space="0" w:color="000000"/>
            </w:tcBorders>
            <w:shd w:val="clear" w:color="auto" w:fill="auto"/>
            <w:noWrap/>
            <w:vAlign w:val="bottom"/>
          </w:tcPr>
          <w:p w:rsidR="00C925E9" w:rsidRPr="002A22EE" w:rsidRDefault="00C925E9" w:rsidP="006532BA">
            <w:pPr>
              <w:pStyle w:val="Tablehead2"/>
              <w:jc w:val="right"/>
            </w:pPr>
            <w:r>
              <w:t>Count</w:t>
            </w:r>
          </w:p>
        </w:tc>
        <w:tc>
          <w:tcPr>
            <w:tcW w:w="1440" w:type="dxa"/>
            <w:tcBorders>
              <w:bottom w:val="single" w:sz="4" w:space="0" w:color="000000"/>
            </w:tcBorders>
            <w:shd w:val="clear" w:color="auto" w:fill="auto"/>
            <w:noWrap/>
            <w:vAlign w:val="bottom"/>
          </w:tcPr>
          <w:p w:rsidR="00C925E9" w:rsidRPr="002A22EE" w:rsidRDefault="00C925E9" w:rsidP="006532BA">
            <w:pPr>
              <w:pStyle w:val="Tablehead2"/>
              <w:jc w:val="right"/>
            </w:pPr>
            <w:r>
              <w:t>Percentage</w:t>
            </w:r>
          </w:p>
        </w:tc>
      </w:tr>
      <w:tr w:rsidR="00C925E9" w:rsidRPr="002A22EE">
        <w:trPr>
          <w:trHeight w:val="255"/>
        </w:trPr>
        <w:tc>
          <w:tcPr>
            <w:tcW w:w="2880" w:type="dxa"/>
            <w:tcBorders>
              <w:top w:val="single" w:sz="4" w:space="0" w:color="000000"/>
            </w:tcBorders>
            <w:shd w:val="clear" w:color="auto" w:fill="auto"/>
            <w:noWrap/>
            <w:vAlign w:val="bottom"/>
          </w:tcPr>
          <w:p w:rsidR="00C925E9" w:rsidRPr="002A22EE" w:rsidRDefault="00C925E9" w:rsidP="00200C9F">
            <w:pPr>
              <w:pStyle w:val="Tabletext"/>
            </w:pPr>
            <w:r w:rsidRPr="002A22EE">
              <w:t>Studying full-time</w:t>
            </w:r>
          </w:p>
        </w:tc>
        <w:tc>
          <w:tcPr>
            <w:tcW w:w="1440" w:type="dxa"/>
            <w:tcBorders>
              <w:top w:val="single" w:sz="4" w:space="0" w:color="000000"/>
            </w:tcBorders>
            <w:shd w:val="clear" w:color="auto" w:fill="auto"/>
            <w:noWrap/>
            <w:vAlign w:val="bottom"/>
          </w:tcPr>
          <w:p w:rsidR="00C925E9" w:rsidRPr="002A22EE" w:rsidRDefault="00C925E9" w:rsidP="006532BA">
            <w:pPr>
              <w:pStyle w:val="Tabletext"/>
              <w:tabs>
                <w:tab w:val="decimal" w:pos="720"/>
              </w:tabs>
              <w:jc w:val="right"/>
            </w:pPr>
            <w:r w:rsidRPr="002A22EE">
              <w:t>167</w:t>
            </w:r>
          </w:p>
        </w:tc>
        <w:tc>
          <w:tcPr>
            <w:tcW w:w="1440" w:type="dxa"/>
            <w:tcBorders>
              <w:top w:val="single" w:sz="4" w:space="0" w:color="000000"/>
            </w:tcBorders>
            <w:shd w:val="clear" w:color="auto" w:fill="auto"/>
            <w:noWrap/>
            <w:vAlign w:val="bottom"/>
          </w:tcPr>
          <w:p w:rsidR="00C925E9" w:rsidRPr="002A22EE" w:rsidRDefault="00C925E9" w:rsidP="006532BA">
            <w:pPr>
              <w:pStyle w:val="Tabletext"/>
              <w:tabs>
                <w:tab w:val="decimal" w:pos="720"/>
              </w:tabs>
              <w:jc w:val="right"/>
            </w:pPr>
            <w:r>
              <w:t>32</w:t>
            </w:r>
          </w:p>
        </w:tc>
      </w:tr>
      <w:tr w:rsidR="00C925E9" w:rsidRPr="002A22EE">
        <w:trPr>
          <w:trHeight w:val="255"/>
        </w:trPr>
        <w:tc>
          <w:tcPr>
            <w:tcW w:w="2880" w:type="dxa"/>
            <w:shd w:val="clear" w:color="auto" w:fill="auto"/>
            <w:noWrap/>
            <w:vAlign w:val="bottom"/>
          </w:tcPr>
          <w:p w:rsidR="00C925E9" w:rsidRPr="002A22EE" w:rsidRDefault="00C925E9" w:rsidP="00200C9F">
            <w:pPr>
              <w:pStyle w:val="Tabletext"/>
            </w:pPr>
            <w:r w:rsidRPr="002A22EE">
              <w:t>Working</w:t>
            </w:r>
          </w:p>
        </w:tc>
        <w:tc>
          <w:tcPr>
            <w:tcW w:w="1440" w:type="dxa"/>
            <w:shd w:val="clear" w:color="auto" w:fill="auto"/>
            <w:noWrap/>
            <w:vAlign w:val="bottom"/>
          </w:tcPr>
          <w:p w:rsidR="00C925E9" w:rsidRPr="002A22EE" w:rsidRDefault="00C925E9" w:rsidP="006532BA">
            <w:pPr>
              <w:pStyle w:val="Tabletext"/>
              <w:tabs>
                <w:tab w:val="decimal" w:pos="720"/>
              </w:tabs>
              <w:jc w:val="right"/>
            </w:pPr>
            <w:r w:rsidRPr="002A22EE">
              <w:t>212</w:t>
            </w:r>
          </w:p>
        </w:tc>
        <w:tc>
          <w:tcPr>
            <w:tcW w:w="1440" w:type="dxa"/>
            <w:shd w:val="clear" w:color="auto" w:fill="auto"/>
            <w:noWrap/>
            <w:vAlign w:val="bottom"/>
          </w:tcPr>
          <w:p w:rsidR="00C925E9" w:rsidRPr="002A22EE" w:rsidRDefault="00C925E9" w:rsidP="006532BA">
            <w:pPr>
              <w:pStyle w:val="Tabletext"/>
              <w:tabs>
                <w:tab w:val="decimal" w:pos="720"/>
              </w:tabs>
              <w:jc w:val="right"/>
            </w:pPr>
            <w:r>
              <w:t>40</w:t>
            </w:r>
          </w:p>
        </w:tc>
      </w:tr>
      <w:tr w:rsidR="00C925E9" w:rsidRPr="002A22EE">
        <w:trPr>
          <w:trHeight w:val="255"/>
        </w:trPr>
        <w:tc>
          <w:tcPr>
            <w:tcW w:w="2880" w:type="dxa"/>
            <w:shd w:val="clear" w:color="auto" w:fill="auto"/>
            <w:noWrap/>
            <w:vAlign w:val="bottom"/>
          </w:tcPr>
          <w:p w:rsidR="00C925E9" w:rsidRPr="002A22EE" w:rsidRDefault="00C925E9" w:rsidP="00200C9F">
            <w:pPr>
              <w:pStyle w:val="Tabletext"/>
            </w:pPr>
            <w:r w:rsidRPr="002A22EE">
              <w:t>Looking for work</w:t>
            </w:r>
          </w:p>
        </w:tc>
        <w:tc>
          <w:tcPr>
            <w:tcW w:w="1440" w:type="dxa"/>
            <w:shd w:val="clear" w:color="auto" w:fill="auto"/>
            <w:noWrap/>
            <w:vAlign w:val="bottom"/>
          </w:tcPr>
          <w:p w:rsidR="00C925E9" w:rsidRPr="002A22EE" w:rsidRDefault="00C925E9" w:rsidP="006532BA">
            <w:pPr>
              <w:pStyle w:val="Tabletext"/>
              <w:tabs>
                <w:tab w:val="decimal" w:pos="720"/>
              </w:tabs>
              <w:jc w:val="right"/>
            </w:pPr>
            <w:r w:rsidRPr="002A22EE">
              <w:t>10</w:t>
            </w:r>
          </w:p>
        </w:tc>
        <w:tc>
          <w:tcPr>
            <w:tcW w:w="1440" w:type="dxa"/>
            <w:shd w:val="clear" w:color="auto" w:fill="auto"/>
            <w:noWrap/>
            <w:vAlign w:val="bottom"/>
          </w:tcPr>
          <w:p w:rsidR="00C925E9" w:rsidRPr="002A22EE" w:rsidRDefault="00C925E9" w:rsidP="006532BA">
            <w:pPr>
              <w:pStyle w:val="Tabletext"/>
              <w:tabs>
                <w:tab w:val="decimal" w:pos="720"/>
              </w:tabs>
              <w:jc w:val="right"/>
            </w:pPr>
            <w:r>
              <w:t>2</w:t>
            </w:r>
          </w:p>
        </w:tc>
      </w:tr>
      <w:tr w:rsidR="00C925E9" w:rsidRPr="002A22EE">
        <w:trPr>
          <w:trHeight w:val="255"/>
        </w:trPr>
        <w:tc>
          <w:tcPr>
            <w:tcW w:w="2880" w:type="dxa"/>
            <w:shd w:val="clear" w:color="auto" w:fill="auto"/>
            <w:noWrap/>
            <w:vAlign w:val="bottom"/>
          </w:tcPr>
          <w:p w:rsidR="00C925E9" w:rsidRPr="002A22EE" w:rsidRDefault="00C925E9" w:rsidP="00200C9F">
            <w:pPr>
              <w:pStyle w:val="Tabletext"/>
            </w:pPr>
            <w:r w:rsidRPr="002A22EE">
              <w:t>Other</w:t>
            </w:r>
          </w:p>
        </w:tc>
        <w:tc>
          <w:tcPr>
            <w:tcW w:w="1440" w:type="dxa"/>
            <w:shd w:val="clear" w:color="auto" w:fill="auto"/>
            <w:noWrap/>
            <w:vAlign w:val="bottom"/>
          </w:tcPr>
          <w:p w:rsidR="00C925E9" w:rsidRPr="002A22EE" w:rsidRDefault="00C925E9" w:rsidP="006532BA">
            <w:pPr>
              <w:pStyle w:val="Tabletext"/>
              <w:tabs>
                <w:tab w:val="decimal" w:pos="720"/>
              </w:tabs>
              <w:jc w:val="right"/>
            </w:pPr>
            <w:r w:rsidRPr="002A22EE">
              <w:t>51</w:t>
            </w:r>
          </w:p>
        </w:tc>
        <w:tc>
          <w:tcPr>
            <w:tcW w:w="1440" w:type="dxa"/>
            <w:shd w:val="clear" w:color="auto" w:fill="auto"/>
            <w:noWrap/>
            <w:vAlign w:val="bottom"/>
          </w:tcPr>
          <w:p w:rsidR="00C925E9" w:rsidRPr="002A22EE" w:rsidRDefault="00C925E9" w:rsidP="006532BA">
            <w:pPr>
              <w:pStyle w:val="Tabletext"/>
              <w:tabs>
                <w:tab w:val="decimal" w:pos="720"/>
              </w:tabs>
              <w:jc w:val="right"/>
            </w:pPr>
            <w:r>
              <w:t>10</w:t>
            </w:r>
          </w:p>
        </w:tc>
      </w:tr>
      <w:tr w:rsidR="00C925E9" w:rsidRPr="002A22EE">
        <w:trPr>
          <w:trHeight w:val="255"/>
        </w:trPr>
        <w:tc>
          <w:tcPr>
            <w:tcW w:w="2880" w:type="dxa"/>
            <w:shd w:val="clear" w:color="auto" w:fill="auto"/>
            <w:noWrap/>
            <w:vAlign w:val="bottom"/>
          </w:tcPr>
          <w:p w:rsidR="00C925E9" w:rsidRPr="002A22EE" w:rsidRDefault="00C925E9" w:rsidP="00200C9F">
            <w:pPr>
              <w:pStyle w:val="Tabletext"/>
            </w:pPr>
            <w:r w:rsidRPr="002A22EE">
              <w:t>Unknown</w:t>
            </w:r>
          </w:p>
        </w:tc>
        <w:tc>
          <w:tcPr>
            <w:tcW w:w="1440" w:type="dxa"/>
            <w:shd w:val="clear" w:color="auto" w:fill="auto"/>
            <w:noWrap/>
            <w:vAlign w:val="bottom"/>
          </w:tcPr>
          <w:p w:rsidR="00C925E9" w:rsidRPr="002A22EE" w:rsidRDefault="00C925E9" w:rsidP="006532BA">
            <w:pPr>
              <w:pStyle w:val="Tabletext"/>
              <w:tabs>
                <w:tab w:val="decimal" w:pos="720"/>
              </w:tabs>
              <w:jc w:val="right"/>
            </w:pPr>
            <w:r w:rsidRPr="002A22EE">
              <w:t>86</w:t>
            </w:r>
          </w:p>
        </w:tc>
        <w:tc>
          <w:tcPr>
            <w:tcW w:w="1440" w:type="dxa"/>
            <w:shd w:val="clear" w:color="auto" w:fill="auto"/>
            <w:noWrap/>
            <w:vAlign w:val="bottom"/>
          </w:tcPr>
          <w:p w:rsidR="00C925E9" w:rsidRPr="002A22EE" w:rsidRDefault="00C925E9" w:rsidP="006532BA">
            <w:pPr>
              <w:pStyle w:val="Tabletext"/>
              <w:tabs>
                <w:tab w:val="decimal" w:pos="720"/>
              </w:tabs>
              <w:jc w:val="right"/>
            </w:pPr>
            <w:r>
              <w:t>16</w:t>
            </w:r>
          </w:p>
        </w:tc>
      </w:tr>
      <w:tr w:rsidR="00C925E9" w:rsidRPr="002A22EE">
        <w:trPr>
          <w:trHeight w:val="255"/>
        </w:trPr>
        <w:tc>
          <w:tcPr>
            <w:tcW w:w="2880" w:type="dxa"/>
            <w:tcBorders>
              <w:bottom w:val="single" w:sz="4" w:space="0" w:color="000000"/>
            </w:tcBorders>
            <w:shd w:val="clear" w:color="auto" w:fill="auto"/>
            <w:noWrap/>
            <w:vAlign w:val="bottom"/>
          </w:tcPr>
          <w:p w:rsidR="00C925E9" w:rsidRPr="002A22EE" w:rsidRDefault="00C925E9" w:rsidP="00200C9F">
            <w:pPr>
              <w:pStyle w:val="Tabletext"/>
              <w:rPr>
                <w:b/>
                <w:bCs/>
              </w:rPr>
            </w:pPr>
            <w:r w:rsidRPr="002A22EE">
              <w:rPr>
                <w:b/>
                <w:bCs/>
              </w:rPr>
              <w:t>Total</w:t>
            </w:r>
          </w:p>
        </w:tc>
        <w:tc>
          <w:tcPr>
            <w:tcW w:w="1440" w:type="dxa"/>
            <w:tcBorders>
              <w:bottom w:val="single" w:sz="4" w:space="0" w:color="000000"/>
            </w:tcBorders>
            <w:shd w:val="clear" w:color="auto" w:fill="auto"/>
            <w:noWrap/>
            <w:vAlign w:val="bottom"/>
          </w:tcPr>
          <w:p w:rsidR="00C925E9" w:rsidRPr="002A22EE" w:rsidRDefault="00C925E9" w:rsidP="006532BA">
            <w:pPr>
              <w:pStyle w:val="Tabletext"/>
              <w:tabs>
                <w:tab w:val="decimal" w:pos="720"/>
              </w:tabs>
              <w:jc w:val="right"/>
              <w:rPr>
                <w:b/>
                <w:bCs/>
              </w:rPr>
            </w:pPr>
            <w:r w:rsidRPr="002A22EE">
              <w:rPr>
                <w:b/>
                <w:bCs/>
              </w:rPr>
              <w:t>526</w:t>
            </w:r>
          </w:p>
        </w:tc>
        <w:tc>
          <w:tcPr>
            <w:tcW w:w="1440" w:type="dxa"/>
            <w:tcBorders>
              <w:bottom w:val="single" w:sz="4" w:space="0" w:color="000000"/>
            </w:tcBorders>
            <w:shd w:val="clear" w:color="auto" w:fill="auto"/>
            <w:noWrap/>
            <w:vAlign w:val="bottom"/>
          </w:tcPr>
          <w:p w:rsidR="00C925E9" w:rsidRPr="002A22EE" w:rsidRDefault="00C925E9" w:rsidP="006532BA">
            <w:pPr>
              <w:pStyle w:val="Tabletext"/>
              <w:tabs>
                <w:tab w:val="decimal" w:pos="720"/>
              </w:tabs>
              <w:jc w:val="right"/>
              <w:rPr>
                <w:b/>
                <w:bCs/>
              </w:rPr>
            </w:pPr>
            <w:r>
              <w:rPr>
                <w:b/>
                <w:bCs/>
              </w:rPr>
              <w:t>100</w:t>
            </w:r>
          </w:p>
        </w:tc>
      </w:tr>
    </w:tbl>
    <w:p w:rsidR="00C925E9" w:rsidRDefault="00C925E9" w:rsidP="00200C9F">
      <w:pPr>
        <w:pStyle w:val="Source"/>
        <w:rPr>
          <w:lang w:val="en-US"/>
        </w:rPr>
      </w:pPr>
      <w:r>
        <w:rPr>
          <w:lang w:val="en-US"/>
        </w:rPr>
        <w:t>Note:</w:t>
      </w:r>
      <w:r>
        <w:rPr>
          <w:lang w:val="en-US"/>
        </w:rPr>
        <w:tab/>
        <w:t>‘Unknown’ includes people who said their main activity was work, but for whom no information was available on their work, e.g. earnings.</w:t>
      </w:r>
    </w:p>
    <w:p w:rsidR="00C925E9" w:rsidRDefault="00C925E9" w:rsidP="002E6BE2">
      <w:pPr>
        <w:pStyle w:val="Text"/>
        <w:spacing w:before="300"/>
        <w:ind w:right="0"/>
        <w:rPr>
          <w:lang w:val="en-US"/>
        </w:rPr>
      </w:pPr>
      <w:r>
        <w:rPr>
          <w:lang w:val="en-US"/>
        </w:rPr>
        <w:t>Forty per cent of gappers work during their gap year. Of those who work, 38% (or 15% of all 2002 gap-takers) earn more than $18 500</w:t>
      </w:r>
      <w:r w:rsidR="00E57FCD">
        <w:rPr>
          <w:rStyle w:val="FootnoteReference"/>
          <w:lang w:val="en-US"/>
        </w:rPr>
        <w:footnoteReference w:id="9"/>
      </w:r>
      <w:r>
        <w:rPr>
          <w:lang w:val="en-US"/>
        </w:rPr>
        <w:t>. Earnings of the 212 Y98 gappers who were working during their gap year are summarised in table 13</w:t>
      </w:r>
      <w:r w:rsidRPr="004F2FE3">
        <w:rPr>
          <w:lang w:val="en-US"/>
        </w:rPr>
        <w:t>.</w:t>
      </w:r>
      <w:r>
        <w:rPr>
          <w:lang w:val="en-US"/>
        </w:rPr>
        <w:t xml:space="preserve"> These data may explain the increase in the proportions of young people who qualify for the Youth Allowance after taking a gap year. For Y98, 15% earned more than $18 500</w:t>
      </w:r>
      <w:r w:rsidR="006840BE">
        <w:rPr>
          <w:rStyle w:val="FootnoteReference"/>
          <w:lang w:val="en-US"/>
        </w:rPr>
        <w:footnoteReference w:id="10"/>
      </w:r>
      <w:r>
        <w:rPr>
          <w:lang w:val="en-US"/>
        </w:rPr>
        <w:t xml:space="preserve"> and there is a similar (19%) increase in the number of gappers who qualified for Youth Allowance, compared with those who received it without taking a gap year (see table 7).</w:t>
      </w:r>
    </w:p>
    <w:p w:rsidR="00C925E9" w:rsidRDefault="00C925E9" w:rsidP="00200C9F">
      <w:pPr>
        <w:pStyle w:val="tabletitle"/>
      </w:pPr>
      <w:bookmarkStart w:id="65" w:name="_Toc322691616"/>
      <w:r>
        <w:t>Table 13</w:t>
      </w:r>
      <w:r>
        <w:tab/>
        <w:t>Earnings of Y98 gappers who worked during their 2002 gap year</w:t>
      </w:r>
      <w:bookmarkEnd w:id="65"/>
    </w:p>
    <w:tbl>
      <w:tblPr>
        <w:tblW w:w="0" w:type="auto"/>
        <w:tblInd w:w="144" w:type="dxa"/>
        <w:tblLook w:val="04A0"/>
      </w:tblPr>
      <w:tblGrid>
        <w:gridCol w:w="2880"/>
        <w:gridCol w:w="1440"/>
        <w:gridCol w:w="1440"/>
        <w:gridCol w:w="1440"/>
      </w:tblGrid>
      <w:tr w:rsidR="00C925E9" w:rsidRPr="004A7BA6">
        <w:trPr>
          <w:trHeight w:val="255"/>
        </w:trPr>
        <w:tc>
          <w:tcPr>
            <w:tcW w:w="2880" w:type="dxa"/>
            <w:tcBorders>
              <w:top w:val="single" w:sz="4" w:space="0" w:color="auto"/>
            </w:tcBorders>
            <w:shd w:val="clear" w:color="auto" w:fill="auto"/>
            <w:noWrap/>
            <w:vAlign w:val="bottom"/>
          </w:tcPr>
          <w:p w:rsidR="00C925E9" w:rsidRPr="004A7BA6" w:rsidRDefault="00534339" w:rsidP="006532BA">
            <w:pPr>
              <w:pStyle w:val="Tablehead1"/>
            </w:pPr>
            <w:r>
              <w:t>Earnings</w:t>
            </w:r>
          </w:p>
        </w:tc>
        <w:tc>
          <w:tcPr>
            <w:tcW w:w="4320" w:type="dxa"/>
            <w:gridSpan w:val="3"/>
            <w:tcBorders>
              <w:top w:val="single" w:sz="4" w:space="0" w:color="auto"/>
            </w:tcBorders>
            <w:shd w:val="clear" w:color="auto" w:fill="auto"/>
            <w:noWrap/>
            <w:vAlign w:val="bottom"/>
          </w:tcPr>
          <w:p w:rsidR="00C925E9" w:rsidRPr="003F25B9" w:rsidRDefault="00C925E9" w:rsidP="006532BA">
            <w:pPr>
              <w:pStyle w:val="Tablehead1"/>
              <w:ind w:right="891"/>
              <w:jc w:val="right"/>
              <w:rPr>
                <w:bCs/>
              </w:rPr>
            </w:pPr>
            <w:r w:rsidRPr="003F25B9">
              <w:rPr>
                <w:bCs/>
              </w:rPr>
              <w:t>Weighted frequency</w:t>
            </w:r>
          </w:p>
        </w:tc>
      </w:tr>
      <w:tr w:rsidR="00C925E9" w:rsidRPr="004A7BA6">
        <w:trPr>
          <w:trHeight w:val="255"/>
        </w:trPr>
        <w:tc>
          <w:tcPr>
            <w:tcW w:w="2880" w:type="dxa"/>
            <w:tcBorders>
              <w:bottom w:val="single" w:sz="4" w:space="0" w:color="000000"/>
            </w:tcBorders>
            <w:shd w:val="clear" w:color="auto" w:fill="auto"/>
            <w:noWrap/>
            <w:vAlign w:val="bottom"/>
          </w:tcPr>
          <w:p w:rsidR="00C925E9" w:rsidRPr="004A7BA6" w:rsidRDefault="00C925E9" w:rsidP="00200C9F">
            <w:pPr>
              <w:pStyle w:val="Tablehead2"/>
            </w:pPr>
          </w:p>
        </w:tc>
        <w:tc>
          <w:tcPr>
            <w:tcW w:w="1440" w:type="dxa"/>
            <w:tcBorders>
              <w:bottom w:val="single" w:sz="4" w:space="0" w:color="000000"/>
            </w:tcBorders>
            <w:shd w:val="clear" w:color="auto" w:fill="auto"/>
            <w:noWrap/>
            <w:vAlign w:val="bottom"/>
          </w:tcPr>
          <w:p w:rsidR="00C925E9" w:rsidRPr="004A7BA6" w:rsidRDefault="00C925E9" w:rsidP="006532BA">
            <w:pPr>
              <w:pStyle w:val="Tablehead2"/>
              <w:jc w:val="right"/>
            </w:pPr>
            <w:r>
              <w:t>Count</w:t>
            </w:r>
          </w:p>
        </w:tc>
        <w:tc>
          <w:tcPr>
            <w:tcW w:w="1440" w:type="dxa"/>
            <w:tcBorders>
              <w:bottom w:val="single" w:sz="4" w:space="0" w:color="000000"/>
            </w:tcBorders>
            <w:shd w:val="clear" w:color="auto" w:fill="auto"/>
            <w:noWrap/>
            <w:vAlign w:val="bottom"/>
          </w:tcPr>
          <w:p w:rsidR="00C925E9" w:rsidRPr="007A74B0" w:rsidRDefault="00C925E9" w:rsidP="006532BA">
            <w:pPr>
              <w:pStyle w:val="Tablehead2"/>
              <w:jc w:val="right"/>
            </w:pPr>
            <w:r>
              <w:t>Percentage</w:t>
            </w:r>
            <w:r w:rsidR="006532BA">
              <w:t xml:space="preserve"> </w:t>
            </w:r>
            <w:r>
              <w:t>(of those working)</w:t>
            </w:r>
          </w:p>
        </w:tc>
        <w:tc>
          <w:tcPr>
            <w:tcW w:w="1440" w:type="dxa"/>
            <w:tcBorders>
              <w:bottom w:val="single" w:sz="4" w:space="0" w:color="auto"/>
            </w:tcBorders>
            <w:vAlign w:val="bottom"/>
          </w:tcPr>
          <w:p w:rsidR="00C925E9" w:rsidRDefault="00C925E9" w:rsidP="006532BA">
            <w:pPr>
              <w:pStyle w:val="Tablehead2"/>
              <w:jc w:val="right"/>
            </w:pPr>
            <w:r>
              <w:t>Percentage</w:t>
            </w:r>
            <w:r>
              <w:br/>
              <w:t>(of all gappers)</w:t>
            </w:r>
          </w:p>
        </w:tc>
      </w:tr>
      <w:tr w:rsidR="00C925E9" w:rsidRPr="004A7BA6">
        <w:trPr>
          <w:trHeight w:val="255"/>
        </w:trPr>
        <w:tc>
          <w:tcPr>
            <w:tcW w:w="2880" w:type="dxa"/>
            <w:tcBorders>
              <w:top w:val="single" w:sz="4" w:space="0" w:color="000000"/>
            </w:tcBorders>
            <w:shd w:val="clear" w:color="auto" w:fill="auto"/>
            <w:noWrap/>
            <w:vAlign w:val="bottom"/>
          </w:tcPr>
          <w:p w:rsidR="00C925E9" w:rsidRPr="004A7BA6" w:rsidRDefault="00C925E9" w:rsidP="00200C9F">
            <w:pPr>
              <w:pStyle w:val="Tabletext"/>
            </w:pPr>
            <w:r w:rsidRPr="004A7BA6">
              <w:t>Less than $18</w:t>
            </w:r>
            <w:r>
              <w:t> </w:t>
            </w:r>
            <w:r w:rsidRPr="004A7BA6">
              <w:t>500</w:t>
            </w:r>
          </w:p>
        </w:tc>
        <w:tc>
          <w:tcPr>
            <w:tcW w:w="1440" w:type="dxa"/>
            <w:tcBorders>
              <w:top w:val="single" w:sz="4" w:space="0" w:color="000000"/>
            </w:tcBorders>
            <w:shd w:val="clear" w:color="auto" w:fill="auto"/>
            <w:noWrap/>
            <w:vAlign w:val="bottom"/>
          </w:tcPr>
          <w:p w:rsidR="00C925E9" w:rsidRPr="004A7BA6" w:rsidRDefault="00C925E9" w:rsidP="006532BA">
            <w:pPr>
              <w:pStyle w:val="Tabletext"/>
              <w:tabs>
                <w:tab w:val="decimal" w:pos="720"/>
              </w:tabs>
              <w:jc w:val="right"/>
            </w:pPr>
            <w:r w:rsidRPr="004A7BA6">
              <w:t>129</w:t>
            </w:r>
          </w:p>
        </w:tc>
        <w:tc>
          <w:tcPr>
            <w:tcW w:w="1440" w:type="dxa"/>
            <w:tcBorders>
              <w:top w:val="single" w:sz="4" w:space="0" w:color="000000"/>
            </w:tcBorders>
            <w:shd w:val="clear" w:color="auto" w:fill="auto"/>
            <w:noWrap/>
            <w:vAlign w:val="bottom"/>
          </w:tcPr>
          <w:p w:rsidR="00C925E9" w:rsidRPr="004A7BA6" w:rsidRDefault="00C925E9" w:rsidP="006532BA">
            <w:pPr>
              <w:pStyle w:val="Tabletext"/>
              <w:tabs>
                <w:tab w:val="decimal" w:pos="720"/>
              </w:tabs>
              <w:jc w:val="right"/>
            </w:pPr>
            <w:r w:rsidRPr="004A7BA6">
              <w:t>6</w:t>
            </w:r>
            <w:r>
              <w:t>1</w:t>
            </w:r>
          </w:p>
        </w:tc>
        <w:tc>
          <w:tcPr>
            <w:tcW w:w="1440" w:type="dxa"/>
            <w:tcBorders>
              <w:top w:val="single" w:sz="4" w:space="0" w:color="auto"/>
            </w:tcBorders>
            <w:vAlign w:val="bottom"/>
          </w:tcPr>
          <w:p w:rsidR="00C925E9" w:rsidRPr="004A7BA6" w:rsidRDefault="00C925E9" w:rsidP="006532BA">
            <w:pPr>
              <w:pStyle w:val="Tabletext"/>
              <w:tabs>
                <w:tab w:val="decimal" w:pos="720"/>
              </w:tabs>
              <w:jc w:val="right"/>
            </w:pPr>
            <w:r>
              <w:t>24</w:t>
            </w:r>
          </w:p>
        </w:tc>
      </w:tr>
      <w:tr w:rsidR="00C925E9" w:rsidRPr="004A7BA6">
        <w:trPr>
          <w:trHeight w:val="255"/>
        </w:trPr>
        <w:tc>
          <w:tcPr>
            <w:tcW w:w="2880" w:type="dxa"/>
            <w:shd w:val="clear" w:color="auto" w:fill="auto"/>
            <w:noWrap/>
            <w:vAlign w:val="bottom"/>
          </w:tcPr>
          <w:p w:rsidR="00C925E9" w:rsidRPr="004A7BA6" w:rsidRDefault="00C925E9" w:rsidP="00200C9F">
            <w:pPr>
              <w:pStyle w:val="Tabletext"/>
            </w:pPr>
            <w:r w:rsidRPr="004A7BA6">
              <w:t>$18</w:t>
            </w:r>
            <w:r>
              <w:t> </w:t>
            </w:r>
            <w:r w:rsidRPr="004A7BA6">
              <w:t>500 or more</w:t>
            </w:r>
          </w:p>
        </w:tc>
        <w:tc>
          <w:tcPr>
            <w:tcW w:w="1440" w:type="dxa"/>
            <w:shd w:val="clear" w:color="auto" w:fill="auto"/>
            <w:noWrap/>
            <w:vAlign w:val="bottom"/>
          </w:tcPr>
          <w:p w:rsidR="00C925E9" w:rsidRPr="004A7BA6" w:rsidRDefault="00C925E9" w:rsidP="006532BA">
            <w:pPr>
              <w:pStyle w:val="Tabletext"/>
              <w:tabs>
                <w:tab w:val="decimal" w:pos="720"/>
              </w:tabs>
              <w:jc w:val="right"/>
            </w:pPr>
            <w:r w:rsidRPr="004A7BA6">
              <w:t>81</w:t>
            </w:r>
          </w:p>
        </w:tc>
        <w:tc>
          <w:tcPr>
            <w:tcW w:w="1440" w:type="dxa"/>
            <w:shd w:val="clear" w:color="auto" w:fill="auto"/>
            <w:noWrap/>
            <w:vAlign w:val="bottom"/>
          </w:tcPr>
          <w:p w:rsidR="00C925E9" w:rsidRPr="004A7BA6" w:rsidRDefault="00C925E9" w:rsidP="006532BA">
            <w:pPr>
              <w:pStyle w:val="Tabletext"/>
              <w:tabs>
                <w:tab w:val="decimal" w:pos="720"/>
              </w:tabs>
              <w:jc w:val="right"/>
            </w:pPr>
            <w:r w:rsidRPr="004A7BA6">
              <w:t>38</w:t>
            </w:r>
          </w:p>
        </w:tc>
        <w:tc>
          <w:tcPr>
            <w:tcW w:w="1440" w:type="dxa"/>
            <w:vAlign w:val="bottom"/>
          </w:tcPr>
          <w:p w:rsidR="00C925E9" w:rsidRPr="004A7BA6" w:rsidRDefault="00C925E9" w:rsidP="006532BA">
            <w:pPr>
              <w:pStyle w:val="Tabletext"/>
              <w:tabs>
                <w:tab w:val="decimal" w:pos="720"/>
              </w:tabs>
              <w:jc w:val="right"/>
            </w:pPr>
            <w:r>
              <w:t>15</w:t>
            </w:r>
          </w:p>
        </w:tc>
      </w:tr>
      <w:tr w:rsidR="00C925E9" w:rsidRPr="004A7BA6">
        <w:trPr>
          <w:trHeight w:val="255"/>
        </w:trPr>
        <w:tc>
          <w:tcPr>
            <w:tcW w:w="2880" w:type="dxa"/>
            <w:shd w:val="clear" w:color="auto" w:fill="auto"/>
            <w:noWrap/>
            <w:vAlign w:val="bottom"/>
          </w:tcPr>
          <w:p w:rsidR="00C925E9" w:rsidRPr="004A7BA6" w:rsidRDefault="00C925E9" w:rsidP="00200C9F">
            <w:pPr>
              <w:pStyle w:val="Tabletext"/>
            </w:pPr>
            <w:r w:rsidRPr="004A7BA6">
              <w:t>Unknown</w:t>
            </w:r>
          </w:p>
        </w:tc>
        <w:tc>
          <w:tcPr>
            <w:tcW w:w="1440" w:type="dxa"/>
            <w:shd w:val="clear" w:color="auto" w:fill="auto"/>
            <w:noWrap/>
            <w:vAlign w:val="bottom"/>
          </w:tcPr>
          <w:p w:rsidR="00C925E9" w:rsidRPr="004A7BA6" w:rsidRDefault="00C925E9" w:rsidP="006532BA">
            <w:pPr>
              <w:pStyle w:val="Tabletext"/>
              <w:tabs>
                <w:tab w:val="decimal" w:pos="720"/>
              </w:tabs>
              <w:jc w:val="right"/>
            </w:pPr>
            <w:r w:rsidRPr="004A7BA6">
              <w:t>2</w:t>
            </w:r>
          </w:p>
        </w:tc>
        <w:tc>
          <w:tcPr>
            <w:tcW w:w="1440" w:type="dxa"/>
            <w:shd w:val="clear" w:color="auto" w:fill="auto"/>
            <w:noWrap/>
            <w:vAlign w:val="bottom"/>
          </w:tcPr>
          <w:p w:rsidR="00C925E9" w:rsidRPr="004A7BA6" w:rsidRDefault="00C925E9" w:rsidP="006532BA">
            <w:pPr>
              <w:pStyle w:val="Tabletext"/>
              <w:tabs>
                <w:tab w:val="decimal" w:pos="720"/>
              </w:tabs>
              <w:jc w:val="right"/>
            </w:pPr>
            <w:r w:rsidRPr="004A7BA6">
              <w:t>1</w:t>
            </w:r>
          </w:p>
        </w:tc>
        <w:tc>
          <w:tcPr>
            <w:tcW w:w="1440" w:type="dxa"/>
            <w:vAlign w:val="bottom"/>
          </w:tcPr>
          <w:p w:rsidR="00C925E9" w:rsidRPr="004A7BA6" w:rsidRDefault="00C925E9" w:rsidP="006532BA">
            <w:pPr>
              <w:pStyle w:val="Tabletext"/>
              <w:tabs>
                <w:tab w:val="decimal" w:pos="720"/>
              </w:tabs>
              <w:jc w:val="right"/>
            </w:pPr>
            <w:r>
              <w:t>0</w:t>
            </w:r>
          </w:p>
        </w:tc>
      </w:tr>
      <w:tr w:rsidR="00C925E9" w:rsidRPr="004A7BA6">
        <w:trPr>
          <w:trHeight w:val="255"/>
        </w:trPr>
        <w:tc>
          <w:tcPr>
            <w:tcW w:w="2880" w:type="dxa"/>
            <w:tcBorders>
              <w:bottom w:val="single" w:sz="4" w:space="0" w:color="000000"/>
            </w:tcBorders>
            <w:shd w:val="clear" w:color="auto" w:fill="auto"/>
            <w:noWrap/>
            <w:vAlign w:val="bottom"/>
          </w:tcPr>
          <w:p w:rsidR="00C925E9" w:rsidRPr="004A7BA6" w:rsidRDefault="00C925E9" w:rsidP="00200C9F">
            <w:pPr>
              <w:pStyle w:val="Tabletext"/>
              <w:rPr>
                <w:b/>
                <w:bCs/>
              </w:rPr>
            </w:pPr>
            <w:r w:rsidRPr="004A7BA6">
              <w:rPr>
                <w:b/>
                <w:bCs/>
              </w:rPr>
              <w:t>Total</w:t>
            </w:r>
          </w:p>
        </w:tc>
        <w:tc>
          <w:tcPr>
            <w:tcW w:w="1440" w:type="dxa"/>
            <w:tcBorders>
              <w:bottom w:val="single" w:sz="4" w:space="0" w:color="000000"/>
            </w:tcBorders>
            <w:shd w:val="clear" w:color="auto" w:fill="auto"/>
            <w:noWrap/>
            <w:vAlign w:val="bottom"/>
          </w:tcPr>
          <w:p w:rsidR="00C925E9" w:rsidRPr="004A7BA6" w:rsidRDefault="00C925E9" w:rsidP="006532BA">
            <w:pPr>
              <w:pStyle w:val="Tabletext"/>
              <w:tabs>
                <w:tab w:val="decimal" w:pos="720"/>
              </w:tabs>
              <w:jc w:val="right"/>
              <w:rPr>
                <w:b/>
                <w:bCs/>
              </w:rPr>
            </w:pPr>
            <w:r w:rsidRPr="004A7BA6">
              <w:rPr>
                <w:b/>
                <w:bCs/>
              </w:rPr>
              <w:t>212</w:t>
            </w:r>
          </w:p>
        </w:tc>
        <w:tc>
          <w:tcPr>
            <w:tcW w:w="1440" w:type="dxa"/>
            <w:tcBorders>
              <w:bottom w:val="single" w:sz="4" w:space="0" w:color="000000"/>
            </w:tcBorders>
            <w:shd w:val="clear" w:color="auto" w:fill="auto"/>
            <w:noWrap/>
            <w:vAlign w:val="bottom"/>
          </w:tcPr>
          <w:p w:rsidR="00C925E9" w:rsidRPr="004A7BA6" w:rsidRDefault="00C925E9" w:rsidP="006532BA">
            <w:pPr>
              <w:pStyle w:val="Tabletext"/>
              <w:tabs>
                <w:tab w:val="decimal" w:pos="720"/>
              </w:tabs>
              <w:jc w:val="right"/>
              <w:rPr>
                <w:b/>
                <w:bCs/>
              </w:rPr>
            </w:pPr>
            <w:r w:rsidRPr="004A7BA6">
              <w:rPr>
                <w:b/>
                <w:bCs/>
              </w:rPr>
              <w:t>100</w:t>
            </w:r>
          </w:p>
        </w:tc>
        <w:tc>
          <w:tcPr>
            <w:tcW w:w="1440" w:type="dxa"/>
            <w:tcBorders>
              <w:bottom w:val="single" w:sz="4" w:space="0" w:color="000000"/>
            </w:tcBorders>
            <w:vAlign w:val="bottom"/>
          </w:tcPr>
          <w:p w:rsidR="00C925E9" w:rsidRPr="004A7BA6" w:rsidRDefault="00C925E9" w:rsidP="006532BA">
            <w:pPr>
              <w:pStyle w:val="Tabletext"/>
              <w:tabs>
                <w:tab w:val="decimal" w:pos="720"/>
              </w:tabs>
              <w:jc w:val="right"/>
              <w:rPr>
                <w:b/>
                <w:bCs/>
              </w:rPr>
            </w:pPr>
            <w:r>
              <w:rPr>
                <w:b/>
                <w:bCs/>
              </w:rPr>
              <w:t>40</w:t>
            </w:r>
          </w:p>
        </w:tc>
      </w:tr>
    </w:tbl>
    <w:p w:rsidR="00944730" w:rsidRDefault="00944730" w:rsidP="00944730">
      <w:pPr>
        <w:pStyle w:val="Source"/>
        <w:rPr>
          <w:lang w:val="en-US"/>
        </w:rPr>
      </w:pPr>
    </w:p>
    <w:p w:rsidR="00944730" w:rsidRDefault="00944730" w:rsidP="00944730">
      <w:pPr>
        <w:pStyle w:val="Source"/>
        <w:rPr>
          <w:lang w:val="en-US"/>
        </w:rPr>
      </w:pPr>
      <w:r>
        <w:rPr>
          <w:lang w:val="en-US"/>
        </w:rPr>
        <w:t>Note: Due to the income threshold being based on 2007</w:t>
      </w:r>
      <w:r w:rsidR="00056610">
        <w:rPr>
          <w:lang w:val="en-US"/>
        </w:rPr>
        <w:t>-</w:t>
      </w:r>
      <w:r>
        <w:rPr>
          <w:lang w:val="en-US"/>
        </w:rPr>
        <w:t>08 eligibility criteria, figures in this table may be under-estimated.</w:t>
      </w:r>
    </w:p>
    <w:p w:rsidR="00C925E9" w:rsidRDefault="00C925E9" w:rsidP="00534339">
      <w:pPr>
        <w:pStyle w:val="Text"/>
        <w:spacing w:before="300"/>
        <w:ind w:right="0"/>
        <w:rPr>
          <w:lang w:val="en-US"/>
        </w:rPr>
      </w:pPr>
      <w:r>
        <w:rPr>
          <w:lang w:val="en-US"/>
        </w:rPr>
        <w:t xml:space="preserve">Very few young people reported travelling during a gap year. However, in the Y98 surveys, if a student missed an interview, they were removed from the sample. It is likely, therefore, that </w:t>
      </w:r>
      <w:r>
        <w:rPr>
          <w:lang w:val="en-US"/>
        </w:rPr>
        <w:lastRenderedPageBreak/>
        <w:t xml:space="preserve">the extent of travel is underestimated in the data. One-third of the 51 Y98 gappers who were not studying full-time or working nominated travel as a significant gap year activity, but this group makes up only 3% of all gappers </w:t>
      </w:r>
      <w:r w:rsidRPr="00096882">
        <w:rPr>
          <w:lang w:val="en-US"/>
        </w:rPr>
        <w:t>(see</w:t>
      </w:r>
      <w:r>
        <w:rPr>
          <w:lang w:val="en-US"/>
        </w:rPr>
        <w:t xml:space="preserve"> table</w:t>
      </w:r>
      <w:r w:rsidRPr="00096882">
        <w:rPr>
          <w:lang w:val="en-US"/>
        </w:rPr>
        <w:t xml:space="preserve"> </w:t>
      </w:r>
      <w:r>
        <w:rPr>
          <w:lang w:val="en-US"/>
        </w:rPr>
        <w:t>14</w:t>
      </w:r>
      <w:r w:rsidRPr="00096882">
        <w:rPr>
          <w:lang w:val="en-US"/>
        </w:rPr>
        <w:t>).</w:t>
      </w:r>
      <w:r>
        <w:rPr>
          <w:lang w:val="en-US"/>
        </w:rPr>
        <w:t xml:space="preserve"> Relatively few gap-takers undertake activities other than work or study, although the activities of about one-fifth of gappers are unknown. This stands in contrast to the situation described by Jones (2004) in the UK, where</w:t>
      </w:r>
      <w:r w:rsidRPr="009215CC">
        <w:rPr>
          <w:lang w:val="en-US"/>
        </w:rPr>
        <w:t xml:space="preserve"> </w:t>
      </w:r>
      <w:r>
        <w:rPr>
          <w:lang w:val="en-US"/>
        </w:rPr>
        <w:t xml:space="preserve">these activities are more common than we find in Australia. This is perhaps because travel to other countries from the </w:t>
      </w:r>
      <w:smartTag w:uri="urn:schemas-microsoft-com:office:smarttags" w:element="place">
        <w:smartTag w:uri="urn:schemas-microsoft-com:office:smarttags" w:element="country-region">
          <w:r>
            <w:rPr>
              <w:lang w:val="en-US"/>
            </w:rPr>
            <w:t>UK</w:t>
          </w:r>
        </w:smartTag>
      </w:smartTag>
      <w:r>
        <w:rPr>
          <w:lang w:val="en-US"/>
        </w:rPr>
        <w:t xml:space="preserve"> is inexpensive and because many organisations promote and arrange travel and volunteer activities.</w:t>
      </w:r>
    </w:p>
    <w:p w:rsidR="00C925E9" w:rsidRDefault="00C925E9" w:rsidP="00200C9F">
      <w:pPr>
        <w:pStyle w:val="tabletitle"/>
      </w:pPr>
      <w:bookmarkStart w:id="66" w:name="_Toc322691617"/>
      <w:r>
        <w:t>Table 14</w:t>
      </w:r>
      <w:r>
        <w:tab/>
        <w:t>Activities of Y98 gappers who were not working, looking for work or studying full-time during their 2002 gap year</w:t>
      </w:r>
      <w:bookmarkEnd w:id="66"/>
    </w:p>
    <w:tbl>
      <w:tblPr>
        <w:tblW w:w="0" w:type="auto"/>
        <w:tblInd w:w="144" w:type="dxa"/>
        <w:tblLook w:val="04A0"/>
      </w:tblPr>
      <w:tblGrid>
        <w:gridCol w:w="2880"/>
        <w:gridCol w:w="1440"/>
        <w:gridCol w:w="1440"/>
        <w:gridCol w:w="1440"/>
      </w:tblGrid>
      <w:tr w:rsidR="00C925E9" w:rsidRPr="00010594" w:rsidTr="00534339">
        <w:trPr>
          <w:trHeight w:val="255"/>
        </w:trPr>
        <w:tc>
          <w:tcPr>
            <w:tcW w:w="2880" w:type="dxa"/>
            <w:tcBorders>
              <w:top w:val="single" w:sz="4" w:space="0" w:color="auto"/>
              <w:left w:val="nil"/>
              <w:right w:val="nil"/>
            </w:tcBorders>
            <w:shd w:val="clear" w:color="auto" w:fill="auto"/>
            <w:noWrap/>
            <w:vAlign w:val="bottom"/>
          </w:tcPr>
          <w:p w:rsidR="00C925E9" w:rsidRPr="00010594" w:rsidRDefault="00534339" w:rsidP="00534339">
            <w:pPr>
              <w:pStyle w:val="Tablehead1"/>
            </w:pPr>
            <w:r>
              <w:t>Activity</w:t>
            </w:r>
          </w:p>
        </w:tc>
        <w:tc>
          <w:tcPr>
            <w:tcW w:w="4320" w:type="dxa"/>
            <w:gridSpan w:val="3"/>
            <w:tcBorders>
              <w:top w:val="single" w:sz="4" w:space="0" w:color="auto"/>
              <w:left w:val="nil"/>
              <w:right w:val="nil"/>
            </w:tcBorders>
            <w:shd w:val="clear" w:color="auto" w:fill="auto"/>
            <w:noWrap/>
            <w:vAlign w:val="bottom"/>
          </w:tcPr>
          <w:p w:rsidR="00C925E9" w:rsidRPr="003F25B9" w:rsidRDefault="00C925E9" w:rsidP="006532BA">
            <w:pPr>
              <w:pStyle w:val="Tablehead1"/>
              <w:ind w:right="891"/>
              <w:jc w:val="right"/>
              <w:rPr>
                <w:bCs/>
              </w:rPr>
            </w:pPr>
            <w:r w:rsidRPr="003F25B9">
              <w:rPr>
                <w:bCs/>
              </w:rPr>
              <w:t>Weighted frequency</w:t>
            </w:r>
          </w:p>
        </w:tc>
      </w:tr>
      <w:tr w:rsidR="00C925E9" w:rsidRPr="00010594" w:rsidTr="00534339">
        <w:trPr>
          <w:trHeight w:val="255"/>
        </w:trPr>
        <w:tc>
          <w:tcPr>
            <w:tcW w:w="2880" w:type="dxa"/>
            <w:tcBorders>
              <w:left w:val="nil"/>
              <w:bottom w:val="single" w:sz="4" w:space="0" w:color="auto"/>
              <w:right w:val="nil"/>
            </w:tcBorders>
            <w:shd w:val="clear" w:color="auto" w:fill="auto"/>
            <w:noWrap/>
            <w:vAlign w:val="bottom"/>
          </w:tcPr>
          <w:p w:rsidR="00C925E9" w:rsidRPr="00010594" w:rsidRDefault="00C925E9" w:rsidP="00200C9F">
            <w:pPr>
              <w:pStyle w:val="Tablehead2"/>
            </w:pPr>
          </w:p>
        </w:tc>
        <w:tc>
          <w:tcPr>
            <w:tcW w:w="1440" w:type="dxa"/>
            <w:tcBorders>
              <w:left w:val="nil"/>
              <w:bottom w:val="single" w:sz="4" w:space="0" w:color="auto"/>
              <w:right w:val="nil"/>
            </w:tcBorders>
            <w:shd w:val="clear" w:color="auto" w:fill="auto"/>
            <w:noWrap/>
            <w:vAlign w:val="bottom"/>
          </w:tcPr>
          <w:p w:rsidR="00C925E9" w:rsidRPr="00010594" w:rsidRDefault="00C925E9" w:rsidP="006532BA">
            <w:pPr>
              <w:pStyle w:val="Tablehead2"/>
              <w:jc w:val="right"/>
            </w:pPr>
            <w:r>
              <w:t>Count</w:t>
            </w:r>
          </w:p>
        </w:tc>
        <w:tc>
          <w:tcPr>
            <w:tcW w:w="1440" w:type="dxa"/>
            <w:tcBorders>
              <w:left w:val="nil"/>
              <w:bottom w:val="single" w:sz="4" w:space="0" w:color="auto"/>
              <w:right w:val="nil"/>
            </w:tcBorders>
            <w:shd w:val="clear" w:color="auto" w:fill="auto"/>
            <w:noWrap/>
            <w:vAlign w:val="bottom"/>
          </w:tcPr>
          <w:p w:rsidR="00C925E9" w:rsidRPr="00010594" w:rsidRDefault="00C925E9" w:rsidP="006532BA">
            <w:pPr>
              <w:pStyle w:val="Tablehead2"/>
              <w:jc w:val="right"/>
            </w:pPr>
            <w:r>
              <w:t>Percentage</w:t>
            </w:r>
            <w:r>
              <w:br/>
              <w:t>(of those not studying or working)</w:t>
            </w:r>
          </w:p>
        </w:tc>
        <w:tc>
          <w:tcPr>
            <w:tcW w:w="1440" w:type="dxa"/>
            <w:tcBorders>
              <w:left w:val="nil"/>
              <w:bottom w:val="single" w:sz="4" w:space="0" w:color="auto"/>
              <w:right w:val="nil"/>
            </w:tcBorders>
            <w:vAlign w:val="bottom"/>
          </w:tcPr>
          <w:p w:rsidR="00C925E9" w:rsidRDefault="00C925E9" w:rsidP="006532BA">
            <w:pPr>
              <w:pStyle w:val="Tablehead2"/>
              <w:jc w:val="right"/>
            </w:pPr>
            <w:r>
              <w:t>Percentage</w:t>
            </w:r>
            <w:r>
              <w:br/>
              <w:t>(2002 gappers)</w:t>
            </w:r>
          </w:p>
        </w:tc>
      </w:tr>
      <w:tr w:rsidR="00C925E9" w:rsidRPr="00010594">
        <w:trPr>
          <w:trHeight w:val="255"/>
        </w:trPr>
        <w:tc>
          <w:tcPr>
            <w:tcW w:w="2880" w:type="dxa"/>
            <w:tcBorders>
              <w:top w:val="nil"/>
              <w:left w:val="nil"/>
              <w:bottom w:val="nil"/>
              <w:right w:val="nil"/>
            </w:tcBorders>
            <w:shd w:val="clear" w:color="auto" w:fill="auto"/>
            <w:noWrap/>
            <w:vAlign w:val="bottom"/>
          </w:tcPr>
          <w:p w:rsidR="00C925E9" w:rsidRPr="00010594" w:rsidRDefault="00C925E9" w:rsidP="00200C9F">
            <w:pPr>
              <w:pStyle w:val="Tabletext"/>
            </w:pPr>
            <w:r w:rsidRPr="00010594">
              <w:t>Study/training</w:t>
            </w:r>
          </w:p>
        </w:tc>
        <w:tc>
          <w:tcPr>
            <w:tcW w:w="1440" w:type="dxa"/>
            <w:tcBorders>
              <w:top w:val="nil"/>
              <w:left w:val="nil"/>
              <w:bottom w:val="nil"/>
              <w:right w:val="nil"/>
            </w:tcBorders>
            <w:shd w:val="clear" w:color="auto" w:fill="auto"/>
            <w:noWrap/>
            <w:vAlign w:val="bottom"/>
          </w:tcPr>
          <w:p w:rsidR="00C925E9" w:rsidRPr="00010594" w:rsidRDefault="00C925E9" w:rsidP="006532BA">
            <w:pPr>
              <w:pStyle w:val="Tabletext"/>
              <w:tabs>
                <w:tab w:val="decimal" w:pos="720"/>
              </w:tabs>
              <w:jc w:val="right"/>
            </w:pPr>
            <w:r w:rsidRPr="00010594">
              <w:t>5</w:t>
            </w:r>
          </w:p>
        </w:tc>
        <w:tc>
          <w:tcPr>
            <w:tcW w:w="1440" w:type="dxa"/>
            <w:tcBorders>
              <w:top w:val="nil"/>
              <w:left w:val="nil"/>
              <w:bottom w:val="nil"/>
              <w:right w:val="nil"/>
            </w:tcBorders>
            <w:shd w:val="clear" w:color="auto" w:fill="auto"/>
            <w:noWrap/>
            <w:vAlign w:val="bottom"/>
          </w:tcPr>
          <w:p w:rsidR="00C925E9" w:rsidRPr="00010594" w:rsidRDefault="00C925E9" w:rsidP="006532BA">
            <w:pPr>
              <w:pStyle w:val="Tabletext"/>
              <w:tabs>
                <w:tab w:val="decimal" w:pos="720"/>
              </w:tabs>
              <w:jc w:val="right"/>
            </w:pPr>
            <w:r>
              <w:t>10</w:t>
            </w:r>
          </w:p>
        </w:tc>
        <w:tc>
          <w:tcPr>
            <w:tcW w:w="1440" w:type="dxa"/>
            <w:tcBorders>
              <w:top w:val="nil"/>
              <w:left w:val="nil"/>
              <w:bottom w:val="nil"/>
              <w:right w:val="nil"/>
            </w:tcBorders>
            <w:vAlign w:val="bottom"/>
          </w:tcPr>
          <w:p w:rsidR="00C925E9" w:rsidRDefault="00C925E9" w:rsidP="006532BA">
            <w:pPr>
              <w:pStyle w:val="Tabletext"/>
              <w:tabs>
                <w:tab w:val="decimal" w:pos="720"/>
              </w:tabs>
              <w:jc w:val="right"/>
            </w:pPr>
            <w:r>
              <w:t>1</w:t>
            </w:r>
          </w:p>
        </w:tc>
      </w:tr>
      <w:tr w:rsidR="00C925E9" w:rsidRPr="00010594">
        <w:trPr>
          <w:trHeight w:val="255"/>
        </w:trPr>
        <w:tc>
          <w:tcPr>
            <w:tcW w:w="2880" w:type="dxa"/>
            <w:tcBorders>
              <w:top w:val="nil"/>
              <w:left w:val="nil"/>
              <w:bottom w:val="nil"/>
              <w:right w:val="nil"/>
            </w:tcBorders>
            <w:shd w:val="clear" w:color="auto" w:fill="auto"/>
            <w:noWrap/>
            <w:vAlign w:val="bottom"/>
          </w:tcPr>
          <w:p w:rsidR="00C925E9" w:rsidRPr="00010594" w:rsidRDefault="00C925E9" w:rsidP="00200C9F">
            <w:pPr>
              <w:pStyle w:val="Tabletext"/>
            </w:pPr>
            <w:r w:rsidRPr="00010594">
              <w:t>Home duties/looking after children</w:t>
            </w:r>
          </w:p>
        </w:tc>
        <w:tc>
          <w:tcPr>
            <w:tcW w:w="1440" w:type="dxa"/>
            <w:tcBorders>
              <w:top w:val="nil"/>
              <w:left w:val="nil"/>
              <w:bottom w:val="nil"/>
              <w:right w:val="nil"/>
            </w:tcBorders>
            <w:shd w:val="clear" w:color="auto" w:fill="auto"/>
            <w:noWrap/>
            <w:vAlign w:val="bottom"/>
          </w:tcPr>
          <w:p w:rsidR="00C925E9" w:rsidRPr="00010594" w:rsidRDefault="00C925E9" w:rsidP="006532BA">
            <w:pPr>
              <w:pStyle w:val="Tabletext"/>
              <w:tabs>
                <w:tab w:val="decimal" w:pos="720"/>
              </w:tabs>
              <w:jc w:val="right"/>
            </w:pPr>
            <w:r w:rsidRPr="00010594">
              <w:t>3</w:t>
            </w:r>
          </w:p>
        </w:tc>
        <w:tc>
          <w:tcPr>
            <w:tcW w:w="1440" w:type="dxa"/>
            <w:tcBorders>
              <w:top w:val="nil"/>
              <w:left w:val="nil"/>
              <w:bottom w:val="nil"/>
              <w:right w:val="nil"/>
            </w:tcBorders>
            <w:shd w:val="clear" w:color="auto" w:fill="auto"/>
            <w:noWrap/>
            <w:vAlign w:val="bottom"/>
          </w:tcPr>
          <w:p w:rsidR="00C925E9" w:rsidRPr="00010594" w:rsidRDefault="00C925E9" w:rsidP="006532BA">
            <w:pPr>
              <w:pStyle w:val="Tabletext"/>
              <w:tabs>
                <w:tab w:val="decimal" w:pos="720"/>
              </w:tabs>
              <w:jc w:val="right"/>
            </w:pPr>
            <w:r w:rsidRPr="00010594">
              <w:t>5</w:t>
            </w:r>
          </w:p>
        </w:tc>
        <w:tc>
          <w:tcPr>
            <w:tcW w:w="1440" w:type="dxa"/>
            <w:tcBorders>
              <w:top w:val="nil"/>
              <w:left w:val="nil"/>
              <w:bottom w:val="nil"/>
              <w:right w:val="nil"/>
            </w:tcBorders>
            <w:vAlign w:val="bottom"/>
          </w:tcPr>
          <w:p w:rsidR="00C925E9" w:rsidRPr="00010594" w:rsidRDefault="00C925E9" w:rsidP="006532BA">
            <w:pPr>
              <w:pStyle w:val="Tabletext"/>
              <w:tabs>
                <w:tab w:val="decimal" w:pos="720"/>
              </w:tabs>
              <w:jc w:val="right"/>
            </w:pPr>
            <w:r>
              <w:t>1</w:t>
            </w:r>
          </w:p>
        </w:tc>
      </w:tr>
      <w:tr w:rsidR="00C925E9" w:rsidRPr="00010594">
        <w:trPr>
          <w:trHeight w:val="255"/>
        </w:trPr>
        <w:tc>
          <w:tcPr>
            <w:tcW w:w="2880" w:type="dxa"/>
            <w:tcBorders>
              <w:top w:val="nil"/>
              <w:left w:val="nil"/>
              <w:bottom w:val="nil"/>
              <w:right w:val="nil"/>
            </w:tcBorders>
            <w:shd w:val="clear" w:color="auto" w:fill="auto"/>
            <w:noWrap/>
            <w:vAlign w:val="bottom"/>
          </w:tcPr>
          <w:p w:rsidR="00C925E9" w:rsidRPr="00010594" w:rsidRDefault="00C925E9" w:rsidP="00200C9F">
            <w:pPr>
              <w:pStyle w:val="Tabletext"/>
            </w:pPr>
            <w:r w:rsidRPr="00010594">
              <w:t>Travel or holiday</w:t>
            </w:r>
          </w:p>
        </w:tc>
        <w:tc>
          <w:tcPr>
            <w:tcW w:w="1440" w:type="dxa"/>
            <w:tcBorders>
              <w:top w:val="nil"/>
              <w:left w:val="nil"/>
              <w:bottom w:val="nil"/>
              <w:right w:val="nil"/>
            </w:tcBorders>
            <w:shd w:val="clear" w:color="auto" w:fill="auto"/>
            <w:noWrap/>
            <w:vAlign w:val="bottom"/>
          </w:tcPr>
          <w:p w:rsidR="00C925E9" w:rsidRPr="00010594" w:rsidRDefault="00C925E9" w:rsidP="006532BA">
            <w:pPr>
              <w:pStyle w:val="Tabletext"/>
              <w:tabs>
                <w:tab w:val="decimal" w:pos="720"/>
              </w:tabs>
              <w:jc w:val="right"/>
            </w:pPr>
            <w:r w:rsidRPr="00010594">
              <w:t>15</w:t>
            </w:r>
          </w:p>
        </w:tc>
        <w:tc>
          <w:tcPr>
            <w:tcW w:w="1440" w:type="dxa"/>
            <w:tcBorders>
              <w:top w:val="nil"/>
              <w:left w:val="nil"/>
              <w:bottom w:val="nil"/>
              <w:right w:val="nil"/>
            </w:tcBorders>
            <w:shd w:val="clear" w:color="auto" w:fill="auto"/>
            <w:noWrap/>
            <w:vAlign w:val="bottom"/>
          </w:tcPr>
          <w:p w:rsidR="00C925E9" w:rsidRPr="00010594" w:rsidRDefault="00C925E9" w:rsidP="006532BA">
            <w:pPr>
              <w:pStyle w:val="Tabletext"/>
              <w:tabs>
                <w:tab w:val="decimal" w:pos="720"/>
              </w:tabs>
              <w:jc w:val="right"/>
            </w:pPr>
            <w:r w:rsidRPr="00010594">
              <w:t>30</w:t>
            </w:r>
          </w:p>
        </w:tc>
        <w:tc>
          <w:tcPr>
            <w:tcW w:w="1440" w:type="dxa"/>
            <w:tcBorders>
              <w:top w:val="nil"/>
              <w:left w:val="nil"/>
              <w:bottom w:val="nil"/>
              <w:right w:val="nil"/>
            </w:tcBorders>
            <w:vAlign w:val="bottom"/>
          </w:tcPr>
          <w:p w:rsidR="00C925E9" w:rsidRPr="00010594" w:rsidRDefault="00C925E9" w:rsidP="006532BA">
            <w:pPr>
              <w:pStyle w:val="Tabletext"/>
              <w:tabs>
                <w:tab w:val="decimal" w:pos="720"/>
              </w:tabs>
              <w:jc w:val="right"/>
            </w:pPr>
            <w:r>
              <w:t>3</w:t>
            </w:r>
          </w:p>
        </w:tc>
      </w:tr>
      <w:tr w:rsidR="00C925E9" w:rsidRPr="00010594">
        <w:trPr>
          <w:trHeight w:val="255"/>
        </w:trPr>
        <w:tc>
          <w:tcPr>
            <w:tcW w:w="2880" w:type="dxa"/>
            <w:tcBorders>
              <w:top w:val="nil"/>
              <w:left w:val="nil"/>
              <w:bottom w:val="nil"/>
              <w:right w:val="nil"/>
            </w:tcBorders>
            <w:shd w:val="clear" w:color="auto" w:fill="auto"/>
            <w:noWrap/>
            <w:vAlign w:val="bottom"/>
          </w:tcPr>
          <w:p w:rsidR="00C925E9" w:rsidRPr="00010594" w:rsidRDefault="00C925E9" w:rsidP="00200C9F">
            <w:pPr>
              <w:pStyle w:val="Tabletext"/>
            </w:pPr>
            <w:r w:rsidRPr="00010594">
              <w:t>Ill/unable to work</w:t>
            </w:r>
          </w:p>
        </w:tc>
        <w:tc>
          <w:tcPr>
            <w:tcW w:w="1440" w:type="dxa"/>
            <w:tcBorders>
              <w:top w:val="nil"/>
              <w:left w:val="nil"/>
              <w:bottom w:val="nil"/>
              <w:right w:val="nil"/>
            </w:tcBorders>
            <w:shd w:val="clear" w:color="auto" w:fill="auto"/>
            <w:noWrap/>
            <w:vAlign w:val="bottom"/>
          </w:tcPr>
          <w:p w:rsidR="00C925E9" w:rsidRPr="00010594" w:rsidRDefault="00C925E9" w:rsidP="006532BA">
            <w:pPr>
              <w:pStyle w:val="Tabletext"/>
              <w:tabs>
                <w:tab w:val="decimal" w:pos="720"/>
              </w:tabs>
              <w:jc w:val="right"/>
            </w:pPr>
            <w:r>
              <w:t>&lt;1</w:t>
            </w:r>
          </w:p>
        </w:tc>
        <w:tc>
          <w:tcPr>
            <w:tcW w:w="1440" w:type="dxa"/>
            <w:tcBorders>
              <w:top w:val="nil"/>
              <w:left w:val="nil"/>
              <w:bottom w:val="nil"/>
              <w:right w:val="nil"/>
            </w:tcBorders>
            <w:shd w:val="clear" w:color="auto" w:fill="auto"/>
            <w:noWrap/>
            <w:vAlign w:val="bottom"/>
          </w:tcPr>
          <w:p w:rsidR="00C925E9" w:rsidRPr="00010594" w:rsidRDefault="00C925E9" w:rsidP="006532BA">
            <w:pPr>
              <w:pStyle w:val="Tabletext"/>
              <w:tabs>
                <w:tab w:val="decimal" w:pos="720"/>
              </w:tabs>
              <w:jc w:val="right"/>
            </w:pPr>
            <w:r>
              <w:t>1</w:t>
            </w:r>
          </w:p>
        </w:tc>
        <w:tc>
          <w:tcPr>
            <w:tcW w:w="1440" w:type="dxa"/>
            <w:tcBorders>
              <w:top w:val="nil"/>
              <w:left w:val="nil"/>
              <w:bottom w:val="nil"/>
              <w:right w:val="nil"/>
            </w:tcBorders>
            <w:vAlign w:val="bottom"/>
          </w:tcPr>
          <w:p w:rsidR="00C925E9" w:rsidRDefault="00C925E9" w:rsidP="006532BA">
            <w:pPr>
              <w:pStyle w:val="Tabletext"/>
              <w:tabs>
                <w:tab w:val="decimal" w:pos="720"/>
              </w:tabs>
              <w:jc w:val="right"/>
            </w:pPr>
            <w:r>
              <w:t>0</w:t>
            </w:r>
          </w:p>
        </w:tc>
      </w:tr>
      <w:tr w:rsidR="00C925E9" w:rsidRPr="00010594">
        <w:trPr>
          <w:trHeight w:val="255"/>
        </w:trPr>
        <w:tc>
          <w:tcPr>
            <w:tcW w:w="2880" w:type="dxa"/>
            <w:tcBorders>
              <w:top w:val="nil"/>
              <w:left w:val="nil"/>
              <w:bottom w:val="nil"/>
              <w:right w:val="nil"/>
            </w:tcBorders>
            <w:shd w:val="clear" w:color="auto" w:fill="auto"/>
            <w:noWrap/>
            <w:vAlign w:val="bottom"/>
          </w:tcPr>
          <w:p w:rsidR="00C925E9" w:rsidRPr="00010594" w:rsidRDefault="00C925E9" w:rsidP="00200C9F">
            <w:pPr>
              <w:pStyle w:val="Tabletext"/>
            </w:pPr>
            <w:r w:rsidRPr="00010594">
              <w:t>Other</w:t>
            </w:r>
          </w:p>
        </w:tc>
        <w:tc>
          <w:tcPr>
            <w:tcW w:w="1440" w:type="dxa"/>
            <w:tcBorders>
              <w:top w:val="nil"/>
              <w:left w:val="nil"/>
              <w:bottom w:val="nil"/>
              <w:right w:val="nil"/>
            </w:tcBorders>
            <w:shd w:val="clear" w:color="auto" w:fill="auto"/>
            <w:noWrap/>
            <w:vAlign w:val="bottom"/>
          </w:tcPr>
          <w:p w:rsidR="00C925E9" w:rsidRPr="00010594" w:rsidRDefault="00C925E9" w:rsidP="006532BA">
            <w:pPr>
              <w:pStyle w:val="Tabletext"/>
              <w:tabs>
                <w:tab w:val="decimal" w:pos="720"/>
              </w:tabs>
              <w:jc w:val="right"/>
            </w:pPr>
            <w:r w:rsidRPr="00010594">
              <w:t>10</w:t>
            </w:r>
          </w:p>
        </w:tc>
        <w:tc>
          <w:tcPr>
            <w:tcW w:w="1440" w:type="dxa"/>
            <w:tcBorders>
              <w:top w:val="nil"/>
              <w:left w:val="nil"/>
              <w:bottom w:val="nil"/>
              <w:right w:val="nil"/>
            </w:tcBorders>
            <w:shd w:val="clear" w:color="auto" w:fill="auto"/>
            <w:noWrap/>
            <w:vAlign w:val="bottom"/>
          </w:tcPr>
          <w:p w:rsidR="00C925E9" w:rsidRPr="00010594" w:rsidRDefault="00C925E9" w:rsidP="006532BA">
            <w:pPr>
              <w:pStyle w:val="Tabletext"/>
              <w:tabs>
                <w:tab w:val="decimal" w:pos="720"/>
              </w:tabs>
              <w:jc w:val="right"/>
            </w:pPr>
            <w:r>
              <w:t>20</w:t>
            </w:r>
          </w:p>
        </w:tc>
        <w:tc>
          <w:tcPr>
            <w:tcW w:w="1440" w:type="dxa"/>
            <w:tcBorders>
              <w:top w:val="nil"/>
              <w:left w:val="nil"/>
              <w:bottom w:val="nil"/>
              <w:right w:val="nil"/>
            </w:tcBorders>
            <w:vAlign w:val="bottom"/>
          </w:tcPr>
          <w:p w:rsidR="00C925E9" w:rsidRDefault="00C925E9" w:rsidP="006532BA">
            <w:pPr>
              <w:pStyle w:val="Tabletext"/>
              <w:tabs>
                <w:tab w:val="decimal" w:pos="720"/>
              </w:tabs>
              <w:jc w:val="right"/>
            </w:pPr>
            <w:r>
              <w:t>2</w:t>
            </w:r>
          </w:p>
        </w:tc>
      </w:tr>
      <w:tr w:rsidR="00C925E9" w:rsidRPr="00010594" w:rsidTr="006532BA">
        <w:trPr>
          <w:trHeight w:val="255"/>
        </w:trPr>
        <w:tc>
          <w:tcPr>
            <w:tcW w:w="2880" w:type="dxa"/>
            <w:tcBorders>
              <w:top w:val="nil"/>
              <w:left w:val="nil"/>
              <w:right w:val="nil"/>
            </w:tcBorders>
            <w:shd w:val="clear" w:color="auto" w:fill="auto"/>
            <w:noWrap/>
            <w:vAlign w:val="bottom"/>
          </w:tcPr>
          <w:p w:rsidR="00C925E9" w:rsidRPr="00010594" w:rsidRDefault="00C925E9" w:rsidP="00200C9F">
            <w:pPr>
              <w:pStyle w:val="Tabletext"/>
            </w:pPr>
            <w:r w:rsidRPr="00010594">
              <w:t>Unknown</w:t>
            </w:r>
          </w:p>
        </w:tc>
        <w:tc>
          <w:tcPr>
            <w:tcW w:w="1440" w:type="dxa"/>
            <w:tcBorders>
              <w:top w:val="nil"/>
              <w:left w:val="nil"/>
              <w:right w:val="nil"/>
            </w:tcBorders>
            <w:shd w:val="clear" w:color="auto" w:fill="auto"/>
            <w:noWrap/>
            <w:vAlign w:val="bottom"/>
          </w:tcPr>
          <w:p w:rsidR="00C925E9" w:rsidRPr="00010594" w:rsidRDefault="00C925E9" w:rsidP="006532BA">
            <w:pPr>
              <w:pStyle w:val="Tabletext"/>
              <w:tabs>
                <w:tab w:val="decimal" w:pos="720"/>
              </w:tabs>
              <w:jc w:val="right"/>
            </w:pPr>
            <w:r w:rsidRPr="00010594">
              <w:t>18</w:t>
            </w:r>
          </w:p>
        </w:tc>
        <w:tc>
          <w:tcPr>
            <w:tcW w:w="1440" w:type="dxa"/>
            <w:tcBorders>
              <w:top w:val="nil"/>
              <w:left w:val="nil"/>
              <w:right w:val="nil"/>
            </w:tcBorders>
            <w:shd w:val="clear" w:color="auto" w:fill="auto"/>
            <w:noWrap/>
            <w:vAlign w:val="bottom"/>
          </w:tcPr>
          <w:p w:rsidR="00C925E9" w:rsidRPr="00010594" w:rsidRDefault="00C925E9" w:rsidP="006532BA">
            <w:pPr>
              <w:pStyle w:val="Tabletext"/>
              <w:tabs>
                <w:tab w:val="decimal" w:pos="720"/>
              </w:tabs>
              <w:jc w:val="right"/>
            </w:pPr>
            <w:r w:rsidRPr="00010594">
              <w:t>34</w:t>
            </w:r>
          </w:p>
        </w:tc>
        <w:tc>
          <w:tcPr>
            <w:tcW w:w="1440" w:type="dxa"/>
            <w:tcBorders>
              <w:top w:val="nil"/>
              <w:left w:val="nil"/>
              <w:right w:val="nil"/>
            </w:tcBorders>
            <w:vAlign w:val="bottom"/>
          </w:tcPr>
          <w:p w:rsidR="00C925E9" w:rsidRPr="00010594" w:rsidRDefault="00C925E9" w:rsidP="006532BA">
            <w:pPr>
              <w:pStyle w:val="Tabletext"/>
              <w:tabs>
                <w:tab w:val="decimal" w:pos="720"/>
              </w:tabs>
              <w:jc w:val="right"/>
            </w:pPr>
            <w:r>
              <w:t>3</w:t>
            </w:r>
          </w:p>
        </w:tc>
      </w:tr>
      <w:tr w:rsidR="00C925E9" w:rsidRPr="00010594" w:rsidTr="006532BA">
        <w:trPr>
          <w:trHeight w:val="255"/>
        </w:trPr>
        <w:tc>
          <w:tcPr>
            <w:tcW w:w="2880" w:type="dxa"/>
            <w:tcBorders>
              <w:left w:val="nil"/>
              <w:bottom w:val="single" w:sz="4" w:space="0" w:color="auto"/>
              <w:right w:val="nil"/>
            </w:tcBorders>
            <w:shd w:val="clear" w:color="auto" w:fill="auto"/>
            <w:noWrap/>
            <w:vAlign w:val="bottom"/>
          </w:tcPr>
          <w:p w:rsidR="00C925E9" w:rsidRPr="00010594" w:rsidRDefault="00C925E9" w:rsidP="00200C9F">
            <w:pPr>
              <w:pStyle w:val="Tabletext"/>
              <w:rPr>
                <w:b/>
                <w:bCs/>
              </w:rPr>
            </w:pPr>
            <w:r w:rsidRPr="00010594">
              <w:rPr>
                <w:b/>
                <w:bCs/>
              </w:rPr>
              <w:t>Total</w:t>
            </w:r>
          </w:p>
        </w:tc>
        <w:tc>
          <w:tcPr>
            <w:tcW w:w="1440" w:type="dxa"/>
            <w:tcBorders>
              <w:left w:val="nil"/>
              <w:bottom w:val="single" w:sz="4" w:space="0" w:color="auto"/>
              <w:right w:val="nil"/>
            </w:tcBorders>
            <w:shd w:val="clear" w:color="auto" w:fill="auto"/>
            <w:noWrap/>
            <w:vAlign w:val="bottom"/>
          </w:tcPr>
          <w:p w:rsidR="00C925E9" w:rsidRPr="00010594" w:rsidRDefault="00C925E9" w:rsidP="006532BA">
            <w:pPr>
              <w:pStyle w:val="Tabletext"/>
              <w:tabs>
                <w:tab w:val="decimal" w:pos="720"/>
              </w:tabs>
              <w:jc w:val="right"/>
              <w:rPr>
                <w:b/>
                <w:bCs/>
              </w:rPr>
            </w:pPr>
            <w:r w:rsidRPr="00010594">
              <w:rPr>
                <w:b/>
                <w:bCs/>
              </w:rPr>
              <w:t>51</w:t>
            </w:r>
          </w:p>
        </w:tc>
        <w:tc>
          <w:tcPr>
            <w:tcW w:w="1440" w:type="dxa"/>
            <w:tcBorders>
              <w:left w:val="nil"/>
              <w:bottom w:val="single" w:sz="4" w:space="0" w:color="auto"/>
              <w:right w:val="nil"/>
            </w:tcBorders>
            <w:shd w:val="clear" w:color="auto" w:fill="auto"/>
            <w:noWrap/>
            <w:vAlign w:val="bottom"/>
          </w:tcPr>
          <w:p w:rsidR="00C925E9" w:rsidRPr="00010594" w:rsidRDefault="00C925E9" w:rsidP="006532BA">
            <w:pPr>
              <w:pStyle w:val="Tabletext"/>
              <w:tabs>
                <w:tab w:val="decimal" w:pos="720"/>
              </w:tabs>
              <w:jc w:val="right"/>
              <w:rPr>
                <w:b/>
                <w:bCs/>
              </w:rPr>
            </w:pPr>
            <w:r w:rsidRPr="00010594">
              <w:rPr>
                <w:b/>
                <w:bCs/>
              </w:rPr>
              <w:t>100</w:t>
            </w:r>
          </w:p>
        </w:tc>
        <w:tc>
          <w:tcPr>
            <w:tcW w:w="1440" w:type="dxa"/>
            <w:tcBorders>
              <w:left w:val="nil"/>
              <w:bottom w:val="single" w:sz="4" w:space="0" w:color="auto"/>
              <w:right w:val="nil"/>
            </w:tcBorders>
            <w:vAlign w:val="bottom"/>
          </w:tcPr>
          <w:p w:rsidR="00C925E9" w:rsidRPr="00010594" w:rsidRDefault="00C925E9" w:rsidP="006532BA">
            <w:pPr>
              <w:pStyle w:val="Tabletext"/>
              <w:tabs>
                <w:tab w:val="decimal" w:pos="720"/>
              </w:tabs>
              <w:jc w:val="right"/>
              <w:rPr>
                <w:b/>
                <w:bCs/>
              </w:rPr>
            </w:pPr>
            <w:r>
              <w:rPr>
                <w:b/>
                <w:bCs/>
              </w:rPr>
              <w:t>10</w:t>
            </w:r>
          </w:p>
        </w:tc>
      </w:tr>
    </w:tbl>
    <w:p w:rsidR="00C925E9" w:rsidRDefault="00C925E9" w:rsidP="00200C9F">
      <w:pPr>
        <w:pStyle w:val="Heading2"/>
        <w:rPr>
          <w:lang w:val="en-US"/>
        </w:rPr>
      </w:pPr>
      <w:bookmarkStart w:id="67" w:name="_Toc323035615"/>
      <w:r>
        <w:rPr>
          <w:lang w:val="en-US"/>
        </w:rPr>
        <w:t>Summary</w:t>
      </w:r>
      <w:bookmarkEnd w:id="67"/>
    </w:p>
    <w:p w:rsidR="00C925E9" w:rsidRDefault="00C925E9" w:rsidP="00200C9F">
      <w:pPr>
        <w:pStyle w:val="Dotpoint1"/>
        <w:rPr>
          <w:lang w:val="en-US"/>
        </w:rPr>
      </w:pPr>
      <w:r>
        <w:rPr>
          <w:lang w:val="en-US"/>
        </w:rPr>
        <w:t>Work and study are the most common activities during a gap year.</w:t>
      </w:r>
    </w:p>
    <w:p w:rsidR="00C925E9" w:rsidRDefault="00C925E9" w:rsidP="00200C9F">
      <w:pPr>
        <w:pStyle w:val="Dotpoint1"/>
        <w:rPr>
          <w:lang w:val="en-US"/>
        </w:rPr>
      </w:pPr>
      <w:r>
        <w:rPr>
          <w:lang w:val="en-US"/>
        </w:rPr>
        <w:t>Of those who worked, 38% (or 15% of all gappers</w:t>
      </w:r>
      <w:r w:rsidR="00D02FAE">
        <w:rPr>
          <w:rStyle w:val="FootnoteReference"/>
          <w:lang w:val="en-US"/>
        </w:rPr>
        <w:footnoteReference w:id="11"/>
      </w:r>
      <w:r>
        <w:rPr>
          <w:lang w:val="en-US"/>
        </w:rPr>
        <w:t>) earned enough to qualify for Youth Allowance payments.</w:t>
      </w:r>
    </w:p>
    <w:p w:rsidR="00C925E9" w:rsidRDefault="00C925E9" w:rsidP="00200C9F">
      <w:pPr>
        <w:pStyle w:val="Dotpoint1"/>
        <w:rPr>
          <w:lang w:val="en-US"/>
        </w:rPr>
      </w:pPr>
      <w:r>
        <w:rPr>
          <w:lang w:val="en-US"/>
        </w:rPr>
        <w:t>Very few students (3%) nominated travel as their dominant activity during a gap year.</w:t>
      </w:r>
    </w:p>
    <w:p w:rsidR="00C925E9" w:rsidRDefault="00C925E9" w:rsidP="00200C9F">
      <w:pPr>
        <w:pStyle w:val="Text"/>
        <w:rPr>
          <w:lang w:val="en-US"/>
        </w:rPr>
      </w:pPr>
    </w:p>
    <w:p w:rsidR="00C925E9" w:rsidRDefault="00C925E9" w:rsidP="00200C9F">
      <w:pPr>
        <w:pStyle w:val="Heading1"/>
        <w:rPr>
          <w:lang w:val="en-US"/>
        </w:rPr>
      </w:pPr>
      <w:r>
        <w:rPr>
          <w:lang w:val="en-US"/>
        </w:rPr>
        <w:br w:type="page"/>
      </w:r>
      <w:bookmarkStart w:id="68" w:name="_Toc323035616"/>
      <w:r>
        <w:rPr>
          <w:lang w:val="en-US"/>
        </w:rPr>
        <w:lastRenderedPageBreak/>
        <w:t>Course progress and attrition</w:t>
      </w:r>
      <w:bookmarkEnd w:id="68"/>
    </w:p>
    <w:p w:rsidR="00C925E9" w:rsidRDefault="00C925E9" w:rsidP="00200C9F">
      <w:pPr>
        <w:pStyle w:val="Text"/>
        <w:rPr>
          <w:lang w:val="en-US"/>
        </w:rPr>
      </w:pPr>
      <w:r>
        <w:rPr>
          <w:lang w:val="en-US"/>
        </w:rPr>
        <w:t>Research from the United Kingdom (Jones 2004) and Australia (McMillan 2005) suggests that gappers are better organised and more motivated than non-gappers and that this results in fewer gappers dropping out of or changing courses. Using Y98 cohort data, we investigate the persistence and progress that gappers reveal in their courses compared with non-gappers.</w:t>
      </w:r>
    </w:p>
    <w:p w:rsidR="00C925E9" w:rsidRDefault="00C925E9" w:rsidP="00200C9F">
      <w:pPr>
        <w:pStyle w:val="Heading2"/>
        <w:rPr>
          <w:lang w:val="en-US"/>
        </w:rPr>
      </w:pPr>
      <w:bookmarkStart w:id="69" w:name="_Toc323035617"/>
      <w:r>
        <w:rPr>
          <w:lang w:val="en-US"/>
        </w:rPr>
        <w:t>Student intention and enrolment</w:t>
      </w:r>
      <w:bookmarkEnd w:id="69"/>
    </w:p>
    <w:p w:rsidR="00C925E9" w:rsidRDefault="00C925E9" w:rsidP="00200C9F">
      <w:pPr>
        <w:pStyle w:val="Text"/>
        <w:rPr>
          <w:lang w:val="en-US"/>
        </w:rPr>
      </w:pPr>
      <w:r>
        <w:rPr>
          <w:lang w:val="en-US"/>
        </w:rPr>
        <w:t>Students’ intentions exert a very strong influence on school completion and university commencement (Khoo &amp; Ainley 2005). This is borne out in the university enrolment status of Y98 students (table 15). Over 70% of those who intended to go to university did enrol, and, of those who enrolled, over 80% did so immediately after leaving school: 15% did so after taking a gap and 4% commenced after a longer break.</w:t>
      </w:r>
    </w:p>
    <w:p w:rsidR="00C925E9" w:rsidRDefault="00C925E9" w:rsidP="00200C9F">
      <w:pPr>
        <w:pStyle w:val="Text"/>
        <w:rPr>
          <w:lang w:val="en-US"/>
        </w:rPr>
      </w:pPr>
      <w:r>
        <w:rPr>
          <w:lang w:val="en-US"/>
        </w:rPr>
        <w:t>Of those students who intended to pursue apprenticeships or TAFE (technical and further education) courses, most did not enter university. One-quarter did commence university, and of those, one-third did so after a gap year or a longer break.</w:t>
      </w:r>
    </w:p>
    <w:p w:rsidR="00C925E9" w:rsidRDefault="00C925E9" w:rsidP="00200C9F">
      <w:pPr>
        <w:pStyle w:val="Text"/>
        <w:rPr>
          <w:lang w:val="en-US"/>
        </w:rPr>
      </w:pPr>
      <w:r>
        <w:rPr>
          <w:lang w:val="en-US"/>
        </w:rPr>
        <w:t>Approximately two-fifths of students who intended to find employment upon leaving school did commence a university course. Most (72%) of those who did enrol did so immediately after leaving school: one-quarter took a gap year and 4% were later entrants.</w:t>
      </w:r>
    </w:p>
    <w:p w:rsidR="00C925E9" w:rsidRDefault="00C925E9" w:rsidP="00200C9F">
      <w:pPr>
        <w:pStyle w:val="tabletitle"/>
        <w:ind w:left="993" w:hanging="993"/>
      </w:pPr>
      <w:bookmarkStart w:id="70" w:name="_Toc322691618"/>
      <w:r>
        <w:t>Table 15</w:t>
      </w:r>
      <w:r>
        <w:tab/>
        <w:t>University commencement, including gap status, by post-school intention for Y98 students</w:t>
      </w:r>
      <w:bookmarkEnd w:id="70"/>
    </w:p>
    <w:tbl>
      <w:tblPr>
        <w:tblW w:w="0" w:type="auto"/>
        <w:tblInd w:w="93" w:type="dxa"/>
        <w:tblLook w:val="0000"/>
      </w:tblPr>
      <w:tblGrid>
        <w:gridCol w:w="1474"/>
        <w:gridCol w:w="1355"/>
        <w:gridCol w:w="1134"/>
        <w:gridCol w:w="1134"/>
        <w:gridCol w:w="1134"/>
        <w:gridCol w:w="1021"/>
        <w:gridCol w:w="1021"/>
      </w:tblGrid>
      <w:tr w:rsidR="00AF5A17" w:rsidRPr="00436D3F" w:rsidTr="00851FD6">
        <w:trPr>
          <w:trHeight w:val="255"/>
        </w:trPr>
        <w:tc>
          <w:tcPr>
            <w:tcW w:w="1474" w:type="dxa"/>
            <w:tcBorders>
              <w:top w:val="single" w:sz="4" w:space="0" w:color="auto"/>
              <w:left w:val="nil"/>
              <w:bottom w:val="nil"/>
              <w:right w:val="nil"/>
            </w:tcBorders>
            <w:shd w:val="clear" w:color="auto" w:fill="auto"/>
            <w:noWrap/>
            <w:vAlign w:val="bottom"/>
          </w:tcPr>
          <w:p w:rsidR="00AF5A17" w:rsidRPr="00436D3F" w:rsidRDefault="00AF5A17" w:rsidP="006532BA">
            <w:pPr>
              <w:pStyle w:val="Tablehead1"/>
            </w:pPr>
            <w:r>
              <w:t>Post-school intentions</w:t>
            </w:r>
          </w:p>
        </w:tc>
        <w:tc>
          <w:tcPr>
            <w:tcW w:w="4757" w:type="dxa"/>
            <w:gridSpan w:val="4"/>
            <w:tcBorders>
              <w:top w:val="single" w:sz="4" w:space="0" w:color="auto"/>
              <w:left w:val="nil"/>
              <w:bottom w:val="nil"/>
              <w:right w:val="nil"/>
            </w:tcBorders>
            <w:shd w:val="clear" w:color="auto" w:fill="auto"/>
            <w:noWrap/>
          </w:tcPr>
          <w:p w:rsidR="00AF5A17" w:rsidRPr="00436D3F" w:rsidRDefault="00AF5A17" w:rsidP="00851FD6">
            <w:pPr>
              <w:pStyle w:val="Tablehead1"/>
              <w:ind w:right="438"/>
              <w:jc w:val="right"/>
            </w:pPr>
            <w:r>
              <w:t>University commencement status (%)</w:t>
            </w:r>
          </w:p>
        </w:tc>
        <w:tc>
          <w:tcPr>
            <w:tcW w:w="1021" w:type="dxa"/>
            <w:vMerge w:val="restart"/>
            <w:tcBorders>
              <w:top w:val="single" w:sz="4" w:space="0" w:color="auto"/>
              <w:left w:val="nil"/>
              <w:right w:val="nil"/>
            </w:tcBorders>
            <w:shd w:val="clear" w:color="auto" w:fill="auto"/>
            <w:noWrap/>
          </w:tcPr>
          <w:p w:rsidR="00AF5A17" w:rsidRPr="00436D3F" w:rsidRDefault="00AF5A17" w:rsidP="00AF5A17">
            <w:pPr>
              <w:pStyle w:val="Tablehead1"/>
              <w:jc w:val="right"/>
            </w:pPr>
            <w:r>
              <w:t xml:space="preserve">Total </w:t>
            </w:r>
            <w:r>
              <w:br/>
              <w:t>(%)</w:t>
            </w:r>
          </w:p>
        </w:tc>
        <w:tc>
          <w:tcPr>
            <w:tcW w:w="1021" w:type="dxa"/>
            <w:vMerge w:val="restart"/>
            <w:tcBorders>
              <w:top w:val="single" w:sz="4" w:space="0" w:color="auto"/>
              <w:left w:val="nil"/>
              <w:right w:val="nil"/>
            </w:tcBorders>
            <w:shd w:val="clear" w:color="auto" w:fill="auto"/>
            <w:noWrap/>
          </w:tcPr>
          <w:p w:rsidR="00AF5A17" w:rsidRPr="00436D3F" w:rsidRDefault="00AF5A17" w:rsidP="00AF5A17">
            <w:pPr>
              <w:pStyle w:val="Tablehead1"/>
              <w:jc w:val="right"/>
            </w:pPr>
            <w:r>
              <w:t xml:space="preserve">Total </w:t>
            </w:r>
            <w:r>
              <w:br/>
              <w:t>(N)</w:t>
            </w:r>
          </w:p>
        </w:tc>
      </w:tr>
      <w:tr w:rsidR="00AF5A17" w:rsidRPr="00436D3F" w:rsidTr="00851FD6">
        <w:trPr>
          <w:trHeight w:val="255"/>
        </w:trPr>
        <w:tc>
          <w:tcPr>
            <w:tcW w:w="1474" w:type="dxa"/>
            <w:vMerge w:val="restart"/>
            <w:tcBorders>
              <w:top w:val="nil"/>
              <w:left w:val="nil"/>
              <w:right w:val="nil"/>
            </w:tcBorders>
            <w:shd w:val="clear" w:color="auto" w:fill="auto"/>
            <w:noWrap/>
            <w:vAlign w:val="bottom"/>
          </w:tcPr>
          <w:p w:rsidR="00AF5A17" w:rsidRPr="00436D3F" w:rsidRDefault="00AF5A17" w:rsidP="00200C9F">
            <w:pPr>
              <w:pStyle w:val="Tablehead2"/>
            </w:pPr>
          </w:p>
        </w:tc>
        <w:tc>
          <w:tcPr>
            <w:tcW w:w="3623" w:type="dxa"/>
            <w:gridSpan w:val="3"/>
            <w:tcBorders>
              <w:top w:val="nil"/>
              <w:left w:val="nil"/>
              <w:right w:val="nil"/>
            </w:tcBorders>
            <w:shd w:val="clear" w:color="auto" w:fill="auto"/>
            <w:noWrap/>
          </w:tcPr>
          <w:p w:rsidR="00AF5A17" w:rsidRPr="00436D3F" w:rsidRDefault="00AF5A17" w:rsidP="00851FD6">
            <w:pPr>
              <w:pStyle w:val="Tablehead2"/>
              <w:spacing w:before="0" w:after="0"/>
              <w:jc w:val="center"/>
            </w:pPr>
            <w:r>
              <w:t>Commenced university</w:t>
            </w:r>
          </w:p>
        </w:tc>
        <w:tc>
          <w:tcPr>
            <w:tcW w:w="1134" w:type="dxa"/>
            <w:tcBorders>
              <w:top w:val="nil"/>
              <w:left w:val="nil"/>
              <w:right w:val="nil"/>
            </w:tcBorders>
            <w:shd w:val="clear" w:color="auto" w:fill="auto"/>
            <w:noWrap/>
          </w:tcPr>
          <w:p w:rsidR="00AF5A17" w:rsidRPr="00436D3F" w:rsidRDefault="00AF5A17" w:rsidP="00851FD6">
            <w:pPr>
              <w:pStyle w:val="Tablehead2"/>
              <w:spacing w:before="0" w:after="0"/>
              <w:jc w:val="right"/>
            </w:pPr>
            <w:r>
              <w:t>Did not enrol</w:t>
            </w:r>
          </w:p>
        </w:tc>
        <w:tc>
          <w:tcPr>
            <w:tcW w:w="1021" w:type="dxa"/>
            <w:vMerge/>
            <w:tcBorders>
              <w:left w:val="nil"/>
              <w:right w:val="nil"/>
            </w:tcBorders>
            <w:shd w:val="clear" w:color="auto" w:fill="auto"/>
            <w:noWrap/>
            <w:vAlign w:val="bottom"/>
          </w:tcPr>
          <w:p w:rsidR="00AF5A17" w:rsidRPr="00436D3F" w:rsidRDefault="00AF5A17" w:rsidP="00200C9F">
            <w:pPr>
              <w:pStyle w:val="Tabletext"/>
              <w:jc w:val="center"/>
            </w:pPr>
          </w:p>
        </w:tc>
        <w:tc>
          <w:tcPr>
            <w:tcW w:w="1021" w:type="dxa"/>
            <w:vMerge/>
            <w:tcBorders>
              <w:left w:val="nil"/>
              <w:right w:val="nil"/>
            </w:tcBorders>
            <w:shd w:val="clear" w:color="auto" w:fill="auto"/>
            <w:noWrap/>
            <w:vAlign w:val="bottom"/>
          </w:tcPr>
          <w:p w:rsidR="00AF5A17" w:rsidRPr="00436D3F" w:rsidRDefault="00AF5A17" w:rsidP="00200C9F">
            <w:pPr>
              <w:pStyle w:val="Tabletext"/>
              <w:jc w:val="center"/>
            </w:pPr>
          </w:p>
        </w:tc>
      </w:tr>
      <w:tr w:rsidR="00C925E9" w:rsidRPr="00436D3F">
        <w:trPr>
          <w:trHeight w:val="255"/>
        </w:trPr>
        <w:tc>
          <w:tcPr>
            <w:tcW w:w="1474" w:type="dxa"/>
            <w:vMerge/>
            <w:tcBorders>
              <w:left w:val="nil"/>
              <w:bottom w:val="single" w:sz="4" w:space="0" w:color="auto"/>
              <w:right w:val="nil"/>
            </w:tcBorders>
            <w:shd w:val="clear" w:color="auto" w:fill="auto"/>
            <w:noWrap/>
            <w:vAlign w:val="bottom"/>
          </w:tcPr>
          <w:p w:rsidR="00C925E9" w:rsidRPr="00436D3F" w:rsidRDefault="00C925E9" w:rsidP="00200C9F">
            <w:pPr>
              <w:pStyle w:val="Tabletext"/>
            </w:pPr>
          </w:p>
        </w:tc>
        <w:tc>
          <w:tcPr>
            <w:tcW w:w="1355" w:type="dxa"/>
            <w:tcBorders>
              <w:top w:val="nil"/>
              <w:left w:val="nil"/>
              <w:bottom w:val="single" w:sz="4" w:space="0" w:color="auto"/>
              <w:right w:val="nil"/>
            </w:tcBorders>
            <w:shd w:val="clear" w:color="auto" w:fill="auto"/>
            <w:noWrap/>
            <w:vAlign w:val="bottom"/>
          </w:tcPr>
          <w:p w:rsidR="00C925E9" w:rsidRPr="00436D3F" w:rsidRDefault="00C925E9" w:rsidP="006532BA">
            <w:pPr>
              <w:pStyle w:val="Tablehead3"/>
              <w:spacing w:before="0"/>
              <w:jc w:val="right"/>
            </w:pPr>
            <w:r>
              <w:t>Non-gapper</w:t>
            </w:r>
          </w:p>
        </w:tc>
        <w:tc>
          <w:tcPr>
            <w:tcW w:w="1134" w:type="dxa"/>
            <w:tcBorders>
              <w:top w:val="nil"/>
              <w:left w:val="nil"/>
              <w:bottom w:val="single" w:sz="4" w:space="0" w:color="auto"/>
              <w:right w:val="nil"/>
            </w:tcBorders>
            <w:shd w:val="clear" w:color="auto" w:fill="auto"/>
            <w:noWrap/>
            <w:vAlign w:val="bottom"/>
          </w:tcPr>
          <w:p w:rsidR="00C925E9" w:rsidRPr="00436D3F" w:rsidRDefault="00C925E9" w:rsidP="006532BA">
            <w:pPr>
              <w:pStyle w:val="Tablehead3"/>
              <w:spacing w:before="0"/>
              <w:jc w:val="right"/>
            </w:pPr>
            <w:r>
              <w:t>Gapper</w:t>
            </w:r>
          </w:p>
        </w:tc>
        <w:tc>
          <w:tcPr>
            <w:tcW w:w="1134" w:type="dxa"/>
            <w:tcBorders>
              <w:top w:val="nil"/>
              <w:left w:val="nil"/>
              <w:bottom w:val="single" w:sz="4" w:space="0" w:color="auto"/>
              <w:right w:val="nil"/>
            </w:tcBorders>
            <w:shd w:val="clear" w:color="auto" w:fill="auto"/>
            <w:noWrap/>
            <w:vAlign w:val="bottom"/>
          </w:tcPr>
          <w:p w:rsidR="00C925E9" w:rsidRPr="00436D3F" w:rsidRDefault="00C925E9" w:rsidP="006532BA">
            <w:pPr>
              <w:pStyle w:val="Tablehead3"/>
              <w:spacing w:before="0"/>
              <w:jc w:val="right"/>
            </w:pPr>
            <w:r>
              <w:t>Later entrant</w:t>
            </w:r>
          </w:p>
        </w:tc>
        <w:tc>
          <w:tcPr>
            <w:tcW w:w="1134" w:type="dxa"/>
            <w:tcBorders>
              <w:top w:val="nil"/>
              <w:left w:val="nil"/>
              <w:bottom w:val="single" w:sz="4" w:space="0" w:color="auto"/>
              <w:right w:val="nil"/>
            </w:tcBorders>
            <w:shd w:val="clear" w:color="auto" w:fill="auto"/>
            <w:noWrap/>
            <w:vAlign w:val="bottom"/>
          </w:tcPr>
          <w:p w:rsidR="00C925E9" w:rsidRPr="00436D3F" w:rsidRDefault="00C925E9" w:rsidP="006532BA">
            <w:pPr>
              <w:pStyle w:val="Tabletext"/>
              <w:jc w:val="right"/>
            </w:pPr>
          </w:p>
        </w:tc>
        <w:tc>
          <w:tcPr>
            <w:tcW w:w="1021" w:type="dxa"/>
            <w:tcBorders>
              <w:top w:val="nil"/>
              <w:left w:val="nil"/>
              <w:bottom w:val="single" w:sz="4" w:space="0" w:color="auto"/>
              <w:right w:val="nil"/>
            </w:tcBorders>
            <w:shd w:val="clear" w:color="auto" w:fill="auto"/>
            <w:noWrap/>
            <w:vAlign w:val="bottom"/>
          </w:tcPr>
          <w:p w:rsidR="00C925E9" w:rsidRPr="00436D3F" w:rsidRDefault="00C925E9" w:rsidP="006532BA">
            <w:pPr>
              <w:pStyle w:val="Tabletext"/>
              <w:jc w:val="right"/>
            </w:pPr>
          </w:p>
        </w:tc>
        <w:tc>
          <w:tcPr>
            <w:tcW w:w="1021" w:type="dxa"/>
            <w:tcBorders>
              <w:top w:val="nil"/>
              <w:left w:val="nil"/>
              <w:bottom w:val="single" w:sz="4" w:space="0" w:color="auto"/>
              <w:right w:val="nil"/>
            </w:tcBorders>
            <w:shd w:val="clear" w:color="auto" w:fill="auto"/>
            <w:noWrap/>
            <w:vAlign w:val="bottom"/>
          </w:tcPr>
          <w:p w:rsidR="00C925E9" w:rsidRPr="00436D3F" w:rsidRDefault="00C925E9" w:rsidP="006532BA">
            <w:pPr>
              <w:pStyle w:val="Tabletext"/>
              <w:jc w:val="right"/>
            </w:pPr>
          </w:p>
        </w:tc>
      </w:tr>
      <w:tr w:rsidR="00C925E9" w:rsidRPr="00436D3F">
        <w:trPr>
          <w:trHeight w:val="255"/>
        </w:trPr>
        <w:tc>
          <w:tcPr>
            <w:tcW w:w="1474" w:type="dxa"/>
            <w:tcBorders>
              <w:top w:val="single" w:sz="4" w:space="0" w:color="auto"/>
              <w:left w:val="nil"/>
              <w:bottom w:val="nil"/>
              <w:right w:val="nil"/>
            </w:tcBorders>
            <w:shd w:val="clear" w:color="auto" w:fill="auto"/>
            <w:noWrap/>
            <w:vAlign w:val="bottom"/>
          </w:tcPr>
          <w:p w:rsidR="00C925E9" w:rsidRPr="00436D3F" w:rsidRDefault="00C925E9" w:rsidP="00200C9F">
            <w:pPr>
              <w:pStyle w:val="Tabletext"/>
            </w:pPr>
            <w:r w:rsidRPr="00436D3F">
              <w:t>University course</w:t>
            </w:r>
          </w:p>
        </w:tc>
        <w:tc>
          <w:tcPr>
            <w:tcW w:w="1355" w:type="dxa"/>
            <w:tcBorders>
              <w:top w:val="single" w:sz="4" w:space="0" w:color="auto"/>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57</w:t>
            </w:r>
          </w:p>
        </w:tc>
        <w:tc>
          <w:tcPr>
            <w:tcW w:w="1134" w:type="dxa"/>
            <w:tcBorders>
              <w:top w:val="single" w:sz="4" w:space="0" w:color="auto"/>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11</w:t>
            </w:r>
          </w:p>
        </w:tc>
        <w:tc>
          <w:tcPr>
            <w:tcW w:w="1134" w:type="dxa"/>
            <w:tcBorders>
              <w:top w:val="single" w:sz="4" w:space="0" w:color="auto"/>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3</w:t>
            </w:r>
          </w:p>
        </w:tc>
        <w:tc>
          <w:tcPr>
            <w:tcW w:w="1134" w:type="dxa"/>
            <w:tcBorders>
              <w:top w:val="single" w:sz="4" w:space="0" w:color="auto"/>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29</w:t>
            </w:r>
          </w:p>
        </w:tc>
        <w:tc>
          <w:tcPr>
            <w:tcW w:w="1021" w:type="dxa"/>
            <w:tcBorders>
              <w:top w:val="single" w:sz="4" w:space="0" w:color="auto"/>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100</w:t>
            </w:r>
          </w:p>
        </w:tc>
        <w:tc>
          <w:tcPr>
            <w:tcW w:w="1021" w:type="dxa"/>
            <w:tcBorders>
              <w:top w:val="single" w:sz="4" w:space="0" w:color="auto"/>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3810</w:t>
            </w:r>
          </w:p>
        </w:tc>
      </w:tr>
      <w:tr w:rsidR="00C925E9" w:rsidRPr="00436D3F">
        <w:trPr>
          <w:trHeight w:val="255"/>
        </w:trPr>
        <w:tc>
          <w:tcPr>
            <w:tcW w:w="1474" w:type="dxa"/>
            <w:tcBorders>
              <w:top w:val="nil"/>
              <w:left w:val="nil"/>
              <w:bottom w:val="nil"/>
              <w:right w:val="nil"/>
            </w:tcBorders>
            <w:shd w:val="clear" w:color="auto" w:fill="auto"/>
            <w:noWrap/>
            <w:vAlign w:val="bottom"/>
          </w:tcPr>
          <w:p w:rsidR="00C925E9" w:rsidRPr="00436D3F" w:rsidRDefault="00C925E9" w:rsidP="00200C9F">
            <w:pPr>
              <w:pStyle w:val="Tabletext"/>
            </w:pPr>
            <w:r w:rsidRPr="00436D3F">
              <w:t>Apprenticeship</w:t>
            </w:r>
          </w:p>
        </w:tc>
        <w:tc>
          <w:tcPr>
            <w:tcW w:w="1355"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15</w:t>
            </w:r>
          </w:p>
        </w:tc>
        <w:tc>
          <w:tcPr>
            <w:tcW w:w="1134"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4</w:t>
            </w:r>
          </w:p>
        </w:tc>
        <w:tc>
          <w:tcPr>
            <w:tcW w:w="1134"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3</w:t>
            </w:r>
          </w:p>
        </w:tc>
        <w:tc>
          <w:tcPr>
            <w:tcW w:w="1134"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78</w:t>
            </w:r>
          </w:p>
        </w:tc>
        <w:tc>
          <w:tcPr>
            <w:tcW w:w="1021"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100</w:t>
            </w:r>
          </w:p>
        </w:tc>
        <w:tc>
          <w:tcPr>
            <w:tcW w:w="1021"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357</w:t>
            </w:r>
          </w:p>
        </w:tc>
      </w:tr>
      <w:tr w:rsidR="00C925E9" w:rsidRPr="00436D3F">
        <w:trPr>
          <w:trHeight w:val="255"/>
        </w:trPr>
        <w:tc>
          <w:tcPr>
            <w:tcW w:w="1474" w:type="dxa"/>
            <w:tcBorders>
              <w:top w:val="nil"/>
              <w:left w:val="nil"/>
              <w:bottom w:val="nil"/>
              <w:right w:val="nil"/>
            </w:tcBorders>
            <w:shd w:val="clear" w:color="auto" w:fill="auto"/>
            <w:noWrap/>
            <w:vAlign w:val="bottom"/>
          </w:tcPr>
          <w:p w:rsidR="00C925E9" w:rsidRPr="00436D3F" w:rsidRDefault="00C925E9" w:rsidP="00200C9F">
            <w:pPr>
              <w:pStyle w:val="Tabletext"/>
            </w:pPr>
            <w:r w:rsidRPr="00436D3F">
              <w:t>TAFE course</w:t>
            </w:r>
          </w:p>
        </w:tc>
        <w:tc>
          <w:tcPr>
            <w:tcW w:w="1355"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17</w:t>
            </w:r>
          </w:p>
        </w:tc>
        <w:tc>
          <w:tcPr>
            <w:tcW w:w="1134"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5</w:t>
            </w:r>
          </w:p>
        </w:tc>
        <w:tc>
          <w:tcPr>
            <w:tcW w:w="1134"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4</w:t>
            </w:r>
          </w:p>
        </w:tc>
        <w:tc>
          <w:tcPr>
            <w:tcW w:w="1134"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74</w:t>
            </w:r>
          </w:p>
        </w:tc>
        <w:tc>
          <w:tcPr>
            <w:tcW w:w="1021"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100</w:t>
            </w:r>
          </w:p>
        </w:tc>
        <w:tc>
          <w:tcPr>
            <w:tcW w:w="1021"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755</w:t>
            </w:r>
          </w:p>
        </w:tc>
      </w:tr>
      <w:tr w:rsidR="00C925E9" w:rsidRPr="00436D3F">
        <w:trPr>
          <w:trHeight w:val="255"/>
        </w:trPr>
        <w:tc>
          <w:tcPr>
            <w:tcW w:w="1474" w:type="dxa"/>
            <w:tcBorders>
              <w:top w:val="nil"/>
              <w:left w:val="nil"/>
              <w:bottom w:val="nil"/>
              <w:right w:val="nil"/>
            </w:tcBorders>
            <w:shd w:val="clear" w:color="auto" w:fill="auto"/>
            <w:noWrap/>
            <w:vAlign w:val="bottom"/>
          </w:tcPr>
          <w:p w:rsidR="00C925E9" w:rsidRPr="00436D3F" w:rsidRDefault="00C925E9" w:rsidP="00200C9F">
            <w:pPr>
              <w:pStyle w:val="Tabletext"/>
            </w:pPr>
            <w:r w:rsidRPr="00436D3F">
              <w:t>Other</w:t>
            </w:r>
            <w:r>
              <w:t xml:space="preserve"> (work)</w:t>
            </w:r>
          </w:p>
        </w:tc>
        <w:tc>
          <w:tcPr>
            <w:tcW w:w="1355"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30</w:t>
            </w:r>
          </w:p>
        </w:tc>
        <w:tc>
          <w:tcPr>
            <w:tcW w:w="1134"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10</w:t>
            </w:r>
          </w:p>
        </w:tc>
        <w:tc>
          <w:tcPr>
            <w:tcW w:w="1134"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2</w:t>
            </w:r>
          </w:p>
        </w:tc>
        <w:tc>
          <w:tcPr>
            <w:tcW w:w="1134"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59</w:t>
            </w:r>
          </w:p>
        </w:tc>
        <w:tc>
          <w:tcPr>
            <w:tcW w:w="1021"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100</w:t>
            </w:r>
          </w:p>
        </w:tc>
        <w:tc>
          <w:tcPr>
            <w:tcW w:w="1021" w:type="dxa"/>
            <w:tcBorders>
              <w:top w:val="nil"/>
              <w:left w:val="nil"/>
              <w:bottom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262</w:t>
            </w:r>
          </w:p>
        </w:tc>
      </w:tr>
      <w:tr w:rsidR="00C925E9" w:rsidRPr="00436D3F">
        <w:trPr>
          <w:trHeight w:val="255"/>
        </w:trPr>
        <w:tc>
          <w:tcPr>
            <w:tcW w:w="1474" w:type="dxa"/>
            <w:tcBorders>
              <w:top w:val="nil"/>
              <w:left w:val="nil"/>
              <w:right w:val="nil"/>
            </w:tcBorders>
            <w:shd w:val="clear" w:color="auto" w:fill="auto"/>
            <w:noWrap/>
            <w:vAlign w:val="bottom"/>
          </w:tcPr>
          <w:p w:rsidR="00C925E9" w:rsidRPr="00436D3F" w:rsidRDefault="00C925E9" w:rsidP="00200C9F">
            <w:pPr>
              <w:pStyle w:val="Tabletext"/>
            </w:pPr>
            <w:r w:rsidRPr="00436D3F">
              <w:t>Unknown</w:t>
            </w:r>
          </w:p>
        </w:tc>
        <w:tc>
          <w:tcPr>
            <w:tcW w:w="1355" w:type="dxa"/>
            <w:tcBorders>
              <w:top w:val="nil"/>
              <w:left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19</w:t>
            </w:r>
          </w:p>
        </w:tc>
        <w:tc>
          <w:tcPr>
            <w:tcW w:w="1134" w:type="dxa"/>
            <w:tcBorders>
              <w:top w:val="nil"/>
              <w:left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7</w:t>
            </w:r>
          </w:p>
        </w:tc>
        <w:tc>
          <w:tcPr>
            <w:tcW w:w="1134" w:type="dxa"/>
            <w:tcBorders>
              <w:top w:val="nil"/>
              <w:left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2</w:t>
            </w:r>
          </w:p>
        </w:tc>
        <w:tc>
          <w:tcPr>
            <w:tcW w:w="1134" w:type="dxa"/>
            <w:tcBorders>
              <w:top w:val="nil"/>
              <w:left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72</w:t>
            </w:r>
          </w:p>
        </w:tc>
        <w:tc>
          <w:tcPr>
            <w:tcW w:w="1021" w:type="dxa"/>
            <w:tcBorders>
              <w:top w:val="nil"/>
              <w:left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100</w:t>
            </w:r>
          </w:p>
        </w:tc>
        <w:tc>
          <w:tcPr>
            <w:tcW w:w="1021" w:type="dxa"/>
            <w:tcBorders>
              <w:top w:val="nil"/>
              <w:left w:val="nil"/>
              <w:right w:val="nil"/>
            </w:tcBorders>
            <w:shd w:val="clear" w:color="auto" w:fill="auto"/>
            <w:noWrap/>
            <w:vAlign w:val="bottom"/>
          </w:tcPr>
          <w:p w:rsidR="00C925E9" w:rsidRPr="00436D3F" w:rsidRDefault="00C925E9" w:rsidP="006532BA">
            <w:pPr>
              <w:pStyle w:val="Tabletext"/>
              <w:tabs>
                <w:tab w:val="decimal" w:pos="567"/>
              </w:tabs>
              <w:jc w:val="right"/>
            </w:pPr>
            <w:r w:rsidRPr="00436D3F">
              <w:t>1005</w:t>
            </w:r>
          </w:p>
        </w:tc>
      </w:tr>
      <w:tr w:rsidR="00C925E9" w:rsidRPr="00A90F81">
        <w:trPr>
          <w:trHeight w:val="255"/>
        </w:trPr>
        <w:tc>
          <w:tcPr>
            <w:tcW w:w="1474" w:type="dxa"/>
            <w:tcBorders>
              <w:top w:val="nil"/>
              <w:left w:val="nil"/>
              <w:bottom w:val="single" w:sz="4" w:space="0" w:color="auto"/>
              <w:right w:val="nil"/>
            </w:tcBorders>
            <w:shd w:val="clear" w:color="auto" w:fill="auto"/>
            <w:noWrap/>
            <w:vAlign w:val="bottom"/>
          </w:tcPr>
          <w:p w:rsidR="00C925E9" w:rsidRPr="00A90F81" w:rsidRDefault="00C925E9" w:rsidP="00200C9F">
            <w:pPr>
              <w:pStyle w:val="Tabletext"/>
              <w:rPr>
                <w:b/>
              </w:rPr>
            </w:pPr>
            <w:r w:rsidRPr="00A90F81">
              <w:rPr>
                <w:b/>
              </w:rPr>
              <w:t>Total</w:t>
            </w:r>
          </w:p>
        </w:tc>
        <w:tc>
          <w:tcPr>
            <w:tcW w:w="1355" w:type="dxa"/>
            <w:tcBorders>
              <w:top w:val="nil"/>
              <w:left w:val="nil"/>
              <w:bottom w:val="single" w:sz="4" w:space="0" w:color="auto"/>
              <w:right w:val="nil"/>
            </w:tcBorders>
            <w:shd w:val="clear" w:color="auto" w:fill="auto"/>
            <w:noWrap/>
            <w:vAlign w:val="bottom"/>
          </w:tcPr>
          <w:p w:rsidR="00C925E9" w:rsidRPr="00A90F81" w:rsidRDefault="00C925E9" w:rsidP="006532BA">
            <w:pPr>
              <w:pStyle w:val="Tabletext"/>
              <w:tabs>
                <w:tab w:val="decimal" w:pos="567"/>
              </w:tabs>
              <w:jc w:val="right"/>
              <w:rPr>
                <w:b/>
              </w:rPr>
            </w:pPr>
            <w:r w:rsidRPr="00A90F81">
              <w:rPr>
                <w:b/>
              </w:rPr>
              <w:t>43</w:t>
            </w:r>
          </w:p>
        </w:tc>
        <w:tc>
          <w:tcPr>
            <w:tcW w:w="1134" w:type="dxa"/>
            <w:tcBorders>
              <w:top w:val="nil"/>
              <w:left w:val="nil"/>
              <w:bottom w:val="single" w:sz="4" w:space="0" w:color="auto"/>
              <w:right w:val="nil"/>
            </w:tcBorders>
            <w:shd w:val="clear" w:color="auto" w:fill="auto"/>
            <w:noWrap/>
            <w:vAlign w:val="bottom"/>
          </w:tcPr>
          <w:p w:rsidR="00C925E9" w:rsidRPr="00A90F81" w:rsidRDefault="00C925E9" w:rsidP="006532BA">
            <w:pPr>
              <w:pStyle w:val="Tabletext"/>
              <w:tabs>
                <w:tab w:val="decimal" w:pos="567"/>
              </w:tabs>
              <w:jc w:val="right"/>
              <w:rPr>
                <w:b/>
              </w:rPr>
            </w:pPr>
            <w:r w:rsidRPr="00A90F81">
              <w:rPr>
                <w:b/>
              </w:rPr>
              <w:t>9</w:t>
            </w:r>
          </w:p>
        </w:tc>
        <w:tc>
          <w:tcPr>
            <w:tcW w:w="1134" w:type="dxa"/>
            <w:tcBorders>
              <w:top w:val="nil"/>
              <w:left w:val="nil"/>
              <w:bottom w:val="single" w:sz="4" w:space="0" w:color="auto"/>
              <w:right w:val="nil"/>
            </w:tcBorders>
            <w:shd w:val="clear" w:color="auto" w:fill="auto"/>
            <w:noWrap/>
            <w:vAlign w:val="bottom"/>
          </w:tcPr>
          <w:p w:rsidR="00C925E9" w:rsidRPr="00A90F81" w:rsidRDefault="00C925E9" w:rsidP="006532BA">
            <w:pPr>
              <w:pStyle w:val="Tabletext"/>
              <w:tabs>
                <w:tab w:val="decimal" w:pos="567"/>
              </w:tabs>
              <w:jc w:val="right"/>
              <w:rPr>
                <w:b/>
              </w:rPr>
            </w:pPr>
            <w:r w:rsidRPr="00A90F81">
              <w:rPr>
                <w:b/>
              </w:rPr>
              <w:t>3</w:t>
            </w:r>
          </w:p>
        </w:tc>
        <w:tc>
          <w:tcPr>
            <w:tcW w:w="1134" w:type="dxa"/>
            <w:tcBorders>
              <w:top w:val="nil"/>
              <w:left w:val="nil"/>
              <w:bottom w:val="single" w:sz="4" w:space="0" w:color="auto"/>
              <w:right w:val="nil"/>
            </w:tcBorders>
            <w:shd w:val="clear" w:color="auto" w:fill="auto"/>
            <w:noWrap/>
            <w:vAlign w:val="bottom"/>
          </w:tcPr>
          <w:p w:rsidR="00C925E9" w:rsidRPr="00A90F81" w:rsidRDefault="00C925E9" w:rsidP="006532BA">
            <w:pPr>
              <w:pStyle w:val="Tabletext"/>
              <w:tabs>
                <w:tab w:val="decimal" w:pos="567"/>
              </w:tabs>
              <w:jc w:val="right"/>
              <w:rPr>
                <w:b/>
              </w:rPr>
            </w:pPr>
            <w:r w:rsidRPr="00A90F81">
              <w:rPr>
                <w:b/>
              </w:rPr>
              <w:t>46</w:t>
            </w:r>
          </w:p>
        </w:tc>
        <w:tc>
          <w:tcPr>
            <w:tcW w:w="1021" w:type="dxa"/>
            <w:tcBorders>
              <w:top w:val="nil"/>
              <w:left w:val="nil"/>
              <w:bottom w:val="single" w:sz="4" w:space="0" w:color="auto"/>
              <w:right w:val="nil"/>
            </w:tcBorders>
            <w:shd w:val="clear" w:color="auto" w:fill="auto"/>
            <w:noWrap/>
            <w:vAlign w:val="bottom"/>
          </w:tcPr>
          <w:p w:rsidR="00C925E9" w:rsidRPr="00A90F81" w:rsidRDefault="00C925E9" w:rsidP="006532BA">
            <w:pPr>
              <w:pStyle w:val="Tabletext"/>
              <w:tabs>
                <w:tab w:val="decimal" w:pos="567"/>
              </w:tabs>
              <w:jc w:val="right"/>
              <w:rPr>
                <w:b/>
              </w:rPr>
            </w:pPr>
            <w:r w:rsidRPr="00A90F81">
              <w:rPr>
                <w:b/>
              </w:rPr>
              <w:t>100</w:t>
            </w:r>
          </w:p>
        </w:tc>
        <w:tc>
          <w:tcPr>
            <w:tcW w:w="1021" w:type="dxa"/>
            <w:tcBorders>
              <w:top w:val="nil"/>
              <w:left w:val="nil"/>
              <w:bottom w:val="single" w:sz="4" w:space="0" w:color="auto"/>
              <w:right w:val="nil"/>
            </w:tcBorders>
            <w:shd w:val="clear" w:color="auto" w:fill="auto"/>
            <w:noWrap/>
            <w:vAlign w:val="bottom"/>
          </w:tcPr>
          <w:p w:rsidR="00C925E9" w:rsidRPr="00A90F81" w:rsidRDefault="00C925E9" w:rsidP="006532BA">
            <w:pPr>
              <w:pStyle w:val="Tabletext"/>
              <w:tabs>
                <w:tab w:val="decimal" w:pos="567"/>
              </w:tabs>
              <w:jc w:val="right"/>
              <w:rPr>
                <w:b/>
              </w:rPr>
            </w:pPr>
            <w:r w:rsidRPr="00A90F81">
              <w:rPr>
                <w:b/>
              </w:rPr>
              <w:t>6189</w:t>
            </w:r>
          </w:p>
        </w:tc>
      </w:tr>
    </w:tbl>
    <w:p w:rsidR="00C925E9" w:rsidRDefault="00C925E9" w:rsidP="001810E3">
      <w:pPr>
        <w:pStyle w:val="Source"/>
        <w:tabs>
          <w:tab w:val="left" w:pos="709"/>
        </w:tabs>
        <w:ind w:left="709" w:hanging="709"/>
        <w:rPr>
          <w:lang w:val="en-US"/>
        </w:rPr>
      </w:pPr>
      <w:r>
        <w:rPr>
          <w:lang w:val="en-US"/>
        </w:rPr>
        <w:t xml:space="preserve">Note: </w:t>
      </w:r>
      <w:r>
        <w:rPr>
          <w:lang w:val="en-US"/>
        </w:rPr>
        <w:tab/>
        <w:t>The ‘unknown’ category includes students who did not respond to the question, those who were not sure what they wanted to do and those who gave multiple responses.</w:t>
      </w:r>
    </w:p>
    <w:p w:rsidR="00C925E9" w:rsidRDefault="00C925E9" w:rsidP="00534339">
      <w:pPr>
        <w:pStyle w:val="Text"/>
        <w:spacing w:before="300"/>
        <w:ind w:right="0"/>
        <w:rPr>
          <w:lang w:val="en-US"/>
        </w:rPr>
      </w:pPr>
      <w:r>
        <w:rPr>
          <w:lang w:val="en-US"/>
        </w:rPr>
        <w:t>Most young people fulfil their post-school intentions: the majority who plan to go to university do enrol, and most who plan other activities do not commence university. Of those who initially do not plan to enter university, a substantial minority do enrol, and in this group gap-taking is more common than among intending university students. For these young people, the gap year may be a time in which they reflect on their aspirations and opportunities, and align their goals and actions.</w:t>
      </w:r>
    </w:p>
    <w:p w:rsidR="00C925E9" w:rsidRDefault="00C925E9" w:rsidP="00200C9F">
      <w:pPr>
        <w:pStyle w:val="Heading2"/>
        <w:rPr>
          <w:lang w:val="en-US"/>
        </w:rPr>
      </w:pPr>
      <w:bookmarkStart w:id="71" w:name="_Toc323035618"/>
      <w:r>
        <w:rPr>
          <w:lang w:val="en-US"/>
        </w:rPr>
        <w:lastRenderedPageBreak/>
        <w:t>Course persistence</w:t>
      </w:r>
      <w:bookmarkEnd w:id="71"/>
    </w:p>
    <w:p w:rsidR="00C925E9" w:rsidRDefault="00C925E9" w:rsidP="00200C9F">
      <w:pPr>
        <w:pStyle w:val="Text"/>
        <w:rPr>
          <w:lang w:val="en-US"/>
        </w:rPr>
      </w:pPr>
      <w:r>
        <w:rPr>
          <w:lang w:val="en-US"/>
        </w:rPr>
        <w:t>There is little difference between gappers and non-gappers in their persistence (completion or continuation) in their first university courses. Similar proportions of gappers and non-gappers (7% and 8% respectively) either withdrew from or failed their first course and 3% of both gappers and non-gappers changed to an alternative program (see table 16</w:t>
      </w:r>
      <w:r w:rsidRPr="009C4C12">
        <w:rPr>
          <w:lang w:val="en-US"/>
        </w:rPr>
        <w:t>).</w:t>
      </w:r>
    </w:p>
    <w:p w:rsidR="00C925E9" w:rsidRPr="005F0F51" w:rsidRDefault="00C925E9" w:rsidP="00200C9F">
      <w:pPr>
        <w:pStyle w:val="Text"/>
        <w:rPr>
          <w:lang w:val="en-US"/>
        </w:rPr>
      </w:pPr>
      <w:r>
        <w:rPr>
          <w:lang w:val="en-US"/>
        </w:rPr>
        <w:t>The main difference between gappers and non-gappers lies in their course-completion status. About 80% of both groups have completed or are continuing with their first courses, but 71% of non-gappers have completed and 10% are continuing with their courses, whereas 59% of gappers have completed and 21% are continuing their studies. The lower completion and higher continuation rates of gappers are consistent with the delayed start to their programs.</w:t>
      </w:r>
    </w:p>
    <w:p w:rsidR="00C925E9" w:rsidRDefault="00C925E9" w:rsidP="00200C9F">
      <w:pPr>
        <w:pStyle w:val="tabletitle"/>
        <w:rPr>
          <w:lang w:val="en-US"/>
        </w:rPr>
      </w:pPr>
      <w:bookmarkStart w:id="72" w:name="_Toc322691619"/>
      <w:r>
        <w:rPr>
          <w:lang w:val="en-US"/>
        </w:rPr>
        <w:t>Table 16</w:t>
      </w:r>
      <w:r>
        <w:rPr>
          <w:lang w:val="en-US"/>
        </w:rPr>
        <w:tab/>
        <w:t xml:space="preserve">Students’ status in their first higher education course, </w:t>
      </w:r>
      <w:r w:rsidR="006532BA">
        <w:rPr>
          <w:lang w:val="en-US"/>
        </w:rPr>
        <w:br/>
      </w:r>
      <w:r>
        <w:rPr>
          <w:lang w:val="en-US"/>
        </w:rPr>
        <w:t>Y98 cohort</w:t>
      </w:r>
      <w:bookmarkEnd w:id="72"/>
    </w:p>
    <w:tbl>
      <w:tblPr>
        <w:tblW w:w="0" w:type="auto"/>
        <w:tblInd w:w="93" w:type="dxa"/>
        <w:tblLook w:val="0000"/>
      </w:tblPr>
      <w:tblGrid>
        <w:gridCol w:w="2892"/>
        <w:gridCol w:w="1418"/>
        <w:gridCol w:w="1418"/>
      </w:tblGrid>
      <w:tr w:rsidR="00C925E9" w:rsidRPr="005F0F51">
        <w:trPr>
          <w:trHeight w:val="255"/>
        </w:trPr>
        <w:tc>
          <w:tcPr>
            <w:tcW w:w="2892" w:type="dxa"/>
            <w:tcBorders>
              <w:top w:val="single" w:sz="4" w:space="0" w:color="auto"/>
              <w:left w:val="nil"/>
              <w:bottom w:val="single" w:sz="4" w:space="0" w:color="auto"/>
              <w:right w:val="nil"/>
            </w:tcBorders>
            <w:shd w:val="clear" w:color="auto" w:fill="auto"/>
            <w:noWrap/>
            <w:vAlign w:val="bottom"/>
          </w:tcPr>
          <w:p w:rsidR="00C925E9" w:rsidRPr="005F0F51" w:rsidRDefault="00C925E9" w:rsidP="006532BA">
            <w:pPr>
              <w:pStyle w:val="Tablehead1"/>
            </w:pPr>
            <w:r w:rsidRPr="005F0F51">
              <w:t>Course status</w:t>
            </w:r>
          </w:p>
        </w:tc>
        <w:tc>
          <w:tcPr>
            <w:tcW w:w="1418" w:type="dxa"/>
            <w:tcBorders>
              <w:top w:val="single" w:sz="4" w:space="0" w:color="auto"/>
              <w:left w:val="nil"/>
              <w:bottom w:val="single" w:sz="4" w:space="0" w:color="auto"/>
              <w:right w:val="nil"/>
            </w:tcBorders>
            <w:shd w:val="clear" w:color="auto" w:fill="auto"/>
            <w:noWrap/>
            <w:vAlign w:val="bottom"/>
          </w:tcPr>
          <w:p w:rsidR="00C925E9" w:rsidRPr="005F0F51" w:rsidRDefault="00C925E9" w:rsidP="006532BA">
            <w:pPr>
              <w:pStyle w:val="Tablehead1"/>
              <w:jc w:val="right"/>
            </w:pPr>
            <w:r w:rsidRPr="005F0F51">
              <w:t>Non-gapper</w:t>
            </w:r>
          </w:p>
        </w:tc>
        <w:tc>
          <w:tcPr>
            <w:tcW w:w="1418" w:type="dxa"/>
            <w:tcBorders>
              <w:top w:val="single" w:sz="4" w:space="0" w:color="auto"/>
              <w:left w:val="nil"/>
              <w:bottom w:val="single" w:sz="4" w:space="0" w:color="auto"/>
              <w:right w:val="nil"/>
            </w:tcBorders>
            <w:shd w:val="clear" w:color="auto" w:fill="auto"/>
            <w:noWrap/>
            <w:vAlign w:val="bottom"/>
          </w:tcPr>
          <w:p w:rsidR="00C925E9" w:rsidRPr="005F0F51" w:rsidRDefault="00C925E9" w:rsidP="006532BA">
            <w:pPr>
              <w:pStyle w:val="Tablehead1"/>
              <w:jc w:val="right"/>
            </w:pPr>
            <w:r w:rsidRPr="005F0F51">
              <w:t>Gapper</w:t>
            </w:r>
          </w:p>
        </w:tc>
      </w:tr>
      <w:tr w:rsidR="00C925E9" w:rsidRPr="005F0F51">
        <w:trPr>
          <w:trHeight w:val="255"/>
        </w:trPr>
        <w:tc>
          <w:tcPr>
            <w:tcW w:w="2892" w:type="dxa"/>
            <w:tcBorders>
              <w:top w:val="single" w:sz="4" w:space="0" w:color="auto"/>
              <w:left w:val="nil"/>
              <w:bottom w:val="nil"/>
              <w:right w:val="nil"/>
            </w:tcBorders>
            <w:shd w:val="clear" w:color="auto" w:fill="auto"/>
            <w:noWrap/>
            <w:vAlign w:val="bottom"/>
          </w:tcPr>
          <w:p w:rsidR="00C925E9" w:rsidRPr="005F0F51" w:rsidRDefault="00C925E9" w:rsidP="00200C9F">
            <w:pPr>
              <w:pStyle w:val="Tabletext"/>
            </w:pPr>
            <w:r w:rsidRPr="005F0F51">
              <w:t>Still studying first uni course</w:t>
            </w:r>
          </w:p>
        </w:tc>
        <w:tc>
          <w:tcPr>
            <w:tcW w:w="1418" w:type="dxa"/>
            <w:tcBorders>
              <w:top w:val="single" w:sz="4" w:space="0" w:color="auto"/>
              <w:left w:val="nil"/>
              <w:bottom w:val="nil"/>
              <w:right w:val="nil"/>
            </w:tcBorders>
            <w:shd w:val="clear" w:color="auto" w:fill="auto"/>
            <w:noWrap/>
            <w:vAlign w:val="bottom"/>
          </w:tcPr>
          <w:p w:rsidR="00C925E9" w:rsidRPr="005F0F51" w:rsidRDefault="00C925E9" w:rsidP="006532BA">
            <w:pPr>
              <w:pStyle w:val="Tabletext"/>
              <w:tabs>
                <w:tab w:val="decimal" w:pos="720"/>
              </w:tabs>
              <w:jc w:val="right"/>
            </w:pPr>
            <w:r w:rsidRPr="005F0F51">
              <w:t>10</w:t>
            </w:r>
          </w:p>
        </w:tc>
        <w:tc>
          <w:tcPr>
            <w:tcW w:w="1418" w:type="dxa"/>
            <w:tcBorders>
              <w:top w:val="single" w:sz="4" w:space="0" w:color="auto"/>
              <w:left w:val="nil"/>
              <w:bottom w:val="nil"/>
              <w:right w:val="nil"/>
            </w:tcBorders>
            <w:shd w:val="clear" w:color="auto" w:fill="auto"/>
            <w:noWrap/>
            <w:vAlign w:val="bottom"/>
          </w:tcPr>
          <w:p w:rsidR="00C925E9" w:rsidRPr="005F0F51" w:rsidRDefault="00C925E9" w:rsidP="006532BA">
            <w:pPr>
              <w:pStyle w:val="Tabletext"/>
              <w:tabs>
                <w:tab w:val="decimal" w:pos="720"/>
              </w:tabs>
              <w:jc w:val="right"/>
            </w:pPr>
            <w:r w:rsidRPr="005F0F51">
              <w:t>21</w:t>
            </w:r>
          </w:p>
        </w:tc>
      </w:tr>
      <w:tr w:rsidR="00C925E9" w:rsidRPr="005F0F51">
        <w:trPr>
          <w:trHeight w:val="255"/>
        </w:trPr>
        <w:tc>
          <w:tcPr>
            <w:tcW w:w="2892" w:type="dxa"/>
            <w:tcBorders>
              <w:top w:val="nil"/>
              <w:left w:val="nil"/>
              <w:bottom w:val="nil"/>
              <w:right w:val="nil"/>
            </w:tcBorders>
            <w:shd w:val="clear" w:color="auto" w:fill="auto"/>
            <w:noWrap/>
            <w:vAlign w:val="bottom"/>
          </w:tcPr>
          <w:p w:rsidR="00C925E9" w:rsidRPr="005F0F51" w:rsidRDefault="00C925E9" w:rsidP="00200C9F">
            <w:pPr>
              <w:pStyle w:val="Tabletext"/>
            </w:pPr>
            <w:r w:rsidRPr="005F0F51">
              <w:t>Completed first uni course</w:t>
            </w:r>
          </w:p>
        </w:tc>
        <w:tc>
          <w:tcPr>
            <w:tcW w:w="1418" w:type="dxa"/>
            <w:tcBorders>
              <w:top w:val="nil"/>
              <w:left w:val="nil"/>
              <w:bottom w:val="nil"/>
              <w:right w:val="nil"/>
            </w:tcBorders>
            <w:shd w:val="clear" w:color="auto" w:fill="auto"/>
            <w:noWrap/>
            <w:vAlign w:val="bottom"/>
          </w:tcPr>
          <w:p w:rsidR="00C925E9" w:rsidRPr="005F0F51" w:rsidRDefault="00C925E9" w:rsidP="006532BA">
            <w:pPr>
              <w:pStyle w:val="Tabletext"/>
              <w:tabs>
                <w:tab w:val="decimal" w:pos="720"/>
              </w:tabs>
              <w:jc w:val="right"/>
            </w:pPr>
            <w:r w:rsidRPr="005F0F51">
              <w:t>7</w:t>
            </w:r>
            <w:r>
              <w:t>1</w:t>
            </w:r>
          </w:p>
        </w:tc>
        <w:tc>
          <w:tcPr>
            <w:tcW w:w="1418" w:type="dxa"/>
            <w:tcBorders>
              <w:top w:val="nil"/>
              <w:left w:val="nil"/>
              <w:bottom w:val="nil"/>
              <w:right w:val="nil"/>
            </w:tcBorders>
            <w:shd w:val="clear" w:color="auto" w:fill="auto"/>
            <w:noWrap/>
            <w:vAlign w:val="bottom"/>
          </w:tcPr>
          <w:p w:rsidR="00C925E9" w:rsidRPr="005F0F51" w:rsidRDefault="00C925E9" w:rsidP="006532BA">
            <w:pPr>
              <w:pStyle w:val="Tabletext"/>
              <w:tabs>
                <w:tab w:val="decimal" w:pos="720"/>
              </w:tabs>
              <w:jc w:val="right"/>
            </w:pPr>
            <w:r w:rsidRPr="005F0F51">
              <w:t>5</w:t>
            </w:r>
            <w:r>
              <w:t>9</w:t>
            </w:r>
          </w:p>
        </w:tc>
      </w:tr>
      <w:tr w:rsidR="00C925E9" w:rsidRPr="005F0F51">
        <w:trPr>
          <w:trHeight w:val="255"/>
        </w:trPr>
        <w:tc>
          <w:tcPr>
            <w:tcW w:w="2892" w:type="dxa"/>
            <w:tcBorders>
              <w:top w:val="nil"/>
              <w:left w:val="nil"/>
              <w:bottom w:val="nil"/>
              <w:right w:val="nil"/>
            </w:tcBorders>
            <w:shd w:val="clear" w:color="auto" w:fill="auto"/>
            <w:noWrap/>
            <w:vAlign w:val="bottom"/>
          </w:tcPr>
          <w:p w:rsidR="00C925E9" w:rsidRPr="005F0F51" w:rsidRDefault="00C925E9" w:rsidP="00200C9F">
            <w:pPr>
              <w:pStyle w:val="Tabletext"/>
            </w:pPr>
            <w:r w:rsidRPr="005F0F51">
              <w:t>Withdrew/failed from first uni course</w:t>
            </w:r>
          </w:p>
        </w:tc>
        <w:tc>
          <w:tcPr>
            <w:tcW w:w="1418" w:type="dxa"/>
            <w:tcBorders>
              <w:top w:val="nil"/>
              <w:left w:val="nil"/>
              <w:bottom w:val="nil"/>
              <w:right w:val="nil"/>
            </w:tcBorders>
            <w:shd w:val="clear" w:color="auto" w:fill="auto"/>
            <w:noWrap/>
            <w:vAlign w:val="bottom"/>
          </w:tcPr>
          <w:p w:rsidR="00C925E9" w:rsidRPr="005F0F51" w:rsidRDefault="00C925E9" w:rsidP="006532BA">
            <w:pPr>
              <w:pStyle w:val="Tabletext"/>
              <w:tabs>
                <w:tab w:val="decimal" w:pos="720"/>
              </w:tabs>
              <w:jc w:val="right"/>
            </w:pPr>
            <w:r w:rsidRPr="005F0F51">
              <w:t>8</w:t>
            </w:r>
          </w:p>
        </w:tc>
        <w:tc>
          <w:tcPr>
            <w:tcW w:w="1418" w:type="dxa"/>
            <w:tcBorders>
              <w:top w:val="nil"/>
              <w:left w:val="nil"/>
              <w:bottom w:val="nil"/>
              <w:right w:val="nil"/>
            </w:tcBorders>
            <w:shd w:val="clear" w:color="auto" w:fill="auto"/>
            <w:noWrap/>
            <w:vAlign w:val="bottom"/>
          </w:tcPr>
          <w:p w:rsidR="00C925E9" w:rsidRPr="005F0F51" w:rsidRDefault="00C925E9" w:rsidP="006532BA">
            <w:pPr>
              <w:pStyle w:val="Tabletext"/>
              <w:tabs>
                <w:tab w:val="decimal" w:pos="720"/>
              </w:tabs>
              <w:jc w:val="right"/>
            </w:pPr>
            <w:r w:rsidRPr="005F0F51">
              <w:t>7</w:t>
            </w:r>
          </w:p>
        </w:tc>
      </w:tr>
      <w:tr w:rsidR="00C925E9" w:rsidRPr="005F0F51">
        <w:trPr>
          <w:trHeight w:val="255"/>
        </w:trPr>
        <w:tc>
          <w:tcPr>
            <w:tcW w:w="2892" w:type="dxa"/>
            <w:tcBorders>
              <w:top w:val="nil"/>
              <w:left w:val="nil"/>
              <w:bottom w:val="nil"/>
              <w:right w:val="nil"/>
            </w:tcBorders>
            <w:shd w:val="clear" w:color="auto" w:fill="auto"/>
            <w:noWrap/>
            <w:vAlign w:val="bottom"/>
          </w:tcPr>
          <w:p w:rsidR="00C925E9" w:rsidRPr="005F0F51" w:rsidRDefault="00C925E9" w:rsidP="00200C9F">
            <w:pPr>
              <w:pStyle w:val="Tabletext"/>
            </w:pPr>
            <w:r w:rsidRPr="005F0F51">
              <w:t>Changed to another course</w:t>
            </w:r>
          </w:p>
        </w:tc>
        <w:tc>
          <w:tcPr>
            <w:tcW w:w="1418" w:type="dxa"/>
            <w:tcBorders>
              <w:top w:val="nil"/>
              <w:left w:val="nil"/>
              <w:bottom w:val="nil"/>
              <w:right w:val="nil"/>
            </w:tcBorders>
            <w:shd w:val="clear" w:color="auto" w:fill="auto"/>
            <w:noWrap/>
            <w:vAlign w:val="bottom"/>
          </w:tcPr>
          <w:p w:rsidR="00C925E9" w:rsidRPr="005F0F51" w:rsidRDefault="00C925E9" w:rsidP="006532BA">
            <w:pPr>
              <w:pStyle w:val="Tabletext"/>
              <w:tabs>
                <w:tab w:val="decimal" w:pos="720"/>
              </w:tabs>
              <w:jc w:val="right"/>
            </w:pPr>
            <w:r>
              <w:t>3</w:t>
            </w:r>
          </w:p>
        </w:tc>
        <w:tc>
          <w:tcPr>
            <w:tcW w:w="1418" w:type="dxa"/>
            <w:tcBorders>
              <w:top w:val="nil"/>
              <w:left w:val="nil"/>
              <w:bottom w:val="nil"/>
              <w:right w:val="nil"/>
            </w:tcBorders>
            <w:shd w:val="clear" w:color="auto" w:fill="auto"/>
            <w:noWrap/>
            <w:vAlign w:val="bottom"/>
          </w:tcPr>
          <w:p w:rsidR="00C925E9" w:rsidRPr="005F0F51" w:rsidRDefault="00C925E9" w:rsidP="006532BA">
            <w:pPr>
              <w:pStyle w:val="Tabletext"/>
              <w:tabs>
                <w:tab w:val="decimal" w:pos="720"/>
              </w:tabs>
              <w:jc w:val="right"/>
            </w:pPr>
            <w:r>
              <w:t>3</w:t>
            </w:r>
          </w:p>
        </w:tc>
      </w:tr>
      <w:tr w:rsidR="00C925E9" w:rsidRPr="005F0F51">
        <w:trPr>
          <w:trHeight w:val="255"/>
        </w:trPr>
        <w:tc>
          <w:tcPr>
            <w:tcW w:w="2892" w:type="dxa"/>
            <w:tcBorders>
              <w:top w:val="nil"/>
              <w:left w:val="nil"/>
              <w:bottom w:val="nil"/>
              <w:right w:val="nil"/>
            </w:tcBorders>
            <w:shd w:val="clear" w:color="auto" w:fill="auto"/>
            <w:noWrap/>
            <w:vAlign w:val="bottom"/>
          </w:tcPr>
          <w:p w:rsidR="00C925E9" w:rsidRPr="005F0F51" w:rsidRDefault="00C925E9" w:rsidP="00200C9F">
            <w:pPr>
              <w:pStyle w:val="Tabletext"/>
            </w:pPr>
            <w:r w:rsidRPr="005F0F51">
              <w:t>Unknown</w:t>
            </w:r>
          </w:p>
        </w:tc>
        <w:tc>
          <w:tcPr>
            <w:tcW w:w="1418" w:type="dxa"/>
            <w:tcBorders>
              <w:top w:val="nil"/>
              <w:left w:val="nil"/>
              <w:bottom w:val="nil"/>
              <w:right w:val="nil"/>
            </w:tcBorders>
            <w:shd w:val="clear" w:color="auto" w:fill="auto"/>
            <w:noWrap/>
            <w:vAlign w:val="bottom"/>
          </w:tcPr>
          <w:p w:rsidR="00C925E9" w:rsidRPr="005F0F51" w:rsidRDefault="00C925E9" w:rsidP="006532BA">
            <w:pPr>
              <w:pStyle w:val="Tabletext"/>
              <w:tabs>
                <w:tab w:val="decimal" w:pos="720"/>
              </w:tabs>
              <w:jc w:val="right"/>
            </w:pPr>
            <w:r>
              <w:t>9</w:t>
            </w:r>
          </w:p>
        </w:tc>
        <w:tc>
          <w:tcPr>
            <w:tcW w:w="1418" w:type="dxa"/>
            <w:tcBorders>
              <w:top w:val="nil"/>
              <w:left w:val="nil"/>
              <w:bottom w:val="nil"/>
              <w:right w:val="nil"/>
            </w:tcBorders>
            <w:shd w:val="clear" w:color="auto" w:fill="auto"/>
            <w:noWrap/>
            <w:vAlign w:val="bottom"/>
          </w:tcPr>
          <w:p w:rsidR="00C925E9" w:rsidRPr="005F0F51" w:rsidRDefault="00C925E9" w:rsidP="006532BA">
            <w:pPr>
              <w:pStyle w:val="Tabletext"/>
              <w:tabs>
                <w:tab w:val="decimal" w:pos="720"/>
              </w:tabs>
              <w:jc w:val="right"/>
            </w:pPr>
            <w:r>
              <w:t>10</w:t>
            </w:r>
          </w:p>
        </w:tc>
      </w:tr>
      <w:tr w:rsidR="00C925E9" w:rsidRPr="005F0F51">
        <w:trPr>
          <w:trHeight w:val="255"/>
        </w:trPr>
        <w:tc>
          <w:tcPr>
            <w:tcW w:w="2892" w:type="dxa"/>
            <w:tcBorders>
              <w:top w:val="nil"/>
              <w:left w:val="nil"/>
              <w:right w:val="nil"/>
            </w:tcBorders>
            <w:shd w:val="clear" w:color="auto" w:fill="auto"/>
            <w:noWrap/>
            <w:vAlign w:val="bottom"/>
          </w:tcPr>
          <w:p w:rsidR="00C925E9" w:rsidRPr="005F0F51" w:rsidRDefault="00C925E9" w:rsidP="00200C9F">
            <w:pPr>
              <w:pStyle w:val="Tabletext"/>
              <w:rPr>
                <w:b/>
                <w:bCs/>
              </w:rPr>
            </w:pPr>
            <w:r w:rsidRPr="005F0F51">
              <w:rPr>
                <w:b/>
                <w:bCs/>
              </w:rPr>
              <w:t>Total (%)</w:t>
            </w:r>
          </w:p>
        </w:tc>
        <w:tc>
          <w:tcPr>
            <w:tcW w:w="1418" w:type="dxa"/>
            <w:tcBorders>
              <w:top w:val="nil"/>
              <w:left w:val="nil"/>
              <w:right w:val="nil"/>
            </w:tcBorders>
            <w:shd w:val="clear" w:color="auto" w:fill="auto"/>
            <w:noWrap/>
            <w:vAlign w:val="bottom"/>
          </w:tcPr>
          <w:p w:rsidR="00C925E9" w:rsidRPr="005F0F51" w:rsidRDefault="00C925E9" w:rsidP="006532BA">
            <w:pPr>
              <w:pStyle w:val="Tabletext"/>
              <w:tabs>
                <w:tab w:val="decimal" w:pos="720"/>
              </w:tabs>
              <w:jc w:val="right"/>
              <w:rPr>
                <w:b/>
              </w:rPr>
            </w:pPr>
            <w:r w:rsidRPr="005F0F51">
              <w:rPr>
                <w:b/>
              </w:rPr>
              <w:t>100</w:t>
            </w:r>
          </w:p>
        </w:tc>
        <w:tc>
          <w:tcPr>
            <w:tcW w:w="1418" w:type="dxa"/>
            <w:tcBorders>
              <w:top w:val="nil"/>
              <w:left w:val="nil"/>
              <w:right w:val="nil"/>
            </w:tcBorders>
            <w:shd w:val="clear" w:color="auto" w:fill="auto"/>
            <w:noWrap/>
            <w:vAlign w:val="bottom"/>
          </w:tcPr>
          <w:p w:rsidR="00C925E9" w:rsidRPr="005F0F51" w:rsidRDefault="00C925E9" w:rsidP="006532BA">
            <w:pPr>
              <w:pStyle w:val="Tabletext"/>
              <w:tabs>
                <w:tab w:val="decimal" w:pos="720"/>
              </w:tabs>
              <w:jc w:val="right"/>
              <w:rPr>
                <w:b/>
              </w:rPr>
            </w:pPr>
            <w:r w:rsidRPr="005F0F51">
              <w:rPr>
                <w:b/>
              </w:rPr>
              <w:t>100</w:t>
            </w:r>
          </w:p>
        </w:tc>
      </w:tr>
      <w:tr w:rsidR="00C925E9" w:rsidRPr="005F0F51">
        <w:trPr>
          <w:trHeight w:val="255"/>
        </w:trPr>
        <w:tc>
          <w:tcPr>
            <w:tcW w:w="2892" w:type="dxa"/>
            <w:tcBorders>
              <w:top w:val="nil"/>
              <w:left w:val="nil"/>
              <w:bottom w:val="single" w:sz="4" w:space="0" w:color="auto"/>
              <w:right w:val="nil"/>
            </w:tcBorders>
            <w:shd w:val="clear" w:color="auto" w:fill="auto"/>
            <w:noWrap/>
            <w:vAlign w:val="bottom"/>
          </w:tcPr>
          <w:p w:rsidR="00C925E9" w:rsidRPr="005F0F51" w:rsidRDefault="00C925E9" w:rsidP="00200C9F">
            <w:pPr>
              <w:pStyle w:val="Tabletext"/>
              <w:rPr>
                <w:b/>
              </w:rPr>
            </w:pPr>
            <w:r w:rsidRPr="005F0F51">
              <w:rPr>
                <w:b/>
              </w:rPr>
              <w:t>Total (N)</w:t>
            </w:r>
          </w:p>
        </w:tc>
        <w:tc>
          <w:tcPr>
            <w:tcW w:w="1418" w:type="dxa"/>
            <w:tcBorders>
              <w:top w:val="nil"/>
              <w:left w:val="nil"/>
              <w:bottom w:val="single" w:sz="4" w:space="0" w:color="auto"/>
              <w:right w:val="nil"/>
            </w:tcBorders>
            <w:shd w:val="clear" w:color="auto" w:fill="auto"/>
            <w:noWrap/>
            <w:vAlign w:val="bottom"/>
          </w:tcPr>
          <w:p w:rsidR="00C925E9" w:rsidRPr="005F0F51" w:rsidRDefault="00C925E9" w:rsidP="006532BA">
            <w:pPr>
              <w:pStyle w:val="Tabletext"/>
              <w:tabs>
                <w:tab w:val="decimal" w:pos="720"/>
              </w:tabs>
              <w:jc w:val="right"/>
              <w:rPr>
                <w:b/>
              </w:rPr>
            </w:pPr>
            <w:r w:rsidRPr="005F0F51">
              <w:rPr>
                <w:b/>
              </w:rPr>
              <w:t>1720</w:t>
            </w:r>
          </w:p>
        </w:tc>
        <w:tc>
          <w:tcPr>
            <w:tcW w:w="1418" w:type="dxa"/>
            <w:tcBorders>
              <w:top w:val="nil"/>
              <w:left w:val="nil"/>
              <w:bottom w:val="single" w:sz="4" w:space="0" w:color="auto"/>
              <w:right w:val="nil"/>
            </w:tcBorders>
            <w:shd w:val="clear" w:color="auto" w:fill="auto"/>
            <w:noWrap/>
            <w:vAlign w:val="bottom"/>
          </w:tcPr>
          <w:p w:rsidR="00C925E9" w:rsidRPr="005F0F51" w:rsidRDefault="00C925E9" w:rsidP="006532BA">
            <w:pPr>
              <w:pStyle w:val="Tabletext"/>
              <w:tabs>
                <w:tab w:val="decimal" w:pos="720"/>
              </w:tabs>
              <w:jc w:val="right"/>
              <w:rPr>
                <w:b/>
              </w:rPr>
            </w:pPr>
            <w:r w:rsidRPr="005F0F51">
              <w:rPr>
                <w:b/>
              </w:rPr>
              <w:t>393</w:t>
            </w:r>
          </w:p>
        </w:tc>
      </w:tr>
    </w:tbl>
    <w:p w:rsidR="00C925E9" w:rsidRDefault="00C925E9" w:rsidP="00534339">
      <w:pPr>
        <w:pStyle w:val="Text"/>
        <w:spacing w:before="300"/>
        <w:ind w:right="0"/>
        <w:rPr>
          <w:lang w:val="en-US"/>
        </w:rPr>
      </w:pPr>
      <w:r>
        <w:rPr>
          <w:lang w:val="en-US"/>
        </w:rPr>
        <w:t>We do not find the differences in course outcomes that previous researchers have attributed to gap-taking. We find no difference in course attrition or change between gappers and non-gappers, and the difference that we find in completion status is consistent with their delayed course commencement. It should be noted, however, that gap-takers are academically weaker students and higher non-completion might be expected among this group.</w:t>
      </w:r>
    </w:p>
    <w:p w:rsidR="00C925E9" w:rsidRDefault="00C925E9" w:rsidP="00200C9F">
      <w:pPr>
        <w:pStyle w:val="Heading2"/>
        <w:rPr>
          <w:lang w:val="en-US"/>
        </w:rPr>
      </w:pPr>
      <w:bookmarkStart w:id="73" w:name="_Toc323035619"/>
      <w:r>
        <w:rPr>
          <w:lang w:val="en-US"/>
        </w:rPr>
        <w:t>Summary</w:t>
      </w:r>
      <w:bookmarkEnd w:id="73"/>
    </w:p>
    <w:p w:rsidR="00C925E9" w:rsidRDefault="00C925E9" w:rsidP="00200C9F">
      <w:pPr>
        <w:pStyle w:val="Dotpoint1"/>
        <w:rPr>
          <w:lang w:val="en-US"/>
        </w:rPr>
      </w:pPr>
      <w:r>
        <w:rPr>
          <w:lang w:val="en-US"/>
        </w:rPr>
        <w:t>By age 23, almost three-quarters of students have fulfilled their intentions to go to university. A substantial minority of students whose post-school plans did not include higher education do enrol at university. Among this group, gap-taking is more common than it is among intending university entrants.</w:t>
      </w:r>
    </w:p>
    <w:p w:rsidR="00C925E9" w:rsidRDefault="00C925E9" w:rsidP="00200C9F">
      <w:pPr>
        <w:pStyle w:val="Dotpoint1"/>
        <w:rPr>
          <w:lang w:val="en-US"/>
        </w:rPr>
      </w:pPr>
      <w:r>
        <w:rPr>
          <w:lang w:val="en-US"/>
        </w:rPr>
        <w:t>Non-gappers are more likely than gappers to have completed their courses, but more gappers are continuing their study (which is consistent with having commenced later).</w:t>
      </w:r>
    </w:p>
    <w:p w:rsidR="00C925E9" w:rsidRDefault="00C925E9" w:rsidP="00200C9F">
      <w:pPr>
        <w:pStyle w:val="Dotpoint1"/>
        <w:rPr>
          <w:lang w:val="en-US"/>
        </w:rPr>
      </w:pPr>
      <w:r>
        <w:rPr>
          <w:lang w:val="en-US"/>
        </w:rPr>
        <w:t>Gappers and non-gappers have an equally low likelihood of dropping out of study or changing course</w:t>
      </w:r>
      <w:r w:rsidR="001810E3">
        <w:rPr>
          <w:lang w:val="en-US"/>
        </w:rPr>
        <w:t>, with very few dropping out (7—</w:t>
      </w:r>
      <w:r>
        <w:rPr>
          <w:lang w:val="en-US"/>
        </w:rPr>
        <w:t>8%) or changing courses (3%) to this point.</w:t>
      </w:r>
    </w:p>
    <w:p w:rsidR="00C925E9" w:rsidRDefault="00C925E9" w:rsidP="00200C9F">
      <w:pPr>
        <w:pStyle w:val="Text"/>
        <w:spacing w:before="60" w:after="60"/>
        <w:rPr>
          <w:lang w:val="en-US"/>
        </w:rPr>
      </w:pPr>
    </w:p>
    <w:p w:rsidR="00C925E9" w:rsidRDefault="00C925E9" w:rsidP="00200C9F">
      <w:pPr>
        <w:pStyle w:val="Heading1"/>
        <w:rPr>
          <w:lang w:val="en-US"/>
        </w:rPr>
      </w:pPr>
      <w:r>
        <w:rPr>
          <w:lang w:val="en-US"/>
        </w:rPr>
        <w:br w:type="page"/>
      </w:r>
      <w:bookmarkStart w:id="74" w:name="_Toc323035620"/>
      <w:r>
        <w:rPr>
          <w:lang w:val="en-US"/>
        </w:rPr>
        <w:lastRenderedPageBreak/>
        <w:t>Labour market outcomes</w:t>
      </w:r>
      <w:bookmarkEnd w:id="74"/>
    </w:p>
    <w:p w:rsidR="00C925E9" w:rsidRDefault="00C925E9" w:rsidP="00200C9F">
      <w:pPr>
        <w:pStyle w:val="Text"/>
        <w:rPr>
          <w:lang w:val="en-US"/>
        </w:rPr>
      </w:pPr>
      <w:r>
        <w:rPr>
          <w:lang w:val="en-US"/>
        </w:rPr>
        <w:t xml:space="preserve">Jones (2004) suggests that employers value the diverse experiences of graduates who have worked or volunteered during a gap year. If this is borne out in </w:t>
      </w:r>
      <w:smartTag w:uri="urn:schemas-microsoft-com:office:smarttags" w:element="place">
        <w:smartTag w:uri="urn:schemas-microsoft-com:office:smarttags" w:element="country-region">
          <w:r>
            <w:rPr>
              <w:lang w:val="en-US"/>
            </w:rPr>
            <w:t>Australia</w:t>
          </w:r>
        </w:smartTag>
      </w:smartTag>
      <w:r>
        <w:rPr>
          <w:lang w:val="en-US"/>
        </w:rPr>
        <w:t>, gappers should reveal an employment advantage, as many of them work (40%) or study (32%) during their gap year.</w:t>
      </w:r>
    </w:p>
    <w:p w:rsidR="00C925E9" w:rsidRDefault="00C925E9" w:rsidP="00200C9F">
      <w:pPr>
        <w:pStyle w:val="Text"/>
        <w:rPr>
          <w:lang w:val="en-US"/>
        </w:rPr>
      </w:pPr>
      <w:r>
        <w:rPr>
          <w:lang w:val="en-US"/>
        </w:rPr>
        <w:t>In this section we compare the labour market outcomes and involvement in study of Y98 gappers and non-gappers. We use data from the most recent available wave of the survey (2007), at which time the modal age of the cohort is 23 years. We find that continued participation in study is related to labour market success, so we turn to this before examining labour market activity.</w:t>
      </w:r>
    </w:p>
    <w:p w:rsidR="00C925E9" w:rsidRDefault="00C925E9" w:rsidP="00200C9F">
      <w:pPr>
        <w:pStyle w:val="Heading2"/>
        <w:rPr>
          <w:lang w:val="en-US"/>
        </w:rPr>
      </w:pPr>
      <w:bookmarkStart w:id="75" w:name="_Toc323035621"/>
      <w:r>
        <w:rPr>
          <w:lang w:val="en-US"/>
        </w:rPr>
        <w:t>Participation in study</w:t>
      </w:r>
      <w:bookmarkEnd w:id="75"/>
    </w:p>
    <w:p w:rsidR="00C925E9" w:rsidRDefault="00C925E9" w:rsidP="00200C9F">
      <w:pPr>
        <w:pStyle w:val="Text"/>
        <w:rPr>
          <w:lang w:val="en-US"/>
        </w:rPr>
      </w:pPr>
      <w:r>
        <w:rPr>
          <w:lang w:val="en-US"/>
        </w:rPr>
        <w:t>Progress along a transition trajectory may explain the full-time employment differences between gappers and non-gappers (see table 1</w:t>
      </w:r>
      <w:r w:rsidR="00236822">
        <w:rPr>
          <w:lang w:val="en-US"/>
        </w:rPr>
        <w:t>8</w:t>
      </w:r>
      <w:r>
        <w:rPr>
          <w:lang w:val="en-US"/>
        </w:rPr>
        <w:t>). If so, a corresponding difference between these groups is expected in their study status (full- or part-time).</w:t>
      </w:r>
      <w:r>
        <w:rPr>
          <w:rStyle w:val="FootnoteReference"/>
          <w:lang w:val="en-US"/>
        </w:rPr>
        <w:footnoteReference w:id="12"/>
      </w:r>
    </w:p>
    <w:p w:rsidR="00C925E9" w:rsidRPr="00BD427E" w:rsidRDefault="00C925E9" w:rsidP="00200C9F">
      <w:pPr>
        <w:pStyle w:val="Text"/>
        <w:rPr>
          <w:lang w:val="en-US"/>
        </w:rPr>
      </w:pPr>
      <w:r>
        <w:rPr>
          <w:lang w:val="en-US"/>
        </w:rPr>
        <w:t>At around age 23, two-thirds of the cohort are no longer involved in any form of study, there being no difference between gappers and non-gappers on this indicator</w:t>
      </w:r>
      <w:r w:rsidRPr="007A5A62">
        <w:rPr>
          <w:lang w:val="en-US"/>
        </w:rPr>
        <w:t>.</w:t>
      </w:r>
      <w:r>
        <w:rPr>
          <w:lang w:val="en-US"/>
        </w:rPr>
        <w:t xml:space="preserve"> Of those who are studying, gappers are more likely than non-gappers to be involved in full-time study (see table 17). This finding is consistent with a thesis of progress along a common transition trajectory.</w:t>
      </w:r>
    </w:p>
    <w:p w:rsidR="00C925E9" w:rsidRDefault="00C925E9" w:rsidP="00200C9F">
      <w:pPr>
        <w:pStyle w:val="tabletitle"/>
        <w:rPr>
          <w:lang w:val="en-US"/>
        </w:rPr>
      </w:pPr>
      <w:bookmarkStart w:id="76" w:name="_Toc322691620"/>
      <w:r>
        <w:t>Table 17</w:t>
      </w:r>
      <w:r>
        <w:tab/>
      </w:r>
      <w:r w:rsidRPr="00BD427E">
        <w:t>Study status in 2007 by gap-taking status</w:t>
      </w:r>
      <w:bookmarkEnd w:id="76"/>
    </w:p>
    <w:tbl>
      <w:tblPr>
        <w:tblW w:w="0" w:type="auto"/>
        <w:tblInd w:w="93" w:type="dxa"/>
        <w:tblLook w:val="0000"/>
      </w:tblPr>
      <w:tblGrid>
        <w:gridCol w:w="3969"/>
        <w:gridCol w:w="1418"/>
        <w:gridCol w:w="1418"/>
      </w:tblGrid>
      <w:tr w:rsidR="00C925E9" w:rsidRPr="00BD427E">
        <w:trPr>
          <w:trHeight w:val="225"/>
        </w:trPr>
        <w:tc>
          <w:tcPr>
            <w:tcW w:w="3969" w:type="dxa"/>
            <w:tcBorders>
              <w:top w:val="single" w:sz="4" w:space="0" w:color="auto"/>
              <w:left w:val="nil"/>
              <w:right w:val="nil"/>
            </w:tcBorders>
            <w:shd w:val="clear" w:color="auto" w:fill="auto"/>
            <w:noWrap/>
            <w:vAlign w:val="bottom"/>
          </w:tcPr>
          <w:p w:rsidR="00C925E9" w:rsidRPr="00BD427E" w:rsidRDefault="00AF5A17" w:rsidP="00AF5A17">
            <w:pPr>
              <w:pStyle w:val="Tablehead1"/>
            </w:pPr>
            <w:r w:rsidRPr="00BD427E">
              <w:t>Study status</w:t>
            </w:r>
          </w:p>
        </w:tc>
        <w:tc>
          <w:tcPr>
            <w:tcW w:w="2836" w:type="dxa"/>
            <w:gridSpan w:val="2"/>
            <w:tcBorders>
              <w:top w:val="single" w:sz="4" w:space="0" w:color="auto"/>
              <w:left w:val="nil"/>
              <w:right w:val="nil"/>
            </w:tcBorders>
            <w:shd w:val="clear" w:color="auto" w:fill="auto"/>
            <w:noWrap/>
            <w:vAlign w:val="bottom"/>
          </w:tcPr>
          <w:p w:rsidR="00C925E9" w:rsidRPr="003F25B9" w:rsidRDefault="00C925E9" w:rsidP="00AF5A17">
            <w:pPr>
              <w:pStyle w:val="Tablehead1"/>
              <w:ind w:right="161"/>
              <w:jc w:val="right"/>
              <w:rPr>
                <w:bCs/>
              </w:rPr>
            </w:pPr>
            <w:r w:rsidRPr="003F25B9">
              <w:rPr>
                <w:bCs/>
              </w:rPr>
              <w:t>Ga</w:t>
            </w:r>
            <w:r>
              <w:rPr>
                <w:bCs/>
              </w:rPr>
              <w:t>p-taking status (%)</w:t>
            </w:r>
          </w:p>
        </w:tc>
      </w:tr>
      <w:tr w:rsidR="00C925E9" w:rsidRPr="00BD427E">
        <w:trPr>
          <w:trHeight w:val="225"/>
        </w:trPr>
        <w:tc>
          <w:tcPr>
            <w:tcW w:w="3969" w:type="dxa"/>
            <w:tcBorders>
              <w:top w:val="nil"/>
              <w:left w:val="nil"/>
              <w:bottom w:val="single" w:sz="4" w:space="0" w:color="auto"/>
              <w:right w:val="nil"/>
            </w:tcBorders>
            <w:shd w:val="clear" w:color="auto" w:fill="auto"/>
            <w:noWrap/>
            <w:vAlign w:val="bottom"/>
          </w:tcPr>
          <w:p w:rsidR="00C925E9" w:rsidRPr="00BD427E" w:rsidRDefault="00C925E9" w:rsidP="00200C9F">
            <w:pPr>
              <w:pStyle w:val="Tablehead2"/>
            </w:pPr>
          </w:p>
        </w:tc>
        <w:tc>
          <w:tcPr>
            <w:tcW w:w="1418" w:type="dxa"/>
            <w:tcBorders>
              <w:top w:val="nil"/>
              <w:left w:val="nil"/>
              <w:bottom w:val="single" w:sz="4" w:space="0" w:color="auto"/>
              <w:right w:val="nil"/>
            </w:tcBorders>
            <w:shd w:val="clear" w:color="auto" w:fill="auto"/>
            <w:noWrap/>
            <w:vAlign w:val="bottom"/>
          </w:tcPr>
          <w:p w:rsidR="00C925E9" w:rsidRPr="00BD427E" w:rsidRDefault="00C925E9" w:rsidP="00AF5A17">
            <w:pPr>
              <w:pStyle w:val="Tablehead2"/>
              <w:jc w:val="right"/>
            </w:pPr>
            <w:r>
              <w:t>Gapper</w:t>
            </w:r>
          </w:p>
        </w:tc>
        <w:tc>
          <w:tcPr>
            <w:tcW w:w="1418" w:type="dxa"/>
            <w:tcBorders>
              <w:top w:val="nil"/>
              <w:left w:val="nil"/>
              <w:bottom w:val="single" w:sz="4" w:space="0" w:color="auto"/>
              <w:right w:val="nil"/>
            </w:tcBorders>
            <w:shd w:val="clear" w:color="auto" w:fill="auto"/>
            <w:noWrap/>
            <w:vAlign w:val="bottom"/>
          </w:tcPr>
          <w:p w:rsidR="00C925E9" w:rsidRPr="00BD427E" w:rsidRDefault="00C925E9" w:rsidP="00AF5A17">
            <w:pPr>
              <w:pStyle w:val="Tablehead2"/>
              <w:jc w:val="right"/>
            </w:pPr>
            <w:r>
              <w:t>Non-</w:t>
            </w:r>
            <w:r w:rsidRPr="00BD427E">
              <w:t>gap</w:t>
            </w:r>
            <w:r>
              <w:t>per</w:t>
            </w:r>
            <w:r w:rsidRPr="00BD427E">
              <w:t xml:space="preserve"> </w:t>
            </w:r>
          </w:p>
        </w:tc>
      </w:tr>
      <w:tr w:rsidR="00C925E9" w:rsidRPr="00BD427E">
        <w:trPr>
          <w:trHeight w:val="225"/>
        </w:trPr>
        <w:tc>
          <w:tcPr>
            <w:tcW w:w="3969" w:type="dxa"/>
            <w:tcBorders>
              <w:top w:val="single" w:sz="4" w:space="0" w:color="auto"/>
              <w:left w:val="nil"/>
              <w:bottom w:val="nil"/>
              <w:right w:val="nil"/>
            </w:tcBorders>
            <w:shd w:val="clear" w:color="auto" w:fill="auto"/>
            <w:noWrap/>
            <w:vAlign w:val="bottom"/>
          </w:tcPr>
          <w:p w:rsidR="00C925E9" w:rsidRPr="00BD427E" w:rsidRDefault="00C925E9" w:rsidP="00200C9F">
            <w:pPr>
              <w:pStyle w:val="Tabletext"/>
            </w:pPr>
            <w:r w:rsidRPr="00BD427E">
              <w:t>Studying full-time</w:t>
            </w:r>
          </w:p>
        </w:tc>
        <w:tc>
          <w:tcPr>
            <w:tcW w:w="1418" w:type="dxa"/>
            <w:tcBorders>
              <w:top w:val="single" w:sz="4" w:space="0" w:color="auto"/>
              <w:left w:val="nil"/>
              <w:bottom w:val="nil"/>
              <w:right w:val="nil"/>
            </w:tcBorders>
            <w:shd w:val="clear" w:color="auto" w:fill="auto"/>
            <w:noWrap/>
            <w:vAlign w:val="bottom"/>
          </w:tcPr>
          <w:p w:rsidR="00C925E9" w:rsidRPr="00BD427E" w:rsidRDefault="00C925E9" w:rsidP="00AF5A17">
            <w:pPr>
              <w:pStyle w:val="Tabletext"/>
              <w:tabs>
                <w:tab w:val="decimal" w:pos="720"/>
              </w:tabs>
              <w:jc w:val="right"/>
            </w:pPr>
            <w:r w:rsidRPr="00BD427E">
              <w:t>25</w:t>
            </w:r>
          </w:p>
        </w:tc>
        <w:tc>
          <w:tcPr>
            <w:tcW w:w="1418" w:type="dxa"/>
            <w:tcBorders>
              <w:top w:val="single" w:sz="4" w:space="0" w:color="auto"/>
              <w:left w:val="nil"/>
              <w:bottom w:val="nil"/>
              <w:right w:val="nil"/>
            </w:tcBorders>
            <w:shd w:val="clear" w:color="auto" w:fill="auto"/>
            <w:noWrap/>
            <w:vAlign w:val="bottom"/>
          </w:tcPr>
          <w:p w:rsidR="00C925E9" w:rsidRPr="00BD427E" w:rsidRDefault="00C925E9" w:rsidP="00AF5A17">
            <w:pPr>
              <w:pStyle w:val="Tabletext"/>
              <w:tabs>
                <w:tab w:val="decimal" w:pos="720"/>
              </w:tabs>
              <w:jc w:val="right"/>
            </w:pPr>
            <w:r w:rsidRPr="00BD427E">
              <w:t>20</w:t>
            </w:r>
          </w:p>
        </w:tc>
      </w:tr>
      <w:tr w:rsidR="00C925E9" w:rsidRPr="00BD427E">
        <w:trPr>
          <w:trHeight w:val="225"/>
        </w:trPr>
        <w:tc>
          <w:tcPr>
            <w:tcW w:w="3969" w:type="dxa"/>
            <w:tcBorders>
              <w:top w:val="nil"/>
              <w:left w:val="nil"/>
              <w:bottom w:val="nil"/>
              <w:right w:val="nil"/>
            </w:tcBorders>
            <w:shd w:val="clear" w:color="auto" w:fill="auto"/>
            <w:noWrap/>
            <w:vAlign w:val="bottom"/>
          </w:tcPr>
          <w:p w:rsidR="00C925E9" w:rsidRPr="00BD427E" w:rsidRDefault="00C925E9" w:rsidP="00200C9F">
            <w:pPr>
              <w:pStyle w:val="Tabletext"/>
            </w:pPr>
            <w:r w:rsidRPr="00BD427E">
              <w:t>Studying part-time</w:t>
            </w:r>
          </w:p>
        </w:tc>
        <w:tc>
          <w:tcPr>
            <w:tcW w:w="1418" w:type="dxa"/>
            <w:tcBorders>
              <w:top w:val="nil"/>
              <w:left w:val="nil"/>
              <w:bottom w:val="nil"/>
              <w:right w:val="nil"/>
            </w:tcBorders>
            <w:shd w:val="clear" w:color="auto" w:fill="auto"/>
            <w:noWrap/>
            <w:vAlign w:val="bottom"/>
          </w:tcPr>
          <w:p w:rsidR="00C925E9" w:rsidRPr="00BD427E" w:rsidRDefault="00C925E9" w:rsidP="00AF5A17">
            <w:pPr>
              <w:pStyle w:val="Tabletext"/>
              <w:tabs>
                <w:tab w:val="decimal" w:pos="720"/>
              </w:tabs>
              <w:jc w:val="right"/>
            </w:pPr>
            <w:r w:rsidRPr="00BD427E">
              <w:t>11</w:t>
            </w:r>
          </w:p>
        </w:tc>
        <w:tc>
          <w:tcPr>
            <w:tcW w:w="1418" w:type="dxa"/>
            <w:tcBorders>
              <w:top w:val="nil"/>
              <w:left w:val="nil"/>
              <w:bottom w:val="nil"/>
              <w:right w:val="nil"/>
            </w:tcBorders>
            <w:shd w:val="clear" w:color="auto" w:fill="auto"/>
            <w:noWrap/>
            <w:vAlign w:val="bottom"/>
          </w:tcPr>
          <w:p w:rsidR="00C925E9" w:rsidRPr="00BD427E" w:rsidRDefault="00C925E9" w:rsidP="00AF5A17">
            <w:pPr>
              <w:pStyle w:val="Tabletext"/>
              <w:tabs>
                <w:tab w:val="decimal" w:pos="720"/>
              </w:tabs>
              <w:jc w:val="right"/>
            </w:pPr>
            <w:r w:rsidRPr="00BD427E">
              <w:t>13</w:t>
            </w:r>
          </w:p>
        </w:tc>
      </w:tr>
      <w:tr w:rsidR="00C925E9" w:rsidRPr="00BD427E">
        <w:trPr>
          <w:trHeight w:val="225"/>
        </w:trPr>
        <w:tc>
          <w:tcPr>
            <w:tcW w:w="3969" w:type="dxa"/>
            <w:tcBorders>
              <w:top w:val="nil"/>
              <w:left w:val="nil"/>
              <w:bottom w:val="nil"/>
              <w:right w:val="nil"/>
            </w:tcBorders>
            <w:shd w:val="clear" w:color="auto" w:fill="auto"/>
            <w:noWrap/>
            <w:vAlign w:val="bottom"/>
          </w:tcPr>
          <w:p w:rsidR="00C925E9" w:rsidRPr="00BD427E" w:rsidRDefault="00C925E9" w:rsidP="00200C9F">
            <w:pPr>
              <w:pStyle w:val="Tabletext"/>
            </w:pPr>
            <w:r w:rsidRPr="00BD427E">
              <w:t>Unknown</w:t>
            </w:r>
          </w:p>
        </w:tc>
        <w:tc>
          <w:tcPr>
            <w:tcW w:w="1418" w:type="dxa"/>
            <w:tcBorders>
              <w:top w:val="nil"/>
              <w:left w:val="nil"/>
              <w:bottom w:val="nil"/>
              <w:right w:val="nil"/>
            </w:tcBorders>
            <w:shd w:val="clear" w:color="auto" w:fill="auto"/>
            <w:noWrap/>
            <w:vAlign w:val="bottom"/>
          </w:tcPr>
          <w:p w:rsidR="00C925E9" w:rsidRPr="00BD427E" w:rsidRDefault="00C925E9" w:rsidP="00AF5A17">
            <w:pPr>
              <w:pStyle w:val="Tabletext"/>
              <w:tabs>
                <w:tab w:val="decimal" w:pos="720"/>
              </w:tabs>
              <w:jc w:val="right"/>
            </w:pPr>
            <w:r w:rsidRPr="00BD427E">
              <w:t>0</w:t>
            </w:r>
          </w:p>
        </w:tc>
        <w:tc>
          <w:tcPr>
            <w:tcW w:w="1418" w:type="dxa"/>
            <w:tcBorders>
              <w:top w:val="nil"/>
              <w:left w:val="nil"/>
              <w:bottom w:val="nil"/>
              <w:right w:val="nil"/>
            </w:tcBorders>
            <w:shd w:val="clear" w:color="auto" w:fill="auto"/>
            <w:noWrap/>
            <w:vAlign w:val="bottom"/>
          </w:tcPr>
          <w:p w:rsidR="00C925E9" w:rsidRPr="00BD427E" w:rsidRDefault="00C925E9" w:rsidP="00AF5A17">
            <w:pPr>
              <w:pStyle w:val="Tabletext"/>
              <w:tabs>
                <w:tab w:val="decimal" w:pos="720"/>
              </w:tabs>
              <w:jc w:val="right"/>
            </w:pPr>
            <w:r w:rsidRPr="00BD427E">
              <w:t>0</w:t>
            </w:r>
          </w:p>
        </w:tc>
      </w:tr>
      <w:tr w:rsidR="00C925E9" w:rsidRPr="00BD427E">
        <w:trPr>
          <w:trHeight w:val="225"/>
        </w:trPr>
        <w:tc>
          <w:tcPr>
            <w:tcW w:w="3969" w:type="dxa"/>
            <w:tcBorders>
              <w:top w:val="nil"/>
              <w:left w:val="nil"/>
              <w:bottom w:val="nil"/>
              <w:right w:val="nil"/>
            </w:tcBorders>
            <w:shd w:val="clear" w:color="auto" w:fill="auto"/>
            <w:noWrap/>
            <w:vAlign w:val="bottom"/>
          </w:tcPr>
          <w:p w:rsidR="00C925E9" w:rsidRPr="00BD427E" w:rsidRDefault="00C925E9" w:rsidP="00200C9F">
            <w:pPr>
              <w:pStyle w:val="Tabletext"/>
            </w:pPr>
            <w:r w:rsidRPr="00BD427E">
              <w:t>Not applicable/not studying</w:t>
            </w:r>
          </w:p>
        </w:tc>
        <w:tc>
          <w:tcPr>
            <w:tcW w:w="1418" w:type="dxa"/>
            <w:tcBorders>
              <w:top w:val="nil"/>
              <w:left w:val="nil"/>
              <w:bottom w:val="nil"/>
              <w:right w:val="nil"/>
            </w:tcBorders>
            <w:shd w:val="clear" w:color="auto" w:fill="auto"/>
            <w:noWrap/>
            <w:vAlign w:val="bottom"/>
          </w:tcPr>
          <w:p w:rsidR="00C925E9" w:rsidRPr="00BD427E" w:rsidRDefault="00C925E9" w:rsidP="00AF5A17">
            <w:pPr>
              <w:pStyle w:val="Tabletext"/>
              <w:tabs>
                <w:tab w:val="decimal" w:pos="720"/>
              </w:tabs>
              <w:jc w:val="right"/>
            </w:pPr>
            <w:r w:rsidRPr="00BD427E">
              <w:t>65</w:t>
            </w:r>
          </w:p>
        </w:tc>
        <w:tc>
          <w:tcPr>
            <w:tcW w:w="1418" w:type="dxa"/>
            <w:tcBorders>
              <w:top w:val="nil"/>
              <w:left w:val="nil"/>
              <w:bottom w:val="nil"/>
              <w:right w:val="nil"/>
            </w:tcBorders>
            <w:shd w:val="clear" w:color="auto" w:fill="auto"/>
            <w:noWrap/>
            <w:vAlign w:val="bottom"/>
          </w:tcPr>
          <w:p w:rsidR="00C925E9" w:rsidRPr="00BD427E" w:rsidRDefault="00C925E9" w:rsidP="00AF5A17">
            <w:pPr>
              <w:pStyle w:val="Tabletext"/>
              <w:tabs>
                <w:tab w:val="decimal" w:pos="720"/>
              </w:tabs>
              <w:jc w:val="right"/>
            </w:pPr>
            <w:r w:rsidRPr="00BD427E">
              <w:t>66</w:t>
            </w:r>
          </w:p>
        </w:tc>
      </w:tr>
      <w:tr w:rsidR="00C925E9" w:rsidRPr="003F25B9">
        <w:trPr>
          <w:trHeight w:val="225"/>
        </w:trPr>
        <w:tc>
          <w:tcPr>
            <w:tcW w:w="3969" w:type="dxa"/>
            <w:tcBorders>
              <w:top w:val="nil"/>
              <w:left w:val="nil"/>
              <w:right w:val="nil"/>
            </w:tcBorders>
            <w:shd w:val="clear" w:color="auto" w:fill="auto"/>
            <w:noWrap/>
            <w:vAlign w:val="bottom"/>
          </w:tcPr>
          <w:p w:rsidR="00C925E9" w:rsidRPr="003F25B9" w:rsidRDefault="00C925E9" w:rsidP="00200C9F">
            <w:pPr>
              <w:pStyle w:val="Tabletext"/>
              <w:rPr>
                <w:b/>
                <w:bCs/>
              </w:rPr>
            </w:pPr>
            <w:r w:rsidRPr="003F25B9">
              <w:rPr>
                <w:b/>
                <w:bCs/>
              </w:rPr>
              <w:t>Total (%)</w:t>
            </w:r>
          </w:p>
        </w:tc>
        <w:tc>
          <w:tcPr>
            <w:tcW w:w="1418" w:type="dxa"/>
            <w:tcBorders>
              <w:top w:val="nil"/>
              <w:left w:val="nil"/>
              <w:right w:val="nil"/>
            </w:tcBorders>
            <w:shd w:val="clear" w:color="auto" w:fill="auto"/>
            <w:noWrap/>
            <w:vAlign w:val="bottom"/>
          </w:tcPr>
          <w:p w:rsidR="00C925E9" w:rsidRPr="003F25B9" w:rsidRDefault="00C925E9" w:rsidP="00AF5A17">
            <w:pPr>
              <w:pStyle w:val="Tabletext"/>
              <w:tabs>
                <w:tab w:val="decimal" w:pos="720"/>
              </w:tabs>
              <w:jc w:val="right"/>
              <w:rPr>
                <w:b/>
              </w:rPr>
            </w:pPr>
            <w:r w:rsidRPr="003F25B9">
              <w:rPr>
                <w:b/>
              </w:rPr>
              <w:t>100</w:t>
            </w:r>
          </w:p>
        </w:tc>
        <w:tc>
          <w:tcPr>
            <w:tcW w:w="1418" w:type="dxa"/>
            <w:tcBorders>
              <w:top w:val="nil"/>
              <w:left w:val="nil"/>
              <w:right w:val="nil"/>
            </w:tcBorders>
            <w:shd w:val="clear" w:color="auto" w:fill="auto"/>
            <w:noWrap/>
            <w:vAlign w:val="bottom"/>
          </w:tcPr>
          <w:p w:rsidR="00C925E9" w:rsidRPr="003F25B9" w:rsidRDefault="00C925E9" w:rsidP="00AF5A17">
            <w:pPr>
              <w:pStyle w:val="Tabletext"/>
              <w:tabs>
                <w:tab w:val="decimal" w:pos="720"/>
              </w:tabs>
              <w:jc w:val="right"/>
              <w:rPr>
                <w:b/>
              </w:rPr>
            </w:pPr>
            <w:r w:rsidRPr="003F25B9">
              <w:rPr>
                <w:b/>
              </w:rPr>
              <w:t>100</w:t>
            </w:r>
          </w:p>
        </w:tc>
      </w:tr>
      <w:tr w:rsidR="00C925E9" w:rsidRPr="003F25B9">
        <w:trPr>
          <w:trHeight w:val="225"/>
        </w:trPr>
        <w:tc>
          <w:tcPr>
            <w:tcW w:w="3969" w:type="dxa"/>
            <w:tcBorders>
              <w:top w:val="nil"/>
              <w:left w:val="nil"/>
              <w:bottom w:val="single" w:sz="4" w:space="0" w:color="auto"/>
              <w:right w:val="nil"/>
            </w:tcBorders>
            <w:shd w:val="clear" w:color="auto" w:fill="auto"/>
            <w:noWrap/>
            <w:vAlign w:val="bottom"/>
          </w:tcPr>
          <w:p w:rsidR="00C925E9" w:rsidRPr="003F25B9" w:rsidRDefault="00C925E9" w:rsidP="00200C9F">
            <w:pPr>
              <w:pStyle w:val="Tabletext"/>
              <w:rPr>
                <w:b/>
              </w:rPr>
            </w:pPr>
            <w:r w:rsidRPr="003F25B9">
              <w:rPr>
                <w:b/>
              </w:rPr>
              <w:t>Total (N)</w:t>
            </w:r>
          </w:p>
        </w:tc>
        <w:tc>
          <w:tcPr>
            <w:tcW w:w="1418" w:type="dxa"/>
            <w:tcBorders>
              <w:top w:val="nil"/>
              <w:left w:val="nil"/>
              <w:bottom w:val="single" w:sz="4" w:space="0" w:color="auto"/>
              <w:right w:val="nil"/>
            </w:tcBorders>
            <w:shd w:val="clear" w:color="auto" w:fill="auto"/>
            <w:noWrap/>
            <w:vAlign w:val="bottom"/>
          </w:tcPr>
          <w:p w:rsidR="00C925E9" w:rsidRPr="003F25B9" w:rsidRDefault="00C925E9" w:rsidP="00AF5A17">
            <w:pPr>
              <w:pStyle w:val="Tabletext"/>
              <w:tabs>
                <w:tab w:val="decimal" w:pos="720"/>
              </w:tabs>
              <w:jc w:val="right"/>
              <w:rPr>
                <w:b/>
                <w:bCs/>
              </w:rPr>
            </w:pPr>
            <w:r w:rsidRPr="003F25B9">
              <w:rPr>
                <w:b/>
                <w:bCs/>
              </w:rPr>
              <w:t>393</w:t>
            </w:r>
          </w:p>
        </w:tc>
        <w:tc>
          <w:tcPr>
            <w:tcW w:w="1418" w:type="dxa"/>
            <w:tcBorders>
              <w:top w:val="nil"/>
              <w:left w:val="nil"/>
              <w:bottom w:val="single" w:sz="4" w:space="0" w:color="auto"/>
              <w:right w:val="nil"/>
            </w:tcBorders>
            <w:shd w:val="clear" w:color="auto" w:fill="auto"/>
            <w:noWrap/>
            <w:vAlign w:val="bottom"/>
          </w:tcPr>
          <w:p w:rsidR="00C925E9" w:rsidRPr="003F25B9" w:rsidRDefault="00C925E9" w:rsidP="00AF5A17">
            <w:pPr>
              <w:pStyle w:val="Tabletext"/>
              <w:tabs>
                <w:tab w:val="decimal" w:pos="720"/>
              </w:tabs>
              <w:jc w:val="right"/>
              <w:rPr>
                <w:b/>
                <w:bCs/>
              </w:rPr>
            </w:pPr>
            <w:r w:rsidRPr="003F25B9">
              <w:rPr>
                <w:b/>
                <w:bCs/>
              </w:rPr>
              <w:t>1720</w:t>
            </w:r>
          </w:p>
        </w:tc>
      </w:tr>
    </w:tbl>
    <w:p w:rsidR="00C925E9" w:rsidRDefault="00C925E9" w:rsidP="00534339">
      <w:pPr>
        <w:pStyle w:val="Text"/>
        <w:spacing w:before="300"/>
        <w:ind w:right="0"/>
        <w:rPr>
          <w:lang w:val="en-US"/>
        </w:rPr>
      </w:pPr>
      <w:r>
        <w:rPr>
          <w:lang w:val="en-US"/>
        </w:rPr>
        <w:t>We would like to know whether continuing involvement in study explains the lower participation in full-time employment of gap-takers. We show the proportions of gappers and non-gappers in the various combinations of work and study status. We group both into full-time, part-time and not involved in work or study, which yields nine possible combinations (see table 18).</w:t>
      </w:r>
    </w:p>
    <w:p w:rsidR="00C925E9" w:rsidRDefault="00C925E9" w:rsidP="00200C9F">
      <w:pPr>
        <w:pStyle w:val="Text"/>
        <w:rPr>
          <w:lang w:val="en-US"/>
        </w:rPr>
      </w:pPr>
      <w:r>
        <w:rPr>
          <w:lang w:val="en-US"/>
        </w:rPr>
        <w:t>For gappers and non-gappers who are both working and studying, more gappers are in full-time study and part-time work (a difference of five percentage points), while more non-gappers are in full-time work and part-time study (a difference of four percentage points). That is, non-gappers show greater progress than gappers in their transitions from study into work.</w:t>
      </w:r>
    </w:p>
    <w:p w:rsidR="00C925E9" w:rsidRDefault="00C925E9" w:rsidP="00200C9F">
      <w:pPr>
        <w:pStyle w:val="Text"/>
        <w:rPr>
          <w:lang w:val="en-US"/>
        </w:rPr>
      </w:pPr>
      <w:r>
        <w:rPr>
          <w:lang w:val="en-US"/>
        </w:rPr>
        <w:lastRenderedPageBreak/>
        <w:t>The greatest difference between gappers and non-gappers is the proportion of those no longer studying who are working full-time (45% and 53% respectively). That is, non-gappers, having completed or left study, reveal more successful transitions into the labour market than do gappers.</w:t>
      </w:r>
    </w:p>
    <w:p w:rsidR="00C925E9" w:rsidRDefault="00C925E9" w:rsidP="00200C9F">
      <w:pPr>
        <w:pStyle w:val="Text"/>
        <w:rPr>
          <w:lang w:val="en-US"/>
        </w:rPr>
      </w:pPr>
      <w:r>
        <w:rPr>
          <w:lang w:val="en-US"/>
        </w:rPr>
        <w:t xml:space="preserve">A final point to emerge from a consideration of the data shown in table 18 is the extent of engagement of Y98 cohort members. Non-gappers are more likely to be fully engaged. We define full </w:t>
      </w:r>
      <w:r w:rsidRPr="009D26C7">
        <w:rPr>
          <w:lang w:val="en-US"/>
        </w:rPr>
        <w:t xml:space="preserve">engagement as </w:t>
      </w:r>
      <w:r>
        <w:rPr>
          <w:lang w:val="en-US"/>
        </w:rPr>
        <w:t>working full-time, studying full-time or both working and studying part-time; part-time engagement is either working part-time or studying part-time. Very few individuals are not engaged; that is, neither working nor studying. By summing the proportions of gappers and non-gappers in these combinations of activity, we find that 86% of non-gappers are fully engaged, 10% are partly engaged and 4% are not engaged. For gappers the corresponding proportions are 79%, 16% and 5%.</w:t>
      </w:r>
    </w:p>
    <w:p w:rsidR="00C925E9" w:rsidRDefault="00C925E9" w:rsidP="00200C9F">
      <w:pPr>
        <w:pStyle w:val="tabletitle"/>
        <w:rPr>
          <w:lang w:val="en-US"/>
        </w:rPr>
      </w:pPr>
      <w:bookmarkStart w:id="77" w:name="_Toc322691621"/>
      <w:r>
        <w:rPr>
          <w:lang w:val="en-US"/>
        </w:rPr>
        <w:t>Table 18</w:t>
      </w:r>
      <w:r>
        <w:rPr>
          <w:lang w:val="en-US"/>
        </w:rPr>
        <w:tab/>
        <w:t>Study status by gap-taking and employment status for Y98 current students in 2007</w:t>
      </w:r>
      <w:bookmarkEnd w:id="77"/>
    </w:p>
    <w:tbl>
      <w:tblPr>
        <w:tblW w:w="0" w:type="auto"/>
        <w:tblInd w:w="93" w:type="dxa"/>
        <w:tblLook w:val="0000"/>
      </w:tblPr>
      <w:tblGrid>
        <w:gridCol w:w="2722"/>
        <w:gridCol w:w="1418"/>
        <w:gridCol w:w="1418"/>
        <w:gridCol w:w="1418"/>
        <w:gridCol w:w="1418"/>
      </w:tblGrid>
      <w:tr w:rsidR="00C925E9" w:rsidRPr="00971BB8">
        <w:tc>
          <w:tcPr>
            <w:tcW w:w="2722" w:type="dxa"/>
            <w:tcBorders>
              <w:top w:val="single" w:sz="4" w:space="0" w:color="auto"/>
            </w:tcBorders>
            <w:shd w:val="clear" w:color="auto" w:fill="auto"/>
            <w:noWrap/>
            <w:vAlign w:val="bottom"/>
          </w:tcPr>
          <w:p w:rsidR="00C925E9" w:rsidRPr="00971BB8" w:rsidRDefault="00C925E9" w:rsidP="00200C9F">
            <w:pPr>
              <w:pStyle w:val="Tabletext"/>
            </w:pPr>
          </w:p>
        </w:tc>
        <w:tc>
          <w:tcPr>
            <w:tcW w:w="4254" w:type="dxa"/>
            <w:gridSpan w:val="3"/>
            <w:tcBorders>
              <w:top w:val="single" w:sz="4" w:space="0" w:color="auto"/>
            </w:tcBorders>
            <w:shd w:val="clear" w:color="auto" w:fill="auto"/>
            <w:vAlign w:val="bottom"/>
          </w:tcPr>
          <w:p w:rsidR="00C925E9" w:rsidRPr="00971BB8" w:rsidRDefault="00C925E9" w:rsidP="00200C9F">
            <w:pPr>
              <w:pStyle w:val="Tablehead1"/>
              <w:jc w:val="center"/>
            </w:pPr>
            <w:r>
              <w:t>Study status (%)</w:t>
            </w:r>
          </w:p>
        </w:tc>
        <w:tc>
          <w:tcPr>
            <w:tcW w:w="1418" w:type="dxa"/>
            <w:tcBorders>
              <w:top w:val="single" w:sz="4" w:space="0" w:color="auto"/>
            </w:tcBorders>
            <w:shd w:val="clear" w:color="auto" w:fill="auto"/>
            <w:vAlign w:val="bottom"/>
          </w:tcPr>
          <w:p w:rsidR="00C925E9" w:rsidRPr="00971BB8" w:rsidRDefault="00AF5A17" w:rsidP="001810E3">
            <w:pPr>
              <w:pStyle w:val="Tablehead1"/>
              <w:jc w:val="right"/>
            </w:pPr>
            <w:r w:rsidRPr="00971BB8">
              <w:t>Total</w:t>
            </w:r>
          </w:p>
        </w:tc>
      </w:tr>
      <w:tr w:rsidR="00C925E9" w:rsidRPr="00971BB8">
        <w:tc>
          <w:tcPr>
            <w:tcW w:w="2722" w:type="dxa"/>
            <w:tcBorders>
              <w:bottom w:val="single" w:sz="4" w:space="0" w:color="auto"/>
            </w:tcBorders>
            <w:shd w:val="clear" w:color="auto" w:fill="auto"/>
            <w:noWrap/>
            <w:vAlign w:val="bottom"/>
          </w:tcPr>
          <w:p w:rsidR="00C925E9" w:rsidRPr="00971BB8" w:rsidRDefault="00C925E9" w:rsidP="00200C9F">
            <w:pPr>
              <w:pStyle w:val="Tabletext"/>
            </w:pPr>
          </w:p>
        </w:tc>
        <w:tc>
          <w:tcPr>
            <w:tcW w:w="1418" w:type="dxa"/>
            <w:tcBorders>
              <w:bottom w:val="single" w:sz="4" w:space="0" w:color="auto"/>
            </w:tcBorders>
            <w:shd w:val="clear" w:color="auto" w:fill="auto"/>
            <w:vAlign w:val="bottom"/>
          </w:tcPr>
          <w:p w:rsidR="00C925E9" w:rsidRPr="00971BB8" w:rsidRDefault="00C925E9" w:rsidP="00AF5A17">
            <w:pPr>
              <w:pStyle w:val="Tablehead2"/>
              <w:jc w:val="right"/>
            </w:pPr>
            <w:r w:rsidRPr="00971BB8">
              <w:t>Studying full-time</w:t>
            </w:r>
          </w:p>
        </w:tc>
        <w:tc>
          <w:tcPr>
            <w:tcW w:w="1418" w:type="dxa"/>
            <w:tcBorders>
              <w:bottom w:val="single" w:sz="4" w:space="0" w:color="auto"/>
            </w:tcBorders>
            <w:shd w:val="clear" w:color="auto" w:fill="auto"/>
            <w:vAlign w:val="bottom"/>
          </w:tcPr>
          <w:p w:rsidR="00C925E9" w:rsidRPr="00971BB8" w:rsidRDefault="00C925E9" w:rsidP="00AF5A17">
            <w:pPr>
              <w:pStyle w:val="Tablehead2"/>
              <w:jc w:val="right"/>
            </w:pPr>
            <w:r w:rsidRPr="00971BB8">
              <w:t>Studying part-time</w:t>
            </w:r>
          </w:p>
        </w:tc>
        <w:tc>
          <w:tcPr>
            <w:tcW w:w="1418" w:type="dxa"/>
            <w:tcBorders>
              <w:bottom w:val="single" w:sz="4" w:space="0" w:color="auto"/>
            </w:tcBorders>
            <w:shd w:val="clear" w:color="auto" w:fill="auto"/>
            <w:vAlign w:val="bottom"/>
          </w:tcPr>
          <w:p w:rsidR="00C925E9" w:rsidRPr="00971BB8" w:rsidRDefault="00C925E9" w:rsidP="00AF5A17">
            <w:pPr>
              <w:pStyle w:val="Tablehead2"/>
              <w:jc w:val="right"/>
            </w:pPr>
            <w:r w:rsidRPr="00971BB8">
              <w:t>No study/ unknown</w:t>
            </w:r>
          </w:p>
        </w:tc>
        <w:tc>
          <w:tcPr>
            <w:tcW w:w="1418" w:type="dxa"/>
            <w:tcBorders>
              <w:bottom w:val="single" w:sz="4" w:space="0" w:color="auto"/>
            </w:tcBorders>
            <w:shd w:val="clear" w:color="auto" w:fill="auto"/>
            <w:vAlign w:val="bottom"/>
          </w:tcPr>
          <w:p w:rsidR="00C925E9" w:rsidRPr="00971BB8" w:rsidRDefault="00C925E9" w:rsidP="00AF5A17">
            <w:pPr>
              <w:pStyle w:val="Tablehead2"/>
              <w:jc w:val="right"/>
            </w:pPr>
          </w:p>
        </w:tc>
      </w:tr>
      <w:tr w:rsidR="00C925E9" w:rsidRPr="00971BB8">
        <w:trPr>
          <w:trHeight w:val="255"/>
        </w:trPr>
        <w:tc>
          <w:tcPr>
            <w:tcW w:w="2722" w:type="dxa"/>
            <w:tcBorders>
              <w:top w:val="single" w:sz="4" w:space="0" w:color="auto"/>
            </w:tcBorders>
            <w:shd w:val="clear" w:color="auto" w:fill="auto"/>
            <w:noWrap/>
            <w:vAlign w:val="bottom"/>
          </w:tcPr>
          <w:p w:rsidR="00C925E9" w:rsidRPr="00971BB8" w:rsidRDefault="00C925E9" w:rsidP="00200C9F">
            <w:pPr>
              <w:pStyle w:val="Tabletext"/>
            </w:pPr>
            <w:r w:rsidRPr="00971BB8">
              <w:t>Non-gappers</w:t>
            </w:r>
          </w:p>
        </w:tc>
        <w:tc>
          <w:tcPr>
            <w:tcW w:w="1418" w:type="dxa"/>
            <w:tcBorders>
              <w:top w:val="single" w:sz="4" w:space="0" w:color="auto"/>
            </w:tcBorders>
            <w:shd w:val="clear" w:color="auto" w:fill="auto"/>
            <w:noWrap/>
            <w:vAlign w:val="bottom"/>
          </w:tcPr>
          <w:p w:rsidR="00C925E9" w:rsidRPr="00971BB8" w:rsidRDefault="00C925E9" w:rsidP="00AF5A17">
            <w:pPr>
              <w:pStyle w:val="Tabletext"/>
              <w:jc w:val="right"/>
            </w:pPr>
          </w:p>
        </w:tc>
        <w:tc>
          <w:tcPr>
            <w:tcW w:w="1418" w:type="dxa"/>
            <w:tcBorders>
              <w:top w:val="single" w:sz="4" w:space="0" w:color="auto"/>
            </w:tcBorders>
            <w:shd w:val="clear" w:color="auto" w:fill="auto"/>
            <w:noWrap/>
            <w:vAlign w:val="bottom"/>
          </w:tcPr>
          <w:p w:rsidR="00C925E9" w:rsidRPr="00971BB8" w:rsidRDefault="00C925E9" w:rsidP="00AF5A17">
            <w:pPr>
              <w:pStyle w:val="Tabletext"/>
              <w:jc w:val="right"/>
            </w:pPr>
          </w:p>
        </w:tc>
        <w:tc>
          <w:tcPr>
            <w:tcW w:w="1418" w:type="dxa"/>
            <w:tcBorders>
              <w:top w:val="single" w:sz="4" w:space="0" w:color="auto"/>
            </w:tcBorders>
            <w:shd w:val="clear" w:color="auto" w:fill="auto"/>
            <w:noWrap/>
            <w:vAlign w:val="bottom"/>
          </w:tcPr>
          <w:p w:rsidR="00C925E9" w:rsidRPr="00971BB8" w:rsidRDefault="00C925E9" w:rsidP="00AF5A17">
            <w:pPr>
              <w:pStyle w:val="Tabletext"/>
              <w:jc w:val="right"/>
            </w:pPr>
          </w:p>
        </w:tc>
        <w:tc>
          <w:tcPr>
            <w:tcW w:w="1418" w:type="dxa"/>
            <w:tcBorders>
              <w:top w:val="single" w:sz="4" w:space="0" w:color="auto"/>
            </w:tcBorders>
            <w:shd w:val="clear" w:color="auto" w:fill="auto"/>
            <w:noWrap/>
            <w:vAlign w:val="bottom"/>
          </w:tcPr>
          <w:p w:rsidR="00C925E9" w:rsidRPr="00971BB8" w:rsidRDefault="00C925E9" w:rsidP="00AF5A17">
            <w:pPr>
              <w:pStyle w:val="Tabletext"/>
              <w:jc w:val="right"/>
            </w:pPr>
          </w:p>
        </w:tc>
      </w:tr>
      <w:tr w:rsidR="00C925E9" w:rsidRPr="00971BB8">
        <w:trPr>
          <w:trHeight w:val="255"/>
        </w:trPr>
        <w:tc>
          <w:tcPr>
            <w:tcW w:w="2722" w:type="dxa"/>
            <w:shd w:val="clear" w:color="auto" w:fill="auto"/>
            <w:noWrap/>
            <w:vAlign w:val="bottom"/>
          </w:tcPr>
          <w:p w:rsidR="00C925E9" w:rsidRPr="00971BB8" w:rsidRDefault="00C925E9" w:rsidP="00200C9F">
            <w:pPr>
              <w:pStyle w:val="Tabletext"/>
              <w:ind w:left="191"/>
            </w:pPr>
            <w:r w:rsidRPr="00971BB8">
              <w:t>Employed full-time</w:t>
            </w:r>
          </w:p>
        </w:tc>
        <w:tc>
          <w:tcPr>
            <w:tcW w:w="1418" w:type="dxa"/>
            <w:shd w:val="clear" w:color="auto" w:fill="auto"/>
            <w:noWrap/>
            <w:vAlign w:val="bottom"/>
          </w:tcPr>
          <w:p w:rsidR="00C925E9" w:rsidRDefault="00C925E9" w:rsidP="00AF5A17">
            <w:pPr>
              <w:pStyle w:val="Tabletext"/>
              <w:tabs>
                <w:tab w:val="decimal" w:pos="720"/>
              </w:tabs>
              <w:jc w:val="right"/>
            </w:pPr>
            <w:r>
              <w:t>3</w:t>
            </w:r>
          </w:p>
        </w:tc>
        <w:tc>
          <w:tcPr>
            <w:tcW w:w="1418" w:type="dxa"/>
            <w:shd w:val="clear" w:color="auto" w:fill="auto"/>
            <w:noWrap/>
            <w:vAlign w:val="bottom"/>
          </w:tcPr>
          <w:p w:rsidR="00C925E9" w:rsidRDefault="00C925E9" w:rsidP="00AF5A17">
            <w:pPr>
              <w:pStyle w:val="Tabletext"/>
              <w:tabs>
                <w:tab w:val="decimal" w:pos="720"/>
              </w:tabs>
              <w:jc w:val="right"/>
            </w:pPr>
            <w:r>
              <w:t>9</w:t>
            </w:r>
          </w:p>
        </w:tc>
        <w:tc>
          <w:tcPr>
            <w:tcW w:w="1418" w:type="dxa"/>
            <w:shd w:val="clear" w:color="auto" w:fill="auto"/>
            <w:noWrap/>
            <w:vAlign w:val="bottom"/>
          </w:tcPr>
          <w:p w:rsidR="00C925E9" w:rsidRDefault="00C925E9" w:rsidP="00AF5A17">
            <w:pPr>
              <w:pStyle w:val="Tabletext"/>
              <w:tabs>
                <w:tab w:val="decimal" w:pos="720"/>
              </w:tabs>
              <w:jc w:val="right"/>
            </w:pPr>
            <w:r>
              <w:t>53</w:t>
            </w:r>
          </w:p>
        </w:tc>
        <w:tc>
          <w:tcPr>
            <w:tcW w:w="1418" w:type="dxa"/>
            <w:shd w:val="clear" w:color="auto" w:fill="auto"/>
            <w:noWrap/>
            <w:vAlign w:val="bottom"/>
          </w:tcPr>
          <w:p w:rsidR="00C925E9" w:rsidRDefault="00C925E9" w:rsidP="00AF5A17">
            <w:pPr>
              <w:pStyle w:val="Tabletext"/>
              <w:tabs>
                <w:tab w:val="decimal" w:pos="720"/>
              </w:tabs>
              <w:jc w:val="right"/>
            </w:pPr>
            <w:r>
              <w:t>65</w:t>
            </w:r>
          </w:p>
        </w:tc>
      </w:tr>
      <w:tr w:rsidR="00C925E9" w:rsidRPr="00971BB8">
        <w:trPr>
          <w:trHeight w:val="255"/>
        </w:trPr>
        <w:tc>
          <w:tcPr>
            <w:tcW w:w="2722" w:type="dxa"/>
            <w:shd w:val="clear" w:color="auto" w:fill="auto"/>
            <w:noWrap/>
            <w:vAlign w:val="bottom"/>
          </w:tcPr>
          <w:p w:rsidR="00C925E9" w:rsidRPr="00971BB8" w:rsidRDefault="00C925E9" w:rsidP="00200C9F">
            <w:pPr>
              <w:pStyle w:val="Tabletext"/>
              <w:ind w:left="191"/>
            </w:pPr>
            <w:r w:rsidRPr="00971BB8">
              <w:t>Employed part-time</w:t>
            </w:r>
          </w:p>
        </w:tc>
        <w:tc>
          <w:tcPr>
            <w:tcW w:w="1418" w:type="dxa"/>
            <w:shd w:val="clear" w:color="auto" w:fill="auto"/>
            <w:noWrap/>
            <w:vAlign w:val="bottom"/>
          </w:tcPr>
          <w:p w:rsidR="00C925E9" w:rsidRDefault="00C925E9" w:rsidP="00AF5A17">
            <w:pPr>
              <w:pStyle w:val="Tabletext"/>
              <w:tabs>
                <w:tab w:val="decimal" w:pos="720"/>
              </w:tabs>
              <w:jc w:val="right"/>
            </w:pPr>
            <w:r>
              <w:t>11</w:t>
            </w:r>
          </w:p>
        </w:tc>
        <w:tc>
          <w:tcPr>
            <w:tcW w:w="1418" w:type="dxa"/>
            <w:shd w:val="clear" w:color="auto" w:fill="auto"/>
            <w:noWrap/>
            <w:vAlign w:val="bottom"/>
          </w:tcPr>
          <w:p w:rsidR="00C925E9" w:rsidRDefault="00C925E9" w:rsidP="00AF5A17">
            <w:pPr>
              <w:pStyle w:val="Tabletext"/>
              <w:tabs>
                <w:tab w:val="decimal" w:pos="720"/>
              </w:tabs>
              <w:jc w:val="right"/>
            </w:pPr>
            <w:r>
              <w:t>4</w:t>
            </w:r>
          </w:p>
        </w:tc>
        <w:tc>
          <w:tcPr>
            <w:tcW w:w="1418" w:type="dxa"/>
            <w:shd w:val="clear" w:color="auto" w:fill="auto"/>
            <w:noWrap/>
            <w:vAlign w:val="bottom"/>
          </w:tcPr>
          <w:p w:rsidR="00C925E9" w:rsidRDefault="00C925E9" w:rsidP="00AF5A17">
            <w:pPr>
              <w:pStyle w:val="Tabletext"/>
              <w:tabs>
                <w:tab w:val="decimal" w:pos="720"/>
              </w:tabs>
              <w:jc w:val="right"/>
            </w:pPr>
            <w:r>
              <w:t>9</w:t>
            </w:r>
          </w:p>
        </w:tc>
        <w:tc>
          <w:tcPr>
            <w:tcW w:w="1418" w:type="dxa"/>
            <w:shd w:val="clear" w:color="auto" w:fill="auto"/>
            <w:noWrap/>
            <w:vAlign w:val="bottom"/>
          </w:tcPr>
          <w:p w:rsidR="00C925E9" w:rsidRDefault="00C925E9" w:rsidP="00AF5A17">
            <w:pPr>
              <w:pStyle w:val="Tabletext"/>
              <w:tabs>
                <w:tab w:val="decimal" w:pos="720"/>
              </w:tabs>
              <w:jc w:val="right"/>
            </w:pPr>
            <w:r>
              <w:t>25</w:t>
            </w:r>
          </w:p>
        </w:tc>
      </w:tr>
      <w:tr w:rsidR="00C925E9" w:rsidRPr="00971BB8" w:rsidTr="00851FD6">
        <w:trPr>
          <w:trHeight w:val="255"/>
        </w:trPr>
        <w:tc>
          <w:tcPr>
            <w:tcW w:w="2722" w:type="dxa"/>
            <w:shd w:val="clear" w:color="auto" w:fill="auto"/>
            <w:noWrap/>
            <w:vAlign w:val="bottom"/>
          </w:tcPr>
          <w:p w:rsidR="00C925E9" w:rsidRPr="00971BB8" w:rsidRDefault="00C925E9" w:rsidP="00200C9F">
            <w:pPr>
              <w:pStyle w:val="Tabletext"/>
              <w:ind w:left="191"/>
            </w:pPr>
            <w:r w:rsidRPr="00971BB8">
              <w:t>No employment/unknown</w:t>
            </w:r>
          </w:p>
        </w:tc>
        <w:tc>
          <w:tcPr>
            <w:tcW w:w="1418" w:type="dxa"/>
            <w:shd w:val="clear" w:color="auto" w:fill="auto"/>
            <w:noWrap/>
            <w:vAlign w:val="bottom"/>
          </w:tcPr>
          <w:p w:rsidR="00C925E9" w:rsidRDefault="00C925E9" w:rsidP="00AF5A17">
            <w:pPr>
              <w:pStyle w:val="Tabletext"/>
              <w:tabs>
                <w:tab w:val="decimal" w:pos="720"/>
              </w:tabs>
              <w:jc w:val="right"/>
            </w:pPr>
            <w:r>
              <w:t>6</w:t>
            </w:r>
          </w:p>
        </w:tc>
        <w:tc>
          <w:tcPr>
            <w:tcW w:w="1418" w:type="dxa"/>
            <w:shd w:val="clear" w:color="auto" w:fill="auto"/>
            <w:noWrap/>
            <w:vAlign w:val="bottom"/>
          </w:tcPr>
          <w:p w:rsidR="00C925E9" w:rsidRDefault="00C925E9" w:rsidP="00AF5A17">
            <w:pPr>
              <w:pStyle w:val="Tabletext"/>
              <w:tabs>
                <w:tab w:val="decimal" w:pos="720"/>
              </w:tabs>
              <w:jc w:val="right"/>
            </w:pPr>
            <w:r>
              <w:t>1</w:t>
            </w:r>
          </w:p>
        </w:tc>
        <w:tc>
          <w:tcPr>
            <w:tcW w:w="1418" w:type="dxa"/>
            <w:shd w:val="clear" w:color="auto" w:fill="auto"/>
            <w:noWrap/>
            <w:vAlign w:val="bottom"/>
          </w:tcPr>
          <w:p w:rsidR="00C925E9" w:rsidRDefault="00C925E9" w:rsidP="00AF5A17">
            <w:pPr>
              <w:pStyle w:val="Tabletext"/>
              <w:tabs>
                <w:tab w:val="decimal" w:pos="720"/>
              </w:tabs>
              <w:jc w:val="right"/>
            </w:pPr>
            <w:r>
              <w:t>4</w:t>
            </w:r>
          </w:p>
        </w:tc>
        <w:tc>
          <w:tcPr>
            <w:tcW w:w="1418" w:type="dxa"/>
            <w:shd w:val="clear" w:color="auto" w:fill="auto"/>
            <w:noWrap/>
            <w:vAlign w:val="bottom"/>
          </w:tcPr>
          <w:p w:rsidR="00C925E9" w:rsidRDefault="00C925E9" w:rsidP="00AF5A17">
            <w:pPr>
              <w:pStyle w:val="Tabletext"/>
              <w:tabs>
                <w:tab w:val="decimal" w:pos="720"/>
              </w:tabs>
              <w:jc w:val="right"/>
            </w:pPr>
            <w:r>
              <w:t>10</w:t>
            </w:r>
          </w:p>
        </w:tc>
      </w:tr>
      <w:tr w:rsidR="00C925E9" w:rsidRPr="00971BB8" w:rsidTr="00851FD6">
        <w:trPr>
          <w:trHeight w:val="255"/>
        </w:trPr>
        <w:tc>
          <w:tcPr>
            <w:tcW w:w="2722" w:type="dxa"/>
            <w:shd w:val="clear" w:color="auto" w:fill="auto"/>
            <w:noWrap/>
            <w:vAlign w:val="bottom"/>
          </w:tcPr>
          <w:p w:rsidR="00C925E9" w:rsidRPr="00971BB8" w:rsidRDefault="00C925E9" w:rsidP="00200C9F">
            <w:pPr>
              <w:pStyle w:val="Tabletext"/>
              <w:rPr>
                <w:b/>
                <w:bCs/>
              </w:rPr>
            </w:pPr>
            <w:r w:rsidRPr="00971BB8">
              <w:rPr>
                <w:b/>
                <w:bCs/>
              </w:rPr>
              <w:t>Total</w:t>
            </w:r>
            <w:r>
              <w:rPr>
                <w:b/>
                <w:bCs/>
              </w:rPr>
              <w:t xml:space="preserve"> (%)</w:t>
            </w:r>
          </w:p>
        </w:tc>
        <w:tc>
          <w:tcPr>
            <w:tcW w:w="1418" w:type="dxa"/>
            <w:shd w:val="clear" w:color="auto" w:fill="auto"/>
            <w:noWrap/>
            <w:vAlign w:val="bottom"/>
          </w:tcPr>
          <w:p w:rsidR="00C925E9" w:rsidRPr="00971BB8" w:rsidRDefault="00C925E9" w:rsidP="00AF5A17">
            <w:pPr>
              <w:pStyle w:val="Tabletext"/>
              <w:tabs>
                <w:tab w:val="decimal" w:pos="720"/>
              </w:tabs>
              <w:jc w:val="right"/>
              <w:rPr>
                <w:b/>
              </w:rPr>
            </w:pPr>
            <w:r w:rsidRPr="00971BB8">
              <w:rPr>
                <w:b/>
              </w:rPr>
              <w:t>20</w:t>
            </w:r>
          </w:p>
        </w:tc>
        <w:tc>
          <w:tcPr>
            <w:tcW w:w="1418" w:type="dxa"/>
            <w:shd w:val="clear" w:color="auto" w:fill="auto"/>
            <w:noWrap/>
            <w:vAlign w:val="bottom"/>
          </w:tcPr>
          <w:p w:rsidR="00C925E9" w:rsidRPr="00971BB8" w:rsidRDefault="00C925E9" w:rsidP="00AF5A17">
            <w:pPr>
              <w:pStyle w:val="Tabletext"/>
              <w:tabs>
                <w:tab w:val="decimal" w:pos="720"/>
              </w:tabs>
              <w:jc w:val="right"/>
              <w:rPr>
                <w:b/>
              </w:rPr>
            </w:pPr>
            <w:r w:rsidRPr="00971BB8">
              <w:rPr>
                <w:b/>
              </w:rPr>
              <w:t>13</w:t>
            </w:r>
          </w:p>
        </w:tc>
        <w:tc>
          <w:tcPr>
            <w:tcW w:w="1418" w:type="dxa"/>
            <w:shd w:val="clear" w:color="auto" w:fill="auto"/>
            <w:noWrap/>
            <w:vAlign w:val="bottom"/>
          </w:tcPr>
          <w:p w:rsidR="00C925E9" w:rsidRPr="00971BB8" w:rsidRDefault="00C925E9" w:rsidP="00AF5A17">
            <w:pPr>
              <w:pStyle w:val="Tabletext"/>
              <w:tabs>
                <w:tab w:val="decimal" w:pos="720"/>
              </w:tabs>
              <w:jc w:val="right"/>
              <w:rPr>
                <w:b/>
              </w:rPr>
            </w:pPr>
            <w:r w:rsidRPr="00971BB8">
              <w:rPr>
                <w:b/>
              </w:rPr>
              <w:t>67</w:t>
            </w:r>
          </w:p>
        </w:tc>
        <w:tc>
          <w:tcPr>
            <w:tcW w:w="1418" w:type="dxa"/>
            <w:shd w:val="clear" w:color="auto" w:fill="auto"/>
            <w:noWrap/>
            <w:vAlign w:val="bottom"/>
          </w:tcPr>
          <w:p w:rsidR="00C925E9" w:rsidRPr="00971BB8" w:rsidRDefault="00C925E9" w:rsidP="00AF5A17">
            <w:pPr>
              <w:pStyle w:val="Tabletext"/>
              <w:tabs>
                <w:tab w:val="decimal" w:pos="720"/>
              </w:tabs>
              <w:jc w:val="right"/>
              <w:rPr>
                <w:b/>
              </w:rPr>
            </w:pPr>
            <w:r w:rsidRPr="00971BB8">
              <w:rPr>
                <w:b/>
              </w:rPr>
              <w:t>100</w:t>
            </w:r>
          </w:p>
        </w:tc>
      </w:tr>
      <w:tr w:rsidR="00C925E9" w:rsidRPr="00971BB8" w:rsidTr="00AF5A17">
        <w:trPr>
          <w:trHeight w:val="255"/>
        </w:trPr>
        <w:tc>
          <w:tcPr>
            <w:tcW w:w="2722" w:type="dxa"/>
            <w:tcBorders>
              <w:bottom w:val="single" w:sz="4" w:space="0" w:color="auto"/>
            </w:tcBorders>
            <w:shd w:val="clear" w:color="auto" w:fill="auto"/>
            <w:noWrap/>
            <w:vAlign w:val="bottom"/>
          </w:tcPr>
          <w:p w:rsidR="00C925E9" w:rsidRPr="001F0840" w:rsidRDefault="00C925E9" w:rsidP="00200C9F">
            <w:pPr>
              <w:pStyle w:val="Tabletext"/>
              <w:rPr>
                <w:b/>
              </w:rPr>
            </w:pPr>
            <w:r w:rsidRPr="001F0840">
              <w:rPr>
                <w:b/>
              </w:rPr>
              <w:t>Total (N)</w:t>
            </w:r>
          </w:p>
        </w:tc>
        <w:tc>
          <w:tcPr>
            <w:tcW w:w="1418" w:type="dxa"/>
            <w:tcBorders>
              <w:bottom w:val="single" w:sz="4" w:space="0" w:color="auto"/>
            </w:tcBorders>
            <w:shd w:val="clear" w:color="auto" w:fill="auto"/>
            <w:noWrap/>
            <w:vAlign w:val="bottom"/>
          </w:tcPr>
          <w:p w:rsidR="00C925E9" w:rsidRPr="00971BB8" w:rsidRDefault="00C925E9" w:rsidP="00AF5A17">
            <w:pPr>
              <w:pStyle w:val="Tabletext"/>
              <w:tabs>
                <w:tab w:val="decimal" w:pos="720"/>
              </w:tabs>
              <w:jc w:val="right"/>
              <w:rPr>
                <w:b/>
                <w:bCs/>
              </w:rPr>
            </w:pPr>
            <w:r w:rsidRPr="00971BB8">
              <w:rPr>
                <w:b/>
                <w:bCs/>
              </w:rPr>
              <w:t>351</w:t>
            </w:r>
          </w:p>
        </w:tc>
        <w:tc>
          <w:tcPr>
            <w:tcW w:w="1418" w:type="dxa"/>
            <w:tcBorders>
              <w:bottom w:val="single" w:sz="4" w:space="0" w:color="auto"/>
            </w:tcBorders>
            <w:shd w:val="clear" w:color="auto" w:fill="auto"/>
            <w:noWrap/>
            <w:vAlign w:val="bottom"/>
          </w:tcPr>
          <w:p w:rsidR="00C925E9" w:rsidRPr="00971BB8" w:rsidRDefault="00C925E9" w:rsidP="00AF5A17">
            <w:pPr>
              <w:pStyle w:val="Tabletext"/>
              <w:tabs>
                <w:tab w:val="decimal" w:pos="720"/>
              </w:tabs>
              <w:jc w:val="right"/>
              <w:rPr>
                <w:b/>
                <w:bCs/>
              </w:rPr>
            </w:pPr>
            <w:r w:rsidRPr="00971BB8">
              <w:rPr>
                <w:b/>
                <w:bCs/>
              </w:rPr>
              <w:t>225</w:t>
            </w:r>
          </w:p>
        </w:tc>
        <w:tc>
          <w:tcPr>
            <w:tcW w:w="1418" w:type="dxa"/>
            <w:tcBorders>
              <w:bottom w:val="single" w:sz="4" w:space="0" w:color="auto"/>
            </w:tcBorders>
            <w:shd w:val="clear" w:color="auto" w:fill="auto"/>
            <w:noWrap/>
            <w:vAlign w:val="bottom"/>
          </w:tcPr>
          <w:p w:rsidR="00C925E9" w:rsidRPr="00971BB8" w:rsidRDefault="00C925E9" w:rsidP="00AF5A17">
            <w:pPr>
              <w:pStyle w:val="Tabletext"/>
              <w:tabs>
                <w:tab w:val="decimal" w:pos="720"/>
              </w:tabs>
              <w:jc w:val="right"/>
              <w:rPr>
                <w:b/>
                <w:bCs/>
              </w:rPr>
            </w:pPr>
            <w:r w:rsidRPr="00971BB8">
              <w:rPr>
                <w:b/>
                <w:bCs/>
              </w:rPr>
              <w:t>1144</w:t>
            </w:r>
          </w:p>
        </w:tc>
        <w:tc>
          <w:tcPr>
            <w:tcW w:w="1418" w:type="dxa"/>
            <w:tcBorders>
              <w:bottom w:val="single" w:sz="4" w:space="0" w:color="auto"/>
            </w:tcBorders>
            <w:shd w:val="clear" w:color="auto" w:fill="auto"/>
            <w:noWrap/>
            <w:vAlign w:val="bottom"/>
          </w:tcPr>
          <w:p w:rsidR="00C925E9" w:rsidRPr="00971BB8" w:rsidRDefault="00C925E9" w:rsidP="00AF5A17">
            <w:pPr>
              <w:pStyle w:val="Tabletext"/>
              <w:tabs>
                <w:tab w:val="decimal" w:pos="720"/>
              </w:tabs>
              <w:jc w:val="right"/>
              <w:rPr>
                <w:b/>
                <w:bCs/>
              </w:rPr>
            </w:pPr>
            <w:r w:rsidRPr="00971BB8">
              <w:rPr>
                <w:b/>
                <w:bCs/>
              </w:rPr>
              <w:t>1720</w:t>
            </w:r>
          </w:p>
        </w:tc>
      </w:tr>
      <w:tr w:rsidR="00C925E9" w:rsidRPr="00971BB8">
        <w:trPr>
          <w:trHeight w:val="255"/>
        </w:trPr>
        <w:tc>
          <w:tcPr>
            <w:tcW w:w="2722" w:type="dxa"/>
            <w:tcBorders>
              <w:top w:val="single" w:sz="4" w:space="0" w:color="auto"/>
            </w:tcBorders>
            <w:shd w:val="clear" w:color="auto" w:fill="auto"/>
            <w:noWrap/>
            <w:vAlign w:val="bottom"/>
          </w:tcPr>
          <w:p w:rsidR="00C925E9" w:rsidRPr="00971BB8" w:rsidRDefault="00C925E9" w:rsidP="00200C9F">
            <w:pPr>
              <w:pStyle w:val="Tabletext"/>
            </w:pPr>
            <w:r w:rsidRPr="00971BB8">
              <w:t>Gappers</w:t>
            </w:r>
          </w:p>
        </w:tc>
        <w:tc>
          <w:tcPr>
            <w:tcW w:w="1418" w:type="dxa"/>
            <w:tcBorders>
              <w:top w:val="single" w:sz="4" w:space="0" w:color="auto"/>
            </w:tcBorders>
            <w:shd w:val="clear" w:color="auto" w:fill="auto"/>
            <w:noWrap/>
            <w:vAlign w:val="bottom"/>
          </w:tcPr>
          <w:p w:rsidR="00C925E9" w:rsidRDefault="00C925E9" w:rsidP="00AF5A17">
            <w:pPr>
              <w:pStyle w:val="Tabletext"/>
              <w:tabs>
                <w:tab w:val="decimal" w:pos="720"/>
              </w:tabs>
              <w:jc w:val="right"/>
            </w:pPr>
          </w:p>
        </w:tc>
        <w:tc>
          <w:tcPr>
            <w:tcW w:w="1418" w:type="dxa"/>
            <w:tcBorders>
              <w:top w:val="single" w:sz="4" w:space="0" w:color="auto"/>
            </w:tcBorders>
            <w:shd w:val="clear" w:color="auto" w:fill="auto"/>
            <w:noWrap/>
            <w:vAlign w:val="bottom"/>
          </w:tcPr>
          <w:p w:rsidR="00C925E9" w:rsidRDefault="00C925E9" w:rsidP="00AF5A17">
            <w:pPr>
              <w:pStyle w:val="Tabletext"/>
              <w:tabs>
                <w:tab w:val="decimal" w:pos="720"/>
              </w:tabs>
              <w:jc w:val="right"/>
            </w:pPr>
          </w:p>
        </w:tc>
        <w:tc>
          <w:tcPr>
            <w:tcW w:w="1418" w:type="dxa"/>
            <w:tcBorders>
              <w:top w:val="single" w:sz="4" w:space="0" w:color="auto"/>
            </w:tcBorders>
            <w:shd w:val="clear" w:color="auto" w:fill="auto"/>
            <w:noWrap/>
            <w:vAlign w:val="bottom"/>
          </w:tcPr>
          <w:p w:rsidR="00C925E9" w:rsidRDefault="00C925E9" w:rsidP="00AF5A17">
            <w:pPr>
              <w:pStyle w:val="Tabletext"/>
              <w:tabs>
                <w:tab w:val="decimal" w:pos="720"/>
              </w:tabs>
              <w:jc w:val="right"/>
            </w:pPr>
          </w:p>
        </w:tc>
        <w:tc>
          <w:tcPr>
            <w:tcW w:w="1418" w:type="dxa"/>
            <w:tcBorders>
              <w:top w:val="single" w:sz="4" w:space="0" w:color="auto"/>
            </w:tcBorders>
            <w:shd w:val="clear" w:color="auto" w:fill="auto"/>
            <w:noWrap/>
            <w:vAlign w:val="bottom"/>
          </w:tcPr>
          <w:p w:rsidR="00C925E9" w:rsidRDefault="00C925E9" w:rsidP="00AF5A17">
            <w:pPr>
              <w:pStyle w:val="Tabletext"/>
              <w:tabs>
                <w:tab w:val="decimal" w:pos="720"/>
              </w:tabs>
              <w:jc w:val="right"/>
            </w:pPr>
          </w:p>
        </w:tc>
      </w:tr>
      <w:tr w:rsidR="00C925E9" w:rsidRPr="00971BB8">
        <w:trPr>
          <w:trHeight w:val="255"/>
        </w:trPr>
        <w:tc>
          <w:tcPr>
            <w:tcW w:w="2722" w:type="dxa"/>
            <w:shd w:val="clear" w:color="auto" w:fill="auto"/>
            <w:noWrap/>
            <w:vAlign w:val="bottom"/>
          </w:tcPr>
          <w:p w:rsidR="00C925E9" w:rsidRPr="00971BB8" w:rsidRDefault="00C925E9" w:rsidP="00200C9F">
            <w:pPr>
              <w:pStyle w:val="Tabletext"/>
              <w:ind w:left="191"/>
            </w:pPr>
            <w:r w:rsidRPr="00971BB8">
              <w:t>Employed full-time</w:t>
            </w:r>
          </w:p>
        </w:tc>
        <w:tc>
          <w:tcPr>
            <w:tcW w:w="1418" w:type="dxa"/>
            <w:shd w:val="clear" w:color="auto" w:fill="auto"/>
            <w:noWrap/>
            <w:vAlign w:val="bottom"/>
          </w:tcPr>
          <w:p w:rsidR="00C925E9" w:rsidRDefault="00C925E9" w:rsidP="00AF5A17">
            <w:pPr>
              <w:pStyle w:val="Tabletext"/>
              <w:tabs>
                <w:tab w:val="decimal" w:pos="720"/>
              </w:tabs>
              <w:jc w:val="right"/>
            </w:pPr>
            <w:r>
              <w:t>3</w:t>
            </w:r>
          </w:p>
        </w:tc>
        <w:tc>
          <w:tcPr>
            <w:tcW w:w="1418" w:type="dxa"/>
            <w:shd w:val="clear" w:color="auto" w:fill="auto"/>
            <w:noWrap/>
            <w:vAlign w:val="bottom"/>
          </w:tcPr>
          <w:p w:rsidR="00C925E9" w:rsidRDefault="00C925E9" w:rsidP="00AF5A17">
            <w:pPr>
              <w:pStyle w:val="Tabletext"/>
              <w:tabs>
                <w:tab w:val="decimal" w:pos="720"/>
              </w:tabs>
              <w:jc w:val="right"/>
            </w:pPr>
            <w:r>
              <w:t>5</w:t>
            </w:r>
          </w:p>
        </w:tc>
        <w:tc>
          <w:tcPr>
            <w:tcW w:w="1418" w:type="dxa"/>
            <w:shd w:val="clear" w:color="auto" w:fill="auto"/>
            <w:noWrap/>
            <w:vAlign w:val="bottom"/>
          </w:tcPr>
          <w:p w:rsidR="00C925E9" w:rsidRDefault="00C925E9" w:rsidP="00AF5A17">
            <w:pPr>
              <w:pStyle w:val="Tabletext"/>
              <w:tabs>
                <w:tab w:val="decimal" w:pos="720"/>
              </w:tabs>
              <w:jc w:val="right"/>
            </w:pPr>
            <w:r>
              <w:t>45</w:t>
            </w:r>
          </w:p>
        </w:tc>
        <w:tc>
          <w:tcPr>
            <w:tcW w:w="1418" w:type="dxa"/>
            <w:shd w:val="clear" w:color="auto" w:fill="auto"/>
            <w:noWrap/>
            <w:vAlign w:val="bottom"/>
          </w:tcPr>
          <w:p w:rsidR="00C925E9" w:rsidRDefault="00C925E9" w:rsidP="00AF5A17">
            <w:pPr>
              <w:pStyle w:val="Tabletext"/>
              <w:tabs>
                <w:tab w:val="decimal" w:pos="720"/>
              </w:tabs>
              <w:jc w:val="right"/>
            </w:pPr>
            <w:r>
              <w:t>53</w:t>
            </w:r>
          </w:p>
        </w:tc>
      </w:tr>
      <w:tr w:rsidR="00C925E9" w:rsidRPr="00971BB8">
        <w:trPr>
          <w:trHeight w:val="255"/>
        </w:trPr>
        <w:tc>
          <w:tcPr>
            <w:tcW w:w="2722" w:type="dxa"/>
            <w:shd w:val="clear" w:color="auto" w:fill="auto"/>
            <w:noWrap/>
            <w:vAlign w:val="bottom"/>
          </w:tcPr>
          <w:p w:rsidR="00C925E9" w:rsidRPr="00971BB8" w:rsidRDefault="00C925E9" w:rsidP="00200C9F">
            <w:pPr>
              <w:pStyle w:val="Tabletext"/>
              <w:ind w:left="191"/>
            </w:pPr>
            <w:r w:rsidRPr="00971BB8">
              <w:t>Employed part-time</w:t>
            </w:r>
          </w:p>
        </w:tc>
        <w:tc>
          <w:tcPr>
            <w:tcW w:w="1418" w:type="dxa"/>
            <w:shd w:val="clear" w:color="auto" w:fill="auto"/>
            <w:noWrap/>
            <w:vAlign w:val="bottom"/>
          </w:tcPr>
          <w:p w:rsidR="00C925E9" w:rsidRDefault="00C925E9" w:rsidP="00AF5A17">
            <w:pPr>
              <w:pStyle w:val="Tabletext"/>
              <w:tabs>
                <w:tab w:val="decimal" w:pos="720"/>
              </w:tabs>
              <w:jc w:val="right"/>
            </w:pPr>
            <w:r>
              <w:t>16</w:t>
            </w:r>
          </w:p>
        </w:tc>
        <w:tc>
          <w:tcPr>
            <w:tcW w:w="1418" w:type="dxa"/>
            <w:shd w:val="clear" w:color="auto" w:fill="auto"/>
            <w:noWrap/>
            <w:vAlign w:val="bottom"/>
          </w:tcPr>
          <w:p w:rsidR="00C925E9" w:rsidRDefault="00C925E9" w:rsidP="00AF5A17">
            <w:pPr>
              <w:pStyle w:val="Tabletext"/>
              <w:tabs>
                <w:tab w:val="decimal" w:pos="720"/>
              </w:tabs>
              <w:jc w:val="right"/>
            </w:pPr>
            <w:r>
              <w:t>5</w:t>
            </w:r>
          </w:p>
        </w:tc>
        <w:tc>
          <w:tcPr>
            <w:tcW w:w="1418" w:type="dxa"/>
            <w:shd w:val="clear" w:color="auto" w:fill="auto"/>
            <w:noWrap/>
            <w:vAlign w:val="bottom"/>
          </w:tcPr>
          <w:p w:rsidR="00C925E9" w:rsidRDefault="00C925E9" w:rsidP="00AF5A17">
            <w:pPr>
              <w:pStyle w:val="Tabletext"/>
              <w:tabs>
                <w:tab w:val="decimal" w:pos="720"/>
              </w:tabs>
              <w:jc w:val="right"/>
            </w:pPr>
            <w:r>
              <w:t>15</w:t>
            </w:r>
          </w:p>
        </w:tc>
        <w:tc>
          <w:tcPr>
            <w:tcW w:w="1418" w:type="dxa"/>
            <w:shd w:val="clear" w:color="auto" w:fill="auto"/>
            <w:noWrap/>
            <w:vAlign w:val="bottom"/>
          </w:tcPr>
          <w:p w:rsidR="00C925E9" w:rsidRDefault="00C925E9" w:rsidP="00AF5A17">
            <w:pPr>
              <w:pStyle w:val="Tabletext"/>
              <w:tabs>
                <w:tab w:val="decimal" w:pos="720"/>
              </w:tabs>
              <w:jc w:val="right"/>
            </w:pPr>
            <w:r>
              <w:t>36</w:t>
            </w:r>
          </w:p>
        </w:tc>
      </w:tr>
      <w:tr w:rsidR="00C925E9" w:rsidRPr="00971BB8" w:rsidTr="00851FD6">
        <w:trPr>
          <w:trHeight w:val="255"/>
        </w:trPr>
        <w:tc>
          <w:tcPr>
            <w:tcW w:w="2722" w:type="dxa"/>
            <w:shd w:val="clear" w:color="auto" w:fill="auto"/>
            <w:noWrap/>
            <w:vAlign w:val="bottom"/>
          </w:tcPr>
          <w:p w:rsidR="00C925E9" w:rsidRPr="00971BB8" w:rsidRDefault="00C925E9" w:rsidP="00200C9F">
            <w:pPr>
              <w:pStyle w:val="Tabletext"/>
              <w:ind w:left="191"/>
            </w:pPr>
            <w:r w:rsidRPr="00971BB8">
              <w:t>No employment/unknown</w:t>
            </w:r>
          </w:p>
        </w:tc>
        <w:tc>
          <w:tcPr>
            <w:tcW w:w="1418" w:type="dxa"/>
            <w:shd w:val="clear" w:color="auto" w:fill="auto"/>
            <w:noWrap/>
            <w:vAlign w:val="bottom"/>
          </w:tcPr>
          <w:p w:rsidR="00C925E9" w:rsidRDefault="00C925E9" w:rsidP="00AF5A17">
            <w:pPr>
              <w:pStyle w:val="Tabletext"/>
              <w:tabs>
                <w:tab w:val="decimal" w:pos="720"/>
              </w:tabs>
              <w:jc w:val="right"/>
            </w:pPr>
            <w:r>
              <w:t>5</w:t>
            </w:r>
          </w:p>
        </w:tc>
        <w:tc>
          <w:tcPr>
            <w:tcW w:w="1418" w:type="dxa"/>
            <w:shd w:val="clear" w:color="auto" w:fill="auto"/>
            <w:noWrap/>
            <w:vAlign w:val="bottom"/>
          </w:tcPr>
          <w:p w:rsidR="00C925E9" w:rsidRDefault="00C925E9" w:rsidP="00AF5A17">
            <w:pPr>
              <w:pStyle w:val="Tabletext"/>
              <w:tabs>
                <w:tab w:val="decimal" w:pos="720"/>
              </w:tabs>
              <w:jc w:val="right"/>
            </w:pPr>
            <w:r>
              <w:t>1</w:t>
            </w:r>
          </w:p>
        </w:tc>
        <w:tc>
          <w:tcPr>
            <w:tcW w:w="1418" w:type="dxa"/>
            <w:shd w:val="clear" w:color="auto" w:fill="auto"/>
            <w:noWrap/>
            <w:vAlign w:val="bottom"/>
          </w:tcPr>
          <w:p w:rsidR="00C925E9" w:rsidRDefault="00C925E9" w:rsidP="00AF5A17">
            <w:pPr>
              <w:pStyle w:val="Tabletext"/>
              <w:tabs>
                <w:tab w:val="decimal" w:pos="720"/>
              </w:tabs>
              <w:jc w:val="right"/>
            </w:pPr>
            <w:r>
              <w:t>5</w:t>
            </w:r>
          </w:p>
        </w:tc>
        <w:tc>
          <w:tcPr>
            <w:tcW w:w="1418" w:type="dxa"/>
            <w:shd w:val="clear" w:color="auto" w:fill="auto"/>
            <w:noWrap/>
            <w:vAlign w:val="bottom"/>
          </w:tcPr>
          <w:p w:rsidR="00C925E9" w:rsidRDefault="00C925E9" w:rsidP="00AF5A17">
            <w:pPr>
              <w:pStyle w:val="Tabletext"/>
              <w:tabs>
                <w:tab w:val="decimal" w:pos="720"/>
              </w:tabs>
              <w:jc w:val="right"/>
            </w:pPr>
            <w:r>
              <w:t>11</w:t>
            </w:r>
          </w:p>
        </w:tc>
      </w:tr>
      <w:tr w:rsidR="00C925E9" w:rsidRPr="00971BB8" w:rsidTr="00851FD6">
        <w:trPr>
          <w:trHeight w:val="255"/>
        </w:trPr>
        <w:tc>
          <w:tcPr>
            <w:tcW w:w="2722" w:type="dxa"/>
            <w:shd w:val="clear" w:color="auto" w:fill="auto"/>
            <w:noWrap/>
            <w:vAlign w:val="bottom"/>
          </w:tcPr>
          <w:p w:rsidR="00C925E9" w:rsidRPr="00971BB8" w:rsidRDefault="00C925E9" w:rsidP="00200C9F">
            <w:pPr>
              <w:pStyle w:val="Tabletext"/>
              <w:rPr>
                <w:b/>
                <w:bCs/>
              </w:rPr>
            </w:pPr>
            <w:r>
              <w:rPr>
                <w:b/>
                <w:bCs/>
              </w:rPr>
              <w:t>Total (%)</w:t>
            </w:r>
          </w:p>
        </w:tc>
        <w:tc>
          <w:tcPr>
            <w:tcW w:w="1418" w:type="dxa"/>
            <w:shd w:val="clear" w:color="auto" w:fill="auto"/>
            <w:noWrap/>
            <w:vAlign w:val="bottom"/>
          </w:tcPr>
          <w:p w:rsidR="00C925E9" w:rsidRPr="00971BB8" w:rsidRDefault="00C925E9" w:rsidP="00AF5A17">
            <w:pPr>
              <w:pStyle w:val="Tabletext"/>
              <w:tabs>
                <w:tab w:val="decimal" w:pos="720"/>
              </w:tabs>
              <w:jc w:val="right"/>
              <w:rPr>
                <w:b/>
              </w:rPr>
            </w:pPr>
            <w:r w:rsidRPr="00971BB8">
              <w:rPr>
                <w:b/>
              </w:rPr>
              <w:t>25</w:t>
            </w:r>
          </w:p>
        </w:tc>
        <w:tc>
          <w:tcPr>
            <w:tcW w:w="1418" w:type="dxa"/>
            <w:shd w:val="clear" w:color="auto" w:fill="auto"/>
            <w:noWrap/>
            <w:vAlign w:val="bottom"/>
          </w:tcPr>
          <w:p w:rsidR="00C925E9" w:rsidRPr="00971BB8" w:rsidRDefault="00C925E9" w:rsidP="00AF5A17">
            <w:pPr>
              <w:pStyle w:val="Tabletext"/>
              <w:tabs>
                <w:tab w:val="decimal" w:pos="720"/>
              </w:tabs>
              <w:jc w:val="right"/>
              <w:rPr>
                <w:b/>
              </w:rPr>
            </w:pPr>
            <w:r w:rsidRPr="00971BB8">
              <w:rPr>
                <w:b/>
              </w:rPr>
              <w:t>11</w:t>
            </w:r>
          </w:p>
        </w:tc>
        <w:tc>
          <w:tcPr>
            <w:tcW w:w="1418" w:type="dxa"/>
            <w:shd w:val="clear" w:color="auto" w:fill="auto"/>
            <w:noWrap/>
            <w:vAlign w:val="bottom"/>
          </w:tcPr>
          <w:p w:rsidR="00C925E9" w:rsidRPr="00971BB8" w:rsidRDefault="00C925E9" w:rsidP="00AF5A17">
            <w:pPr>
              <w:pStyle w:val="Tabletext"/>
              <w:tabs>
                <w:tab w:val="decimal" w:pos="720"/>
              </w:tabs>
              <w:jc w:val="right"/>
              <w:rPr>
                <w:b/>
              </w:rPr>
            </w:pPr>
            <w:r w:rsidRPr="00971BB8">
              <w:rPr>
                <w:b/>
              </w:rPr>
              <w:t>65</w:t>
            </w:r>
          </w:p>
        </w:tc>
        <w:tc>
          <w:tcPr>
            <w:tcW w:w="1418" w:type="dxa"/>
            <w:shd w:val="clear" w:color="auto" w:fill="auto"/>
            <w:noWrap/>
            <w:vAlign w:val="bottom"/>
          </w:tcPr>
          <w:p w:rsidR="00C925E9" w:rsidRPr="00971BB8" w:rsidRDefault="00C925E9" w:rsidP="00AF5A17">
            <w:pPr>
              <w:pStyle w:val="Tabletext"/>
              <w:tabs>
                <w:tab w:val="decimal" w:pos="720"/>
              </w:tabs>
              <w:jc w:val="right"/>
              <w:rPr>
                <w:b/>
              </w:rPr>
            </w:pPr>
            <w:r w:rsidRPr="00971BB8">
              <w:rPr>
                <w:b/>
              </w:rPr>
              <w:t>100</w:t>
            </w:r>
          </w:p>
        </w:tc>
      </w:tr>
      <w:tr w:rsidR="00C925E9" w:rsidRPr="00971BB8" w:rsidTr="00AF5A17">
        <w:trPr>
          <w:trHeight w:val="255"/>
        </w:trPr>
        <w:tc>
          <w:tcPr>
            <w:tcW w:w="2722" w:type="dxa"/>
            <w:tcBorders>
              <w:bottom w:val="single" w:sz="4" w:space="0" w:color="auto"/>
            </w:tcBorders>
            <w:shd w:val="clear" w:color="auto" w:fill="auto"/>
            <w:noWrap/>
            <w:vAlign w:val="bottom"/>
          </w:tcPr>
          <w:p w:rsidR="00C925E9" w:rsidRPr="00971BB8" w:rsidRDefault="00C925E9" w:rsidP="00200C9F">
            <w:pPr>
              <w:pStyle w:val="Tabletext"/>
              <w:rPr>
                <w:b/>
                <w:bCs/>
              </w:rPr>
            </w:pPr>
            <w:r w:rsidRPr="00971BB8">
              <w:rPr>
                <w:b/>
                <w:bCs/>
              </w:rPr>
              <w:t>Total</w:t>
            </w:r>
            <w:r>
              <w:rPr>
                <w:b/>
                <w:bCs/>
              </w:rPr>
              <w:t xml:space="preserve"> (N)</w:t>
            </w:r>
          </w:p>
        </w:tc>
        <w:tc>
          <w:tcPr>
            <w:tcW w:w="1418" w:type="dxa"/>
            <w:tcBorders>
              <w:bottom w:val="single" w:sz="4" w:space="0" w:color="auto"/>
            </w:tcBorders>
            <w:shd w:val="clear" w:color="auto" w:fill="auto"/>
            <w:noWrap/>
            <w:vAlign w:val="bottom"/>
          </w:tcPr>
          <w:p w:rsidR="00C925E9" w:rsidRPr="00971BB8" w:rsidRDefault="00C925E9" w:rsidP="00AF5A17">
            <w:pPr>
              <w:pStyle w:val="Tabletext"/>
              <w:tabs>
                <w:tab w:val="decimal" w:pos="720"/>
              </w:tabs>
              <w:jc w:val="right"/>
              <w:rPr>
                <w:b/>
                <w:bCs/>
              </w:rPr>
            </w:pPr>
            <w:r w:rsidRPr="00971BB8">
              <w:rPr>
                <w:b/>
                <w:bCs/>
              </w:rPr>
              <w:t>97</w:t>
            </w:r>
          </w:p>
        </w:tc>
        <w:tc>
          <w:tcPr>
            <w:tcW w:w="1418" w:type="dxa"/>
            <w:tcBorders>
              <w:bottom w:val="single" w:sz="4" w:space="0" w:color="auto"/>
            </w:tcBorders>
            <w:shd w:val="clear" w:color="auto" w:fill="auto"/>
            <w:noWrap/>
            <w:vAlign w:val="bottom"/>
          </w:tcPr>
          <w:p w:rsidR="00C925E9" w:rsidRPr="00971BB8" w:rsidRDefault="00C925E9" w:rsidP="00AF5A17">
            <w:pPr>
              <w:pStyle w:val="Tabletext"/>
              <w:tabs>
                <w:tab w:val="decimal" w:pos="720"/>
              </w:tabs>
              <w:jc w:val="right"/>
              <w:rPr>
                <w:b/>
                <w:bCs/>
              </w:rPr>
            </w:pPr>
            <w:r w:rsidRPr="00971BB8">
              <w:rPr>
                <w:b/>
                <w:bCs/>
              </w:rPr>
              <w:t>42</w:t>
            </w:r>
          </w:p>
        </w:tc>
        <w:tc>
          <w:tcPr>
            <w:tcW w:w="1418" w:type="dxa"/>
            <w:tcBorders>
              <w:bottom w:val="single" w:sz="4" w:space="0" w:color="auto"/>
            </w:tcBorders>
            <w:shd w:val="clear" w:color="auto" w:fill="auto"/>
            <w:noWrap/>
            <w:vAlign w:val="bottom"/>
          </w:tcPr>
          <w:p w:rsidR="00C925E9" w:rsidRPr="00971BB8" w:rsidRDefault="00C925E9" w:rsidP="00AF5A17">
            <w:pPr>
              <w:pStyle w:val="Tabletext"/>
              <w:tabs>
                <w:tab w:val="decimal" w:pos="720"/>
              </w:tabs>
              <w:jc w:val="right"/>
              <w:rPr>
                <w:b/>
                <w:bCs/>
              </w:rPr>
            </w:pPr>
            <w:r w:rsidRPr="00971BB8">
              <w:rPr>
                <w:b/>
                <w:bCs/>
              </w:rPr>
              <w:t>255</w:t>
            </w:r>
          </w:p>
        </w:tc>
        <w:tc>
          <w:tcPr>
            <w:tcW w:w="1418" w:type="dxa"/>
            <w:tcBorders>
              <w:bottom w:val="single" w:sz="4" w:space="0" w:color="auto"/>
            </w:tcBorders>
            <w:shd w:val="clear" w:color="auto" w:fill="auto"/>
            <w:noWrap/>
            <w:vAlign w:val="bottom"/>
          </w:tcPr>
          <w:p w:rsidR="00C925E9" w:rsidRPr="00971BB8" w:rsidRDefault="00C925E9" w:rsidP="00AF5A17">
            <w:pPr>
              <w:pStyle w:val="Tabletext"/>
              <w:tabs>
                <w:tab w:val="decimal" w:pos="720"/>
              </w:tabs>
              <w:jc w:val="right"/>
              <w:rPr>
                <w:b/>
                <w:bCs/>
              </w:rPr>
            </w:pPr>
            <w:r w:rsidRPr="00971BB8">
              <w:rPr>
                <w:b/>
                <w:bCs/>
              </w:rPr>
              <w:t>393</w:t>
            </w:r>
          </w:p>
        </w:tc>
      </w:tr>
    </w:tbl>
    <w:p w:rsidR="00C925E9" w:rsidRDefault="00C925E9" w:rsidP="00200C9F">
      <w:pPr>
        <w:pStyle w:val="Heading2"/>
        <w:rPr>
          <w:lang w:val="en-US"/>
        </w:rPr>
      </w:pPr>
      <w:bookmarkStart w:id="78" w:name="_Toc323035622"/>
      <w:r>
        <w:rPr>
          <w:lang w:val="en-US"/>
        </w:rPr>
        <w:t>Employment and earnings</w:t>
      </w:r>
      <w:bookmarkEnd w:id="78"/>
    </w:p>
    <w:p w:rsidR="00C925E9" w:rsidRDefault="00C925E9" w:rsidP="00200C9F">
      <w:pPr>
        <w:pStyle w:val="Text"/>
        <w:rPr>
          <w:lang w:val="en-US"/>
        </w:rPr>
      </w:pPr>
      <w:r>
        <w:rPr>
          <w:lang w:val="en-US"/>
        </w:rPr>
        <w:t>The key difference between gappers and non-gappers is whether they are employed on a full- or part-time basis (</w:t>
      </w:r>
      <w:r w:rsidRPr="007A5A62">
        <w:rPr>
          <w:lang w:val="en-US"/>
        </w:rPr>
        <w:t xml:space="preserve">see table </w:t>
      </w:r>
      <w:r>
        <w:rPr>
          <w:lang w:val="en-US"/>
        </w:rPr>
        <w:t>19). About nine out of ten individuals</w:t>
      </w:r>
      <w:r w:rsidR="001810E3">
        <w:rPr>
          <w:lang w:val="en-US"/>
        </w:rPr>
        <w:t xml:space="preserve"> </w:t>
      </w:r>
      <w:r>
        <w:rPr>
          <w:lang w:val="en-US"/>
        </w:rPr>
        <w:t>—</w:t>
      </w:r>
      <w:r w:rsidR="001810E3">
        <w:rPr>
          <w:lang w:val="en-US"/>
        </w:rPr>
        <w:t xml:space="preserve"> </w:t>
      </w:r>
      <w:r>
        <w:rPr>
          <w:lang w:val="en-US"/>
        </w:rPr>
        <w:t>gappers or not</w:t>
      </w:r>
      <w:r w:rsidR="001810E3">
        <w:rPr>
          <w:lang w:val="en-US"/>
        </w:rPr>
        <w:t xml:space="preserve"> </w:t>
      </w:r>
      <w:r>
        <w:rPr>
          <w:lang w:val="en-US"/>
        </w:rPr>
        <w:t>—</w:t>
      </w:r>
      <w:r w:rsidR="001810E3">
        <w:rPr>
          <w:lang w:val="en-US"/>
        </w:rPr>
        <w:t xml:space="preserve"> </w:t>
      </w:r>
      <w:r>
        <w:rPr>
          <w:lang w:val="en-US"/>
        </w:rPr>
        <w:t>are employed, but more non-gappers (65%) than gappers (53%) are employed on a full-time basis. The proportions of gappers and non-gappers who are unemployed or not in the labour force are small and very similar.</w:t>
      </w:r>
    </w:p>
    <w:p w:rsidR="00C925E9" w:rsidRDefault="00C925E9" w:rsidP="00200C9F">
      <w:pPr>
        <w:pStyle w:val="Text"/>
        <w:rPr>
          <w:lang w:val="en-US"/>
        </w:rPr>
      </w:pPr>
      <w:r>
        <w:rPr>
          <w:lang w:val="en-US"/>
        </w:rPr>
        <w:t xml:space="preserve">A second apparent difference between gappers and non-gappers is in the proportions who are in professional occupations: 46% of non-gappers compared with 30% of gappers. While this difference could be ascribed to their gap-taking status, it is more likely to reflect differences in the characteristics of gappers and non-gappers. High-achieving students (on both tertiary entrance scores and a Year 9 mathematics test) are less </w:t>
      </w:r>
      <w:r w:rsidRPr="007A5A62">
        <w:rPr>
          <w:lang w:val="en-US"/>
        </w:rPr>
        <w:t>likely</w:t>
      </w:r>
      <w:r>
        <w:rPr>
          <w:lang w:val="en-US"/>
        </w:rPr>
        <w:t xml:space="preserve"> than others to take a gap year. The relatively high proportion of professionals among non-gappers may be related to their achievement and subsequent course and career choices rather than to their gap-taking status.</w:t>
      </w:r>
    </w:p>
    <w:p w:rsidR="00C925E9" w:rsidRDefault="00C925E9" w:rsidP="00200C9F">
      <w:pPr>
        <w:pStyle w:val="tabletitle"/>
        <w:rPr>
          <w:lang w:val="en-US"/>
        </w:rPr>
      </w:pPr>
      <w:r>
        <w:rPr>
          <w:lang w:val="en-US"/>
        </w:rPr>
        <w:br w:type="page"/>
      </w:r>
      <w:bookmarkStart w:id="79" w:name="_Toc322691622"/>
      <w:r>
        <w:rPr>
          <w:lang w:val="en-US"/>
        </w:rPr>
        <w:lastRenderedPageBreak/>
        <w:t>Table 19</w:t>
      </w:r>
      <w:r>
        <w:rPr>
          <w:lang w:val="en-US"/>
        </w:rPr>
        <w:tab/>
        <w:t>Labour force status and occupation by gap-taking status</w:t>
      </w:r>
      <w:bookmarkEnd w:id="79"/>
    </w:p>
    <w:tbl>
      <w:tblPr>
        <w:tblW w:w="0" w:type="auto"/>
        <w:tblBorders>
          <w:top w:val="single" w:sz="12" w:space="0" w:color="000000"/>
          <w:bottom w:val="single" w:sz="12" w:space="0" w:color="000000"/>
        </w:tblBorders>
        <w:tblLook w:val="0000"/>
      </w:tblPr>
      <w:tblGrid>
        <w:gridCol w:w="4536"/>
        <w:gridCol w:w="1418"/>
        <w:gridCol w:w="1418"/>
      </w:tblGrid>
      <w:tr w:rsidR="00C925E9" w:rsidRPr="00875D45" w:rsidTr="001810E3">
        <w:tc>
          <w:tcPr>
            <w:tcW w:w="4536" w:type="dxa"/>
            <w:tcBorders>
              <w:top w:val="single" w:sz="4" w:space="0" w:color="auto"/>
              <w:bottom w:val="single" w:sz="4" w:space="0" w:color="auto"/>
            </w:tcBorders>
            <w:shd w:val="clear" w:color="auto" w:fill="auto"/>
            <w:noWrap/>
          </w:tcPr>
          <w:p w:rsidR="00C925E9" w:rsidRPr="005F0F51" w:rsidRDefault="00C925E9" w:rsidP="00200C9F">
            <w:pPr>
              <w:pStyle w:val="Tabletext"/>
            </w:pPr>
          </w:p>
        </w:tc>
        <w:tc>
          <w:tcPr>
            <w:tcW w:w="1418" w:type="dxa"/>
            <w:tcBorders>
              <w:top w:val="single" w:sz="4" w:space="0" w:color="auto"/>
              <w:bottom w:val="single" w:sz="4" w:space="0" w:color="auto"/>
            </w:tcBorders>
            <w:shd w:val="clear" w:color="auto" w:fill="auto"/>
          </w:tcPr>
          <w:p w:rsidR="00C925E9" w:rsidRPr="00875D45" w:rsidRDefault="00C925E9" w:rsidP="00AF5A17">
            <w:pPr>
              <w:pStyle w:val="Tablehead1"/>
              <w:jc w:val="right"/>
              <w:rPr>
                <w:bCs/>
              </w:rPr>
            </w:pPr>
            <w:r w:rsidRPr="00875D45">
              <w:rPr>
                <w:bCs/>
              </w:rPr>
              <w:t>Gap</w:t>
            </w:r>
            <w:r>
              <w:rPr>
                <w:bCs/>
              </w:rPr>
              <w:t>per</w:t>
            </w:r>
            <w:r w:rsidRPr="00875D45">
              <w:rPr>
                <w:bCs/>
              </w:rPr>
              <w:t xml:space="preserve"> </w:t>
            </w:r>
          </w:p>
        </w:tc>
        <w:tc>
          <w:tcPr>
            <w:tcW w:w="1418" w:type="dxa"/>
            <w:tcBorders>
              <w:top w:val="single" w:sz="4" w:space="0" w:color="auto"/>
              <w:bottom w:val="single" w:sz="4" w:space="0" w:color="auto"/>
            </w:tcBorders>
            <w:shd w:val="clear" w:color="auto" w:fill="auto"/>
          </w:tcPr>
          <w:p w:rsidR="00C925E9" w:rsidRPr="00875D45" w:rsidRDefault="00C925E9" w:rsidP="00AF5A17">
            <w:pPr>
              <w:pStyle w:val="Tablehead1"/>
              <w:jc w:val="right"/>
              <w:rPr>
                <w:bCs/>
              </w:rPr>
            </w:pPr>
            <w:r>
              <w:rPr>
                <w:bCs/>
              </w:rPr>
              <w:t>Non-</w:t>
            </w:r>
            <w:r w:rsidRPr="00875D45">
              <w:rPr>
                <w:bCs/>
              </w:rPr>
              <w:t>gap</w:t>
            </w:r>
            <w:r>
              <w:rPr>
                <w:bCs/>
              </w:rPr>
              <w:t>per</w:t>
            </w:r>
            <w:r w:rsidRPr="00875D45">
              <w:rPr>
                <w:bCs/>
              </w:rPr>
              <w:t xml:space="preserve"> </w:t>
            </w:r>
          </w:p>
        </w:tc>
      </w:tr>
      <w:tr w:rsidR="00C925E9" w:rsidRPr="00C34E99" w:rsidTr="00AF5A17">
        <w:trPr>
          <w:trHeight w:val="225"/>
        </w:trPr>
        <w:tc>
          <w:tcPr>
            <w:tcW w:w="4536" w:type="dxa"/>
            <w:tcBorders>
              <w:top w:val="single" w:sz="4" w:space="0" w:color="auto"/>
              <w:bottom w:val="nil"/>
            </w:tcBorders>
            <w:shd w:val="clear" w:color="auto" w:fill="auto"/>
            <w:noWrap/>
          </w:tcPr>
          <w:p w:rsidR="00C925E9" w:rsidRPr="00C34E99" w:rsidRDefault="00C925E9" w:rsidP="00200C9F">
            <w:pPr>
              <w:pStyle w:val="Tabletext"/>
            </w:pPr>
            <w:r w:rsidRPr="00C34E99">
              <w:t>Labour force status</w:t>
            </w:r>
          </w:p>
        </w:tc>
        <w:tc>
          <w:tcPr>
            <w:tcW w:w="1418" w:type="dxa"/>
            <w:tcBorders>
              <w:top w:val="single" w:sz="4" w:space="0" w:color="auto"/>
              <w:bottom w:val="nil"/>
            </w:tcBorders>
            <w:shd w:val="clear" w:color="auto" w:fill="auto"/>
            <w:noWrap/>
          </w:tcPr>
          <w:p w:rsidR="00C925E9" w:rsidRPr="00C34E99" w:rsidRDefault="00C925E9" w:rsidP="00AF5A17">
            <w:pPr>
              <w:pStyle w:val="Tabletext"/>
              <w:jc w:val="right"/>
            </w:pPr>
          </w:p>
        </w:tc>
        <w:tc>
          <w:tcPr>
            <w:tcW w:w="1418" w:type="dxa"/>
            <w:tcBorders>
              <w:top w:val="single" w:sz="4" w:space="0" w:color="auto"/>
              <w:bottom w:val="nil"/>
            </w:tcBorders>
            <w:shd w:val="clear" w:color="auto" w:fill="auto"/>
            <w:noWrap/>
          </w:tcPr>
          <w:p w:rsidR="00C925E9" w:rsidRPr="00C34E99" w:rsidRDefault="00C925E9" w:rsidP="00AF5A17">
            <w:pPr>
              <w:pStyle w:val="Tabletext"/>
              <w:jc w:val="right"/>
            </w:pPr>
          </w:p>
        </w:tc>
      </w:tr>
      <w:tr w:rsidR="00C925E9" w:rsidRPr="00875D45" w:rsidTr="00AF5A17">
        <w:trPr>
          <w:trHeight w:val="225"/>
        </w:trPr>
        <w:tc>
          <w:tcPr>
            <w:tcW w:w="4536" w:type="dxa"/>
            <w:tcBorders>
              <w:top w:val="nil"/>
            </w:tcBorders>
            <w:shd w:val="clear" w:color="auto" w:fill="auto"/>
            <w:noWrap/>
          </w:tcPr>
          <w:p w:rsidR="00C925E9" w:rsidRPr="005F0F51" w:rsidRDefault="00C925E9" w:rsidP="00200C9F">
            <w:pPr>
              <w:pStyle w:val="Tabletext"/>
              <w:ind w:left="191"/>
            </w:pPr>
            <w:r>
              <w:t>Employed full-t</w:t>
            </w:r>
            <w:r w:rsidRPr="005F0F51">
              <w:t>ime</w:t>
            </w:r>
          </w:p>
        </w:tc>
        <w:tc>
          <w:tcPr>
            <w:tcW w:w="1418" w:type="dxa"/>
            <w:tcBorders>
              <w:top w:val="nil"/>
            </w:tcBorders>
            <w:shd w:val="clear" w:color="auto" w:fill="auto"/>
            <w:noWrap/>
          </w:tcPr>
          <w:p w:rsidR="00C925E9" w:rsidRPr="005F0F51" w:rsidRDefault="00C925E9" w:rsidP="00AF5A17">
            <w:pPr>
              <w:pStyle w:val="Tabletext"/>
              <w:tabs>
                <w:tab w:val="decimal" w:pos="720"/>
              </w:tabs>
              <w:jc w:val="right"/>
            </w:pPr>
            <w:r w:rsidRPr="005F0F51">
              <w:t>53</w:t>
            </w:r>
          </w:p>
        </w:tc>
        <w:tc>
          <w:tcPr>
            <w:tcW w:w="1418" w:type="dxa"/>
            <w:tcBorders>
              <w:top w:val="nil"/>
            </w:tcBorders>
            <w:shd w:val="clear" w:color="auto" w:fill="auto"/>
            <w:noWrap/>
          </w:tcPr>
          <w:p w:rsidR="00C925E9" w:rsidRPr="005F0F51" w:rsidRDefault="00C925E9" w:rsidP="00AF5A17">
            <w:pPr>
              <w:pStyle w:val="Tabletext"/>
              <w:tabs>
                <w:tab w:val="decimal" w:pos="720"/>
              </w:tabs>
              <w:jc w:val="right"/>
            </w:pPr>
            <w:r w:rsidRPr="005F0F51">
              <w:t>65</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rsidRPr="005F0F51">
              <w:t>Emp</w:t>
            </w:r>
            <w:r>
              <w:t>loyed part-t</w:t>
            </w:r>
            <w:r w:rsidRPr="005F0F51">
              <w:t>ime</w:t>
            </w:r>
          </w:p>
        </w:tc>
        <w:tc>
          <w:tcPr>
            <w:tcW w:w="1418" w:type="dxa"/>
            <w:shd w:val="clear" w:color="auto" w:fill="auto"/>
            <w:noWrap/>
          </w:tcPr>
          <w:p w:rsidR="00C925E9" w:rsidRPr="005F0F51" w:rsidRDefault="00C925E9" w:rsidP="00AF5A17">
            <w:pPr>
              <w:pStyle w:val="Tabletext"/>
              <w:tabs>
                <w:tab w:val="decimal" w:pos="720"/>
              </w:tabs>
              <w:jc w:val="right"/>
            </w:pPr>
            <w:r w:rsidRPr="005F0F51">
              <w:t>36</w:t>
            </w:r>
          </w:p>
        </w:tc>
        <w:tc>
          <w:tcPr>
            <w:tcW w:w="1418" w:type="dxa"/>
            <w:shd w:val="clear" w:color="auto" w:fill="auto"/>
            <w:noWrap/>
          </w:tcPr>
          <w:p w:rsidR="00C925E9" w:rsidRPr="005F0F51" w:rsidRDefault="00C925E9" w:rsidP="00AF5A17">
            <w:pPr>
              <w:pStyle w:val="Tabletext"/>
              <w:tabs>
                <w:tab w:val="decimal" w:pos="720"/>
              </w:tabs>
              <w:jc w:val="right"/>
            </w:pPr>
            <w:r w:rsidRPr="005F0F51">
              <w:t>25</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rsidRPr="005F0F51">
              <w:t>Unemployed</w:t>
            </w:r>
            <w:r>
              <w:t xml:space="preserve"> – s</w:t>
            </w:r>
            <w:r w:rsidRPr="005F0F51">
              <w:t>eeking full-time employment</w:t>
            </w:r>
          </w:p>
        </w:tc>
        <w:tc>
          <w:tcPr>
            <w:tcW w:w="1418" w:type="dxa"/>
            <w:shd w:val="clear" w:color="auto" w:fill="auto"/>
            <w:noWrap/>
          </w:tcPr>
          <w:p w:rsidR="00C925E9" w:rsidRPr="005F0F51" w:rsidRDefault="00C925E9" w:rsidP="00AF5A17">
            <w:pPr>
              <w:pStyle w:val="Tabletext"/>
              <w:tabs>
                <w:tab w:val="decimal" w:pos="720"/>
              </w:tabs>
              <w:jc w:val="right"/>
            </w:pPr>
            <w:r w:rsidRPr="005F0F51">
              <w:t>2</w:t>
            </w:r>
          </w:p>
        </w:tc>
        <w:tc>
          <w:tcPr>
            <w:tcW w:w="1418" w:type="dxa"/>
            <w:shd w:val="clear" w:color="auto" w:fill="auto"/>
            <w:noWrap/>
          </w:tcPr>
          <w:p w:rsidR="00C925E9" w:rsidRPr="005F0F51" w:rsidRDefault="00C925E9" w:rsidP="00AF5A17">
            <w:pPr>
              <w:pStyle w:val="Tabletext"/>
              <w:tabs>
                <w:tab w:val="decimal" w:pos="720"/>
              </w:tabs>
              <w:jc w:val="right"/>
            </w:pPr>
            <w:r w:rsidRPr="005F0F51">
              <w:t>2</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t>Unemployed – s</w:t>
            </w:r>
            <w:r w:rsidRPr="005F0F51">
              <w:t>eeking part-time employment</w:t>
            </w:r>
          </w:p>
        </w:tc>
        <w:tc>
          <w:tcPr>
            <w:tcW w:w="1418" w:type="dxa"/>
            <w:shd w:val="clear" w:color="auto" w:fill="auto"/>
            <w:noWrap/>
          </w:tcPr>
          <w:p w:rsidR="00C925E9" w:rsidRPr="005F0F51" w:rsidRDefault="00C925E9" w:rsidP="00AF5A17">
            <w:pPr>
              <w:pStyle w:val="Tabletext"/>
              <w:tabs>
                <w:tab w:val="decimal" w:pos="720"/>
              </w:tabs>
              <w:jc w:val="right"/>
            </w:pPr>
            <w:r w:rsidRPr="005F0F51">
              <w:t>1</w:t>
            </w:r>
          </w:p>
        </w:tc>
        <w:tc>
          <w:tcPr>
            <w:tcW w:w="1418" w:type="dxa"/>
            <w:shd w:val="clear" w:color="auto" w:fill="auto"/>
            <w:noWrap/>
          </w:tcPr>
          <w:p w:rsidR="00C925E9" w:rsidRPr="005F0F51" w:rsidRDefault="00C925E9" w:rsidP="00AF5A17">
            <w:pPr>
              <w:pStyle w:val="Tabletext"/>
              <w:tabs>
                <w:tab w:val="decimal" w:pos="720"/>
              </w:tabs>
              <w:jc w:val="right"/>
            </w:pPr>
            <w:r w:rsidRPr="005F0F51">
              <w:t>0</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rsidRPr="005F0F51">
              <w:t>Not in the labour force</w:t>
            </w:r>
          </w:p>
        </w:tc>
        <w:tc>
          <w:tcPr>
            <w:tcW w:w="1418" w:type="dxa"/>
            <w:shd w:val="clear" w:color="auto" w:fill="auto"/>
            <w:noWrap/>
          </w:tcPr>
          <w:p w:rsidR="00C925E9" w:rsidRPr="005F0F51" w:rsidRDefault="00C925E9" w:rsidP="00AF5A17">
            <w:pPr>
              <w:pStyle w:val="Tabletext"/>
              <w:tabs>
                <w:tab w:val="decimal" w:pos="720"/>
              </w:tabs>
              <w:jc w:val="right"/>
            </w:pPr>
            <w:r w:rsidRPr="005F0F51">
              <w:t>5</w:t>
            </w:r>
          </w:p>
        </w:tc>
        <w:tc>
          <w:tcPr>
            <w:tcW w:w="1418" w:type="dxa"/>
            <w:shd w:val="clear" w:color="auto" w:fill="auto"/>
            <w:noWrap/>
          </w:tcPr>
          <w:p w:rsidR="00C925E9" w:rsidRPr="005F0F51" w:rsidRDefault="00C925E9" w:rsidP="00AF5A17">
            <w:pPr>
              <w:pStyle w:val="Tabletext"/>
              <w:tabs>
                <w:tab w:val="decimal" w:pos="720"/>
              </w:tabs>
              <w:jc w:val="right"/>
            </w:pPr>
            <w:r w:rsidRPr="005F0F51">
              <w:t>6</w:t>
            </w:r>
          </w:p>
        </w:tc>
      </w:tr>
      <w:tr w:rsidR="00C925E9" w:rsidRPr="00875D45" w:rsidTr="00AF5A17">
        <w:trPr>
          <w:trHeight w:val="225"/>
        </w:trPr>
        <w:tc>
          <w:tcPr>
            <w:tcW w:w="4536" w:type="dxa"/>
            <w:tcBorders>
              <w:bottom w:val="nil"/>
            </w:tcBorders>
            <w:shd w:val="clear" w:color="auto" w:fill="auto"/>
            <w:noWrap/>
          </w:tcPr>
          <w:p w:rsidR="00C925E9" w:rsidRPr="005F0F51" w:rsidRDefault="00C925E9" w:rsidP="00200C9F">
            <w:pPr>
              <w:pStyle w:val="Tabletext"/>
              <w:ind w:left="191"/>
            </w:pPr>
            <w:r w:rsidRPr="005F0F51">
              <w:t>Unknown</w:t>
            </w:r>
          </w:p>
        </w:tc>
        <w:tc>
          <w:tcPr>
            <w:tcW w:w="1418" w:type="dxa"/>
            <w:tcBorders>
              <w:bottom w:val="nil"/>
            </w:tcBorders>
            <w:shd w:val="clear" w:color="auto" w:fill="auto"/>
            <w:noWrap/>
          </w:tcPr>
          <w:p w:rsidR="00C925E9" w:rsidRPr="005F0F51" w:rsidRDefault="00C925E9" w:rsidP="00AF5A17">
            <w:pPr>
              <w:pStyle w:val="Tabletext"/>
              <w:tabs>
                <w:tab w:val="decimal" w:pos="720"/>
              </w:tabs>
              <w:jc w:val="right"/>
            </w:pPr>
            <w:r w:rsidRPr="005F0F51">
              <w:t>2</w:t>
            </w:r>
          </w:p>
        </w:tc>
        <w:tc>
          <w:tcPr>
            <w:tcW w:w="1418" w:type="dxa"/>
            <w:tcBorders>
              <w:bottom w:val="nil"/>
            </w:tcBorders>
            <w:shd w:val="clear" w:color="auto" w:fill="auto"/>
            <w:noWrap/>
          </w:tcPr>
          <w:p w:rsidR="00C925E9" w:rsidRPr="005F0F51" w:rsidRDefault="00C925E9" w:rsidP="00AF5A17">
            <w:pPr>
              <w:pStyle w:val="Tabletext"/>
              <w:tabs>
                <w:tab w:val="decimal" w:pos="720"/>
              </w:tabs>
              <w:jc w:val="right"/>
            </w:pPr>
            <w:r w:rsidRPr="005F0F51">
              <w:t>1</w:t>
            </w:r>
          </w:p>
        </w:tc>
      </w:tr>
      <w:tr w:rsidR="00C925E9" w:rsidRPr="00875D45" w:rsidTr="00AF5A17">
        <w:trPr>
          <w:trHeight w:val="225"/>
        </w:trPr>
        <w:tc>
          <w:tcPr>
            <w:tcW w:w="4536" w:type="dxa"/>
            <w:tcBorders>
              <w:top w:val="nil"/>
              <w:bottom w:val="single" w:sz="4" w:space="0" w:color="auto"/>
            </w:tcBorders>
            <w:shd w:val="clear" w:color="auto" w:fill="auto"/>
            <w:noWrap/>
          </w:tcPr>
          <w:p w:rsidR="00C925E9" w:rsidRPr="00875D45" w:rsidRDefault="00C925E9" w:rsidP="00200C9F">
            <w:pPr>
              <w:pStyle w:val="Tabletext"/>
              <w:rPr>
                <w:b/>
              </w:rPr>
            </w:pPr>
            <w:r w:rsidRPr="00875D45">
              <w:rPr>
                <w:b/>
              </w:rPr>
              <w:t>Total (%)</w:t>
            </w:r>
          </w:p>
        </w:tc>
        <w:tc>
          <w:tcPr>
            <w:tcW w:w="1418" w:type="dxa"/>
            <w:tcBorders>
              <w:top w:val="nil"/>
              <w:bottom w:val="single" w:sz="4" w:space="0" w:color="auto"/>
            </w:tcBorders>
            <w:shd w:val="clear" w:color="auto" w:fill="auto"/>
            <w:noWrap/>
          </w:tcPr>
          <w:p w:rsidR="00C925E9" w:rsidRPr="00875D45" w:rsidRDefault="00C925E9" w:rsidP="00AF5A17">
            <w:pPr>
              <w:pStyle w:val="Tabletext"/>
              <w:tabs>
                <w:tab w:val="decimal" w:pos="720"/>
              </w:tabs>
              <w:jc w:val="right"/>
              <w:rPr>
                <w:b/>
              </w:rPr>
            </w:pPr>
            <w:r w:rsidRPr="00875D45">
              <w:rPr>
                <w:b/>
              </w:rPr>
              <w:t>100</w:t>
            </w:r>
          </w:p>
        </w:tc>
        <w:tc>
          <w:tcPr>
            <w:tcW w:w="1418" w:type="dxa"/>
            <w:tcBorders>
              <w:top w:val="nil"/>
              <w:bottom w:val="single" w:sz="4" w:space="0" w:color="auto"/>
            </w:tcBorders>
            <w:shd w:val="clear" w:color="auto" w:fill="auto"/>
            <w:noWrap/>
          </w:tcPr>
          <w:p w:rsidR="00C925E9" w:rsidRPr="00875D45" w:rsidRDefault="00C925E9" w:rsidP="00AF5A17">
            <w:pPr>
              <w:pStyle w:val="Tabletext"/>
              <w:tabs>
                <w:tab w:val="decimal" w:pos="720"/>
              </w:tabs>
              <w:jc w:val="right"/>
              <w:rPr>
                <w:rStyle w:val="CommentReference"/>
                <w:rFonts w:ascii="Times New Roman" w:hAnsi="Times New Roman"/>
                <w:b/>
              </w:rPr>
            </w:pPr>
            <w:r w:rsidRPr="00875D45">
              <w:rPr>
                <w:b/>
              </w:rPr>
              <w:t>100</w:t>
            </w:r>
          </w:p>
        </w:tc>
      </w:tr>
      <w:tr w:rsidR="00C925E9" w:rsidRPr="00C34E99" w:rsidTr="00AF5A17">
        <w:trPr>
          <w:trHeight w:val="225"/>
        </w:trPr>
        <w:tc>
          <w:tcPr>
            <w:tcW w:w="4536" w:type="dxa"/>
            <w:tcBorders>
              <w:top w:val="single" w:sz="4" w:space="0" w:color="auto"/>
              <w:bottom w:val="nil"/>
            </w:tcBorders>
            <w:shd w:val="clear" w:color="auto" w:fill="auto"/>
            <w:noWrap/>
          </w:tcPr>
          <w:p w:rsidR="00C925E9" w:rsidRPr="00C34E99" w:rsidRDefault="00C925E9" w:rsidP="00200C9F">
            <w:pPr>
              <w:pStyle w:val="Tabletext"/>
            </w:pPr>
            <w:r w:rsidRPr="00C34E99">
              <w:t>Occupation (ASCO 1-digit)</w:t>
            </w:r>
          </w:p>
        </w:tc>
        <w:tc>
          <w:tcPr>
            <w:tcW w:w="1418" w:type="dxa"/>
            <w:tcBorders>
              <w:top w:val="single" w:sz="4" w:space="0" w:color="auto"/>
              <w:bottom w:val="nil"/>
            </w:tcBorders>
            <w:shd w:val="clear" w:color="auto" w:fill="auto"/>
            <w:noWrap/>
          </w:tcPr>
          <w:p w:rsidR="00C925E9" w:rsidRPr="00C34E99" w:rsidRDefault="00C925E9" w:rsidP="00AF5A17">
            <w:pPr>
              <w:pStyle w:val="Tabletext"/>
              <w:jc w:val="right"/>
            </w:pPr>
          </w:p>
        </w:tc>
        <w:tc>
          <w:tcPr>
            <w:tcW w:w="1418" w:type="dxa"/>
            <w:tcBorders>
              <w:top w:val="single" w:sz="4" w:space="0" w:color="auto"/>
              <w:bottom w:val="nil"/>
            </w:tcBorders>
            <w:shd w:val="clear" w:color="auto" w:fill="auto"/>
            <w:noWrap/>
          </w:tcPr>
          <w:p w:rsidR="00C925E9" w:rsidRPr="00C34E99" w:rsidRDefault="00C925E9" w:rsidP="00AF5A17">
            <w:pPr>
              <w:pStyle w:val="Tabletext"/>
              <w:jc w:val="right"/>
            </w:pPr>
          </w:p>
        </w:tc>
      </w:tr>
      <w:tr w:rsidR="00C925E9" w:rsidRPr="00875D45" w:rsidTr="00AF5A17">
        <w:trPr>
          <w:trHeight w:val="225"/>
        </w:trPr>
        <w:tc>
          <w:tcPr>
            <w:tcW w:w="4536" w:type="dxa"/>
            <w:tcBorders>
              <w:top w:val="nil"/>
            </w:tcBorders>
            <w:shd w:val="clear" w:color="auto" w:fill="auto"/>
            <w:noWrap/>
          </w:tcPr>
          <w:p w:rsidR="00C925E9" w:rsidRPr="005F0F51" w:rsidRDefault="00C925E9" w:rsidP="00200C9F">
            <w:pPr>
              <w:pStyle w:val="Tabletext"/>
              <w:ind w:left="191"/>
            </w:pPr>
            <w:r>
              <w:t>Managers and a</w:t>
            </w:r>
            <w:r w:rsidRPr="005F0F51">
              <w:t>dministrators</w:t>
            </w:r>
          </w:p>
        </w:tc>
        <w:tc>
          <w:tcPr>
            <w:tcW w:w="1418" w:type="dxa"/>
            <w:tcBorders>
              <w:top w:val="nil"/>
            </w:tcBorders>
            <w:shd w:val="clear" w:color="auto" w:fill="auto"/>
            <w:noWrap/>
          </w:tcPr>
          <w:p w:rsidR="00C925E9" w:rsidRPr="005F0F51" w:rsidRDefault="00C925E9" w:rsidP="00AF5A17">
            <w:pPr>
              <w:pStyle w:val="Tabletext"/>
              <w:tabs>
                <w:tab w:val="decimal" w:pos="720"/>
              </w:tabs>
              <w:jc w:val="right"/>
            </w:pPr>
            <w:r w:rsidRPr="005F0F51">
              <w:t>7</w:t>
            </w:r>
          </w:p>
        </w:tc>
        <w:tc>
          <w:tcPr>
            <w:tcW w:w="1418" w:type="dxa"/>
            <w:tcBorders>
              <w:top w:val="nil"/>
            </w:tcBorders>
            <w:shd w:val="clear" w:color="auto" w:fill="auto"/>
            <w:noWrap/>
          </w:tcPr>
          <w:p w:rsidR="00C925E9" w:rsidRPr="005F0F51" w:rsidRDefault="00C925E9" w:rsidP="00AF5A17">
            <w:pPr>
              <w:pStyle w:val="Tabletext"/>
              <w:tabs>
                <w:tab w:val="decimal" w:pos="720"/>
              </w:tabs>
              <w:jc w:val="right"/>
            </w:pPr>
            <w:r w:rsidRPr="005F0F51">
              <w:t>5</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rsidRPr="005F0F51">
              <w:t>Professionals</w:t>
            </w:r>
          </w:p>
        </w:tc>
        <w:tc>
          <w:tcPr>
            <w:tcW w:w="1418" w:type="dxa"/>
            <w:shd w:val="clear" w:color="auto" w:fill="auto"/>
            <w:noWrap/>
          </w:tcPr>
          <w:p w:rsidR="00C925E9" w:rsidRPr="005F0F51" w:rsidRDefault="00C925E9" w:rsidP="00AF5A17">
            <w:pPr>
              <w:pStyle w:val="Tabletext"/>
              <w:tabs>
                <w:tab w:val="decimal" w:pos="720"/>
              </w:tabs>
              <w:jc w:val="right"/>
            </w:pPr>
            <w:r w:rsidRPr="005F0F51">
              <w:t>30</w:t>
            </w:r>
          </w:p>
        </w:tc>
        <w:tc>
          <w:tcPr>
            <w:tcW w:w="1418" w:type="dxa"/>
            <w:shd w:val="clear" w:color="auto" w:fill="auto"/>
            <w:noWrap/>
          </w:tcPr>
          <w:p w:rsidR="00C925E9" w:rsidRPr="005F0F51" w:rsidRDefault="00C925E9" w:rsidP="00AF5A17">
            <w:pPr>
              <w:pStyle w:val="Tabletext"/>
              <w:tabs>
                <w:tab w:val="decimal" w:pos="720"/>
              </w:tabs>
              <w:jc w:val="right"/>
            </w:pPr>
            <w:r w:rsidRPr="005F0F51">
              <w:t>46</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rsidRPr="005F0F51">
              <w:t xml:space="preserve">Associate </w:t>
            </w:r>
            <w:r>
              <w:t>p</w:t>
            </w:r>
            <w:r w:rsidRPr="005F0F51">
              <w:t>rofessionals</w:t>
            </w:r>
          </w:p>
        </w:tc>
        <w:tc>
          <w:tcPr>
            <w:tcW w:w="1418" w:type="dxa"/>
            <w:shd w:val="clear" w:color="auto" w:fill="auto"/>
            <w:noWrap/>
          </w:tcPr>
          <w:p w:rsidR="00C925E9" w:rsidRPr="005F0F51" w:rsidRDefault="00C925E9" w:rsidP="00AF5A17">
            <w:pPr>
              <w:pStyle w:val="Tabletext"/>
              <w:tabs>
                <w:tab w:val="decimal" w:pos="720"/>
              </w:tabs>
              <w:jc w:val="right"/>
            </w:pPr>
            <w:r w:rsidRPr="005F0F51">
              <w:t>6</w:t>
            </w:r>
          </w:p>
        </w:tc>
        <w:tc>
          <w:tcPr>
            <w:tcW w:w="1418" w:type="dxa"/>
            <w:shd w:val="clear" w:color="auto" w:fill="auto"/>
            <w:noWrap/>
          </w:tcPr>
          <w:p w:rsidR="00C925E9" w:rsidRPr="005F0F51" w:rsidRDefault="00C925E9" w:rsidP="00AF5A17">
            <w:pPr>
              <w:pStyle w:val="Tabletext"/>
              <w:tabs>
                <w:tab w:val="decimal" w:pos="720"/>
              </w:tabs>
              <w:jc w:val="right"/>
            </w:pPr>
            <w:r w:rsidRPr="005F0F51">
              <w:t>7</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rsidRPr="005F0F51">
              <w:t xml:space="preserve">Tradespersons and </w:t>
            </w:r>
            <w:r>
              <w:t>r</w:t>
            </w:r>
            <w:r w:rsidRPr="005F0F51">
              <w:t xml:space="preserve">elated </w:t>
            </w:r>
            <w:r>
              <w:t>w</w:t>
            </w:r>
            <w:r w:rsidRPr="005F0F51">
              <w:t>orkers</w:t>
            </w:r>
          </w:p>
        </w:tc>
        <w:tc>
          <w:tcPr>
            <w:tcW w:w="1418" w:type="dxa"/>
            <w:shd w:val="clear" w:color="auto" w:fill="auto"/>
            <w:noWrap/>
          </w:tcPr>
          <w:p w:rsidR="00C925E9" w:rsidRPr="005F0F51" w:rsidRDefault="00C925E9" w:rsidP="00AF5A17">
            <w:pPr>
              <w:pStyle w:val="Tabletext"/>
              <w:tabs>
                <w:tab w:val="decimal" w:pos="720"/>
              </w:tabs>
              <w:jc w:val="right"/>
            </w:pPr>
            <w:r w:rsidRPr="005F0F51">
              <w:t>13</w:t>
            </w:r>
          </w:p>
        </w:tc>
        <w:tc>
          <w:tcPr>
            <w:tcW w:w="1418" w:type="dxa"/>
            <w:shd w:val="clear" w:color="auto" w:fill="auto"/>
            <w:noWrap/>
          </w:tcPr>
          <w:p w:rsidR="00C925E9" w:rsidRPr="005F0F51" w:rsidRDefault="00C925E9" w:rsidP="00AF5A17">
            <w:pPr>
              <w:pStyle w:val="Tabletext"/>
              <w:tabs>
                <w:tab w:val="decimal" w:pos="720"/>
              </w:tabs>
              <w:jc w:val="right"/>
            </w:pPr>
            <w:r w:rsidRPr="005F0F51">
              <w:t>8</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rsidRPr="005F0F51">
              <w:t xml:space="preserve">Advanced </w:t>
            </w:r>
            <w:r>
              <w:t>c</w:t>
            </w:r>
            <w:r w:rsidRPr="005F0F51">
              <w:t xml:space="preserve">lerical and </w:t>
            </w:r>
            <w:r>
              <w:t>s</w:t>
            </w:r>
            <w:r w:rsidRPr="005F0F51">
              <w:t xml:space="preserve">ervice </w:t>
            </w:r>
            <w:r>
              <w:t>w</w:t>
            </w:r>
            <w:r w:rsidRPr="005F0F51">
              <w:t>orkers</w:t>
            </w:r>
          </w:p>
        </w:tc>
        <w:tc>
          <w:tcPr>
            <w:tcW w:w="1418" w:type="dxa"/>
            <w:shd w:val="clear" w:color="auto" w:fill="auto"/>
            <w:noWrap/>
          </w:tcPr>
          <w:p w:rsidR="00C925E9" w:rsidRPr="005F0F51" w:rsidRDefault="00C925E9" w:rsidP="00AF5A17">
            <w:pPr>
              <w:pStyle w:val="Tabletext"/>
              <w:tabs>
                <w:tab w:val="decimal" w:pos="720"/>
              </w:tabs>
              <w:jc w:val="right"/>
            </w:pPr>
            <w:r w:rsidRPr="005F0F51">
              <w:t>14</w:t>
            </w:r>
          </w:p>
        </w:tc>
        <w:tc>
          <w:tcPr>
            <w:tcW w:w="1418" w:type="dxa"/>
            <w:shd w:val="clear" w:color="auto" w:fill="auto"/>
            <w:noWrap/>
          </w:tcPr>
          <w:p w:rsidR="00C925E9" w:rsidRPr="005F0F51" w:rsidRDefault="00C925E9" w:rsidP="00AF5A17">
            <w:pPr>
              <w:pStyle w:val="Tabletext"/>
              <w:tabs>
                <w:tab w:val="decimal" w:pos="720"/>
              </w:tabs>
              <w:jc w:val="right"/>
            </w:pPr>
            <w:r w:rsidRPr="005F0F51">
              <w:t>12</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rsidRPr="005F0F51">
              <w:t xml:space="preserve">Intermediate </w:t>
            </w:r>
            <w:r>
              <w:t>c</w:t>
            </w:r>
            <w:r w:rsidRPr="005F0F51">
              <w:t>lerical,</w:t>
            </w:r>
            <w:r>
              <w:t xml:space="preserve"> s</w:t>
            </w:r>
            <w:r w:rsidRPr="005F0F51">
              <w:t xml:space="preserve">ales and </w:t>
            </w:r>
            <w:r>
              <w:t>s</w:t>
            </w:r>
            <w:r w:rsidRPr="005F0F51">
              <w:t xml:space="preserve">ervice </w:t>
            </w:r>
            <w:r>
              <w:t>w</w:t>
            </w:r>
            <w:r w:rsidRPr="005F0F51">
              <w:t>orkers</w:t>
            </w:r>
          </w:p>
        </w:tc>
        <w:tc>
          <w:tcPr>
            <w:tcW w:w="1418" w:type="dxa"/>
            <w:shd w:val="clear" w:color="auto" w:fill="auto"/>
            <w:noWrap/>
          </w:tcPr>
          <w:p w:rsidR="00C925E9" w:rsidRPr="005F0F51" w:rsidRDefault="00C925E9" w:rsidP="00AF5A17">
            <w:pPr>
              <w:pStyle w:val="Tabletext"/>
              <w:tabs>
                <w:tab w:val="decimal" w:pos="720"/>
              </w:tabs>
              <w:jc w:val="right"/>
            </w:pPr>
            <w:r w:rsidRPr="005F0F51">
              <w:t>11</w:t>
            </w:r>
          </w:p>
        </w:tc>
        <w:tc>
          <w:tcPr>
            <w:tcW w:w="1418" w:type="dxa"/>
            <w:shd w:val="clear" w:color="auto" w:fill="auto"/>
            <w:noWrap/>
          </w:tcPr>
          <w:p w:rsidR="00C925E9" w:rsidRPr="005F0F51" w:rsidRDefault="00C925E9" w:rsidP="00AF5A17">
            <w:pPr>
              <w:pStyle w:val="Tabletext"/>
              <w:tabs>
                <w:tab w:val="decimal" w:pos="720"/>
              </w:tabs>
              <w:jc w:val="right"/>
            </w:pPr>
            <w:r w:rsidRPr="005F0F51">
              <w:t>9</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rsidRPr="005F0F51">
              <w:t xml:space="preserve">Intermediate </w:t>
            </w:r>
            <w:r>
              <w:t>production and transport w</w:t>
            </w:r>
            <w:r w:rsidRPr="005F0F51">
              <w:t>orkers</w:t>
            </w:r>
          </w:p>
        </w:tc>
        <w:tc>
          <w:tcPr>
            <w:tcW w:w="1418" w:type="dxa"/>
            <w:shd w:val="clear" w:color="auto" w:fill="auto"/>
            <w:noWrap/>
          </w:tcPr>
          <w:p w:rsidR="00C925E9" w:rsidRPr="005F0F51" w:rsidRDefault="00C925E9" w:rsidP="00AF5A17">
            <w:pPr>
              <w:pStyle w:val="Tabletext"/>
              <w:tabs>
                <w:tab w:val="decimal" w:pos="720"/>
              </w:tabs>
              <w:jc w:val="right"/>
            </w:pPr>
            <w:r w:rsidRPr="005F0F51">
              <w:t>2</w:t>
            </w:r>
          </w:p>
        </w:tc>
        <w:tc>
          <w:tcPr>
            <w:tcW w:w="1418" w:type="dxa"/>
            <w:shd w:val="clear" w:color="auto" w:fill="auto"/>
            <w:noWrap/>
          </w:tcPr>
          <w:p w:rsidR="00C925E9" w:rsidRPr="005F0F51" w:rsidRDefault="00C925E9" w:rsidP="00AF5A17">
            <w:pPr>
              <w:pStyle w:val="Tabletext"/>
              <w:tabs>
                <w:tab w:val="decimal" w:pos="720"/>
              </w:tabs>
              <w:jc w:val="right"/>
            </w:pPr>
            <w:r w:rsidRPr="005F0F51">
              <w:t>1</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t>Elementary clerical, s</w:t>
            </w:r>
            <w:r w:rsidRPr="005F0F51">
              <w:t xml:space="preserve">ales and </w:t>
            </w:r>
            <w:r>
              <w:t>s</w:t>
            </w:r>
            <w:r w:rsidRPr="005F0F51">
              <w:t xml:space="preserve">ervice </w:t>
            </w:r>
            <w:r>
              <w:t>w</w:t>
            </w:r>
            <w:r w:rsidRPr="005F0F51">
              <w:t>orkers</w:t>
            </w:r>
          </w:p>
        </w:tc>
        <w:tc>
          <w:tcPr>
            <w:tcW w:w="1418" w:type="dxa"/>
            <w:shd w:val="clear" w:color="auto" w:fill="auto"/>
            <w:noWrap/>
          </w:tcPr>
          <w:p w:rsidR="00C925E9" w:rsidRPr="005F0F51" w:rsidRDefault="00C925E9" w:rsidP="00AF5A17">
            <w:pPr>
              <w:pStyle w:val="Tabletext"/>
              <w:tabs>
                <w:tab w:val="decimal" w:pos="720"/>
              </w:tabs>
              <w:jc w:val="right"/>
            </w:pPr>
            <w:r w:rsidRPr="005F0F51">
              <w:t>5</w:t>
            </w:r>
          </w:p>
        </w:tc>
        <w:tc>
          <w:tcPr>
            <w:tcW w:w="1418" w:type="dxa"/>
            <w:shd w:val="clear" w:color="auto" w:fill="auto"/>
            <w:noWrap/>
          </w:tcPr>
          <w:p w:rsidR="00C925E9" w:rsidRPr="005F0F51" w:rsidRDefault="00C925E9" w:rsidP="00AF5A17">
            <w:pPr>
              <w:pStyle w:val="Tabletext"/>
              <w:tabs>
                <w:tab w:val="decimal" w:pos="720"/>
              </w:tabs>
              <w:jc w:val="right"/>
            </w:pPr>
            <w:r w:rsidRPr="005F0F51">
              <w:t>2</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rsidRPr="005F0F51">
              <w:t xml:space="preserve">Labourers and </w:t>
            </w:r>
            <w:r>
              <w:t>r</w:t>
            </w:r>
            <w:r w:rsidRPr="005F0F51">
              <w:t xml:space="preserve">elated </w:t>
            </w:r>
            <w:r>
              <w:t>w</w:t>
            </w:r>
            <w:r w:rsidRPr="005F0F51">
              <w:t>orkers</w:t>
            </w:r>
          </w:p>
        </w:tc>
        <w:tc>
          <w:tcPr>
            <w:tcW w:w="1418" w:type="dxa"/>
            <w:shd w:val="clear" w:color="auto" w:fill="auto"/>
            <w:noWrap/>
          </w:tcPr>
          <w:p w:rsidR="00C925E9" w:rsidRPr="005F0F51" w:rsidRDefault="00C925E9" w:rsidP="00AF5A17">
            <w:pPr>
              <w:pStyle w:val="Tabletext"/>
              <w:tabs>
                <w:tab w:val="decimal" w:pos="720"/>
              </w:tabs>
              <w:jc w:val="right"/>
            </w:pPr>
            <w:r w:rsidRPr="005F0F51">
              <w:t>1</w:t>
            </w:r>
          </w:p>
        </w:tc>
        <w:tc>
          <w:tcPr>
            <w:tcW w:w="1418" w:type="dxa"/>
            <w:shd w:val="clear" w:color="auto" w:fill="auto"/>
            <w:noWrap/>
          </w:tcPr>
          <w:p w:rsidR="00C925E9" w:rsidRPr="005F0F51" w:rsidRDefault="00C925E9" w:rsidP="00AF5A17">
            <w:pPr>
              <w:pStyle w:val="Tabletext"/>
              <w:tabs>
                <w:tab w:val="decimal" w:pos="720"/>
              </w:tabs>
              <w:jc w:val="right"/>
            </w:pPr>
            <w:r w:rsidRPr="005F0F51">
              <w:t>1</w:t>
            </w:r>
          </w:p>
        </w:tc>
      </w:tr>
      <w:tr w:rsidR="00C925E9" w:rsidRPr="00875D45">
        <w:trPr>
          <w:trHeight w:val="225"/>
        </w:trPr>
        <w:tc>
          <w:tcPr>
            <w:tcW w:w="4536" w:type="dxa"/>
            <w:shd w:val="clear" w:color="auto" w:fill="auto"/>
            <w:noWrap/>
          </w:tcPr>
          <w:p w:rsidR="00C925E9" w:rsidRPr="005F0F51" w:rsidRDefault="00C925E9" w:rsidP="00200C9F">
            <w:pPr>
              <w:pStyle w:val="Tabletext"/>
              <w:ind w:left="191"/>
            </w:pPr>
            <w:r w:rsidRPr="005F0F51">
              <w:t>Unknown or not classifiable</w:t>
            </w:r>
          </w:p>
        </w:tc>
        <w:tc>
          <w:tcPr>
            <w:tcW w:w="1418" w:type="dxa"/>
            <w:shd w:val="clear" w:color="auto" w:fill="auto"/>
            <w:noWrap/>
          </w:tcPr>
          <w:p w:rsidR="00C925E9" w:rsidRPr="005F0F51" w:rsidRDefault="00C925E9" w:rsidP="00AF5A17">
            <w:pPr>
              <w:pStyle w:val="Tabletext"/>
              <w:tabs>
                <w:tab w:val="decimal" w:pos="720"/>
              </w:tabs>
              <w:jc w:val="right"/>
            </w:pPr>
            <w:r w:rsidRPr="005F0F51">
              <w:t>0</w:t>
            </w:r>
          </w:p>
        </w:tc>
        <w:tc>
          <w:tcPr>
            <w:tcW w:w="1418" w:type="dxa"/>
            <w:shd w:val="clear" w:color="auto" w:fill="auto"/>
            <w:noWrap/>
          </w:tcPr>
          <w:p w:rsidR="00C925E9" w:rsidRPr="005F0F51" w:rsidRDefault="00C925E9" w:rsidP="00AF5A17">
            <w:pPr>
              <w:pStyle w:val="Tabletext"/>
              <w:tabs>
                <w:tab w:val="decimal" w:pos="720"/>
              </w:tabs>
              <w:jc w:val="right"/>
            </w:pPr>
            <w:r w:rsidRPr="005F0F51">
              <w:t>0</w:t>
            </w:r>
          </w:p>
        </w:tc>
      </w:tr>
      <w:tr w:rsidR="00C925E9" w:rsidRPr="00875D45" w:rsidTr="00AF5A17">
        <w:trPr>
          <w:trHeight w:val="225"/>
        </w:trPr>
        <w:tc>
          <w:tcPr>
            <w:tcW w:w="4536" w:type="dxa"/>
            <w:tcBorders>
              <w:bottom w:val="nil"/>
            </w:tcBorders>
            <w:shd w:val="clear" w:color="auto" w:fill="auto"/>
            <w:noWrap/>
          </w:tcPr>
          <w:p w:rsidR="00C925E9" w:rsidRPr="005F0F51" w:rsidRDefault="00C925E9" w:rsidP="00200C9F">
            <w:pPr>
              <w:pStyle w:val="Tabletext"/>
              <w:ind w:left="191"/>
            </w:pPr>
            <w:r>
              <w:t>Not e</w:t>
            </w:r>
            <w:r w:rsidRPr="005F0F51">
              <w:t>mployed</w:t>
            </w:r>
          </w:p>
        </w:tc>
        <w:tc>
          <w:tcPr>
            <w:tcW w:w="1418" w:type="dxa"/>
            <w:tcBorders>
              <w:bottom w:val="nil"/>
            </w:tcBorders>
            <w:shd w:val="clear" w:color="auto" w:fill="auto"/>
            <w:noWrap/>
          </w:tcPr>
          <w:p w:rsidR="00C925E9" w:rsidRPr="005F0F51" w:rsidRDefault="00C925E9" w:rsidP="00AF5A17">
            <w:pPr>
              <w:pStyle w:val="Tabletext"/>
              <w:tabs>
                <w:tab w:val="decimal" w:pos="720"/>
              </w:tabs>
              <w:jc w:val="right"/>
            </w:pPr>
            <w:r w:rsidRPr="005F0F51">
              <w:t>11</w:t>
            </w:r>
          </w:p>
        </w:tc>
        <w:tc>
          <w:tcPr>
            <w:tcW w:w="1418" w:type="dxa"/>
            <w:tcBorders>
              <w:bottom w:val="nil"/>
            </w:tcBorders>
            <w:shd w:val="clear" w:color="auto" w:fill="auto"/>
            <w:noWrap/>
          </w:tcPr>
          <w:p w:rsidR="00C925E9" w:rsidRPr="005F0F51" w:rsidRDefault="00C925E9" w:rsidP="00AF5A17">
            <w:pPr>
              <w:pStyle w:val="Tabletext"/>
              <w:tabs>
                <w:tab w:val="decimal" w:pos="720"/>
              </w:tabs>
              <w:jc w:val="right"/>
            </w:pPr>
            <w:r w:rsidRPr="005F0F51">
              <w:t>10</w:t>
            </w:r>
          </w:p>
        </w:tc>
      </w:tr>
      <w:tr w:rsidR="00C925E9" w:rsidRPr="00875D45" w:rsidTr="001810E3">
        <w:trPr>
          <w:trHeight w:val="225"/>
        </w:trPr>
        <w:tc>
          <w:tcPr>
            <w:tcW w:w="4536" w:type="dxa"/>
            <w:tcBorders>
              <w:top w:val="nil"/>
              <w:bottom w:val="nil"/>
            </w:tcBorders>
            <w:shd w:val="clear" w:color="auto" w:fill="auto"/>
            <w:noWrap/>
          </w:tcPr>
          <w:p w:rsidR="00C925E9" w:rsidRPr="00875D45" w:rsidRDefault="00C925E9" w:rsidP="00200C9F">
            <w:pPr>
              <w:pStyle w:val="Tabletext"/>
              <w:rPr>
                <w:b/>
              </w:rPr>
            </w:pPr>
            <w:r w:rsidRPr="00875D45">
              <w:rPr>
                <w:b/>
              </w:rPr>
              <w:t>Total (%)</w:t>
            </w:r>
          </w:p>
        </w:tc>
        <w:tc>
          <w:tcPr>
            <w:tcW w:w="1418" w:type="dxa"/>
            <w:tcBorders>
              <w:top w:val="nil"/>
              <w:bottom w:val="nil"/>
            </w:tcBorders>
            <w:shd w:val="clear" w:color="auto" w:fill="auto"/>
            <w:noWrap/>
          </w:tcPr>
          <w:p w:rsidR="00C925E9" w:rsidRPr="00875D45" w:rsidRDefault="00C925E9" w:rsidP="00AF5A17">
            <w:pPr>
              <w:pStyle w:val="Tabletext"/>
              <w:tabs>
                <w:tab w:val="decimal" w:pos="720"/>
              </w:tabs>
              <w:jc w:val="right"/>
              <w:rPr>
                <w:b/>
                <w:bCs/>
              </w:rPr>
            </w:pPr>
            <w:r w:rsidRPr="00875D45">
              <w:rPr>
                <w:b/>
                <w:bCs/>
              </w:rPr>
              <w:t>100</w:t>
            </w:r>
          </w:p>
        </w:tc>
        <w:tc>
          <w:tcPr>
            <w:tcW w:w="1418" w:type="dxa"/>
            <w:tcBorders>
              <w:top w:val="nil"/>
              <w:bottom w:val="nil"/>
            </w:tcBorders>
            <w:shd w:val="clear" w:color="auto" w:fill="auto"/>
            <w:noWrap/>
          </w:tcPr>
          <w:p w:rsidR="00C925E9" w:rsidRPr="00875D45" w:rsidRDefault="00C925E9" w:rsidP="00AF5A17">
            <w:pPr>
              <w:pStyle w:val="Tabletext"/>
              <w:tabs>
                <w:tab w:val="decimal" w:pos="720"/>
              </w:tabs>
              <w:jc w:val="right"/>
              <w:rPr>
                <w:b/>
                <w:bCs/>
              </w:rPr>
            </w:pPr>
            <w:r w:rsidRPr="00875D45">
              <w:rPr>
                <w:b/>
                <w:bCs/>
              </w:rPr>
              <w:t>100</w:t>
            </w:r>
          </w:p>
        </w:tc>
      </w:tr>
      <w:tr w:rsidR="00C925E9" w:rsidRPr="00875D45" w:rsidTr="001810E3">
        <w:trPr>
          <w:trHeight w:val="225"/>
        </w:trPr>
        <w:tc>
          <w:tcPr>
            <w:tcW w:w="4536" w:type="dxa"/>
            <w:tcBorders>
              <w:top w:val="nil"/>
              <w:bottom w:val="single" w:sz="4" w:space="0" w:color="000000"/>
            </w:tcBorders>
            <w:shd w:val="clear" w:color="auto" w:fill="auto"/>
            <w:noWrap/>
          </w:tcPr>
          <w:p w:rsidR="00C925E9" w:rsidRPr="00875D45" w:rsidRDefault="00C925E9" w:rsidP="00200C9F">
            <w:pPr>
              <w:pStyle w:val="Tabletext"/>
              <w:rPr>
                <w:b/>
                <w:bCs/>
              </w:rPr>
            </w:pPr>
            <w:r w:rsidRPr="00875D45">
              <w:rPr>
                <w:b/>
                <w:bCs/>
              </w:rPr>
              <w:t>Total (N)</w:t>
            </w:r>
          </w:p>
        </w:tc>
        <w:tc>
          <w:tcPr>
            <w:tcW w:w="1418" w:type="dxa"/>
            <w:tcBorders>
              <w:top w:val="nil"/>
              <w:bottom w:val="single" w:sz="4" w:space="0" w:color="000000"/>
            </w:tcBorders>
            <w:shd w:val="clear" w:color="auto" w:fill="auto"/>
            <w:noWrap/>
          </w:tcPr>
          <w:p w:rsidR="00C925E9" w:rsidRPr="00875D45" w:rsidRDefault="00C925E9" w:rsidP="00AF5A17">
            <w:pPr>
              <w:pStyle w:val="Tabletext"/>
              <w:tabs>
                <w:tab w:val="decimal" w:pos="720"/>
              </w:tabs>
              <w:jc w:val="right"/>
              <w:rPr>
                <w:b/>
                <w:bCs/>
              </w:rPr>
            </w:pPr>
            <w:r w:rsidRPr="00875D45">
              <w:rPr>
                <w:b/>
                <w:bCs/>
              </w:rPr>
              <w:t>393</w:t>
            </w:r>
          </w:p>
        </w:tc>
        <w:tc>
          <w:tcPr>
            <w:tcW w:w="1418" w:type="dxa"/>
            <w:tcBorders>
              <w:top w:val="nil"/>
              <w:bottom w:val="single" w:sz="4" w:space="0" w:color="000000"/>
            </w:tcBorders>
            <w:shd w:val="clear" w:color="auto" w:fill="auto"/>
            <w:noWrap/>
          </w:tcPr>
          <w:p w:rsidR="00C925E9" w:rsidRPr="00875D45" w:rsidRDefault="00C925E9" w:rsidP="00AF5A17">
            <w:pPr>
              <w:pStyle w:val="Tabletext"/>
              <w:tabs>
                <w:tab w:val="decimal" w:pos="720"/>
              </w:tabs>
              <w:jc w:val="right"/>
              <w:rPr>
                <w:b/>
                <w:bCs/>
              </w:rPr>
            </w:pPr>
            <w:r w:rsidRPr="00875D45">
              <w:rPr>
                <w:b/>
                <w:bCs/>
              </w:rPr>
              <w:t>1720</w:t>
            </w:r>
          </w:p>
        </w:tc>
      </w:tr>
    </w:tbl>
    <w:p w:rsidR="00C925E9" w:rsidRDefault="00C925E9" w:rsidP="00534339">
      <w:pPr>
        <w:pStyle w:val="Text"/>
        <w:spacing w:before="300"/>
        <w:ind w:right="0"/>
      </w:pPr>
      <w:r>
        <w:t>The earnings of gappers and non-gappers reflect their working hours and occupational levels (table 20), noting also that most members of both groups are still at an early stage in their working lives. More gappers than non-gappers work fewer than 30 hours per week and have earnings below $40 000, while more non-gappers than gappers work more than 30 hours and earn more than $40 000.</w:t>
      </w:r>
    </w:p>
    <w:p w:rsidR="00C925E9" w:rsidRDefault="00C925E9" w:rsidP="00200C9F">
      <w:pPr>
        <w:pStyle w:val="Text"/>
        <w:rPr>
          <w:lang w:val="en-US"/>
        </w:rPr>
      </w:pPr>
      <w:r>
        <w:rPr>
          <w:lang w:val="en-US"/>
        </w:rPr>
        <w:t>Hours worked and earnings suggest that gappers have a less ‘mature’ employment profile. Marks (2006) shows that many of the young people who do not go to university follow a trajectory of initial part-time and casual employment and that over time most move into full-time employment. The higher proportion of gappers who are still studying and who are working part-time suggests that they are at an early stage in their transition to work.</w:t>
      </w:r>
    </w:p>
    <w:p w:rsidR="00C925E9" w:rsidRDefault="00C925E9" w:rsidP="00200C9F">
      <w:pPr>
        <w:pStyle w:val="Text"/>
        <w:rPr>
          <w:lang w:val="en-US"/>
        </w:rPr>
      </w:pPr>
      <w:r>
        <w:rPr>
          <w:lang w:val="en-US"/>
        </w:rPr>
        <w:t>Non-gappers differ from gappers on early secondary and Year 12 achievement and on attitude towards school. It seems likely that these characteristics are related to the courses they take at university and to the occupations they enter after graduation. It is also possible that these characteristics directly influence their employment outcomes, as high achievement may signal high potential to prospective employers.</w:t>
      </w:r>
    </w:p>
    <w:p w:rsidR="00C925E9" w:rsidRDefault="00C925E9" w:rsidP="00200C9F">
      <w:pPr>
        <w:pStyle w:val="tabletitle"/>
      </w:pPr>
      <w:r>
        <w:br w:type="page"/>
      </w:r>
      <w:bookmarkStart w:id="80" w:name="_Toc322691623"/>
      <w:r>
        <w:t>Table 20</w:t>
      </w:r>
      <w:r>
        <w:tab/>
        <w:t>Annual earnings and weekly hours worked by gap-taking status</w:t>
      </w:r>
      <w:bookmarkEnd w:id="80"/>
    </w:p>
    <w:tbl>
      <w:tblPr>
        <w:tblW w:w="0" w:type="auto"/>
        <w:tblInd w:w="93" w:type="dxa"/>
        <w:tblLook w:val="0000"/>
      </w:tblPr>
      <w:tblGrid>
        <w:gridCol w:w="4536"/>
        <w:gridCol w:w="1418"/>
        <w:gridCol w:w="1418"/>
      </w:tblGrid>
      <w:tr w:rsidR="00C925E9" w:rsidRPr="005F0F51" w:rsidTr="00AF5A17">
        <w:trPr>
          <w:trHeight w:val="450"/>
        </w:trPr>
        <w:tc>
          <w:tcPr>
            <w:tcW w:w="4536" w:type="dxa"/>
            <w:tcBorders>
              <w:top w:val="single" w:sz="4" w:space="0" w:color="auto"/>
              <w:left w:val="nil"/>
              <w:bottom w:val="single" w:sz="4" w:space="0" w:color="auto"/>
              <w:right w:val="nil"/>
            </w:tcBorders>
            <w:shd w:val="clear" w:color="auto" w:fill="auto"/>
            <w:noWrap/>
            <w:vAlign w:val="bottom"/>
          </w:tcPr>
          <w:p w:rsidR="00C925E9" w:rsidRPr="005F0F51" w:rsidRDefault="00C925E9" w:rsidP="00200C9F">
            <w:pPr>
              <w:pStyle w:val="Tabletext"/>
            </w:pPr>
          </w:p>
        </w:tc>
        <w:tc>
          <w:tcPr>
            <w:tcW w:w="1418" w:type="dxa"/>
            <w:tcBorders>
              <w:top w:val="single" w:sz="4" w:space="0" w:color="auto"/>
              <w:left w:val="nil"/>
              <w:bottom w:val="single" w:sz="4" w:space="0" w:color="auto"/>
              <w:right w:val="nil"/>
            </w:tcBorders>
            <w:shd w:val="clear" w:color="auto" w:fill="auto"/>
            <w:vAlign w:val="bottom"/>
          </w:tcPr>
          <w:p w:rsidR="00C925E9" w:rsidRPr="003F25B9" w:rsidRDefault="00C925E9" w:rsidP="00AF5A17">
            <w:pPr>
              <w:pStyle w:val="Tablehead1"/>
              <w:jc w:val="right"/>
              <w:rPr>
                <w:bCs/>
              </w:rPr>
            </w:pPr>
            <w:r w:rsidRPr="003F25B9">
              <w:rPr>
                <w:bCs/>
              </w:rPr>
              <w:t>Gap</w:t>
            </w:r>
            <w:r>
              <w:rPr>
                <w:bCs/>
              </w:rPr>
              <w:t>per</w:t>
            </w:r>
            <w:r w:rsidRPr="003F25B9">
              <w:rPr>
                <w:bCs/>
              </w:rPr>
              <w:t xml:space="preserve"> </w:t>
            </w:r>
          </w:p>
        </w:tc>
        <w:tc>
          <w:tcPr>
            <w:tcW w:w="1418" w:type="dxa"/>
            <w:tcBorders>
              <w:top w:val="single" w:sz="4" w:space="0" w:color="auto"/>
              <w:left w:val="nil"/>
              <w:bottom w:val="single" w:sz="4" w:space="0" w:color="auto"/>
              <w:right w:val="nil"/>
            </w:tcBorders>
            <w:shd w:val="clear" w:color="auto" w:fill="auto"/>
            <w:vAlign w:val="bottom"/>
          </w:tcPr>
          <w:p w:rsidR="00C925E9" w:rsidRPr="003F25B9" w:rsidRDefault="00C925E9" w:rsidP="00AF5A17">
            <w:pPr>
              <w:pStyle w:val="Tablehead1"/>
              <w:jc w:val="right"/>
              <w:rPr>
                <w:bCs/>
              </w:rPr>
            </w:pPr>
            <w:r w:rsidRPr="003F25B9">
              <w:rPr>
                <w:bCs/>
              </w:rPr>
              <w:t>Non</w:t>
            </w:r>
            <w:r>
              <w:rPr>
                <w:bCs/>
              </w:rPr>
              <w:t>-</w:t>
            </w:r>
            <w:r w:rsidRPr="003F25B9">
              <w:rPr>
                <w:bCs/>
              </w:rPr>
              <w:t>gap</w:t>
            </w:r>
            <w:r>
              <w:rPr>
                <w:bCs/>
              </w:rPr>
              <w:t>per</w:t>
            </w:r>
            <w:r w:rsidRPr="003F25B9">
              <w:rPr>
                <w:bCs/>
              </w:rPr>
              <w:t xml:space="preserve"> </w:t>
            </w:r>
          </w:p>
        </w:tc>
      </w:tr>
      <w:tr w:rsidR="00C925E9" w:rsidRPr="005F0F51" w:rsidTr="00AF5A17">
        <w:trPr>
          <w:trHeight w:val="225"/>
        </w:trPr>
        <w:tc>
          <w:tcPr>
            <w:tcW w:w="4536" w:type="dxa"/>
            <w:tcBorders>
              <w:top w:val="single" w:sz="4" w:space="0" w:color="auto"/>
              <w:left w:val="nil"/>
              <w:right w:val="nil"/>
            </w:tcBorders>
            <w:shd w:val="clear" w:color="auto" w:fill="auto"/>
            <w:noWrap/>
            <w:vAlign w:val="bottom"/>
          </w:tcPr>
          <w:p w:rsidR="00C925E9" w:rsidRPr="003F25B9" w:rsidRDefault="00C925E9" w:rsidP="00200C9F">
            <w:pPr>
              <w:pStyle w:val="Tabletext"/>
            </w:pPr>
            <w:r w:rsidRPr="003F25B9">
              <w:t>Annual salary</w:t>
            </w:r>
          </w:p>
        </w:tc>
        <w:tc>
          <w:tcPr>
            <w:tcW w:w="1418" w:type="dxa"/>
            <w:tcBorders>
              <w:top w:val="single" w:sz="4" w:space="0" w:color="auto"/>
              <w:left w:val="nil"/>
              <w:right w:val="nil"/>
            </w:tcBorders>
            <w:shd w:val="clear" w:color="auto" w:fill="auto"/>
            <w:noWrap/>
            <w:vAlign w:val="bottom"/>
          </w:tcPr>
          <w:p w:rsidR="00C925E9" w:rsidRPr="005F0F51" w:rsidRDefault="00C925E9" w:rsidP="00AF5A17">
            <w:pPr>
              <w:pStyle w:val="Tabletext"/>
              <w:tabs>
                <w:tab w:val="decimal" w:pos="720"/>
              </w:tabs>
              <w:jc w:val="right"/>
            </w:pPr>
          </w:p>
        </w:tc>
        <w:tc>
          <w:tcPr>
            <w:tcW w:w="1418" w:type="dxa"/>
            <w:tcBorders>
              <w:top w:val="single" w:sz="4" w:space="0" w:color="auto"/>
              <w:left w:val="nil"/>
              <w:right w:val="nil"/>
            </w:tcBorders>
            <w:shd w:val="clear" w:color="auto" w:fill="auto"/>
            <w:noWrap/>
            <w:vAlign w:val="bottom"/>
          </w:tcPr>
          <w:p w:rsidR="00C925E9" w:rsidRPr="005F0F51" w:rsidRDefault="00C925E9" w:rsidP="00AF5A17">
            <w:pPr>
              <w:pStyle w:val="Tabletext"/>
              <w:tabs>
                <w:tab w:val="decimal" w:pos="720"/>
              </w:tabs>
              <w:jc w:val="right"/>
            </w:pPr>
          </w:p>
        </w:tc>
      </w:tr>
      <w:tr w:rsidR="00C925E9" w:rsidRPr="005F0F51" w:rsidTr="00AF5A17">
        <w:trPr>
          <w:trHeight w:val="225"/>
        </w:trPr>
        <w:tc>
          <w:tcPr>
            <w:tcW w:w="4536" w:type="dxa"/>
            <w:tcBorders>
              <w:left w:val="nil"/>
              <w:bottom w:val="nil"/>
              <w:right w:val="nil"/>
            </w:tcBorders>
            <w:shd w:val="clear" w:color="auto" w:fill="auto"/>
            <w:noWrap/>
            <w:vAlign w:val="bottom"/>
          </w:tcPr>
          <w:p w:rsidR="00C925E9" w:rsidRPr="005F0F51" w:rsidRDefault="00C925E9" w:rsidP="001810E3">
            <w:pPr>
              <w:pStyle w:val="Tabletext"/>
              <w:ind w:left="191"/>
            </w:pPr>
            <w:r w:rsidRPr="005F0F51">
              <w:t>Less than $10</w:t>
            </w:r>
            <w:r w:rsidR="001810E3">
              <w:t xml:space="preserve"> </w:t>
            </w:r>
            <w:r w:rsidRPr="005F0F51">
              <w:t>000</w:t>
            </w:r>
          </w:p>
        </w:tc>
        <w:tc>
          <w:tcPr>
            <w:tcW w:w="1418" w:type="dxa"/>
            <w:tcBorders>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10</w:t>
            </w:r>
          </w:p>
        </w:tc>
        <w:tc>
          <w:tcPr>
            <w:tcW w:w="1418" w:type="dxa"/>
            <w:tcBorders>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7</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1810E3">
            <w:pPr>
              <w:pStyle w:val="Tabletext"/>
              <w:ind w:left="191"/>
            </w:pPr>
            <w:r>
              <w:t>$10</w:t>
            </w:r>
            <w:r w:rsidR="001810E3">
              <w:t xml:space="preserve"> </w:t>
            </w:r>
            <w:r>
              <w:t>000–</w:t>
            </w:r>
            <w:r w:rsidRPr="005F0F51">
              <w:t>$19</w:t>
            </w:r>
            <w:r w:rsidR="001810E3">
              <w:t xml:space="preserve"> </w:t>
            </w:r>
            <w:r w:rsidRPr="005F0F51">
              <w:t>999</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12</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8</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1810E3">
            <w:pPr>
              <w:pStyle w:val="Tabletext"/>
              <w:ind w:left="191"/>
            </w:pPr>
            <w:r w:rsidRPr="005F0F51">
              <w:t>$20</w:t>
            </w:r>
            <w:r w:rsidR="001810E3">
              <w:t xml:space="preserve"> </w:t>
            </w:r>
            <w:r w:rsidRPr="005F0F51">
              <w:t>000</w:t>
            </w:r>
            <w:r>
              <w:t>–</w:t>
            </w:r>
            <w:r w:rsidRPr="005F0F51">
              <w:t>$29</w:t>
            </w:r>
            <w:r w:rsidR="001810E3">
              <w:t xml:space="preserve"> </w:t>
            </w:r>
            <w:r w:rsidRPr="005F0F51">
              <w:t>999</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11</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9</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1810E3">
            <w:pPr>
              <w:pStyle w:val="Tabletext"/>
              <w:ind w:left="191"/>
            </w:pPr>
            <w:r w:rsidRPr="005F0F51">
              <w:t>$30</w:t>
            </w:r>
            <w:r w:rsidR="001810E3">
              <w:t xml:space="preserve"> </w:t>
            </w:r>
            <w:r w:rsidRPr="005F0F51">
              <w:t>000</w:t>
            </w:r>
            <w:r>
              <w:t>–</w:t>
            </w:r>
            <w:r w:rsidRPr="005F0F51">
              <w:t>$39</w:t>
            </w:r>
            <w:r w:rsidR="001810E3">
              <w:t xml:space="preserve"> </w:t>
            </w:r>
            <w:r w:rsidRPr="005F0F51">
              <w:t>999</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25</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21</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1810E3">
            <w:pPr>
              <w:pStyle w:val="Tabletext"/>
              <w:ind w:left="191"/>
            </w:pPr>
            <w:r w:rsidRPr="005F0F51">
              <w:t>$40</w:t>
            </w:r>
            <w:r w:rsidR="001810E3">
              <w:t xml:space="preserve"> </w:t>
            </w:r>
            <w:r w:rsidRPr="005F0F51">
              <w:t>000</w:t>
            </w:r>
            <w:r>
              <w:t>–</w:t>
            </w:r>
            <w:r w:rsidRPr="005F0F51">
              <w:t>$49</w:t>
            </w:r>
            <w:r w:rsidR="001810E3">
              <w:t xml:space="preserve"> </w:t>
            </w:r>
            <w:r w:rsidRPr="005F0F51">
              <w:t>999</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18</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24</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1810E3">
            <w:pPr>
              <w:pStyle w:val="Tabletext"/>
              <w:ind w:left="191"/>
            </w:pPr>
            <w:r w:rsidRPr="005F0F51">
              <w:t>$50</w:t>
            </w:r>
            <w:r w:rsidR="001810E3">
              <w:t xml:space="preserve"> </w:t>
            </w:r>
            <w:r w:rsidRPr="005F0F51">
              <w:t>000</w:t>
            </w:r>
            <w:r>
              <w:t>–</w:t>
            </w:r>
            <w:r w:rsidRPr="005F0F51">
              <w:t>$59</w:t>
            </w:r>
            <w:r w:rsidR="001810E3">
              <w:t xml:space="preserve"> </w:t>
            </w:r>
            <w:r w:rsidRPr="005F0F51">
              <w:t>999</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8</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12</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1810E3">
            <w:pPr>
              <w:pStyle w:val="Tabletext"/>
              <w:ind w:left="191"/>
            </w:pPr>
            <w:r w:rsidRPr="005F0F51">
              <w:t>$60</w:t>
            </w:r>
            <w:r w:rsidR="001810E3">
              <w:t xml:space="preserve"> </w:t>
            </w:r>
            <w:r w:rsidRPr="005F0F51">
              <w:t>000</w:t>
            </w:r>
            <w:r>
              <w:t>–</w:t>
            </w:r>
            <w:r w:rsidRPr="005F0F51">
              <w:t>$69</w:t>
            </w:r>
            <w:r w:rsidR="001810E3">
              <w:t xml:space="preserve"> </w:t>
            </w:r>
            <w:r w:rsidRPr="005F0F51">
              <w:t>999</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2</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4</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200C9F">
            <w:pPr>
              <w:pStyle w:val="Tabletext"/>
              <w:ind w:left="191"/>
            </w:pPr>
            <w:r w:rsidRPr="005F0F51">
              <w:t>$70</w:t>
            </w:r>
            <w:r w:rsidR="001810E3">
              <w:t xml:space="preserve"> </w:t>
            </w:r>
            <w:r w:rsidRPr="005F0F51">
              <w:t>000</w:t>
            </w:r>
            <w:r>
              <w:t>–</w:t>
            </w:r>
            <w:r w:rsidR="001810E3">
              <w:t xml:space="preserve">$79 </w:t>
            </w:r>
            <w:r w:rsidRPr="005F0F51">
              <w:t>999</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1810E3" w:rsidP="00200C9F">
            <w:pPr>
              <w:pStyle w:val="Tabletext"/>
              <w:ind w:left="191"/>
            </w:pPr>
            <w:r>
              <w:t xml:space="preserve">$80 </w:t>
            </w:r>
            <w:r w:rsidR="00C925E9" w:rsidRPr="005F0F51">
              <w:t>000</w:t>
            </w:r>
            <w:r w:rsidR="00C925E9">
              <w:t>–</w:t>
            </w:r>
            <w:r>
              <w:t xml:space="preserve">$99 </w:t>
            </w:r>
            <w:r w:rsidR="00C925E9" w:rsidRPr="005F0F51">
              <w:t>999</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1810E3">
            <w:pPr>
              <w:pStyle w:val="Tabletext"/>
              <w:ind w:left="191"/>
            </w:pPr>
            <w:r w:rsidRPr="005F0F51">
              <w:t>$100</w:t>
            </w:r>
            <w:r w:rsidR="001810E3">
              <w:t xml:space="preserve"> </w:t>
            </w:r>
            <w:r w:rsidRPr="005F0F51">
              <w:t xml:space="preserve">000 and more </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0</w:t>
            </w:r>
          </w:p>
        </w:tc>
      </w:tr>
      <w:tr w:rsidR="00C925E9" w:rsidRPr="005F0F51" w:rsidTr="00AF5A17">
        <w:trPr>
          <w:trHeight w:val="225"/>
        </w:trPr>
        <w:tc>
          <w:tcPr>
            <w:tcW w:w="4536" w:type="dxa"/>
            <w:tcBorders>
              <w:top w:val="nil"/>
              <w:left w:val="nil"/>
              <w:right w:val="nil"/>
            </w:tcBorders>
            <w:shd w:val="clear" w:color="auto" w:fill="auto"/>
            <w:noWrap/>
            <w:vAlign w:val="bottom"/>
          </w:tcPr>
          <w:p w:rsidR="00C925E9" w:rsidRPr="005F0F51" w:rsidRDefault="00C925E9" w:rsidP="00200C9F">
            <w:pPr>
              <w:pStyle w:val="Tabletext"/>
              <w:ind w:left="191"/>
            </w:pPr>
            <w:r w:rsidRPr="005F0F51">
              <w:t>Unknown or not employed</w:t>
            </w:r>
          </w:p>
        </w:tc>
        <w:tc>
          <w:tcPr>
            <w:tcW w:w="1418" w:type="dxa"/>
            <w:tcBorders>
              <w:top w:val="nil"/>
              <w:left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12</w:t>
            </w:r>
          </w:p>
        </w:tc>
        <w:tc>
          <w:tcPr>
            <w:tcW w:w="1418" w:type="dxa"/>
            <w:tcBorders>
              <w:top w:val="nil"/>
              <w:left w:val="nil"/>
              <w:right w:val="nil"/>
            </w:tcBorders>
            <w:shd w:val="clear" w:color="auto" w:fill="auto"/>
            <w:noWrap/>
            <w:vAlign w:val="bottom"/>
          </w:tcPr>
          <w:p w:rsidR="00C925E9" w:rsidRPr="00A4786C" w:rsidRDefault="00C925E9" w:rsidP="00AF5A17">
            <w:pPr>
              <w:pStyle w:val="Tabletext"/>
              <w:tabs>
                <w:tab w:val="decimal" w:pos="720"/>
              </w:tabs>
              <w:jc w:val="right"/>
            </w:pPr>
            <w:r w:rsidRPr="005F0F51">
              <w:t>12</w:t>
            </w:r>
          </w:p>
        </w:tc>
      </w:tr>
      <w:tr w:rsidR="00C925E9" w:rsidRPr="003F25B9" w:rsidTr="00AF5A17">
        <w:trPr>
          <w:trHeight w:val="225"/>
        </w:trPr>
        <w:tc>
          <w:tcPr>
            <w:tcW w:w="4536" w:type="dxa"/>
            <w:tcBorders>
              <w:left w:val="nil"/>
              <w:bottom w:val="single" w:sz="4" w:space="0" w:color="auto"/>
              <w:right w:val="nil"/>
            </w:tcBorders>
            <w:shd w:val="clear" w:color="auto" w:fill="auto"/>
            <w:noWrap/>
            <w:vAlign w:val="bottom"/>
          </w:tcPr>
          <w:p w:rsidR="00C925E9" w:rsidRPr="003F25B9" w:rsidRDefault="00C925E9" w:rsidP="00200C9F">
            <w:pPr>
              <w:pStyle w:val="Tabletext"/>
              <w:rPr>
                <w:b/>
              </w:rPr>
            </w:pPr>
            <w:r w:rsidRPr="003F25B9">
              <w:rPr>
                <w:b/>
              </w:rPr>
              <w:t>Total (%)</w:t>
            </w:r>
          </w:p>
        </w:tc>
        <w:tc>
          <w:tcPr>
            <w:tcW w:w="1418" w:type="dxa"/>
            <w:tcBorders>
              <w:left w:val="nil"/>
              <w:bottom w:val="single" w:sz="4" w:space="0" w:color="auto"/>
              <w:right w:val="nil"/>
            </w:tcBorders>
            <w:shd w:val="clear" w:color="auto" w:fill="auto"/>
            <w:noWrap/>
            <w:vAlign w:val="bottom"/>
          </w:tcPr>
          <w:p w:rsidR="00C925E9" w:rsidRPr="003F25B9" w:rsidRDefault="00C925E9" w:rsidP="00AF5A17">
            <w:pPr>
              <w:pStyle w:val="Tabletext"/>
              <w:tabs>
                <w:tab w:val="decimal" w:pos="720"/>
              </w:tabs>
              <w:jc w:val="right"/>
              <w:rPr>
                <w:b/>
                <w:bCs/>
              </w:rPr>
            </w:pPr>
            <w:r w:rsidRPr="003F25B9">
              <w:rPr>
                <w:b/>
                <w:bCs/>
              </w:rPr>
              <w:t>100</w:t>
            </w:r>
          </w:p>
        </w:tc>
        <w:tc>
          <w:tcPr>
            <w:tcW w:w="1418" w:type="dxa"/>
            <w:tcBorders>
              <w:left w:val="nil"/>
              <w:bottom w:val="single" w:sz="4" w:space="0" w:color="auto"/>
              <w:right w:val="nil"/>
            </w:tcBorders>
            <w:shd w:val="clear" w:color="auto" w:fill="auto"/>
            <w:noWrap/>
            <w:vAlign w:val="bottom"/>
          </w:tcPr>
          <w:p w:rsidR="00C925E9" w:rsidRPr="003F25B9" w:rsidRDefault="00C925E9" w:rsidP="00AF5A17">
            <w:pPr>
              <w:pStyle w:val="Tabletext"/>
              <w:tabs>
                <w:tab w:val="decimal" w:pos="720"/>
              </w:tabs>
              <w:jc w:val="right"/>
              <w:rPr>
                <w:b/>
                <w:bCs/>
              </w:rPr>
            </w:pPr>
            <w:r w:rsidRPr="003F25B9">
              <w:rPr>
                <w:b/>
                <w:bCs/>
              </w:rPr>
              <w:t>100</w:t>
            </w:r>
          </w:p>
        </w:tc>
      </w:tr>
      <w:tr w:rsidR="00C925E9" w:rsidRPr="005F0F51" w:rsidTr="00AF5A17">
        <w:trPr>
          <w:trHeight w:val="225"/>
        </w:trPr>
        <w:tc>
          <w:tcPr>
            <w:tcW w:w="4536" w:type="dxa"/>
            <w:tcBorders>
              <w:top w:val="single" w:sz="4" w:space="0" w:color="auto"/>
              <w:left w:val="nil"/>
              <w:right w:val="nil"/>
            </w:tcBorders>
            <w:shd w:val="clear" w:color="auto" w:fill="auto"/>
            <w:noWrap/>
            <w:vAlign w:val="bottom"/>
          </w:tcPr>
          <w:p w:rsidR="00C925E9" w:rsidRPr="003F25B9" w:rsidRDefault="00C925E9" w:rsidP="00200C9F">
            <w:pPr>
              <w:pStyle w:val="Tabletext"/>
            </w:pPr>
            <w:r w:rsidRPr="003F25B9">
              <w:t>Usual hours worked per week</w:t>
            </w:r>
          </w:p>
        </w:tc>
        <w:tc>
          <w:tcPr>
            <w:tcW w:w="1418" w:type="dxa"/>
            <w:tcBorders>
              <w:top w:val="single" w:sz="4" w:space="0" w:color="auto"/>
              <w:left w:val="nil"/>
              <w:right w:val="nil"/>
            </w:tcBorders>
            <w:shd w:val="clear" w:color="auto" w:fill="auto"/>
            <w:noWrap/>
            <w:vAlign w:val="bottom"/>
          </w:tcPr>
          <w:p w:rsidR="00C925E9" w:rsidRPr="005F0F51" w:rsidRDefault="00C925E9" w:rsidP="00AF5A17">
            <w:pPr>
              <w:pStyle w:val="Tabletext"/>
              <w:tabs>
                <w:tab w:val="decimal" w:pos="720"/>
              </w:tabs>
              <w:jc w:val="right"/>
            </w:pPr>
          </w:p>
        </w:tc>
        <w:tc>
          <w:tcPr>
            <w:tcW w:w="1418" w:type="dxa"/>
            <w:tcBorders>
              <w:top w:val="single" w:sz="4" w:space="0" w:color="auto"/>
              <w:left w:val="nil"/>
              <w:right w:val="nil"/>
            </w:tcBorders>
            <w:shd w:val="clear" w:color="auto" w:fill="auto"/>
            <w:noWrap/>
            <w:vAlign w:val="bottom"/>
          </w:tcPr>
          <w:p w:rsidR="00C925E9" w:rsidRPr="005F0F51" w:rsidRDefault="00C925E9" w:rsidP="00AF5A17">
            <w:pPr>
              <w:pStyle w:val="Tabletext"/>
              <w:tabs>
                <w:tab w:val="decimal" w:pos="720"/>
              </w:tabs>
              <w:jc w:val="right"/>
            </w:pPr>
          </w:p>
        </w:tc>
      </w:tr>
      <w:tr w:rsidR="00C925E9" w:rsidRPr="005F0F51" w:rsidTr="00AF5A17">
        <w:trPr>
          <w:trHeight w:val="225"/>
        </w:trPr>
        <w:tc>
          <w:tcPr>
            <w:tcW w:w="4536" w:type="dxa"/>
            <w:tcBorders>
              <w:left w:val="nil"/>
              <w:bottom w:val="nil"/>
              <w:right w:val="nil"/>
            </w:tcBorders>
            <w:shd w:val="clear" w:color="auto" w:fill="auto"/>
            <w:noWrap/>
            <w:vAlign w:val="bottom"/>
          </w:tcPr>
          <w:p w:rsidR="00C925E9" w:rsidRPr="005F0F51" w:rsidRDefault="00C925E9" w:rsidP="00200C9F">
            <w:pPr>
              <w:pStyle w:val="Tabletext"/>
              <w:ind w:left="191"/>
            </w:pPr>
            <w:r w:rsidRPr="005F0F51">
              <w:t>10 or less</w:t>
            </w:r>
          </w:p>
        </w:tc>
        <w:tc>
          <w:tcPr>
            <w:tcW w:w="1418" w:type="dxa"/>
            <w:tcBorders>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11</w:t>
            </w:r>
          </w:p>
        </w:tc>
        <w:tc>
          <w:tcPr>
            <w:tcW w:w="1418" w:type="dxa"/>
            <w:tcBorders>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9</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200C9F">
            <w:pPr>
              <w:pStyle w:val="Tabletext"/>
              <w:ind w:left="191"/>
            </w:pPr>
            <w:r w:rsidRPr="005F0F51">
              <w:t>11</w:t>
            </w:r>
            <w:r>
              <w:t>–</w:t>
            </w:r>
            <w:r w:rsidRPr="005F0F51">
              <w:t>15</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7</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3</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200C9F">
            <w:pPr>
              <w:pStyle w:val="Tabletext"/>
              <w:ind w:left="191"/>
            </w:pPr>
            <w:r w:rsidRPr="005F0F51">
              <w:t>16</w:t>
            </w:r>
            <w:r>
              <w:t>–</w:t>
            </w:r>
            <w:r w:rsidRPr="005F0F51">
              <w:t>20</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8</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5</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200C9F">
            <w:pPr>
              <w:pStyle w:val="Tabletext"/>
              <w:ind w:left="191"/>
            </w:pPr>
            <w:r w:rsidRPr="005F0F51">
              <w:t>21</w:t>
            </w:r>
            <w:r>
              <w:t>–</w:t>
            </w:r>
            <w:r w:rsidRPr="005F0F51">
              <w:t>25</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4</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3</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200C9F">
            <w:pPr>
              <w:pStyle w:val="Tabletext"/>
              <w:ind w:left="191"/>
            </w:pPr>
            <w:r w:rsidRPr="005F0F51">
              <w:t>26</w:t>
            </w:r>
            <w:r>
              <w:t>–</w:t>
            </w:r>
            <w:r w:rsidRPr="005F0F51">
              <w:t>30</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5</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3</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200C9F">
            <w:pPr>
              <w:pStyle w:val="Tabletext"/>
              <w:ind w:left="191"/>
            </w:pPr>
            <w:r w:rsidRPr="005F0F51">
              <w:t>31</w:t>
            </w:r>
            <w:r>
              <w:t>–</w:t>
            </w:r>
            <w:r w:rsidRPr="005F0F51">
              <w:t>35</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5</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7</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200C9F">
            <w:pPr>
              <w:pStyle w:val="Tabletext"/>
              <w:ind w:left="191"/>
            </w:pPr>
            <w:r w:rsidRPr="005F0F51">
              <w:t>36</w:t>
            </w:r>
            <w:r>
              <w:t>–</w:t>
            </w:r>
            <w:r w:rsidRPr="005F0F51">
              <w:t>40</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37</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43</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200C9F">
            <w:pPr>
              <w:pStyle w:val="Tabletext"/>
              <w:ind w:left="191"/>
            </w:pPr>
            <w:r w:rsidRPr="005F0F51">
              <w:t>41</w:t>
            </w:r>
            <w:r>
              <w:t>–</w:t>
            </w:r>
            <w:r w:rsidRPr="005F0F51">
              <w:t>45</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6</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8</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200C9F">
            <w:pPr>
              <w:pStyle w:val="Tabletext"/>
              <w:ind w:left="191"/>
            </w:pPr>
            <w:r w:rsidRPr="005F0F51">
              <w:t>46</w:t>
            </w:r>
            <w:r>
              <w:t>–</w:t>
            </w:r>
            <w:r w:rsidRPr="005F0F51">
              <w:t>50</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4</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6</w:t>
            </w:r>
          </w:p>
        </w:tc>
      </w:tr>
      <w:tr w:rsidR="00C925E9" w:rsidRPr="005F0F51">
        <w:trPr>
          <w:trHeight w:val="225"/>
        </w:trPr>
        <w:tc>
          <w:tcPr>
            <w:tcW w:w="4536" w:type="dxa"/>
            <w:tcBorders>
              <w:top w:val="nil"/>
              <w:left w:val="nil"/>
              <w:bottom w:val="nil"/>
              <w:right w:val="nil"/>
            </w:tcBorders>
            <w:shd w:val="clear" w:color="auto" w:fill="auto"/>
            <w:noWrap/>
            <w:vAlign w:val="bottom"/>
          </w:tcPr>
          <w:p w:rsidR="00C925E9" w:rsidRPr="005F0F51" w:rsidRDefault="00C925E9" w:rsidP="00200C9F">
            <w:pPr>
              <w:pStyle w:val="Tabletext"/>
              <w:ind w:left="191"/>
            </w:pPr>
            <w:r w:rsidRPr="005F0F51">
              <w:t>More than 50</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2</w:t>
            </w:r>
          </w:p>
        </w:tc>
        <w:tc>
          <w:tcPr>
            <w:tcW w:w="1418" w:type="dxa"/>
            <w:tcBorders>
              <w:top w:val="nil"/>
              <w:left w:val="nil"/>
              <w:bottom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3</w:t>
            </w:r>
          </w:p>
        </w:tc>
      </w:tr>
      <w:tr w:rsidR="00C925E9" w:rsidRPr="005F0F51" w:rsidTr="00AF5A17">
        <w:trPr>
          <w:trHeight w:val="225"/>
        </w:trPr>
        <w:tc>
          <w:tcPr>
            <w:tcW w:w="4536" w:type="dxa"/>
            <w:tcBorders>
              <w:top w:val="nil"/>
              <w:left w:val="nil"/>
              <w:right w:val="nil"/>
            </w:tcBorders>
            <w:shd w:val="clear" w:color="auto" w:fill="auto"/>
            <w:noWrap/>
            <w:vAlign w:val="bottom"/>
          </w:tcPr>
          <w:p w:rsidR="00C925E9" w:rsidRPr="005F0F51" w:rsidRDefault="00C925E9" w:rsidP="00200C9F">
            <w:pPr>
              <w:pStyle w:val="Tabletext"/>
              <w:ind w:left="191"/>
            </w:pPr>
            <w:r w:rsidRPr="005F0F51">
              <w:t>Unknown or not employed</w:t>
            </w:r>
          </w:p>
        </w:tc>
        <w:tc>
          <w:tcPr>
            <w:tcW w:w="1418" w:type="dxa"/>
            <w:tcBorders>
              <w:top w:val="nil"/>
              <w:left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11</w:t>
            </w:r>
          </w:p>
        </w:tc>
        <w:tc>
          <w:tcPr>
            <w:tcW w:w="1418" w:type="dxa"/>
            <w:tcBorders>
              <w:top w:val="nil"/>
              <w:left w:val="nil"/>
              <w:right w:val="nil"/>
            </w:tcBorders>
            <w:shd w:val="clear" w:color="auto" w:fill="auto"/>
            <w:noWrap/>
            <w:vAlign w:val="bottom"/>
          </w:tcPr>
          <w:p w:rsidR="00C925E9" w:rsidRPr="005F0F51" w:rsidRDefault="00C925E9" w:rsidP="00AF5A17">
            <w:pPr>
              <w:pStyle w:val="Tabletext"/>
              <w:tabs>
                <w:tab w:val="decimal" w:pos="720"/>
              </w:tabs>
              <w:jc w:val="right"/>
            </w:pPr>
            <w:r w:rsidRPr="005F0F51">
              <w:t>10</w:t>
            </w:r>
          </w:p>
        </w:tc>
      </w:tr>
      <w:tr w:rsidR="00C925E9" w:rsidRPr="003F25B9" w:rsidTr="00851FD6">
        <w:trPr>
          <w:trHeight w:val="225"/>
        </w:trPr>
        <w:tc>
          <w:tcPr>
            <w:tcW w:w="4536" w:type="dxa"/>
            <w:tcBorders>
              <w:left w:val="nil"/>
              <w:right w:val="nil"/>
            </w:tcBorders>
            <w:shd w:val="clear" w:color="auto" w:fill="auto"/>
            <w:noWrap/>
            <w:vAlign w:val="bottom"/>
          </w:tcPr>
          <w:p w:rsidR="00C925E9" w:rsidRPr="003F25B9" w:rsidRDefault="00C925E9" w:rsidP="00200C9F">
            <w:pPr>
              <w:pStyle w:val="Tabletext"/>
              <w:rPr>
                <w:b/>
              </w:rPr>
            </w:pPr>
            <w:r w:rsidRPr="003F25B9">
              <w:rPr>
                <w:b/>
              </w:rPr>
              <w:t>Total (%)</w:t>
            </w:r>
          </w:p>
        </w:tc>
        <w:tc>
          <w:tcPr>
            <w:tcW w:w="1418" w:type="dxa"/>
            <w:tcBorders>
              <w:left w:val="nil"/>
              <w:right w:val="nil"/>
            </w:tcBorders>
            <w:shd w:val="clear" w:color="auto" w:fill="auto"/>
            <w:noWrap/>
            <w:vAlign w:val="bottom"/>
          </w:tcPr>
          <w:p w:rsidR="00C925E9" w:rsidRPr="003F25B9" w:rsidRDefault="00C925E9" w:rsidP="00AF5A17">
            <w:pPr>
              <w:pStyle w:val="Tabletext"/>
              <w:tabs>
                <w:tab w:val="decimal" w:pos="720"/>
              </w:tabs>
              <w:jc w:val="right"/>
              <w:rPr>
                <w:b/>
                <w:bCs/>
              </w:rPr>
            </w:pPr>
            <w:r w:rsidRPr="003F25B9">
              <w:rPr>
                <w:b/>
                <w:bCs/>
              </w:rPr>
              <w:t>100</w:t>
            </w:r>
          </w:p>
        </w:tc>
        <w:tc>
          <w:tcPr>
            <w:tcW w:w="1418" w:type="dxa"/>
            <w:tcBorders>
              <w:left w:val="nil"/>
              <w:right w:val="nil"/>
            </w:tcBorders>
            <w:shd w:val="clear" w:color="auto" w:fill="auto"/>
            <w:noWrap/>
            <w:vAlign w:val="bottom"/>
          </w:tcPr>
          <w:p w:rsidR="00C925E9" w:rsidRPr="003F25B9" w:rsidRDefault="00C925E9" w:rsidP="00AF5A17">
            <w:pPr>
              <w:pStyle w:val="Tabletext"/>
              <w:tabs>
                <w:tab w:val="decimal" w:pos="720"/>
              </w:tabs>
              <w:jc w:val="right"/>
              <w:rPr>
                <w:b/>
                <w:bCs/>
              </w:rPr>
            </w:pPr>
            <w:r w:rsidRPr="003F25B9">
              <w:rPr>
                <w:b/>
                <w:bCs/>
              </w:rPr>
              <w:t>100</w:t>
            </w:r>
          </w:p>
        </w:tc>
      </w:tr>
      <w:tr w:rsidR="00C925E9" w:rsidRPr="005F0F51" w:rsidTr="00851FD6">
        <w:trPr>
          <w:trHeight w:val="225"/>
        </w:trPr>
        <w:tc>
          <w:tcPr>
            <w:tcW w:w="4536" w:type="dxa"/>
            <w:tcBorders>
              <w:left w:val="nil"/>
              <w:bottom w:val="single" w:sz="4" w:space="0" w:color="auto"/>
              <w:right w:val="nil"/>
            </w:tcBorders>
            <w:shd w:val="clear" w:color="auto" w:fill="auto"/>
            <w:noWrap/>
            <w:vAlign w:val="bottom"/>
          </w:tcPr>
          <w:p w:rsidR="00C925E9" w:rsidRPr="005F0F51" w:rsidRDefault="00C925E9" w:rsidP="00200C9F">
            <w:pPr>
              <w:pStyle w:val="Tabletext"/>
              <w:rPr>
                <w:b/>
                <w:bCs/>
              </w:rPr>
            </w:pPr>
            <w:r w:rsidRPr="005F0F51">
              <w:rPr>
                <w:b/>
                <w:bCs/>
              </w:rPr>
              <w:t>Total (N)</w:t>
            </w:r>
          </w:p>
        </w:tc>
        <w:tc>
          <w:tcPr>
            <w:tcW w:w="1418" w:type="dxa"/>
            <w:tcBorders>
              <w:left w:val="nil"/>
              <w:bottom w:val="single" w:sz="4" w:space="0" w:color="auto"/>
              <w:right w:val="nil"/>
            </w:tcBorders>
            <w:shd w:val="clear" w:color="auto" w:fill="auto"/>
            <w:noWrap/>
            <w:vAlign w:val="bottom"/>
          </w:tcPr>
          <w:p w:rsidR="00C925E9" w:rsidRPr="005F0F51" w:rsidRDefault="00C925E9" w:rsidP="00AF5A17">
            <w:pPr>
              <w:pStyle w:val="Tabletext"/>
              <w:tabs>
                <w:tab w:val="decimal" w:pos="720"/>
              </w:tabs>
              <w:jc w:val="right"/>
              <w:rPr>
                <w:b/>
                <w:bCs/>
              </w:rPr>
            </w:pPr>
            <w:r w:rsidRPr="005F0F51">
              <w:rPr>
                <w:b/>
                <w:bCs/>
              </w:rPr>
              <w:t>393</w:t>
            </w:r>
          </w:p>
        </w:tc>
        <w:tc>
          <w:tcPr>
            <w:tcW w:w="1418" w:type="dxa"/>
            <w:tcBorders>
              <w:left w:val="nil"/>
              <w:bottom w:val="single" w:sz="4" w:space="0" w:color="auto"/>
              <w:right w:val="nil"/>
            </w:tcBorders>
            <w:shd w:val="clear" w:color="auto" w:fill="auto"/>
            <w:noWrap/>
            <w:vAlign w:val="bottom"/>
          </w:tcPr>
          <w:p w:rsidR="00C925E9" w:rsidRPr="005F0F51" w:rsidRDefault="00C925E9" w:rsidP="00AF5A17">
            <w:pPr>
              <w:pStyle w:val="Tabletext"/>
              <w:tabs>
                <w:tab w:val="decimal" w:pos="720"/>
              </w:tabs>
              <w:jc w:val="right"/>
              <w:rPr>
                <w:b/>
                <w:bCs/>
              </w:rPr>
            </w:pPr>
            <w:r w:rsidRPr="005F0F51">
              <w:rPr>
                <w:b/>
                <w:bCs/>
              </w:rPr>
              <w:t>1720</w:t>
            </w:r>
          </w:p>
        </w:tc>
      </w:tr>
    </w:tbl>
    <w:p w:rsidR="00C925E9" w:rsidRDefault="00C925E9" w:rsidP="00200C9F">
      <w:pPr>
        <w:pStyle w:val="Heading2"/>
        <w:rPr>
          <w:lang w:val="en-US"/>
        </w:rPr>
      </w:pPr>
      <w:bookmarkStart w:id="81" w:name="_Toc323035623"/>
      <w:r>
        <w:rPr>
          <w:lang w:val="en-US"/>
        </w:rPr>
        <w:t>Predictive model of labour market outcomes</w:t>
      </w:r>
      <w:bookmarkEnd w:id="81"/>
    </w:p>
    <w:p w:rsidR="00C925E9" w:rsidRDefault="00C925E9" w:rsidP="00200C9F">
      <w:pPr>
        <w:pStyle w:val="Text"/>
        <w:rPr>
          <w:lang w:val="en-US"/>
        </w:rPr>
      </w:pPr>
      <w:r>
        <w:rPr>
          <w:lang w:val="en-US"/>
        </w:rPr>
        <w:t xml:space="preserve">Taking a gap year does influence the transition to full-time engagement. Non-gappers are more likely than gappers to be in full-time employment, but gappers are more likely to be continuing their studies. This is consistent with a delayed labour market transition. </w:t>
      </w:r>
    </w:p>
    <w:p w:rsidR="00C925E9" w:rsidRPr="00773971" w:rsidRDefault="00C925E9" w:rsidP="00200C9F">
      <w:pPr>
        <w:pStyle w:val="Heading3"/>
      </w:pPr>
      <w:r w:rsidRPr="00773971">
        <w:t xml:space="preserve">Model </w:t>
      </w:r>
      <w:r>
        <w:t>d</w:t>
      </w:r>
      <w:r w:rsidRPr="00773971">
        <w:t>escription</w:t>
      </w:r>
    </w:p>
    <w:p w:rsidR="00C925E9" w:rsidRDefault="00C925E9" w:rsidP="00200C9F">
      <w:pPr>
        <w:pStyle w:val="Text"/>
        <w:rPr>
          <w:lang w:val="en-US"/>
        </w:rPr>
      </w:pPr>
      <w:r>
        <w:rPr>
          <w:lang w:val="en-US"/>
        </w:rPr>
        <w:t>The Y98 cohort, at age 23 years in 2007, remains in transition and gappers are at an earlier stage than non-gappers in this transition. One-third of cohort members are studying on at least a part-time basis. In order to find factors that predict labour market transition, we have a choice between employment and engagement as criterion variables. Full-time engagement has the advantage as an indicator of success because it treats those who are continuing their studies as being on a successful transition trajectory. However, it is limited because study status variables cannot be used as predictors when study status contributes to engagement</w:t>
      </w:r>
      <w:r w:rsidR="008863D9">
        <w:rPr>
          <w:lang w:val="en-US"/>
        </w:rPr>
        <w:t xml:space="preserve"> </w:t>
      </w:r>
      <w:r>
        <w:rPr>
          <w:lang w:val="en-US"/>
        </w:rPr>
        <w:t>—</w:t>
      </w:r>
      <w:r w:rsidR="008863D9">
        <w:rPr>
          <w:lang w:val="en-US"/>
        </w:rPr>
        <w:t xml:space="preserve"> </w:t>
      </w:r>
      <w:r>
        <w:rPr>
          <w:lang w:val="en-US"/>
        </w:rPr>
        <w:t>the criterion. Full-time employment is a conventional indicator of success. If all individuals are included in the analysis, those who are studying full-time and have limited employment opportunities are considered to be unsuccessful. The solution adopted is to use employment as the criterion but to remove from the analysis those young people who are full-time students. This removes one-quarter of gappers and one-fifth of non-gappers from the analysis.</w:t>
      </w:r>
    </w:p>
    <w:p w:rsidR="00C925E9" w:rsidRDefault="00C925E9" w:rsidP="00200C9F">
      <w:pPr>
        <w:pStyle w:val="Text"/>
        <w:rPr>
          <w:lang w:val="en-US"/>
        </w:rPr>
      </w:pPr>
      <w:r>
        <w:rPr>
          <w:lang w:val="en-US"/>
        </w:rPr>
        <w:t>We use full-time employment as the mark of a successful transition. Alternatives are part-time employment and not being employed. The criterion variable thus has three potential levels (full-time, part-time and no employment). Very few individuals are not employed and a model that uses these three possible outcomes will not yield stable estimates. A dichotomous outcome, full-time employment or other, is used.</w:t>
      </w:r>
    </w:p>
    <w:p w:rsidR="00C925E9" w:rsidRDefault="00C925E9" w:rsidP="00200C9F">
      <w:pPr>
        <w:pStyle w:val="Text"/>
        <w:rPr>
          <w:lang w:val="en-US"/>
        </w:rPr>
      </w:pPr>
      <w:r>
        <w:rPr>
          <w:lang w:val="en-US"/>
        </w:rPr>
        <w:t>The initial model included gender, socioeconomic status, years of parental education, mathematics</w:t>
      </w:r>
      <w:r>
        <w:rPr>
          <w:rStyle w:val="FootnoteReference"/>
          <w:lang w:val="en-US"/>
        </w:rPr>
        <w:footnoteReference w:id="13"/>
      </w:r>
      <w:r>
        <w:rPr>
          <w:lang w:val="en-US"/>
        </w:rPr>
        <w:t xml:space="preserve"> achievement, tertiary entrance score and first university </w:t>
      </w:r>
      <w:r w:rsidRPr="001A6E58">
        <w:rPr>
          <w:lang w:val="en-US"/>
        </w:rPr>
        <w:t xml:space="preserve">course </w:t>
      </w:r>
      <w:r w:rsidRPr="00263E9A">
        <w:rPr>
          <w:lang w:val="en-US"/>
        </w:rPr>
        <w:t xml:space="preserve">status (completed, </w:t>
      </w:r>
      <w:r>
        <w:rPr>
          <w:lang w:val="en-US"/>
        </w:rPr>
        <w:t xml:space="preserve">still studying, failed, </w:t>
      </w:r>
      <w:r w:rsidRPr="00263E9A">
        <w:rPr>
          <w:lang w:val="en-US"/>
        </w:rPr>
        <w:t>withdrawn</w:t>
      </w:r>
      <w:r>
        <w:rPr>
          <w:lang w:val="en-US"/>
        </w:rPr>
        <w:t xml:space="preserve"> or changed</w:t>
      </w:r>
      <w:r w:rsidRPr="00263E9A">
        <w:rPr>
          <w:lang w:val="en-US"/>
        </w:rPr>
        <w:t>). V</w:t>
      </w:r>
      <w:r>
        <w:rPr>
          <w:lang w:val="en-US"/>
        </w:rPr>
        <w:t>ariables that were non-significant were removed one at a time as the model was refined. Gap status was excluded during model refinement so that it did not interact with other variables. On completion of the refinement, it was added to create a second sub-model (model B in table 21). Any interactions between it and other variables are indicated by changes in their parameters when it is added. Failed, withdrew or changed first course were grouped together because of low numbers in the model refinement, and course completion was used as the reference category.</w:t>
      </w:r>
    </w:p>
    <w:p w:rsidR="00C925E9" w:rsidRDefault="00C925E9" w:rsidP="00200C9F">
      <w:pPr>
        <w:pStyle w:val="tabletitle"/>
        <w:rPr>
          <w:lang w:val="en-US"/>
        </w:rPr>
      </w:pPr>
      <w:bookmarkStart w:id="82" w:name="_Toc322691624"/>
      <w:r>
        <w:rPr>
          <w:lang w:val="en-US"/>
        </w:rPr>
        <w:t>Table 21</w:t>
      </w:r>
      <w:r>
        <w:rPr>
          <w:lang w:val="en-US"/>
        </w:rPr>
        <w:tab/>
        <w:t>Factors influencing a successful labour market transition</w:t>
      </w:r>
      <w:bookmarkEnd w:id="82"/>
    </w:p>
    <w:tbl>
      <w:tblPr>
        <w:tblW w:w="8532" w:type="dxa"/>
        <w:tblInd w:w="93" w:type="dxa"/>
        <w:tblLayout w:type="fixed"/>
        <w:tblLook w:val="0000"/>
      </w:tblPr>
      <w:tblGrid>
        <w:gridCol w:w="1728"/>
        <w:gridCol w:w="1134"/>
        <w:gridCol w:w="1134"/>
        <w:gridCol w:w="1134"/>
        <w:gridCol w:w="1134"/>
        <w:gridCol w:w="1134"/>
        <w:gridCol w:w="1134"/>
      </w:tblGrid>
      <w:tr w:rsidR="00C925E9" w:rsidRPr="00821859">
        <w:trPr>
          <w:trHeight w:val="315"/>
        </w:trPr>
        <w:tc>
          <w:tcPr>
            <w:tcW w:w="1728" w:type="dxa"/>
            <w:tcBorders>
              <w:top w:val="single" w:sz="4" w:space="0" w:color="auto"/>
            </w:tcBorders>
            <w:shd w:val="clear" w:color="auto" w:fill="auto"/>
            <w:vAlign w:val="bottom"/>
          </w:tcPr>
          <w:p w:rsidR="00C925E9" w:rsidRPr="00821859" w:rsidRDefault="00AF5A17" w:rsidP="00AF5A17">
            <w:pPr>
              <w:pStyle w:val="Tablehead1"/>
            </w:pPr>
            <w:r>
              <w:t>Variables</w:t>
            </w:r>
          </w:p>
        </w:tc>
        <w:tc>
          <w:tcPr>
            <w:tcW w:w="3402" w:type="dxa"/>
            <w:gridSpan w:val="3"/>
            <w:tcBorders>
              <w:top w:val="single" w:sz="4" w:space="0" w:color="auto"/>
            </w:tcBorders>
            <w:vAlign w:val="bottom"/>
          </w:tcPr>
          <w:p w:rsidR="00C925E9" w:rsidRPr="00821859" w:rsidRDefault="00C925E9" w:rsidP="00200C9F">
            <w:pPr>
              <w:pStyle w:val="Tablehead1"/>
              <w:jc w:val="center"/>
            </w:pPr>
            <w:r>
              <w:t>Model A (without gap status)</w:t>
            </w:r>
          </w:p>
        </w:tc>
        <w:tc>
          <w:tcPr>
            <w:tcW w:w="3402" w:type="dxa"/>
            <w:gridSpan w:val="3"/>
            <w:tcBorders>
              <w:top w:val="single" w:sz="4" w:space="0" w:color="auto"/>
            </w:tcBorders>
            <w:shd w:val="clear" w:color="auto" w:fill="auto"/>
            <w:vAlign w:val="bottom"/>
          </w:tcPr>
          <w:p w:rsidR="00C925E9" w:rsidRPr="00821859" w:rsidRDefault="00C925E9" w:rsidP="00200C9F">
            <w:pPr>
              <w:pStyle w:val="Tablehead1"/>
              <w:jc w:val="center"/>
            </w:pPr>
            <w:r>
              <w:t>Model B (with gap status)</w:t>
            </w:r>
          </w:p>
        </w:tc>
      </w:tr>
      <w:tr w:rsidR="00C925E9" w:rsidRPr="00821859">
        <w:trPr>
          <w:trHeight w:val="315"/>
        </w:trPr>
        <w:tc>
          <w:tcPr>
            <w:tcW w:w="1728" w:type="dxa"/>
            <w:tcBorders>
              <w:bottom w:val="single" w:sz="4" w:space="0" w:color="auto"/>
            </w:tcBorders>
            <w:shd w:val="clear" w:color="auto" w:fill="auto"/>
            <w:vAlign w:val="bottom"/>
          </w:tcPr>
          <w:p w:rsidR="00C925E9" w:rsidRPr="00821859" w:rsidRDefault="00C925E9" w:rsidP="00200C9F">
            <w:pPr>
              <w:pStyle w:val="Tablehead2"/>
            </w:pPr>
          </w:p>
        </w:tc>
        <w:tc>
          <w:tcPr>
            <w:tcW w:w="1134" w:type="dxa"/>
            <w:tcBorders>
              <w:bottom w:val="single" w:sz="4" w:space="0" w:color="auto"/>
            </w:tcBorders>
            <w:vAlign w:val="bottom"/>
          </w:tcPr>
          <w:p w:rsidR="00C925E9" w:rsidRPr="00821859" w:rsidRDefault="00C925E9" w:rsidP="00AF5A17">
            <w:pPr>
              <w:pStyle w:val="Tablehead2"/>
              <w:jc w:val="right"/>
            </w:pPr>
            <w:r>
              <w:t>Regression parameter</w:t>
            </w:r>
          </w:p>
        </w:tc>
        <w:tc>
          <w:tcPr>
            <w:tcW w:w="1134" w:type="dxa"/>
            <w:tcBorders>
              <w:bottom w:val="single" w:sz="4" w:space="0" w:color="auto"/>
            </w:tcBorders>
            <w:vAlign w:val="bottom"/>
          </w:tcPr>
          <w:p w:rsidR="00C925E9" w:rsidRPr="00821859" w:rsidRDefault="00C925E9" w:rsidP="00AF5A17">
            <w:pPr>
              <w:pStyle w:val="Tablehead2"/>
              <w:jc w:val="right"/>
            </w:pPr>
            <w:r>
              <w:t>Odds ratio</w:t>
            </w:r>
          </w:p>
        </w:tc>
        <w:tc>
          <w:tcPr>
            <w:tcW w:w="1134" w:type="dxa"/>
            <w:tcBorders>
              <w:bottom w:val="single" w:sz="4" w:space="0" w:color="auto"/>
            </w:tcBorders>
            <w:vAlign w:val="bottom"/>
          </w:tcPr>
          <w:p w:rsidR="00C925E9" w:rsidRPr="00821859" w:rsidRDefault="00C925E9" w:rsidP="00AF5A17">
            <w:pPr>
              <w:pStyle w:val="Tablehead2"/>
              <w:jc w:val="right"/>
            </w:pPr>
            <w:r>
              <w:t>Significance (p)</w:t>
            </w:r>
          </w:p>
        </w:tc>
        <w:tc>
          <w:tcPr>
            <w:tcW w:w="1134" w:type="dxa"/>
            <w:tcBorders>
              <w:bottom w:val="single" w:sz="4" w:space="0" w:color="auto"/>
            </w:tcBorders>
            <w:shd w:val="clear" w:color="auto" w:fill="auto"/>
            <w:vAlign w:val="bottom"/>
          </w:tcPr>
          <w:p w:rsidR="00C925E9" w:rsidRPr="00821859" w:rsidRDefault="00C925E9" w:rsidP="00AF5A17">
            <w:pPr>
              <w:pStyle w:val="Tablehead2"/>
              <w:jc w:val="right"/>
            </w:pPr>
            <w:r>
              <w:t>Regression parameter</w:t>
            </w:r>
          </w:p>
        </w:tc>
        <w:tc>
          <w:tcPr>
            <w:tcW w:w="1134" w:type="dxa"/>
            <w:tcBorders>
              <w:bottom w:val="single" w:sz="4" w:space="0" w:color="auto"/>
            </w:tcBorders>
            <w:shd w:val="clear" w:color="auto" w:fill="auto"/>
            <w:vAlign w:val="bottom"/>
          </w:tcPr>
          <w:p w:rsidR="00C925E9" w:rsidRPr="00821859" w:rsidRDefault="00C925E9" w:rsidP="00AF5A17">
            <w:pPr>
              <w:pStyle w:val="Tablehead2"/>
              <w:jc w:val="right"/>
            </w:pPr>
            <w:r>
              <w:t>Odds ratio</w:t>
            </w:r>
          </w:p>
        </w:tc>
        <w:tc>
          <w:tcPr>
            <w:tcW w:w="1134" w:type="dxa"/>
            <w:tcBorders>
              <w:bottom w:val="single" w:sz="4" w:space="0" w:color="auto"/>
            </w:tcBorders>
            <w:shd w:val="clear" w:color="auto" w:fill="auto"/>
            <w:vAlign w:val="bottom"/>
          </w:tcPr>
          <w:p w:rsidR="00C925E9" w:rsidRPr="00821859" w:rsidRDefault="00C925E9" w:rsidP="00AF5A17">
            <w:pPr>
              <w:pStyle w:val="Tablehead2"/>
              <w:jc w:val="right"/>
            </w:pPr>
            <w:r>
              <w:t>Significance (p)</w:t>
            </w:r>
          </w:p>
        </w:tc>
      </w:tr>
      <w:tr w:rsidR="00C925E9" w:rsidRPr="00821859">
        <w:trPr>
          <w:trHeight w:val="315"/>
        </w:trPr>
        <w:tc>
          <w:tcPr>
            <w:tcW w:w="1728" w:type="dxa"/>
            <w:tcBorders>
              <w:top w:val="single" w:sz="4" w:space="0" w:color="auto"/>
            </w:tcBorders>
            <w:shd w:val="clear" w:color="auto" w:fill="auto"/>
            <w:vAlign w:val="bottom"/>
          </w:tcPr>
          <w:p w:rsidR="00C925E9" w:rsidRPr="00263E9A" w:rsidRDefault="00C925E9" w:rsidP="00200C9F">
            <w:pPr>
              <w:pStyle w:val="Tabletext"/>
            </w:pPr>
            <w:r w:rsidRPr="00263E9A">
              <w:t>Satisfaction with school</w:t>
            </w:r>
          </w:p>
        </w:tc>
        <w:tc>
          <w:tcPr>
            <w:tcW w:w="1134" w:type="dxa"/>
            <w:tcBorders>
              <w:top w:val="single" w:sz="4" w:space="0" w:color="auto"/>
            </w:tcBorders>
            <w:vAlign w:val="bottom"/>
          </w:tcPr>
          <w:p w:rsidR="00C925E9" w:rsidRPr="00821859" w:rsidRDefault="00C925E9" w:rsidP="00AF5A17">
            <w:pPr>
              <w:pStyle w:val="Tabletext"/>
              <w:tabs>
                <w:tab w:val="decimal" w:pos="340"/>
              </w:tabs>
              <w:jc w:val="right"/>
            </w:pPr>
            <w:r>
              <w:t>0.017</w:t>
            </w:r>
          </w:p>
        </w:tc>
        <w:tc>
          <w:tcPr>
            <w:tcW w:w="1134" w:type="dxa"/>
            <w:tcBorders>
              <w:top w:val="single" w:sz="4" w:space="0" w:color="auto"/>
            </w:tcBorders>
            <w:vAlign w:val="bottom"/>
          </w:tcPr>
          <w:p w:rsidR="00C925E9" w:rsidRPr="00821859" w:rsidRDefault="00C925E9" w:rsidP="00AF5A17">
            <w:pPr>
              <w:pStyle w:val="Tabletext"/>
              <w:tabs>
                <w:tab w:val="decimal" w:pos="340"/>
              </w:tabs>
              <w:jc w:val="right"/>
            </w:pPr>
            <w:r>
              <w:t>1.017</w:t>
            </w:r>
          </w:p>
        </w:tc>
        <w:tc>
          <w:tcPr>
            <w:tcW w:w="1134" w:type="dxa"/>
            <w:tcBorders>
              <w:top w:val="single" w:sz="4" w:space="0" w:color="auto"/>
            </w:tcBorders>
            <w:vAlign w:val="bottom"/>
          </w:tcPr>
          <w:p w:rsidR="00C925E9" w:rsidRPr="00821859" w:rsidRDefault="00C925E9" w:rsidP="00AF5A17">
            <w:pPr>
              <w:pStyle w:val="Tabletext"/>
              <w:tabs>
                <w:tab w:val="decimal" w:pos="340"/>
              </w:tabs>
              <w:jc w:val="right"/>
            </w:pPr>
            <w:r>
              <w:t>0.015</w:t>
            </w:r>
          </w:p>
        </w:tc>
        <w:tc>
          <w:tcPr>
            <w:tcW w:w="1134" w:type="dxa"/>
            <w:tcBorders>
              <w:top w:val="single" w:sz="4" w:space="0" w:color="auto"/>
            </w:tcBorders>
            <w:shd w:val="clear" w:color="auto" w:fill="auto"/>
            <w:noWrap/>
            <w:vAlign w:val="bottom"/>
          </w:tcPr>
          <w:p w:rsidR="00C925E9" w:rsidRPr="00821859" w:rsidRDefault="00C925E9" w:rsidP="00AF5A17">
            <w:pPr>
              <w:pStyle w:val="Tabletext"/>
              <w:tabs>
                <w:tab w:val="decimal" w:pos="340"/>
              </w:tabs>
              <w:jc w:val="right"/>
            </w:pPr>
            <w:r>
              <w:t>0.015</w:t>
            </w:r>
          </w:p>
        </w:tc>
        <w:tc>
          <w:tcPr>
            <w:tcW w:w="1134" w:type="dxa"/>
            <w:tcBorders>
              <w:top w:val="single" w:sz="4" w:space="0" w:color="auto"/>
            </w:tcBorders>
            <w:shd w:val="clear" w:color="auto" w:fill="auto"/>
            <w:vAlign w:val="bottom"/>
          </w:tcPr>
          <w:p w:rsidR="00C925E9" w:rsidRPr="00821859" w:rsidRDefault="00C925E9" w:rsidP="00AF5A17">
            <w:pPr>
              <w:pStyle w:val="Tabletext"/>
              <w:tabs>
                <w:tab w:val="decimal" w:pos="340"/>
              </w:tabs>
              <w:jc w:val="right"/>
            </w:pPr>
            <w:r>
              <w:t>1.015</w:t>
            </w:r>
          </w:p>
        </w:tc>
        <w:tc>
          <w:tcPr>
            <w:tcW w:w="1134" w:type="dxa"/>
            <w:tcBorders>
              <w:top w:val="single" w:sz="4" w:space="0" w:color="auto"/>
            </w:tcBorders>
            <w:shd w:val="clear" w:color="auto" w:fill="auto"/>
            <w:vAlign w:val="bottom"/>
          </w:tcPr>
          <w:p w:rsidR="00C925E9" w:rsidRPr="00821859" w:rsidRDefault="00C925E9" w:rsidP="00AF5A17">
            <w:pPr>
              <w:pStyle w:val="Tabletext"/>
              <w:tabs>
                <w:tab w:val="decimal" w:pos="340"/>
              </w:tabs>
              <w:jc w:val="right"/>
            </w:pPr>
            <w:r>
              <w:t>0.023</w:t>
            </w:r>
          </w:p>
        </w:tc>
      </w:tr>
      <w:tr w:rsidR="00C925E9" w:rsidRPr="00821859">
        <w:trPr>
          <w:trHeight w:val="330"/>
        </w:trPr>
        <w:tc>
          <w:tcPr>
            <w:tcW w:w="1728" w:type="dxa"/>
            <w:shd w:val="clear" w:color="auto" w:fill="auto"/>
            <w:vAlign w:val="bottom"/>
          </w:tcPr>
          <w:p w:rsidR="00C925E9" w:rsidRPr="00263E9A" w:rsidRDefault="00C925E9" w:rsidP="00200C9F">
            <w:pPr>
              <w:pStyle w:val="Tabletext"/>
            </w:pPr>
            <w:r>
              <w:t>Still studying</w:t>
            </w:r>
            <w:r w:rsidRPr="00263E9A">
              <w:t xml:space="preserve"> first university course </w:t>
            </w:r>
          </w:p>
        </w:tc>
        <w:tc>
          <w:tcPr>
            <w:tcW w:w="1134" w:type="dxa"/>
            <w:vAlign w:val="bottom"/>
          </w:tcPr>
          <w:p w:rsidR="00C925E9" w:rsidRDefault="00C925E9" w:rsidP="00AF5A17">
            <w:pPr>
              <w:pStyle w:val="Tabletext"/>
              <w:tabs>
                <w:tab w:val="decimal" w:pos="340"/>
              </w:tabs>
              <w:jc w:val="right"/>
            </w:pPr>
            <w:r>
              <w:t>-1.525</w:t>
            </w:r>
          </w:p>
        </w:tc>
        <w:tc>
          <w:tcPr>
            <w:tcW w:w="1134" w:type="dxa"/>
            <w:vAlign w:val="bottom"/>
          </w:tcPr>
          <w:p w:rsidR="00C925E9" w:rsidRDefault="00C925E9" w:rsidP="00AF5A17">
            <w:pPr>
              <w:pStyle w:val="Tabletext"/>
              <w:tabs>
                <w:tab w:val="decimal" w:pos="340"/>
              </w:tabs>
              <w:jc w:val="right"/>
            </w:pPr>
            <w:r>
              <w:t>0.218</w:t>
            </w:r>
          </w:p>
        </w:tc>
        <w:tc>
          <w:tcPr>
            <w:tcW w:w="1134" w:type="dxa"/>
            <w:vAlign w:val="bottom"/>
          </w:tcPr>
          <w:p w:rsidR="00C925E9" w:rsidRDefault="00C925E9" w:rsidP="00AF5A17">
            <w:pPr>
              <w:pStyle w:val="Tabletext"/>
              <w:tabs>
                <w:tab w:val="decimal" w:pos="340"/>
              </w:tabs>
              <w:jc w:val="right"/>
            </w:pPr>
            <w:r>
              <w:t>&lt;0.001</w:t>
            </w:r>
          </w:p>
        </w:tc>
        <w:tc>
          <w:tcPr>
            <w:tcW w:w="1134" w:type="dxa"/>
            <w:shd w:val="clear" w:color="auto" w:fill="auto"/>
            <w:vAlign w:val="bottom"/>
          </w:tcPr>
          <w:p w:rsidR="00C925E9" w:rsidRDefault="00C925E9" w:rsidP="00AF5A17">
            <w:pPr>
              <w:pStyle w:val="Tabletext"/>
              <w:tabs>
                <w:tab w:val="decimal" w:pos="340"/>
              </w:tabs>
              <w:jc w:val="right"/>
            </w:pPr>
            <w:r>
              <w:t>-1.395</w:t>
            </w:r>
          </w:p>
        </w:tc>
        <w:tc>
          <w:tcPr>
            <w:tcW w:w="1134" w:type="dxa"/>
            <w:shd w:val="clear" w:color="auto" w:fill="auto"/>
            <w:vAlign w:val="bottom"/>
          </w:tcPr>
          <w:p w:rsidR="00C925E9" w:rsidRDefault="00C925E9" w:rsidP="00AF5A17">
            <w:pPr>
              <w:pStyle w:val="Tabletext"/>
              <w:tabs>
                <w:tab w:val="decimal" w:pos="340"/>
              </w:tabs>
              <w:jc w:val="right"/>
            </w:pPr>
            <w:r>
              <w:t>0.248</w:t>
            </w:r>
          </w:p>
        </w:tc>
        <w:tc>
          <w:tcPr>
            <w:tcW w:w="1134" w:type="dxa"/>
            <w:shd w:val="clear" w:color="auto" w:fill="auto"/>
            <w:vAlign w:val="bottom"/>
          </w:tcPr>
          <w:p w:rsidR="00C925E9" w:rsidRDefault="00C925E9" w:rsidP="00AF5A17">
            <w:pPr>
              <w:pStyle w:val="Tabletext"/>
              <w:tabs>
                <w:tab w:val="decimal" w:pos="340"/>
              </w:tabs>
              <w:jc w:val="right"/>
            </w:pPr>
            <w:r>
              <w:t>&lt;0.001</w:t>
            </w:r>
          </w:p>
        </w:tc>
      </w:tr>
      <w:tr w:rsidR="00C925E9" w:rsidRPr="00821859">
        <w:trPr>
          <w:trHeight w:val="330"/>
        </w:trPr>
        <w:tc>
          <w:tcPr>
            <w:tcW w:w="1728" w:type="dxa"/>
            <w:shd w:val="clear" w:color="auto" w:fill="auto"/>
            <w:vAlign w:val="bottom"/>
          </w:tcPr>
          <w:p w:rsidR="00C925E9" w:rsidRPr="00263E9A" w:rsidRDefault="00C925E9" w:rsidP="00200C9F">
            <w:pPr>
              <w:pStyle w:val="Tabletext"/>
            </w:pPr>
            <w:r w:rsidRPr="00263E9A">
              <w:t>Failed</w:t>
            </w:r>
            <w:r>
              <w:t xml:space="preserve">, withdrew </w:t>
            </w:r>
            <w:r w:rsidRPr="00263E9A">
              <w:t>or changed first</w:t>
            </w:r>
            <w:r>
              <w:t xml:space="preserve"> university</w:t>
            </w:r>
            <w:r w:rsidRPr="00263E9A">
              <w:t xml:space="preserve"> course</w:t>
            </w:r>
          </w:p>
        </w:tc>
        <w:tc>
          <w:tcPr>
            <w:tcW w:w="1134" w:type="dxa"/>
            <w:vAlign w:val="bottom"/>
          </w:tcPr>
          <w:p w:rsidR="00C925E9" w:rsidRPr="00821859" w:rsidRDefault="00C925E9" w:rsidP="00AF5A17">
            <w:pPr>
              <w:pStyle w:val="Tabletext"/>
              <w:tabs>
                <w:tab w:val="decimal" w:pos="340"/>
              </w:tabs>
              <w:jc w:val="right"/>
            </w:pPr>
            <w:r>
              <w:t>-0.409</w:t>
            </w:r>
          </w:p>
        </w:tc>
        <w:tc>
          <w:tcPr>
            <w:tcW w:w="1134" w:type="dxa"/>
            <w:vAlign w:val="bottom"/>
          </w:tcPr>
          <w:p w:rsidR="00C925E9" w:rsidRPr="00821859" w:rsidRDefault="00C925E9" w:rsidP="00AF5A17">
            <w:pPr>
              <w:pStyle w:val="Tabletext"/>
              <w:tabs>
                <w:tab w:val="decimal" w:pos="340"/>
              </w:tabs>
              <w:jc w:val="right"/>
            </w:pPr>
            <w:r>
              <w:t>0.664</w:t>
            </w:r>
          </w:p>
        </w:tc>
        <w:tc>
          <w:tcPr>
            <w:tcW w:w="1134" w:type="dxa"/>
            <w:vAlign w:val="bottom"/>
          </w:tcPr>
          <w:p w:rsidR="00C925E9" w:rsidRPr="00821859" w:rsidRDefault="00C925E9" w:rsidP="00AF5A17">
            <w:pPr>
              <w:pStyle w:val="Tabletext"/>
              <w:tabs>
                <w:tab w:val="decimal" w:pos="340"/>
              </w:tabs>
              <w:jc w:val="right"/>
            </w:pPr>
            <w:r>
              <w:t>0.048</w:t>
            </w:r>
          </w:p>
        </w:tc>
        <w:tc>
          <w:tcPr>
            <w:tcW w:w="1134" w:type="dxa"/>
            <w:shd w:val="clear" w:color="auto" w:fill="auto"/>
            <w:vAlign w:val="bottom"/>
          </w:tcPr>
          <w:p w:rsidR="00C925E9" w:rsidRPr="00821859" w:rsidRDefault="00C925E9" w:rsidP="00AF5A17">
            <w:pPr>
              <w:pStyle w:val="Tabletext"/>
              <w:tabs>
                <w:tab w:val="decimal" w:pos="340"/>
              </w:tabs>
              <w:jc w:val="right"/>
            </w:pPr>
            <w:r>
              <w:t>-0.491</w:t>
            </w:r>
          </w:p>
        </w:tc>
        <w:tc>
          <w:tcPr>
            <w:tcW w:w="1134" w:type="dxa"/>
            <w:shd w:val="clear" w:color="auto" w:fill="auto"/>
            <w:vAlign w:val="bottom"/>
          </w:tcPr>
          <w:p w:rsidR="00C925E9" w:rsidRPr="00821859" w:rsidRDefault="00C925E9" w:rsidP="00AF5A17">
            <w:pPr>
              <w:pStyle w:val="Tabletext"/>
              <w:tabs>
                <w:tab w:val="decimal" w:pos="340"/>
              </w:tabs>
              <w:jc w:val="right"/>
            </w:pPr>
            <w:r>
              <w:t>0.612</w:t>
            </w:r>
          </w:p>
        </w:tc>
        <w:tc>
          <w:tcPr>
            <w:tcW w:w="1134" w:type="dxa"/>
            <w:shd w:val="clear" w:color="auto" w:fill="auto"/>
            <w:vAlign w:val="bottom"/>
          </w:tcPr>
          <w:p w:rsidR="00C925E9" w:rsidRPr="00821859" w:rsidRDefault="00C925E9" w:rsidP="00AF5A17">
            <w:pPr>
              <w:pStyle w:val="Tabletext"/>
              <w:tabs>
                <w:tab w:val="decimal" w:pos="340"/>
              </w:tabs>
              <w:jc w:val="right"/>
            </w:pPr>
            <w:r>
              <w:t>0.012</w:t>
            </w:r>
          </w:p>
        </w:tc>
      </w:tr>
      <w:tr w:rsidR="00C925E9" w:rsidRPr="00821859">
        <w:trPr>
          <w:trHeight w:val="330"/>
        </w:trPr>
        <w:tc>
          <w:tcPr>
            <w:tcW w:w="1728" w:type="dxa"/>
            <w:shd w:val="clear" w:color="auto" w:fill="auto"/>
            <w:vAlign w:val="bottom"/>
          </w:tcPr>
          <w:p w:rsidR="00C925E9" w:rsidRPr="00263E9A" w:rsidRDefault="00C925E9" w:rsidP="00200C9F">
            <w:pPr>
              <w:pStyle w:val="Tabletext"/>
            </w:pPr>
            <w:r w:rsidRPr="00263E9A">
              <w:t xml:space="preserve">Gapper </w:t>
            </w:r>
          </w:p>
        </w:tc>
        <w:tc>
          <w:tcPr>
            <w:tcW w:w="1134" w:type="dxa"/>
            <w:vAlign w:val="bottom"/>
          </w:tcPr>
          <w:p w:rsidR="00C925E9" w:rsidRPr="00821859" w:rsidRDefault="00C925E9" w:rsidP="00AF5A17">
            <w:pPr>
              <w:pStyle w:val="Tabletext"/>
              <w:tabs>
                <w:tab w:val="decimal" w:pos="340"/>
              </w:tabs>
              <w:jc w:val="right"/>
            </w:pPr>
            <w:r>
              <w:t>-</w:t>
            </w:r>
          </w:p>
        </w:tc>
        <w:tc>
          <w:tcPr>
            <w:tcW w:w="1134" w:type="dxa"/>
            <w:vAlign w:val="bottom"/>
          </w:tcPr>
          <w:p w:rsidR="00C925E9" w:rsidRPr="00821859" w:rsidRDefault="00C925E9" w:rsidP="00AF5A17">
            <w:pPr>
              <w:pStyle w:val="Tabletext"/>
              <w:tabs>
                <w:tab w:val="decimal" w:pos="340"/>
              </w:tabs>
              <w:jc w:val="right"/>
            </w:pPr>
            <w:r>
              <w:t>-</w:t>
            </w:r>
          </w:p>
        </w:tc>
        <w:tc>
          <w:tcPr>
            <w:tcW w:w="1134" w:type="dxa"/>
            <w:vAlign w:val="bottom"/>
          </w:tcPr>
          <w:p w:rsidR="00C925E9" w:rsidRPr="00821859" w:rsidRDefault="00C925E9" w:rsidP="00AF5A17">
            <w:pPr>
              <w:pStyle w:val="Tabletext"/>
              <w:tabs>
                <w:tab w:val="decimal" w:pos="340"/>
              </w:tabs>
              <w:jc w:val="right"/>
            </w:pPr>
            <w:r>
              <w:t>-</w:t>
            </w:r>
          </w:p>
        </w:tc>
        <w:tc>
          <w:tcPr>
            <w:tcW w:w="1134" w:type="dxa"/>
            <w:shd w:val="clear" w:color="auto" w:fill="auto"/>
            <w:vAlign w:val="bottom"/>
          </w:tcPr>
          <w:p w:rsidR="00C925E9" w:rsidRPr="00821859" w:rsidRDefault="00C925E9" w:rsidP="00AF5A17">
            <w:pPr>
              <w:pStyle w:val="Tabletext"/>
              <w:tabs>
                <w:tab w:val="decimal" w:pos="340"/>
              </w:tabs>
              <w:jc w:val="right"/>
            </w:pPr>
            <w:r>
              <w:t>-0.592</w:t>
            </w:r>
          </w:p>
        </w:tc>
        <w:tc>
          <w:tcPr>
            <w:tcW w:w="1134" w:type="dxa"/>
            <w:shd w:val="clear" w:color="auto" w:fill="auto"/>
            <w:vAlign w:val="bottom"/>
          </w:tcPr>
          <w:p w:rsidR="00C925E9" w:rsidRPr="00821859" w:rsidRDefault="00C925E9" w:rsidP="00AF5A17">
            <w:pPr>
              <w:pStyle w:val="Tabletext"/>
              <w:tabs>
                <w:tab w:val="decimal" w:pos="340"/>
              </w:tabs>
              <w:jc w:val="right"/>
            </w:pPr>
            <w:r>
              <w:t>0.553</w:t>
            </w:r>
          </w:p>
        </w:tc>
        <w:tc>
          <w:tcPr>
            <w:tcW w:w="1134" w:type="dxa"/>
            <w:shd w:val="clear" w:color="auto" w:fill="auto"/>
            <w:vAlign w:val="bottom"/>
          </w:tcPr>
          <w:p w:rsidR="00C925E9" w:rsidRPr="00821859" w:rsidRDefault="00C925E9" w:rsidP="00AF5A17">
            <w:pPr>
              <w:pStyle w:val="Tabletext"/>
              <w:tabs>
                <w:tab w:val="decimal" w:pos="340"/>
              </w:tabs>
              <w:jc w:val="right"/>
            </w:pPr>
            <w:r>
              <w:t>&lt;0.001</w:t>
            </w:r>
          </w:p>
        </w:tc>
      </w:tr>
      <w:tr w:rsidR="00C925E9" w:rsidRPr="00821859">
        <w:trPr>
          <w:trHeight w:val="330"/>
        </w:trPr>
        <w:tc>
          <w:tcPr>
            <w:tcW w:w="1728" w:type="dxa"/>
            <w:tcBorders>
              <w:bottom w:val="single" w:sz="4" w:space="0" w:color="auto"/>
            </w:tcBorders>
            <w:shd w:val="clear" w:color="auto" w:fill="auto"/>
            <w:vAlign w:val="bottom"/>
          </w:tcPr>
          <w:p w:rsidR="00C925E9" w:rsidRPr="00821859" w:rsidRDefault="00C925E9" w:rsidP="00200C9F">
            <w:pPr>
              <w:pStyle w:val="Tabletext"/>
            </w:pPr>
            <w:r w:rsidRPr="00821859">
              <w:t>Intercep</w:t>
            </w:r>
            <w:r>
              <w:t>t</w:t>
            </w:r>
          </w:p>
        </w:tc>
        <w:tc>
          <w:tcPr>
            <w:tcW w:w="1134" w:type="dxa"/>
            <w:tcBorders>
              <w:bottom w:val="single" w:sz="4" w:space="0" w:color="auto"/>
            </w:tcBorders>
            <w:vAlign w:val="bottom"/>
          </w:tcPr>
          <w:p w:rsidR="00C925E9" w:rsidRPr="00821859" w:rsidRDefault="00C925E9" w:rsidP="00AF5A17">
            <w:pPr>
              <w:pStyle w:val="Tabletext"/>
              <w:tabs>
                <w:tab w:val="decimal" w:pos="340"/>
              </w:tabs>
              <w:jc w:val="right"/>
            </w:pPr>
            <w:r>
              <w:t>2.211</w:t>
            </w:r>
          </w:p>
        </w:tc>
        <w:tc>
          <w:tcPr>
            <w:tcW w:w="1134" w:type="dxa"/>
            <w:tcBorders>
              <w:bottom w:val="single" w:sz="4" w:space="0" w:color="auto"/>
            </w:tcBorders>
            <w:vAlign w:val="bottom"/>
          </w:tcPr>
          <w:p w:rsidR="00C925E9" w:rsidRPr="00821859" w:rsidRDefault="00C925E9" w:rsidP="00AF5A17">
            <w:pPr>
              <w:pStyle w:val="Tabletext"/>
              <w:tabs>
                <w:tab w:val="decimal" w:pos="340"/>
              </w:tabs>
              <w:jc w:val="right"/>
            </w:pPr>
          </w:p>
        </w:tc>
        <w:tc>
          <w:tcPr>
            <w:tcW w:w="1134" w:type="dxa"/>
            <w:tcBorders>
              <w:bottom w:val="single" w:sz="4" w:space="0" w:color="auto"/>
            </w:tcBorders>
            <w:vAlign w:val="bottom"/>
          </w:tcPr>
          <w:p w:rsidR="00C925E9" w:rsidRPr="00821859" w:rsidRDefault="00C925E9" w:rsidP="00AF5A17">
            <w:pPr>
              <w:pStyle w:val="Tabletext"/>
              <w:tabs>
                <w:tab w:val="decimal" w:pos="340"/>
              </w:tabs>
              <w:jc w:val="right"/>
            </w:pPr>
            <w:r>
              <w:t>&lt;0.001</w:t>
            </w:r>
          </w:p>
        </w:tc>
        <w:tc>
          <w:tcPr>
            <w:tcW w:w="1134" w:type="dxa"/>
            <w:tcBorders>
              <w:bottom w:val="single" w:sz="4" w:space="0" w:color="auto"/>
            </w:tcBorders>
            <w:shd w:val="clear" w:color="auto" w:fill="auto"/>
            <w:vAlign w:val="bottom"/>
          </w:tcPr>
          <w:p w:rsidR="00C925E9" w:rsidRPr="00821859" w:rsidRDefault="00C925E9" w:rsidP="00AF5A17">
            <w:pPr>
              <w:pStyle w:val="Tabletext"/>
              <w:tabs>
                <w:tab w:val="decimal" w:pos="340"/>
              </w:tabs>
              <w:jc w:val="right"/>
            </w:pPr>
            <w:r>
              <w:t>2.211</w:t>
            </w:r>
          </w:p>
        </w:tc>
        <w:tc>
          <w:tcPr>
            <w:tcW w:w="1134" w:type="dxa"/>
            <w:tcBorders>
              <w:bottom w:val="single" w:sz="4" w:space="0" w:color="auto"/>
            </w:tcBorders>
            <w:shd w:val="clear" w:color="auto" w:fill="auto"/>
            <w:vAlign w:val="bottom"/>
          </w:tcPr>
          <w:p w:rsidR="00C925E9" w:rsidRPr="00821859" w:rsidRDefault="00C925E9" w:rsidP="00AF5A17">
            <w:pPr>
              <w:pStyle w:val="Tabletext"/>
              <w:tabs>
                <w:tab w:val="decimal" w:pos="340"/>
              </w:tabs>
              <w:jc w:val="right"/>
            </w:pPr>
          </w:p>
        </w:tc>
        <w:tc>
          <w:tcPr>
            <w:tcW w:w="1134" w:type="dxa"/>
            <w:tcBorders>
              <w:bottom w:val="single" w:sz="4" w:space="0" w:color="auto"/>
            </w:tcBorders>
            <w:shd w:val="clear" w:color="auto" w:fill="auto"/>
            <w:vAlign w:val="bottom"/>
          </w:tcPr>
          <w:p w:rsidR="00C925E9" w:rsidRPr="00821859" w:rsidRDefault="00C925E9" w:rsidP="00AF5A17">
            <w:pPr>
              <w:pStyle w:val="Tabletext"/>
              <w:tabs>
                <w:tab w:val="decimal" w:pos="340"/>
              </w:tabs>
              <w:jc w:val="right"/>
            </w:pPr>
            <w:r>
              <w:t>&lt;0.001</w:t>
            </w:r>
          </w:p>
        </w:tc>
      </w:tr>
    </w:tbl>
    <w:p w:rsidR="00C925E9" w:rsidRDefault="00C925E9" w:rsidP="00534339">
      <w:pPr>
        <w:pStyle w:val="Text"/>
        <w:spacing w:before="300"/>
        <w:ind w:right="0"/>
      </w:pPr>
      <w:r w:rsidRPr="0084290B">
        <w:rPr>
          <w:lang w:val="en-US"/>
        </w:rPr>
        <w:t>The model has low predictive power (model B has an R</w:t>
      </w:r>
      <w:r w:rsidRPr="0084290B">
        <w:rPr>
          <w:vertAlign w:val="superscript"/>
          <w:lang w:val="en-US"/>
        </w:rPr>
        <w:t>2</w:t>
      </w:r>
      <w:r w:rsidRPr="0084290B">
        <w:rPr>
          <w:lang w:val="en-US"/>
        </w:rPr>
        <w:t xml:space="preserve"> value of 0</w:t>
      </w:r>
      <w:r>
        <w:rPr>
          <w:lang w:val="en-US"/>
        </w:rPr>
        <w:t>.</w:t>
      </w:r>
      <w:r w:rsidRPr="0084290B">
        <w:rPr>
          <w:lang w:val="en-US"/>
        </w:rPr>
        <w:t>0</w:t>
      </w:r>
      <w:r>
        <w:rPr>
          <w:lang w:val="en-US"/>
        </w:rPr>
        <w:t>7</w:t>
      </w:r>
      <w:r w:rsidRPr="0084290B">
        <w:rPr>
          <w:lang w:val="en-US"/>
        </w:rPr>
        <w:t>). The intercept term is positive</w:t>
      </w:r>
      <w:r>
        <w:rPr>
          <w:lang w:val="en-US"/>
        </w:rPr>
        <w:t xml:space="preserve"> and quite large compared with the regression parameters of significant variables, indicating that most Y98 participants do make successful transitions. Clearly, some factors that contribute to this success are not captured in this model. The table of bivariate correlations (shown in appendix 2) provides us with information that assists in interpreting the model results. </w:t>
      </w:r>
      <w:r>
        <w:t>The relationship between gender (male) and father’s occupation-based socioeconomic status and mother’s years of education (r = 0.08 and 0.07 respectively) may suggest some bias in those young men who do go to university. We know that young males whose fathers are in trades and labouring occupations are more likely than others to enter trades and are therefore under-represented in university commencers (Curtis 2008).</w:t>
      </w:r>
    </w:p>
    <w:p w:rsidR="00C925E9" w:rsidRDefault="00C925E9" w:rsidP="00200C9F">
      <w:pPr>
        <w:pStyle w:val="Text"/>
      </w:pPr>
      <w:r>
        <w:t>The positive correlations among reading and mathematics achievement scores, quality of school life and tertiary entrance score are as expected. These variables are all negatively correlated with gap-taking. Of this set of variables, only satisfaction with school (for which quality of school life is a proxy) was retained in the model of labour market success (see table 21).</w:t>
      </w:r>
    </w:p>
    <w:p w:rsidR="00C925E9" w:rsidRPr="00773971" w:rsidRDefault="00C925E9" w:rsidP="00200C9F">
      <w:pPr>
        <w:pStyle w:val="Heading3"/>
      </w:pPr>
      <w:r w:rsidRPr="00773971">
        <w:t xml:space="preserve">What </w:t>
      </w:r>
      <w:r>
        <w:t xml:space="preserve">factors are </w:t>
      </w:r>
      <w:r w:rsidRPr="00773971">
        <w:t>associated with a successful labour market transition</w:t>
      </w:r>
      <w:r>
        <w:t>?</w:t>
      </w:r>
    </w:p>
    <w:p w:rsidR="00C925E9" w:rsidRDefault="00C925E9" w:rsidP="00200C9F">
      <w:pPr>
        <w:pStyle w:val="Text"/>
        <w:rPr>
          <w:lang w:val="en-US"/>
        </w:rPr>
      </w:pPr>
      <w:r>
        <w:rPr>
          <w:lang w:val="en-US"/>
        </w:rPr>
        <w:t>Only four variables contribute significantly to a prediction of a successful labour market transition. Given that achievement in Year 9 has been demonstrated to be a good predictor of later labour market outcomes in many previous LSAY research reports (see, for example, Curtis 2008 or Marks 2006), it was surprising that neither of the achievement variables (Year 9 mathematics or university entrance score) contributed to a prediction of labour market success. It may be noted that satisfaction with school is strongly correlated with achievement at school, so in the model developed here, satisfaction with school may account for much of the variance ascribed to achievement in other studies.</w:t>
      </w:r>
    </w:p>
    <w:p w:rsidR="00C925E9" w:rsidRDefault="00C925E9" w:rsidP="00200C9F">
      <w:pPr>
        <w:pStyle w:val="Text"/>
        <w:rPr>
          <w:lang w:val="en-US"/>
        </w:rPr>
      </w:pPr>
      <w:r>
        <w:rPr>
          <w:lang w:val="en-US"/>
        </w:rPr>
        <w:t xml:space="preserve">Gap-taking predicts a lower likelihood of making a successful transition, with gappers having lower odds (0.55) of making a successful transition compared with non-gappers. Having a favourable attitude towards school has a persistent influence and is a predictor of initial labour market success. Course completion is associated with success, as those who are continuing with their initial study have lower odds of being in full-time employment. Those who failed their first course or changed to another also have poorer transitions. </w:t>
      </w:r>
    </w:p>
    <w:p w:rsidR="00C925E9" w:rsidRDefault="00C925E9" w:rsidP="00200C9F">
      <w:pPr>
        <w:pStyle w:val="Text"/>
        <w:rPr>
          <w:lang w:val="en-US"/>
        </w:rPr>
      </w:pPr>
      <w:r w:rsidRPr="006E50C0">
        <w:t>Continuation of study with the first university course commenced is significantly related to gap-taking.</w:t>
      </w:r>
      <w:r>
        <w:t xml:space="preserve"> </w:t>
      </w:r>
      <w:r w:rsidRPr="00A057AF">
        <w:rPr>
          <w:lang w:val="en-US"/>
        </w:rPr>
        <w:t xml:space="preserve">The addition of gap-taking to the initial model weakens the influence attributable to </w:t>
      </w:r>
      <w:r>
        <w:rPr>
          <w:lang w:val="en-US"/>
        </w:rPr>
        <w:t>still studying</w:t>
      </w:r>
      <w:r w:rsidRPr="00A057AF">
        <w:rPr>
          <w:lang w:val="en-US"/>
        </w:rPr>
        <w:t xml:space="preserve"> </w:t>
      </w:r>
      <w:r>
        <w:rPr>
          <w:lang w:val="en-US"/>
        </w:rPr>
        <w:t xml:space="preserve">a </w:t>
      </w:r>
      <w:r w:rsidRPr="00A057AF">
        <w:rPr>
          <w:lang w:val="en-US"/>
        </w:rPr>
        <w:t>first</w:t>
      </w:r>
      <w:r>
        <w:rPr>
          <w:lang w:val="en-US"/>
        </w:rPr>
        <w:t xml:space="preserve"> university</w:t>
      </w:r>
      <w:r w:rsidRPr="00A057AF">
        <w:rPr>
          <w:lang w:val="en-US"/>
        </w:rPr>
        <w:t xml:space="preserve"> course, indicating that part of the penalty of being a gap-taker is attributable to their continuing study. Gap-taking slightly strengthens the influence of first course attrition, indicating that gappers who do withdraw</w:t>
      </w:r>
      <w:r>
        <w:rPr>
          <w:lang w:val="en-US"/>
        </w:rPr>
        <w:t>, fail or change</w:t>
      </w:r>
      <w:r w:rsidRPr="00A057AF">
        <w:rPr>
          <w:lang w:val="en-US"/>
        </w:rPr>
        <w:t xml:space="preserve"> from their course suffer a greater penalty than non-gappers for that choice.</w:t>
      </w:r>
      <w:r>
        <w:rPr>
          <w:lang w:val="en-US"/>
        </w:rPr>
        <w:t xml:space="preserve"> </w:t>
      </w:r>
      <w:r w:rsidRPr="006E50C0">
        <w:t xml:space="preserve">This is </w:t>
      </w:r>
      <w:r>
        <w:t xml:space="preserve">not </w:t>
      </w:r>
      <w:r w:rsidRPr="006E50C0">
        <w:t xml:space="preserve">surprising, as an individual who took a gap year (or two) is expected to be a year (or two) behind non-gappers in their progression through their course. </w:t>
      </w:r>
    </w:p>
    <w:p w:rsidR="00C925E9" w:rsidRPr="00240141" w:rsidRDefault="00C925E9" w:rsidP="00200C9F">
      <w:pPr>
        <w:pStyle w:val="Text"/>
      </w:pPr>
      <w:r>
        <w:t>While g</w:t>
      </w:r>
      <w:r w:rsidRPr="00240141">
        <w:t>ap-taking is associated with a lower likelihood of making a succ</w:t>
      </w:r>
      <w:r>
        <w:t>essful labour market transition, t</w:t>
      </w:r>
      <w:r w:rsidRPr="00240141">
        <w:t>his association may reflect the characteristics of students who take a gap year.</w:t>
      </w:r>
      <w:r>
        <w:t xml:space="preserve"> </w:t>
      </w:r>
      <w:r w:rsidRPr="00240141">
        <w:t>These characteristics are likely to influence the types of courses that students take and the employment opportunities that they experience.</w:t>
      </w:r>
    </w:p>
    <w:p w:rsidR="00C925E9" w:rsidRDefault="00C925E9" w:rsidP="00200C9F">
      <w:pPr>
        <w:pStyle w:val="Heading2"/>
        <w:rPr>
          <w:lang w:val="en-US"/>
        </w:rPr>
      </w:pPr>
      <w:bookmarkStart w:id="83" w:name="_Toc323035624"/>
      <w:r>
        <w:rPr>
          <w:lang w:val="en-US"/>
        </w:rPr>
        <w:t>Summary</w:t>
      </w:r>
      <w:bookmarkEnd w:id="83"/>
    </w:p>
    <w:p w:rsidR="00C925E9" w:rsidRPr="00263E9A" w:rsidRDefault="00C925E9" w:rsidP="00374F9E">
      <w:pPr>
        <w:pStyle w:val="Dotpoint1"/>
        <w:rPr>
          <w:lang w:val="en-US"/>
        </w:rPr>
      </w:pPr>
      <w:r>
        <w:rPr>
          <w:lang w:val="en-US"/>
        </w:rPr>
        <w:t>At around age 23, gappers and non-gappers are equally likely to be employed (80%), but non-gappers are more likely than gappers to be in full-time employment (65% compared with 53%).</w:t>
      </w:r>
    </w:p>
    <w:p w:rsidR="00C925E9" w:rsidRPr="00263E9A" w:rsidRDefault="00C925E9" w:rsidP="00374F9E">
      <w:pPr>
        <w:pStyle w:val="Dotpoint1"/>
        <w:rPr>
          <w:lang w:val="en-US"/>
        </w:rPr>
      </w:pPr>
      <w:r>
        <w:rPr>
          <w:lang w:val="en-US"/>
        </w:rPr>
        <w:t>At this stage in their lives, non-gappers are more likely than gappers to be employed in professional and semi-professional occupations and more likely to be earning over $40 000 per year.</w:t>
      </w:r>
    </w:p>
    <w:p w:rsidR="00C925E9" w:rsidRPr="00263E9A" w:rsidRDefault="00C925E9" w:rsidP="00374F9E">
      <w:pPr>
        <w:pStyle w:val="Dotpoint1"/>
        <w:rPr>
          <w:lang w:val="en-US"/>
        </w:rPr>
      </w:pPr>
      <w:r>
        <w:rPr>
          <w:lang w:val="en-US"/>
        </w:rPr>
        <w:t>Gappers are more likely than non-gappers to be studying full-time, reflecting their later commencement of studies, but their study status does not fully explain their lower participation in full</w:t>
      </w:r>
      <w:r>
        <w:rPr>
          <w:lang w:val="en-US"/>
        </w:rPr>
        <w:noBreakHyphen/>
        <w:t>time work.</w:t>
      </w:r>
    </w:p>
    <w:p w:rsidR="00C925E9" w:rsidRPr="0037675A" w:rsidRDefault="00C925E9" w:rsidP="00374F9E">
      <w:pPr>
        <w:pStyle w:val="Dotpoint1"/>
        <w:rPr>
          <w:lang w:val="en-US"/>
        </w:rPr>
      </w:pPr>
      <w:r w:rsidRPr="0037675A">
        <w:rPr>
          <w:lang w:val="en-US"/>
        </w:rPr>
        <w:t>While gap-taking is associated with a lower likelihood of making a successful labour market transition</w:t>
      </w:r>
      <w:r>
        <w:rPr>
          <w:lang w:val="en-US"/>
        </w:rPr>
        <w:t xml:space="preserve"> by age 23</w:t>
      </w:r>
      <w:r w:rsidRPr="0037675A">
        <w:rPr>
          <w:lang w:val="en-US"/>
        </w:rPr>
        <w:t>, this association may reflect the characteristics of students who take a gap year.</w:t>
      </w:r>
      <w:r>
        <w:rPr>
          <w:lang w:val="en-US"/>
        </w:rPr>
        <w:t xml:space="preserve"> </w:t>
      </w:r>
      <w:r w:rsidRPr="0037675A">
        <w:rPr>
          <w:lang w:val="en-US"/>
        </w:rPr>
        <w:t>These characteristics are likely to influence the types of courses that students take and the employment opportunities that they experience.</w:t>
      </w:r>
    </w:p>
    <w:p w:rsidR="00534339" w:rsidRDefault="00534339">
      <w:pPr>
        <w:spacing w:before="0" w:line="240" w:lineRule="auto"/>
        <w:rPr>
          <w:rFonts w:ascii="Tahoma" w:hAnsi="Tahoma" w:cs="Tahoma"/>
          <w:color w:val="000000"/>
          <w:kern w:val="28"/>
          <w:sz w:val="56"/>
          <w:szCs w:val="56"/>
          <w:lang w:val="en-US"/>
        </w:rPr>
      </w:pPr>
      <w:r>
        <w:rPr>
          <w:lang w:val="en-US"/>
        </w:rPr>
        <w:br w:type="page"/>
      </w:r>
    </w:p>
    <w:p w:rsidR="00C925E9" w:rsidRDefault="00C925E9" w:rsidP="00200C9F">
      <w:pPr>
        <w:pStyle w:val="Heading1"/>
        <w:rPr>
          <w:lang w:val="en-US"/>
        </w:rPr>
      </w:pPr>
      <w:bookmarkStart w:id="84" w:name="_Toc323035625"/>
      <w:r>
        <w:rPr>
          <w:lang w:val="en-US"/>
        </w:rPr>
        <w:t>Conclusion</w:t>
      </w:r>
      <w:bookmarkEnd w:id="84"/>
    </w:p>
    <w:p w:rsidR="00C925E9" w:rsidRDefault="00C925E9" w:rsidP="00200C9F">
      <w:pPr>
        <w:pStyle w:val="Text"/>
        <w:rPr>
          <w:lang w:val="en-US"/>
        </w:rPr>
      </w:pPr>
      <w:r>
        <w:rPr>
          <w:lang w:val="en-US"/>
        </w:rPr>
        <w:t xml:space="preserve">Little was known about the incidence of gap-taking in </w:t>
      </w:r>
      <w:smartTag w:uri="urn:schemas-microsoft-com:office:smarttags" w:element="place">
        <w:smartTag w:uri="urn:schemas-microsoft-com:office:smarttags" w:element="country-region">
          <w:r>
            <w:rPr>
              <w:lang w:val="en-US"/>
            </w:rPr>
            <w:t>Australia</w:t>
          </w:r>
        </w:smartTag>
      </w:smartTag>
      <w:r>
        <w:rPr>
          <w:lang w:val="en-US"/>
        </w:rPr>
        <w:t>, about the individuals who chose to take time out between completing school and commencing university, or about their course and labour market outcomes. The studies that have been done have been limited to particular institutions or disciplines.</w:t>
      </w:r>
    </w:p>
    <w:p w:rsidR="00C925E9" w:rsidRDefault="00C925E9" w:rsidP="00200C9F">
      <w:pPr>
        <w:pStyle w:val="Text"/>
        <w:rPr>
          <w:lang w:val="en-US"/>
        </w:rPr>
      </w:pPr>
      <w:r>
        <w:rPr>
          <w:lang w:val="en-US"/>
        </w:rPr>
        <w:t>In this report we have examined the incidence of gap-taking and its change over the past decade, the characteristics of gap-takers, their reasons for gap-taking and the activities that they undertake during a gap year. We have compared gappers’ and non-gappers’ course persistence and completion and their labour market outcomes at age 23 years.</w:t>
      </w:r>
      <w:r>
        <w:rPr>
          <w:rStyle w:val="FootnoteReference"/>
          <w:lang w:val="en-US"/>
        </w:rPr>
        <w:footnoteReference w:id="14"/>
      </w:r>
      <w:r>
        <w:rPr>
          <w:lang w:val="en-US"/>
        </w:rPr>
        <w:t xml:space="preserve"> </w:t>
      </w:r>
    </w:p>
    <w:p w:rsidR="00C925E9" w:rsidRDefault="00C925E9" w:rsidP="00200C9F">
      <w:pPr>
        <w:pStyle w:val="Text"/>
        <w:rPr>
          <w:lang w:val="en-US"/>
        </w:rPr>
      </w:pPr>
      <w:r>
        <w:rPr>
          <w:lang w:val="en-US"/>
        </w:rPr>
        <w:t>We defined gap-takers as those young people who, having completed Year 12 at school, entered university after one or two years. We note that some young people enter university for many years after completion of secondary schooling. For example, some Y95 cohort members enrolled at university for the first time ten years after leaving school. We did not consider these longer delays in university enrolment as gap years, as it is likely that after such extended periods out of school individuals will have accumulated a variety of experiences and skills that may qualify them for university entrance and that they will not rely on their Year 12 results to gain admission to higher education.</w:t>
      </w:r>
    </w:p>
    <w:p w:rsidR="00C925E9" w:rsidRDefault="00C925E9" w:rsidP="00200C9F">
      <w:pPr>
        <w:pStyle w:val="Text"/>
        <w:rPr>
          <w:lang w:val="en-US"/>
        </w:rPr>
      </w:pPr>
      <w:r>
        <w:rPr>
          <w:lang w:val="en-US"/>
        </w:rPr>
        <w:t>The incidence of gap-taking has increased over recent years from 10% for Y95 school completers, to 16% for the Y98 cohort, and to at least 16% for Y03 school completers. We note the interim status of our findings for the Y03 cohort, as some school completers are very likely to enter university during 2008 and 2009, and add to the number of gap-takers identified among Y03 cohort members. We estimate that about 20% of Y03 cohort members will be gappers.</w:t>
      </w:r>
    </w:p>
    <w:p w:rsidR="00C925E9" w:rsidRDefault="00C925E9" w:rsidP="00200C9F">
      <w:pPr>
        <w:pStyle w:val="Text"/>
        <w:rPr>
          <w:lang w:val="en-US"/>
        </w:rPr>
      </w:pPr>
      <w:r>
        <w:rPr>
          <w:lang w:val="en-US"/>
        </w:rPr>
        <w:t>Gap-takers are likely to have lower-than-average tertiary entrance scores and lower-than-average Year 9 mathematics achievement. They are also more likely than non-gappers to have somewhat unfavourable attitudes towards schooling. Students who received Youth Allowance payments while at school (and who were from low-socioeconomic status families) were less likely to take a gap than students who did not receive this allowance while at school. Students from regional locations were more likely than those from metropolitan locations to take a gap year. Gappers are also more likely to be from an English speaking home background.</w:t>
      </w:r>
    </w:p>
    <w:p w:rsidR="00C925E9" w:rsidRDefault="00C925E9" w:rsidP="00200C9F">
      <w:pPr>
        <w:pStyle w:val="Text"/>
        <w:rPr>
          <w:lang w:val="en-US"/>
        </w:rPr>
      </w:pPr>
      <w:r>
        <w:rPr>
          <w:lang w:val="en-US"/>
        </w:rPr>
        <w:t>C</w:t>
      </w:r>
      <w:r w:rsidRPr="00425AB7">
        <w:rPr>
          <w:lang w:val="en-US"/>
        </w:rPr>
        <w:t xml:space="preserve">oming from a regional location </w:t>
      </w:r>
      <w:r>
        <w:rPr>
          <w:lang w:val="en-US"/>
        </w:rPr>
        <w:t>appears to exert</w:t>
      </w:r>
      <w:r w:rsidRPr="00425AB7">
        <w:rPr>
          <w:lang w:val="en-US"/>
        </w:rPr>
        <w:t xml:space="preserve"> a stronger influence on gap-taking than being a </w:t>
      </w:r>
      <w:r>
        <w:rPr>
          <w:lang w:val="en-US"/>
        </w:rPr>
        <w:t>low</w:t>
      </w:r>
      <w:r w:rsidRPr="00425AB7">
        <w:rPr>
          <w:lang w:val="en-US"/>
        </w:rPr>
        <w:t xml:space="preserve"> achiever</w:t>
      </w:r>
      <w:r>
        <w:rPr>
          <w:lang w:val="en-US"/>
        </w:rPr>
        <w:t xml:space="preserve"> or </w:t>
      </w:r>
      <w:r w:rsidRPr="00425AB7">
        <w:rPr>
          <w:lang w:val="en-US"/>
        </w:rPr>
        <w:t xml:space="preserve">being in a sufficiently </w:t>
      </w:r>
      <w:r>
        <w:rPr>
          <w:lang w:val="en-US"/>
        </w:rPr>
        <w:t>low socioeconomic status</w:t>
      </w:r>
      <w:r w:rsidRPr="00425AB7">
        <w:rPr>
          <w:lang w:val="en-US"/>
        </w:rPr>
        <w:t xml:space="preserve"> category to have received Y</w:t>
      </w:r>
      <w:r>
        <w:rPr>
          <w:lang w:val="en-US"/>
        </w:rPr>
        <w:t>outh Allowance while at school</w:t>
      </w:r>
      <w:r w:rsidRPr="00425AB7">
        <w:rPr>
          <w:lang w:val="en-US"/>
        </w:rPr>
        <w:t>.</w:t>
      </w:r>
    </w:p>
    <w:p w:rsidR="00C925E9" w:rsidRPr="0001715C" w:rsidRDefault="00C925E9" w:rsidP="00200C9F">
      <w:pPr>
        <w:pStyle w:val="Text"/>
        <w:rPr>
          <w:lang w:val="en-US"/>
        </w:rPr>
      </w:pPr>
      <w:r>
        <w:rPr>
          <w:lang w:val="en-US"/>
        </w:rPr>
        <w:t>T</w:t>
      </w:r>
      <w:r w:rsidRPr="0001715C">
        <w:rPr>
          <w:lang w:val="en-US"/>
        </w:rPr>
        <w:t>he odds of receiving Youth Allowance payments change after taking a gap year</w:t>
      </w:r>
      <w:r>
        <w:rPr>
          <w:lang w:val="en-US"/>
        </w:rPr>
        <w:t>. F</w:t>
      </w:r>
      <w:r w:rsidRPr="0001715C">
        <w:rPr>
          <w:lang w:val="en-US"/>
        </w:rPr>
        <w:t>ollowing a gap year</w:t>
      </w:r>
      <w:r>
        <w:rPr>
          <w:lang w:val="en-US"/>
        </w:rPr>
        <w:t xml:space="preserve"> t</w:t>
      </w:r>
      <w:r w:rsidRPr="0001715C">
        <w:rPr>
          <w:lang w:val="en-US"/>
        </w:rPr>
        <w:t>he likelihood of a high</w:t>
      </w:r>
      <w:r>
        <w:rPr>
          <w:lang w:val="en-US"/>
        </w:rPr>
        <w:t>-socioeconomic status</w:t>
      </w:r>
      <w:r w:rsidRPr="0001715C">
        <w:rPr>
          <w:lang w:val="en-US"/>
        </w:rPr>
        <w:t xml:space="preserve"> student gaining access to Youth Allowance payments</w:t>
      </w:r>
      <w:r>
        <w:rPr>
          <w:lang w:val="en-US"/>
        </w:rPr>
        <w:t xml:space="preserve"> </w:t>
      </w:r>
      <w:r w:rsidRPr="0001715C">
        <w:rPr>
          <w:lang w:val="en-US"/>
        </w:rPr>
        <w:t>improv</w:t>
      </w:r>
      <w:r>
        <w:rPr>
          <w:lang w:val="en-US"/>
        </w:rPr>
        <w:t>es</w:t>
      </w:r>
      <w:r w:rsidRPr="0001715C">
        <w:rPr>
          <w:lang w:val="en-US"/>
        </w:rPr>
        <w:t xml:space="preserve"> relative to a low-</w:t>
      </w:r>
      <w:r>
        <w:rPr>
          <w:lang w:val="en-US"/>
        </w:rPr>
        <w:t>socioeconomic status student</w:t>
      </w:r>
      <w:r w:rsidRPr="0001715C">
        <w:rPr>
          <w:lang w:val="en-US"/>
        </w:rPr>
        <w:t>.</w:t>
      </w:r>
      <w:r>
        <w:rPr>
          <w:lang w:val="en-US"/>
        </w:rPr>
        <w:t xml:space="preserve"> The LSAY data have allowed us to explore the possibility that working during a gap year and earning more than </w:t>
      </w:r>
      <w:r w:rsidR="00FB35CA">
        <w:rPr>
          <w:lang w:val="en-US"/>
        </w:rPr>
        <w:t>the relevant income threshold for independent status</w:t>
      </w:r>
      <w:r>
        <w:rPr>
          <w:lang w:val="en-US"/>
        </w:rPr>
        <w:t xml:space="preserve"> has enabled some gappers to qualify for the Youth Allowance scheme as independent students. The </w:t>
      </w:r>
      <w:r w:rsidRPr="0001715C">
        <w:rPr>
          <w:lang w:val="en-US"/>
        </w:rPr>
        <w:t>greater proportion of high</w:t>
      </w:r>
      <w:r>
        <w:rPr>
          <w:lang w:val="en-US"/>
        </w:rPr>
        <w:t>-socioeconomic status</w:t>
      </w:r>
      <w:r w:rsidRPr="0001715C">
        <w:rPr>
          <w:lang w:val="en-US"/>
        </w:rPr>
        <w:t xml:space="preserve"> students </w:t>
      </w:r>
      <w:r>
        <w:rPr>
          <w:lang w:val="en-US"/>
        </w:rPr>
        <w:t>attending university and the increase in the likelihood of qualifying for Youth Allowance after taking a gap year results in a greater number of high-socioeconomic status university students receiving Youth Allowance compared with low-socioeconomic status students.</w:t>
      </w:r>
    </w:p>
    <w:p w:rsidR="00C925E9" w:rsidRPr="00AB0ED2" w:rsidRDefault="00C925E9" w:rsidP="00200C9F">
      <w:pPr>
        <w:pStyle w:val="Text"/>
        <w:rPr>
          <w:lang w:val="en-US"/>
        </w:rPr>
      </w:pPr>
      <w:r>
        <w:rPr>
          <w:lang w:val="en-US"/>
        </w:rPr>
        <w:t>Deferring is different from gap-taking: students may defer university entry after a place has been offered, whereas many gap-takers do not apply for a position until after they have take time out from study. Deferring is much less common than gap-taking. About</w:t>
      </w:r>
      <w:r w:rsidRPr="00AB0ED2">
        <w:rPr>
          <w:lang w:val="en-US"/>
        </w:rPr>
        <w:t xml:space="preserve"> three-quarters of </w:t>
      </w:r>
      <w:r>
        <w:rPr>
          <w:lang w:val="en-US"/>
        </w:rPr>
        <w:t xml:space="preserve">students </w:t>
      </w:r>
      <w:r w:rsidRPr="00AB0ED2">
        <w:rPr>
          <w:lang w:val="en-US"/>
        </w:rPr>
        <w:t xml:space="preserve">who defer course entry enrol </w:t>
      </w:r>
      <w:r>
        <w:rPr>
          <w:lang w:val="en-US"/>
        </w:rPr>
        <w:t xml:space="preserve">at university </w:t>
      </w:r>
      <w:r w:rsidRPr="00AB0ED2">
        <w:rPr>
          <w:lang w:val="en-US"/>
        </w:rPr>
        <w:t xml:space="preserve">after </w:t>
      </w:r>
      <w:r>
        <w:rPr>
          <w:lang w:val="en-US"/>
        </w:rPr>
        <w:t xml:space="preserve">their </w:t>
      </w:r>
      <w:r w:rsidRPr="00AB0ED2">
        <w:rPr>
          <w:lang w:val="en-US"/>
        </w:rPr>
        <w:t>deferral.</w:t>
      </w:r>
    </w:p>
    <w:p w:rsidR="00C925E9" w:rsidRDefault="00C925E9" w:rsidP="00200C9F">
      <w:pPr>
        <w:pStyle w:val="Text"/>
        <w:rPr>
          <w:lang w:val="en-US"/>
        </w:rPr>
      </w:pPr>
      <w:r w:rsidRPr="00AB0ED2">
        <w:rPr>
          <w:lang w:val="en-US"/>
        </w:rPr>
        <w:t>The most common reasons for deferring are to take a break, holiday or travel</w:t>
      </w:r>
      <w:r>
        <w:rPr>
          <w:lang w:val="en-US"/>
        </w:rPr>
        <w:t>,</w:t>
      </w:r>
      <w:r w:rsidRPr="00AB0ED2">
        <w:rPr>
          <w:lang w:val="en-US"/>
        </w:rPr>
        <w:t xml:space="preserve"> and to work.</w:t>
      </w:r>
      <w:r>
        <w:rPr>
          <w:lang w:val="en-US"/>
        </w:rPr>
        <w:t xml:space="preserve"> </w:t>
      </w:r>
      <w:r w:rsidRPr="00AB0ED2">
        <w:rPr>
          <w:lang w:val="en-US"/>
        </w:rPr>
        <w:t>Few students defer with a specific intention to work in order to quali</w:t>
      </w:r>
      <w:r>
        <w:rPr>
          <w:lang w:val="en-US"/>
        </w:rPr>
        <w:t>fy for Youth Allowance payments, but we find that about 15% of gap-takers do qualify for Youth Allowance through their gap year work</w:t>
      </w:r>
      <w:r w:rsidR="006C609C">
        <w:rPr>
          <w:rStyle w:val="FootnoteReference"/>
          <w:lang w:val="en-US"/>
        </w:rPr>
        <w:footnoteReference w:id="15"/>
      </w:r>
      <w:r>
        <w:rPr>
          <w:lang w:val="en-US"/>
        </w:rPr>
        <w:t>.</w:t>
      </w:r>
    </w:p>
    <w:p w:rsidR="00C925E9" w:rsidRDefault="00C925E9" w:rsidP="00200C9F">
      <w:pPr>
        <w:pStyle w:val="Text"/>
        <w:rPr>
          <w:lang w:val="en-US"/>
        </w:rPr>
      </w:pPr>
      <w:r>
        <w:rPr>
          <w:lang w:val="en-US"/>
        </w:rPr>
        <w:t xml:space="preserve">During their gap year, most young people undertake a limited range of activities. Work is the most common activity reported during a gap year, with 40% of respondents reporting this as their main gap year pursuit. A further one-third of respondents reported doing some form of non-university study or training during this year. In contrast to the situation described in </w:t>
      </w:r>
      <w:r w:rsidR="008863D9">
        <w:rPr>
          <w:lang w:val="en-US"/>
        </w:rPr>
        <w:t>the UK,</w:t>
      </w:r>
      <w:r>
        <w:rPr>
          <w:lang w:val="en-US"/>
        </w:rPr>
        <w:t xml:space="preserve">  very few Australian gappers (3%) report travel as their main activity.</w:t>
      </w:r>
    </w:p>
    <w:p w:rsidR="00C925E9" w:rsidRDefault="00C925E9" w:rsidP="00200C9F">
      <w:pPr>
        <w:pStyle w:val="Text"/>
        <w:rPr>
          <w:lang w:val="en-US"/>
        </w:rPr>
      </w:pPr>
      <w:r>
        <w:rPr>
          <w:lang w:val="en-US"/>
        </w:rPr>
        <w:t>We should not be blinded by the spotlight on gap-taking and attribute outcomes</w:t>
      </w:r>
      <w:r w:rsidRPr="00071161">
        <w:rPr>
          <w:lang w:val="en-US"/>
        </w:rPr>
        <w:t xml:space="preserve"> </w:t>
      </w:r>
      <w:r>
        <w:rPr>
          <w:lang w:val="en-US"/>
        </w:rPr>
        <w:t>to it that may have other origins. The course and labour market outcomes experienced by gappers may have more to do with other characteristics of gap-takers than with the act of gap-taking or the activities undertaken</w:t>
      </w:r>
      <w:r w:rsidRPr="00FF7335">
        <w:rPr>
          <w:lang w:val="en-US"/>
        </w:rPr>
        <w:t xml:space="preserve"> </w:t>
      </w:r>
      <w:r>
        <w:rPr>
          <w:lang w:val="en-US"/>
        </w:rPr>
        <w:t>during the gap year.</w:t>
      </w:r>
    </w:p>
    <w:p w:rsidR="00C925E9" w:rsidRDefault="00C925E9" w:rsidP="00200C9F">
      <w:pPr>
        <w:pStyle w:val="Text"/>
        <w:rPr>
          <w:lang w:val="en-US"/>
        </w:rPr>
      </w:pPr>
      <w:r>
        <w:rPr>
          <w:lang w:val="en-US"/>
        </w:rPr>
        <w:t>In contrast to other research, we find no difference between the rates of course attrition or change between gappers and non-gappers. At age 23 most of these students have favourable university outcomes, with 88% of gappers and non-gappers either having completed or still continuing their courses. The key difference is that more non-gappers have completed their courses and more gappers are still studying.</w:t>
      </w:r>
    </w:p>
    <w:p w:rsidR="00C925E9" w:rsidRDefault="00C925E9" w:rsidP="00200C9F">
      <w:pPr>
        <w:pStyle w:val="Text"/>
        <w:rPr>
          <w:lang w:val="en-US"/>
        </w:rPr>
      </w:pPr>
      <w:r>
        <w:rPr>
          <w:lang w:val="en-US"/>
        </w:rPr>
        <w:t>Gap-takers do experience a delayed labour market transition compared with non-gappers. More gap-takers are still enrolled in their first university course, more of them are doing it on a full-time basis and fewer gappers are working full-time. The full-time study status of gappers does not fully explain their less favourable employment status.</w:t>
      </w:r>
    </w:p>
    <w:p w:rsidR="00C925E9" w:rsidRDefault="00C925E9" w:rsidP="00200C9F">
      <w:pPr>
        <w:pStyle w:val="Text"/>
        <w:rPr>
          <w:lang w:val="en-US"/>
        </w:rPr>
      </w:pPr>
      <w:r>
        <w:rPr>
          <w:lang w:val="en-US"/>
        </w:rPr>
        <w:t>At this point in their lives, non-gappers have a higher incidence of full-time work, are more likely to be employed in professional and associate professional occupations, and have higher earnings than gap-takers.</w:t>
      </w:r>
    </w:p>
    <w:p w:rsidR="00C925E9" w:rsidRDefault="00C925E9" w:rsidP="00200C9F">
      <w:pPr>
        <w:pStyle w:val="Text"/>
        <w:rPr>
          <w:lang w:val="en-US"/>
        </w:rPr>
      </w:pPr>
      <w:r>
        <w:rPr>
          <w:lang w:val="en-US"/>
        </w:rPr>
        <w:t>An unanswered question is whether gap-taking is a productive practice, and for whom. We observe differences in the characteristics and outcomes of gappers and non-gappers. The different outcomes seem more likely to arise because of other characteristics of the young people who choose to take a gap year or not rather than the gap year itself or the activities undertaken during that year. The gap year delays transition but it is not the key determinant of success in that transition.</w:t>
      </w:r>
    </w:p>
    <w:p w:rsidR="00C925E9" w:rsidRDefault="00C925E9" w:rsidP="00200C9F">
      <w:pPr>
        <w:pStyle w:val="Text"/>
        <w:rPr>
          <w:lang w:val="en-US"/>
        </w:rPr>
      </w:pPr>
      <w:r>
        <w:rPr>
          <w:lang w:val="en-US"/>
        </w:rPr>
        <w:t>Should potential gappers therefore be encouraged to continue with study immediately after completing their secondary schooling? This question does not have a simple answer. It is possible that those young people with lower levels of academic achievement and poorer attitudes to school and who are more likely to take a gap year do benefit from the gap that they take. More detailed modelling</w:t>
      </w:r>
      <w:r w:rsidR="008863D9">
        <w:rPr>
          <w:lang w:val="en-US"/>
        </w:rPr>
        <w:t xml:space="preserve"> </w:t>
      </w:r>
      <w:r>
        <w:rPr>
          <w:lang w:val="en-US"/>
        </w:rPr>
        <w:t>—</w:t>
      </w:r>
      <w:r w:rsidR="008863D9">
        <w:rPr>
          <w:lang w:val="en-US"/>
        </w:rPr>
        <w:t xml:space="preserve"> </w:t>
      </w:r>
      <w:r>
        <w:rPr>
          <w:lang w:val="en-US"/>
        </w:rPr>
        <w:t>perhaps involving path analysis</w:t>
      </w:r>
      <w:r w:rsidR="008863D9">
        <w:rPr>
          <w:lang w:val="en-US"/>
        </w:rPr>
        <w:t xml:space="preserve"> </w:t>
      </w:r>
      <w:r>
        <w:rPr>
          <w:lang w:val="en-US"/>
        </w:rPr>
        <w:t>—</w:t>
      </w:r>
      <w:r w:rsidR="008863D9">
        <w:rPr>
          <w:lang w:val="en-US"/>
        </w:rPr>
        <w:t xml:space="preserve"> </w:t>
      </w:r>
      <w:r>
        <w:rPr>
          <w:lang w:val="en-US"/>
        </w:rPr>
        <w:t>would be required to test this hypothesis, taking into account differences in the characteristics of gappers and non-gappers.</w:t>
      </w:r>
    </w:p>
    <w:p w:rsidR="00C925E9" w:rsidRDefault="00C925E9" w:rsidP="00200C9F">
      <w:pPr>
        <w:pStyle w:val="Heading1"/>
      </w:pPr>
      <w:r>
        <w:br w:type="page"/>
      </w:r>
      <w:bookmarkStart w:id="85" w:name="_Toc456000800"/>
      <w:bookmarkStart w:id="86" w:name="_Toc457122465"/>
      <w:bookmarkStart w:id="87" w:name="_Toc323035626"/>
      <w:r>
        <w:t>References</w:t>
      </w:r>
      <w:bookmarkEnd w:id="85"/>
      <w:bookmarkEnd w:id="86"/>
      <w:bookmarkEnd w:id="87"/>
    </w:p>
    <w:p w:rsidR="00C925E9" w:rsidRDefault="00C925E9" w:rsidP="00200C9F">
      <w:pPr>
        <w:pStyle w:val="References"/>
      </w:pPr>
      <w:r>
        <w:t xml:space="preserve">Andrich, D 1978, ‘A rating formulation for ordered response categories’, </w:t>
      </w:r>
      <w:r w:rsidRPr="00475FFB">
        <w:rPr>
          <w:i/>
        </w:rPr>
        <w:t>Psychometrika,</w:t>
      </w:r>
      <w:r w:rsidRPr="00071161">
        <w:t xml:space="preserve"> vol.43, no,4, pp</w:t>
      </w:r>
      <w:r>
        <w:t>.561–73.</w:t>
      </w:r>
    </w:p>
    <w:p w:rsidR="00C925E9" w:rsidRDefault="00C925E9" w:rsidP="00200C9F">
      <w:pPr>
        <w:pStyle w:val="References"/>
      </w:pPr>
      <w:r>
        <w:t xml:space="preserve">Birch, ER &amp; Miller, PW 2007, ‘The characteristics of “gap-year” students and their tertiary academic outcomes’, </w:t>
      </w:r>
      <w:r w:rsidRPr="00D04FE7">
        <w:rPr>
          <w:i/>
        </w:rPr>
        <w:t xml:space="preserve">Economic Record, </w:t>
      </w:r>
      <w:r w:rsidRPr="00FF7335">
        <w:t>vol.83, no.262,</w:t>
      </w:r>
      <w:r w:rsidRPr="00071161">
        <w:rPr>
          <w:i/>
        </w:rPr>
        <w:t xml:space="preserve"> </w:t>
      </w:r>
      <w:r>
        <w:t>pp.329–44.</w:t>
      </w:r>
    </w:p>
    <w:p w:rsidR="00C925E9" w:rsidRDefault="00C925E9" w:rsidP="00200C9F">
      <w:pPr>
        <w:pStyle w:val="References"/>
      </w:pPr>
      <w:r>
        <w:t xml:space="preserve">Bond, TG &amp; Fox, CM 2001, </w:t>
      </w:r>
      <w:r w:rsidRPr="00475FFB">
        <w:rPr>
          <w:i/>
        </w:rPr>
        <w:t>Applying the Rasch model</w:t>
      </w:r>
      <w:r>
        <w:rPr>
          <w:i/>
        </w:rPr>
        <w:t>: f</w:t>
      </w:r>
      <w:r w:rsidRPr="00475FFB">
        <w:rPr>
          <w:i/>
        </w:rPr>
        <w:t>undamental measurement in the human sciences</w:t>
      </w:r>
      <w:r>
        <w:t>, Lawrence Erlbaum and Associates, Mahwah, NJ.</w:t>
      </w:r>
    </w:p>
    <w:p w:rsidR="00C925E9" w:rsidRDefault="00C925E9" w:rsidP="00200C9F">
      <w:pPr>
        <w:pStyle w:val="References"/>
      </w:pPr>
      <w:r>
        <w:t xml:space="preserve">Cresswell, J 2004, </w:t>
      </w:r>
      <w:r w:rsidRPr="00AE2523">
        <w:rPr>
          <w:i/>
        </w:rPr>
        <w:t>Immigrant status and home language background</w:t>
      </w:r>
      <w:r>
        <w:rPr>
          <w:i/>
        </w:rPr>
        <w:t>: i</w:t>
      </w:r>
      <w:r w:rsidRPr="00AE2523">
        <w:rPr>
          <w:i/>
        </w:rPr>
        <w:t>mplications for Australian student performance in PISA 2000</w:t>
      </w:r>
      <w:r>
        <w:t>, ACER,</w:t>
      </w:r>
      <w:r w:rsidRPr="00071161">
        <w:t xml:space="preserve"> </w:t>
      </w:r>
      <w:r>
        <w:t>Melbourne.</w:t>
      </w:r>
    </w:p>
    <w:p w:rsidR="00C925E9" w:rsidRDefault="00C925E9" w:rsidP="00200C9F">
      <w:pPr>
        <w:pStyle w:val="References"/>
      </w:pPr>
      <w:r>
        <w:t xml:space="preserve">Curtis, DD 2008, </w:t>
      </w:r>
      <w:r w:rsidRPr="00F00596">
        <w:rPr>
          <w:i/>
        </w:rPr>
        <w:t>VET pathways taken by school leavers</w:t>
      </w:r>
      <w:r>
        <w:t>,</w:t>
      </w:r>
      <w:r w:rsidRPr="00F00596">
        <w:rPr>
          <w:i/>
        </w:rPr>
        <w:t xml:space="preserve"> </w:t>
      </w:r>
      <w:r w:rsidRPr="00071161">
        <w:t xml:space="preserve">LSAY research report </w:t>
      </w:r>
      <w:r>
        <w:t>n</w:t>
      </w:r>
      <w:r w:rsidRPr="00071161">
        <w:t>o.52</w:t>
      </w:r>
      <w:r>
        <w:t>,</w:t>
      </w:r>
      <w:r w:rsidRPr="00071161">
        <w:t xml:space="preserve"> </w:t>
      </w:r>
      <w:r>
        <w:t>ACER,</w:t>
      </w:r>
      <w:r w:rsidRPr="00071161">
        <w:t xml:space="preserve"> Me</w:t>
      </w:r>
      <w:r>
        <w:t>lbourne.</w:t>
      </w:r>
    </w:p>
    <w:p w:rsidR="00C925E9" w:rsidRDefault="00C925E9" w:rsidP="00200C9F">
      <w:pPr>
        <w:pStyle w:val="References"/>
        <w:rPr>
          <w:lang w:val="sv-SE"/>
        </w:rPr>
      </w:pPr>
      <w:r>
        <w:rPr>
          <w:lang w:val="sv-SE"/>
        </w:rPr>
        <w:t xml:space="preserve">Dow, K L 2011, </w:t>
      </w:r>
      <w:r w:rsidRPr="00C0019C">
        <w:rPr>
          <w:i/>
          <w:lang w:val="sv-SE"/>
        </w:rPr>
        <w:t>Review of student income support reforms</w:t>
      </w:r>
      <w:r>
        <w:rPr>
          <w:lang w:val="sv-SE"/>
        </w:rPr>
        <w:t xml:space="preserve">, </w:t>
      </w:r>
      <w:r w:rsidR="003168E4" w:rsidRPr="00FC1894">
        <w:rPr>
          <w:bCs/>
        </w:rPr>
        <w:t>Department of Education, Employment and Workplace Relations</w:t>
      </w:r>
      <w:r>
        <w:rPr>
          <w:lang w:val="sv-SE"/>
        </w:rPr>
        <w:t>, Canberra.</w:t>
      </w:r>
    </w:p>
    <w:p w:rsidR="00C925E9" w:rsidRDefault="00C925E9" w:rsidP="00200C9F">
      <w:pPr>
        <w:pStyle w:val="References"/>
      </w:pPr>
      <w:r w:rsidRPr="00826B8A">
        <w:rPr>
          <w:lang w:val="sv-SE"/>
        </w:rPr>
        <w:t>Hango, D &amp; de Broucker, P 2007</w:t>
      </w:r>
      <w:r>
        <w:rPr>
          <w:lang w:val="sv-SE"/>
        </w:rPr>
        <w:t>,</w:t>
      </w:r>
      <w:r w:rsidRPr="00826B8A">
        <w:rPr>
          <w:lang w:val="sv-SE"/>
        </w:rPr>
        <w:t xml:space="preserve"> </w:t>
      </w:r>
      <w:r w:rsidRPr="00F00596">
        <w:rPr>
          <w:i/>
        </w:rPr>
        <w:t>Education to labour mark</w:t>
      </w:r>
      <w:r>
        <w:rPr>
          <w:i/>
        </w:rPr>
        <w:t>et pathways of Canadian youth: f</w:t>
      </w:r>
      <w:r w:rsidRPr="00F00596">
        <w:rPr>
          <w:i/>
        </w:rPr>
        <w:t>indings from the Youth in Transition Survey</w:t>
      </w:r>
      <w:r>
        <w:t>, Statistics Canada, Ottawa.</w:t>
      </w:r>
    </w:p>
    <w:p w:rsidR="00C925E9" w:rsidRPr="007B614A" w:rsidRDefault="00C925E9" w:rsidP="00200C9F">
      <w:pPr>
        <w:pStyle w:val="References"/>
      </w:pPr>
      <w:r>
        <w:t xml:space="preserve">Heath, S 2005, </w:t>
      </w:r>
      <w:r>
        <w:rPr>
          <w:i/>
        </w:rPr>
        <w:t>The pre-university gap year: a</w:t>
      </w:r>
      <w:r w:rsidRPr="00F00596">
        <w:rPr>
          <w:i/>
        </w:rPr>
        <w:t xml:space="preserve"> research agenda</w:t>
      </w:r>
      <w:r>
        <w:t>,</w:t>
      </w:r>
      <w:r w:rsidRPr="00F00596">
        <w:rPr>
          <w:i/>
        </w:rPr>
        <w:t xml:space="preserve"> </w:t>
      </w:r>
      <w:r w:rsidRPr="00071161">
        <w:t xml:space="preserve">Gap Year working paper </w:t>
      </w:r>
      <w:r>
        <w:t>n</w:t>
      </w:r>
      <w:r w:rsidRPr="00071161">
        <w:t>o.1</w:t>
      </w:r>
      <w:r>
        <w:t>,</w:t>
      </w:r>
      <w:r w:rsidRPr="00071161">
        <w:t xml:space="preserve"> </w:t>
      </w:r>
      <w:r>
        <w:t xml:space="preserve">viewed 5 September 2008, </w:t>
      </w:r>
      <w:r w:rsidRPr="00FC1894">
        <w:t>&lt;</w:t>
      </w:r>
      <w:hyperlink r:id="rId16" w:history="1">
        <w:r w:rsidRPr="00FC1894">
          <w:t>http://www.gapyearresearch.org/heathworkingpaper.pdf</w:t>
        </w:r>
      </w:hyperlink>
      <w:r w:rsidRPr="00FC1894">
        <w:t>&gt;</w:t>
      </w:r>
      <w:r w:rsidR="00FC1894">
        <w:t>.</w:t>
      </w:r>
    </w:p>
    <w:p w:rsidR="00C925E9" w:rsidRDefault="00C925E9" w:rsidP="00200C9F">
      <w:pPr>
        <w:pStyle w:val="References"/>
      </w:pPr>
      <w:r>
        <w:t xml:space="preserve">Hillman, K 2005, </w:t>
      </w:r>
      <w:r w:rsidRPr="00651A38">
        <w:rPr>
          <w:i/>
        </w:rPr>
        <w:t>The first year experience</w:t>
      </w:r>
      <w:r>
        <w:rPr>
          <w:i/>
        </w:rPr>
        <w:t>: t</w:t>
      </w:r>
      <w:r w:rsidRPr="00651A38">
        <w:rPr>
          <w:i/>
        </w:rPr>
        <w:t>he transition from secondary school to university and TAFE in Australia</w:t>
      </w:r>
      <w:r>
        <w:rPr>
          <w:i/>
        </w:rPr>
        <w:t>,</w:t>
      </w:r>
      <w:r>
        <w:t xml:space="preserve"> </w:t>
      </w:r>
      <w:r w:rsidRPr="00071161">
        <w:t xml:space="preserve">LSAY research report </w:t>
      </w:r>
      <w:r>
        <w:t>n</w:t>
      </w:r>
      <w:r w:rsidRPr="00071161">
        <w:t>o.40</w:t>
      </w:r>
      <w:r>
        <w:t>, ACER,</w:t>
      </w:r>
      <w:r w:rsidRPr="00071161">
        <w:t xml:space="preserve"> </w:t>
      </w:r>
      <w:r>
        <w:t>Melbourne.</w:t>
      </w:r>
    </w:p>
    <w:p w:rsidR="00C925E9" w:rsidRDefault="00C925E9" w:rsidP="00200C9F">
      <w:pPr>
        <w:pStyle w:val="References"/>
      </w:pPr>
      <w:r>
        <w:t xml:space="preserve">James, R 2002, </w:t>
      </w:r>
      <w:r w:rsidRPr="004A1863">
        <w:rPr>
          <w:i/>
        </w:rPr>
        <w:t>Socioeconomic background and higher education participation</w:t>
      </w:r>
      <w:r>
        <w:rPr>
          <w:i/>
        </w:rPr>
        <w:t>: a</w:t>
      </w:r>
      <w:r w:rsidRPr="004A1863">
        <w:rPr>
          <w:i/>
        </w:rPr>
        <w:t>n analysis of school students’</w:t>
      </w:r>
      <w:r>
        <w:rPr>
          <w:i/>
        </w:rPr>
        <w:t>,</w:t>
      </w:r>
      <w:r w:rsidRPr="004A1863">
        <w:rPr>
          <w:i/>
        </w:rPr>
        <w:t xml:space="preserve"> aspirations and expectations</w:t>
      </w:r>
      <w:r>
        <w:t>, DEST,</w:t>
      </w:r>
      <w:r w:rsidRPr="00071161">
        <w:t xml:space="preserve"> </w:t>
      </w:r>
      <w:r>
        <w:t>Canberra.</w:t>
      </w:r>
    </w:p>
    <w:p w:rsidR="00C925E9" w:rsidRDefault="00C925E9" w:rsidP="00200C9F">
      <w:pPr>
        <w:pStyle w:val="References"/>
      </w:pPr>
      <w:r>
        <w:t xml:space="preserve">James, R, Baldwin, G, Coates, H, Krause, K &amp; McInnis, C 2004, </w:t>
      </w:r>
      <w:r w:rsidRPr="00071161">
        <w:rPr>
          <w:i/>
        </w:rPr>
        <w:t>Analysis of equity groups in higher education 1991</w:t>
      </w:r>
      <w:r>
        <w:rPr>
          <w:i/>
        </w:rPr>
        <w:t>–</w:t>
      </w:r>
      <w:r w:rsidRPr="00071161">
        <w:rPr>
          <w:i/>
        </w:rPr>
        <w:t>2002</w:t>
      </w:r>
      <w:r>
        <w:t>, DEST,</w:t>
      </w:r>
      <w:r w:rsidRPr="00071161">
        <w:t xml:space="preserve"> </w:t>
      </w:r>
      <w:r>
        <w:t>Canberra.</w:t>
      </w:r>
    </w:p>
    <w:p w:rsidR="00C925E9" w:rsidRDefault="00C925E9" w:rsidP="00200C9F">
      <w:pPr>
        <w:pStyle w:val="References"/>
      </w:pPr>
      <w:r>
        <w:t xml:space="preserve">Jones, A 2004, </w:t>
      </w:r>
      <w:r w:rsidRPr="00F00596">
        <w:rPr>
          <w:i/>
        </w:rPr>
        <w:t>Review of gap year provision</w:t>
      </w:r>
      <w:r>
        <w:t>,</w:t>
      </w:r>
      <w:r w:rsidRPr="00F00596">
        <w:rPr>
          <w:i/>
        </w:rPr>
        <w:t xml:space="preserve"> </w:t>
      </w:r>
      <w:r w:rsidRPr="00071161">
        <w:t>Research report RR555</w:t>
      </w:r>
      <w:r>
        <w:t>, Department for Education and Skills,</w:t>
      </w:r>
      <w:r w:rsidRPr="00071161">
        <w:t xml:space="preserve"> </w:t>
      </w:r>
      <w:smartTag w:uri="urn:schemas-microsoft-com:office:smarttags" w:element="place">
        <w:smartTag w:uri="urn:schemas-microsoft-com:office:smarttags" w:element="City">
          <w:r>
            <w:t>London</w:t>
          </w:r>
        </w:smartTag>
      </w:smartTag>
      <w:r>
        <w:t>.</w:t>
      </w:r>
    </w:p>
    <w:p w:rsidR="00C925E9" w:rsidRDefault="00C925E9" w:rsidP="00200C9F">
      <w:pPr>
        <w:pStyle w:val="References"/>
      </w:pPr>
      <w:r>
        <w:t xml:space="preserve">Khoo, ST &amp; Ainley, J 2005, </w:t>
      </w:r>
      <w:r w:rsidRPr="00DB0AA3">
        <w:rPr>
          <w:i/>
        </w:rPr>
        <w:t>Attitudes, intentions and participation</w:t>
      </w:r>
      <w:r>
        <w:rPr>
          <w:i/>
        </w:rPr>
        <w:t>,</w:t>
      </w:r>
      <w:r w:rsidRPr="00DB0AA3">
        <w:rPr>
          <w:i/>
        </w:rPr>
        <w:t xml:space="preserve"> </w:t>
      </w:r>
      <w:r w:rsidRPr="00071161">
        <w:t xml:space="preserve">LSAY research report </w:t>
      </w:r>
      <w:r>
        <w:t>n</w:t>
      </w:r>
      <w:r w:rsidRPr="00071161">
        <w:t>o.41</w:t>
      </w:r>
      <w:r>
        <w:t>, ACER,</w:t>
      </w:r>
      <w:r w:rsidRPr="00071161">
        <w:t xml:space="preserve"> </w:t>
      </w:r>
      <w:r>
        <w:t>Melbourne.</w:t>
      </w:r>
    </w:p>
    <w:p w:rsidR="00C925E9" w:rsidRDefault="00C925E9" w:rsidP="00200C9F">
      <w:pPr>
        <w:pStyle w:val="References"/>
      </w:pPr>
      <w:r>
        <w:t xml:space="preserve">Krause, K, Hartley, R, James, R &amp; McInnes, C 2005, </w:t>
      </w:r>
      <w:r w:rsidRPr="00651A38">
        <w:rPr>
          <w:i/>
        </w:rPr>
        <w:t>The first year experience in Australian universities</w:t>
      </w:r>
      <w:r>
        <w:rPr>
          <w:i/>
        </w:rPr>
        <w:t>: f</w:t>
      </w:r>
      <w:r w:rsidRPr="00651A38">
        <w:rPr>
          <w:i/>
        </w:rPr>
        <w:t>indings from a decade of national studies</w:t>
      </w:r>
      <w:r w:rsidR="007C71AD">
        <w:t>, DEST, Canberra</w:t>
      </w:r>
      <w:r>
        <w:t>.</w:t>
      </w:r>
    </w:p>
    <w:p w:rsidR="00C925E9" w:rsidRPr="00071161" w:rsidRDefault="00C925E9" w:rsidP="00200C9F">
      <w:pPr>
        <w:pStyle w:val="References"/>
      </w:pPr>
      <w:r>
        <w:t xml:space="preserve">Lamb, S 2001, </w:t>
      </w:r>
      <w:r w:rsidRPr="00651A38">
        <w:rPr>
          <w:i/>
        </w:rPr>
        <w:t>The pathways from school to further study and work for Australian graduates</w:t>
      </w:r>
      <w:r w:rsidRPr="00071161">
        <w:t xml:space="preserve">, LSAY research report </w:t>
      </w:r>
      <w:r>
        <w:t>n</w:t>
      </w:r>
      <w:r w:rsidRPr="00071161">
        <w:t>o.19</w:t>
      </w:r>
      <w:r>
        <w:t>,</w:t>
      </w:r>
      <w:r w:rsidRPr="00071161">
        <w:t xml:space="preserve"> ACER</w:t>
      </w:r>
      <w:r>
        <w:t>,</w:t>
      </w:r>
      <w:r w:rsidRPr="00071161">
        <w:t xml:space="preserve"> Melbourne.</w:t>
      </w:r>
    </w:p>
    <w:p w:rsidR="00C925E9" w:rsidRDefault="00C925E9" w:rsidP="00200C9F">
      <w:pPr>
        <w:pStyle w:val="References"/>
      </w:pPr>
      <w:r>
        <w:t xml:space="preserve">Lane, B 2008, ‘Gaps show failings of Youth Allowance’, </w:t>
      </w:r>
      <w:r w:rsidRPr="00FE0A4B">
        <w:rPr>
          <w:i/>
        </w:rPr>
        <w:t>The Australian</w:t>
      </w:r>
      <w:r>
        <w:t>,</w:t>
      </w:r>
      <w:r w:rsidRPr="00FE0A4B">
        <w:rPr>
          <w:i/>
        </w:rPr>
        <w:t xml:space="preserve"> Higher Education Supplement</w:t>
      </w:r>
      <w:r>
        <w:t>, September 27.</w:t>
      </w:r>
    </w:p>
    <w:p w:rsidR="00C925E9" w:rsidRDefault="00C925E9" w:rsidP="00200C9F">
      <w:pPr>
        <w:pStyle w:val="References"/>
      </w:pPr>
      <w:r>
        <w:t xml:space="preserve">Linke, R, Barton, A &amp; Cannon, R 1985, </w:t>
      </w:r>
      <w:r w:rsidRPr="00651A38">
        <w:rPr>
          <w:i/>
        </w:rPr>
        <w:t>Deferment of entry into higher education</w:t>
      </w:r>
      <w:r>
        <w:t>, Tertiary Education Authority of South Australia,</w:t>
      </w:r>
      <w:r w:rsidRPr="00071161">
        <w:t xml:space="preserve"> </w:t>
      </w:r>
      <w:r>
        <w:t>Adelaide.</w:t>
      </w:r>
    </w:p>
    <w:p w:rsidR="00C925E9" w:rsidRDefault="00C925E9" w:rsidP="00200C9F">
      <w:pPr>
        <w:pStyle w:val="References"/>
      </w:pPr>
      <w:r>
        <w:t xml:space="preserve">Marjoribanks, K 2005, ‘Family background, adolescents’ educational aspirations, and young Australian adults’ educational attainment’, </w:t>
      </w:r>
      <w:r w:rsidRPr="00AE2523">
        <w:rPr>
          <w:i/>
        </w:rPr>
        <w:t>International Education Journal</w:t>
      </w:r>
      <w:r w:rsidRPr="00071161">
        <w:t>, vol.6, no.1, pp.104</w:t>
      </w:r>
      <w:r>
        <w:t>–</w:t>
      </w:r>
      <w:r w:rsidRPr="00071161">
        <w:t>12.</w:t>
      </w:r>
    </w:p>
    <w:p w:rsidR="00C925E9" w:rsidRDefault="00C925E9" w:rsidP="00200C9F">
      <w:pPr>
        <w:pStyle w:val="References"/>
      </w:pPr>
      <w:r>
        <w:t xml:space="preserve">Marks, G 2006, </w:t>
      </w:r>
      <w:r w:rsidRPr="00A147A3">
        <w:rPr>
          <w:i/>
        </w:rPr>
        <w:t>The transition to full-time work of young people who do not go to university</w:t>
      </w:r>
      <w:r w:rsidRPr="00071161">
        <w:t xml:space="preserve">, LSAY research report </w:t>
      </w:r>
      <w:r>
        <w:t>n</w:t>
      </w:r>
      <w:r w:rsidRPr="00071161">
        <w:t>o.49</w:t>
      </w:r>
      <w:r>
        <w:t>, ACER,</w:t>
      </w:r>
      <w:r w:rsidRPr="00071161">
        <w:t xml:space="preserve"> </w:t>
      </w:r>
      <w:r>
        <w:t>Melbourne.</w:t>
      </w:r>
    </w:p>
    <w:p w:rsidR="00C925E9" w:rsidRDefault="00C925E9" w:rsidP="00200C9F">
      <w:pPr>
        <w:pStyle w:val="References"/>
      </w:pPr>
      <w:r>
        <w:t xml:space="preserve">Masters, GN 1982, ‘A Rasch model for partial credit scoring’, </w:t>
      </w:r>
      <w:r w:rsidRPr="00475FFB">
        <w:rPr>
          <w:i/>
        </w:rPr>
        <w:t>Psychometrika</w:t>
      </w:r>
      <w:r w:rsidRPr="00071161">
        <w:t xml:space="preserve">, </w:t>
      </w:r>
      <w:r>
        <w:t>vol.</w:t>
      </w:r>
      <w:r w:rsidRPr="00071161">
        <w:t>47</w:t>
      </w:r>
      <w:r>
        <w:t>, no.</w:t>
      </w:r>
      <w:r w:rsidRPr="00071161">
        <w:t>2</w:t>
      </w:r>
      <w:r>
        <w:t>, pp.149–74.</w:t>
      </w:r>
    </w:p>
    <w:p w:rsidR="00C925E9" w:rsidRDefault="00C925E9" w:rsidP="00200C9F">
      <w:pPr>
        <w:pStyle w:val="References"/>
      </w:pPr>
      <w:r>
        <w:t xml:space="preserve">McMilllan, J 2005, </w:t>
      </w:r>
      <w:r w:rsidRPr="006602D7">
        <w:rPr>
          <w:i/>
        </w:rPr>
        <w:t>Course change and attrition from higher education</w:t>
      </w:r>
      <w:r>
        <w:t>,</w:t>
      </w:r>
      <w:r w:rsidRPr="00071161">
        <w:t xml:space="preserve"> LSAY research report </w:t>
      </w:r>
      <w:r>
        <w:t>n</w:t>
      </w:r>
      <w:r w:rsidRPr="00071161">
        <w:t>o.39</w:t>
      </w:r>
      <w:r>
        <w:t>, ACER,</w:t>
      </w:r>
      <w:r w:rsidRPr="00071161">
        <w:t xml:space="preserve"> </w:t>
      </w:r>
      <w:r>
        <w:t>Melbourne.</w:t>
      </w:r>
    </w:p>
    <w:p w:rsidR="00C925E9" w:rsidRDefault="00C925E9" w:rsidP="00200C9F">
      <w:pPr>
        <w:pStyle w:val="References"/>
      </w:pPr>
      <w:r>
        <w:t xml:space="preserve">OECD (Organisation for Economic Co-operation and Development) 2005, </w:t>
      </w:r>
      <w:r w:rsidRPr="003A385D">
        <w:rPr>
          <w:i/>
        </w:rPr>
        <w:t>PISA 2003 data analysis manual. SPSS users</w:t>
      </w:r>
      <w:r>
        <w:t>, OECD,</w:t>
      </w:r>
      <w:r w:rsidRPr="00071161">
        <w:t xml:space="preserve"> </w:t>
      </w:r>
      <w:r>
        <w:t>Paris.</w:t>
      </w:r>
    </w:p>
    <w:p w:rsidR="00C925E9" w:rsidRDefault="00C925E9" w:rsidP="00200C9F">
      <w:pPr>
        <w:pStyle w:val="References"/>
      </w:pPr>
      <w:r>
        <w:t xml:space="preserve">Rasch, G 1960, 1980, </w:t>
      </w:r>
      <w:r w:rsidRPr="00475FFB">
        <w:rPr>
          <w:i/>
        </w:rPr>
        <w:t>Probabilistic models for some intelligence and attainment tests</w:t>
      </w:r>
      <w:r>
        <w:t>, Danmarks Pedagogiske Institut, University of Chicago Press,</w:t>
      </w:r>
      <w:r w:rsidRPr="00071161">
        <w:t xml:space="preserve"> </w:t>
      </w:r>
      <w:r>
        <w:t>Copenhagen, Chicago.</w:t>
      </w:r>
    </w:p>
    <w:p w:rsidR="00C925E9" w:rsidRDefault="00C925E9" w:rsidP="00200C9F">
      <w:pPr>
        <w:pStyle w:val="References"/>
      </w:pPr>
      <w:r>
        <w:t>Stehlik, T 2008, ‘</w:t>
      </w:r>
      <w:r w:rsidRPr="00F36B6D">
        <w:t>Mind the gap: researching school-leaver aspirations</w:t>
      </w:r>
      <w:r>
        <w:t>’, paper presented at the NCVER No Frills Research Conference, Launceston, 9–11 July.</w:t>
      </w:r>
    </w:p>
    <w:p w:rsidR="00C925E9" w:rsidRDefault="00C925E9" w:rsidP="00200C9F">
      <w:pPr>
        <w:pStyle w:val="References"/>
      </w:pPr>
      <w:r>
        <w:t xml:space="preserve">Tabachnick, BG &amp; Fidell, LS 2007, </w:t>
      </w:r>
      <w:r w:rsidRPr="00F25A44">
        <w:rPr>
          <w:i/>
        </w:rPr>
        <w:t>Using multivariate statistics</w:t>
      </w:r>
      <w:r>
        <w:t>, 5</w:t>
      </w:r>
      <w:r w:rsidRPr="00F36B6D">
        <w:t>th</w:t>
      </w:r>
      <w:r>
        <w:t xml:space="preserve"> edn, Pearson Education,</w:t>
      </w:r>
      <w:r w:rsidRPr="00071161">
        <w:t xml:space="preserve"> </w:t>
      </w:r>
      <w:r>
        <w:t>Boston, MA.</w:t>
      </w:r>
    </w:p>
    <w:p w:rsidR="00C925E9" w:rsidRPr="00071161" w:rsidRDefault="00C925E9" w:rsidP="00200C9F">
      <w:pPr>
        <w:pStyle w:val="References"/>
      </w:pPr>
      <w:r>
        <w:t xml:space="preserve">Wright, CM, Frew, TJ, Hatcher, D &amp; Mok, M 1996, ‘The social and demographic characteristics of direct and delay entry nursing students in Australian universities’, </w:t>
      </w:r>
      <w:r w:rsidRPr="00651A38">
        <w:rPr>
          <w:i/>
        </w:rPr>
        <w:t>Higher Education Research and Development</w:t>
      </w:r>
      <w:r w:rsidRPr="00071161">
        <w:t xml:space="preserve">, </w:t>
      </w:r>
      <w:r>
        <w:t>vo.</w:t>
      </w:r>
      <w:r w:rsidRPr="00071161">
        <w:t>15</w:t>
      </w:r>
      <w:r>
        <w:t>, no.</w:t>
      </w:r>
      <w:r w:rsidRPr="00071161">
        <w:t xml:space="preserve">2, </w:t>
      </w:r>
      <w:r>
        <w:t>pp.</w:t>
      </w:r>
      <w:r w:rsidRPr="00071161">
        <w:t>239</w:t>
      </w:r>
      <w:r>
        <w:t>–</w:t>
      </w:r>
      <w:r w:rsidRPr="00071161">
        <w:t>48.</w:t>
      </w:r>
    </w:p>
    <w:p w:rsidR="00C925E9" w:rsidRDefault="00C925E9" w:rsidP="00200C9F">
      <w:pPr>
        <w:pStyle w:val="References"/>
      </w:pPr>
    </w:p>
    <w:p w:rsidR="00C925E9" w:rsidRDefault="00C925E9" w:rsidP="00200C9F">
      <w:pPr>
        <w:pStyle w:val="Heading1"/>
      </w:pPr>
      <w:r>
        <w:br w:type="page"/>
      </w:r>
      <w:bookmarkStart w:id="88" w:name="_Toc323035627"/>
      <w:r>
        <w:t>Appendix 1</w:t>
      </w:r>
      <w:r w:rsidR="00AF5A17">
        <w:t xml:space="preserve">: </w:t>
      </w:r>
      <w:r w:rsidR="0054533C">
        <w:br/>
      </w:r>
      <w:r w:rsidR="00AF5A17">
        <w:t>v</w:t>
      </w:r>
      <w:r>
        <w:t>ariables and methods</w:t>
      </w:r>
      <w:bookmarkEnd w:id="88"/>
    </w:p>
    <w:p w:rsidR="00C925E9" w:rsidRDefault="00C925E9" w:rsidP="00200C9F">
      <w:pPr>
        <w:pStyle w:val="Heading2"/>
      </w:pPr>
      <w:bookmarkStart w:id="89" w:name="_Toc236713459"/>
      <w:bookmarkStart w:id="90" w:name="_Toc322691678"/>
      <w:bookmarkStart w:id="91" w:name="_Toc323035628"/>
      <w:r>
        <w:t>Variables</w:t>
      </w:r>
      <w:bookmarkEnd w:id="89"/>
      <w:bookmarkEnd w:id="90"/>
      <w:bookmarkEnd w:id="91"/>
    </w:p>
    <w:p w:rsidR="00C925E9" w:rsidRDefault="00C925E9" w:rsidP="00200C9F">
      <w:pPr>
        <w:pStyle w:val="Text"/>
      </w:pPr>
      <w:r>
        <w:t>Some variables used in the report, such as socioeconomic status, require explanation, while others, such as gender, do not require elaboration.</w:t>
      </w:r>
    </w:p>
    <w:p w:rsidR="00C925E9" w:rsidRDefault="00C925E9" w:rsidP="00200C9F">
      <w:pPr>
        <w:pStyle w:val="Text"/>
        <w:rPr>
          <w:lang w:val="en-US"/>
        </w:rPr>
      </w:pPr>
      <w:r>
        <w:rPr>
          <w:lang w:val="en-US"/>
        </w:rPr>
        <w:t>For some categorical variables (for example, socioeconomic status and parental education) there is an ‘unknown’ category. Many respondents did not know their parents’ educational attainment or did not complete these questions. The socioeconomic status categories are based on parental occupations. Parents’ occupations may be unknown because students chose not to complete these questions or because their parents were not employed when the original questionnaire was administered. It is possible that many young people in the unknown socioeconomic status category are from low-socioeconomic status families.</w:t>
      </w:r>
    </w:p>
    <w:p w:rsidR="00C925E9" w:rsidRDefault="00C925E9" w:rsidP="00200C9F">
      <w:pPr>
        <w:pStyle w:val="Text"/>
        <w:rPr>
          <w:lang w:val="en-US"/>
        </w:rPr>
      </w:pPr>
      <w:r>
        <w:rPr>
          <w:lang w:val="en-US"/>
        </w:rPr>
        <w:t>Parental education was classified as less than having completed secondary schooling, completion of secondary education, a post-school technical or trade qualification, or a higher education qualification. In the tabulations, mother’s education was used, but where it was not available father’s education was substituted. In modelling, parental education was converted into years of education using Organisation for Economic Co-operation and Development (OECD 2005) practice.</w:t>
      </w:r>
    </w:p>
    <w:p w:rsidR="00C925E9" w:rsidRDefault="00C925E9" w:rsidP="00200C9F">
      <w:pPr>
        <w:pStyle w:val="Text"/>
        <w:rPr>
          <w:lang w:val="en-US"/>
        </w:rPr>
      </w:pPr>
      <w:r>
        <w:rPr>
          <w:lang w:val="en-US"/>
        </w:rPr>
        <w:t>Academic achievement in tabulations was based on a combined literacy and numeracy score, from which achievement quartiles were computed. In the modelling, separate scaled literacy and numeracy scores were used. As reported, colinearity between literacy and numeracy scores was detected and the literacy score was dropped from these analyses.</w:t>
      </w:r>
    </w:p>
    <w:p w:rsidR="00C925E9" w:rsidRPr="00E7194F" w:rsidRDefault="00C925E9" w:rsidP="00200C9F">
      <w:pPr>
        <w:pStyle w:val="Heading3"/>
      </w:pPr>
      <w:r>
        <w:t>Socioeconomic status</w:t>
      </w:r>
    </w:p>
    <w:p w:rsidR="00C925E9" w:rsidRDefault="00C925E9" w:rsidP="00200C9F">
      <w:pPr>
        <w:pStyle w:val="Text"/>
      </w:pPr>
      <w:r>
        <w:t>Socioeconomic status was measured using the ANU3 scale for the Y95 and Y98 cohorts. For the Y03 cohort, two measures are readily available: one measure is based on the International Socioeconomic Index (ISEI) and, like the ANU3 scale, it is based on occupational categories. In this report, the occupation-based indices were taken from father’s occupation. If this was missing, the socioeconomic status index based on mother’s occupation was substituted.</w:t>
      </w:r>
    </w:p>
    <w:p w:rsidR="00C925E9" w:rsidRPr="00B06DB6" w:rsidRDefault="00C925E9" w:rsidP="00200C9F">
      <w:pPr>
        <w:pStyle w:val="Text"/>
      </w:pPr>
      <w:r>
        <w:t xml:space="preserve">In Y03, an alternative index, the economic, social and cultural status (ESCS) index is available. This variable is used in many cross-country </w:t>
      </w:r>
      <w:r w:rsidR="008863D9">
        <w:t>Programme for International Student Assessment (</w:t>
      </w:r>
      <w:r>
        <w:t>PISA</w:t>
      </w:r>
      <w:r w:rsidR="008863D9">
        <w:t>)</w:t>
      </w:r>
      <w:r>
        <w:t xml:space="preserve"> analyses and, in such studies, it works well. Within Australia, the index does not discriminate as well as occupation-based indices because many of the home possessions, such as television sets and washing machines, used in the index are common to the majority of Australian dwellings. The economic, social and cultural status index is described as:</w:t>
      </w:r>
    </w:p>
    <w:p w:rsidR="00C925E9" w:rsidRPr="00D76519" w:rsidRDefault="00C925E9" w:rsidP="00200C9F">
      <w:pPr>
        <w:pStyle w:val="Quote"/>
        <w:rPr>
          <w:sz w:val="18"/>
          <w:szCs w:val="18"/>
        </w:rPr>
      </w:pPr>
      <w:r w:rsidRPr="00D76519">
        <w:rPr>
          <w:sz w:val="18"/>
          <w:szCs w:val="18"/>
        </w:rPr>
        <w:t>The PISA 2003 index of economic, social and cultural status (ESCS) is derived from three variables related to family background: the index of highest level of parental education in number of years of education according to the ISCED classification (PARED), the index of highest parental occupation status (HISEI) and the index of home possessions (HOMEPOS). Missing values for these three variables are imputed and then transformed to an international metric with OECD averages of 0 and OECD standard deviations of 1. These OECD-standardised variables were used for a principal component analysis in order to obtain ESCS scores applying an OECD population weight giving each OECD country a weight of 1000. The PISA index of economic, social and cultural status (ESCS) is computed for PISA 2003 and also re-computed for the PISA 2000 data, but items and the wording of items are slightly different between PISA 2000 and PISA 2003. Further details concerning ESCS are found in PISA 2003 Technic</w:t>
      </w:r>
      <w:r w:rsidR="00534339">
        <w:rPr>
          <w:sz w:val="18"/>
          <w:szCs w:val="18"/>
        </w:rPr>
        <w:t xml:space="preserve">al Report (OECD, forthcoming). </w:t>
      </w:r>
      <w:r>
        <w:rPr>
          <w:sz w:val="18"/>
          <w:szCs w:val="18"/>
        </w:rPr>
        <w:tab/>
        <w:t>(</w:t>
      </w:r>
      <w:r w:rsidRPr="00D76519">
        <w:rPr>
          <w:sz w:val="18"/>
          <w:szCs w:val="18"/>
        </w:rPr>
        <w:t>OECD 2005, p.382)</w:t>
      </w:r>
    </w:p>
    <w:p w:rsidR="00C925E9" w:rsidRDefault="00C925E9" w:rsidP="00200C9F">
      <w:pPr>
        <w:pStyle w:val="Text"/>
      </w:pPr>
      <w:r>
        <w:t xml:space="preserve">The ANU3 index scales occupations listed in the Australian Standard Classification of Occupations (ASCO), while the </w:t>
      </w:r>
      <w:r w:rsidRPr="00D76519">
        <w:t>index of highest parental occupation</w:t>
      </w:r>
      <w:r>
        <w:t xml:space="preserve"> is based on the International Standard Code for Occupations (ISCO). Values on the ANU3 scale range from zero to 100, while the International Socioeconomic Index scale is from 16 to 90. Many occupations are ranked similarly on the two scales but some differences exist between the relative levels of particular occupations in the ANU3 and the International Socioeconomic Index scales. For this reason, socioeconomic status quartiles based on the two indices are not identical.</w:t>
      </w:r>
    </w:p>
    <w:p w:rsidR="00C925E9" w:rsidRDefault="00C925E9" w:rsidP="00200C9F">
      <w:pPr>
        <w:pStyle w:val="Text"/>
      </w:pPr>
      <w:r>
        <w:t xml:space="preserve">The decision to use the </w:t>
      </w:r>
      <w:r w:rsidRPr="00D76519">
        <w:t>index of highest parental occupation</w:t>
      </w:r>
      <w:r>
        <w:t xml:space="preserve"> rather than economic, social and cultural status in the current study was motivated by two considerations. The first is that an occupation-based index was available for the Y95 and Y98 cohorts, so it was sensible to use an occupation-based index for Y03. Second, the economic, social and cultural status index, in addition to its use of home possessions that do not discriminate well within Australia, uses parental education. We were interested in examining the effects of parental education separate from an occupation-based socioeconomic status index. Clearly, education and occupation are linked, as entry into many occupations requires specific levels of education. The association between these two variables can be separated somewhat by using father’s occupation and mother’s education. There are both practical and theoretical reasons for this choice. Father’s occupation (or income) is often used as an effective predictor of outcomes. Mother’s education is regarded as significant in children’s outcomes, as mothers often spend more time with children in an informal educative role.</w:t>
      </w:r>
    </w:p>
    <w:p w:rsidR="00C925E9" w:rsidRDefault="00C925E9" w:rsidP="00200C9F">
      <w:pPr>
        <w:pStyle w:val="Heading2"/>
      </w:pPr>
      <w:bookmarkStart w:id="92" w:name="_Toc236713460"/>
      <w:bookmarkStart w:id="93" w:name="_Toc322691679"/>
      <w:bookmarkStart w:id="94" w:name="_Toc323035629"/>
      <w:r>
        <w:t>Methods</w:t>
      </w:r>
      <w:bookmarkEnd w:id="92"/>
      <w:bookmarkEnd w:id="93"/>
      <w:bookmarkEnd w:id="94"/>
    </w:p>
    <w:p w:rsidR="00C925E9" w:rsidRDefault="00C925E9" w:rsidP="00200C9F">
      <w:pPr>
        <w:pStyle w:val="Heading3"/>
      </w:pPr>
      <w:r>
        <w:t>Logistic regression</w:t>
      </w:r>
    </w:p>
    <w:p w:rsidR="00C925E9" w:rsidRDefault="00C925E9" w:rsidP="00200C9F">
      <w:pPr>
        <w:pStyle w:val="Text"/>
      </w:pPr>
      <w:r>
        <w:t>Logistic regression is used to develop the explanatory model of gap-taking that was presented in chapter 2 of this report. It is the label applied to a set of very flexible regression methods. The outcome of interest is dichotomous in the more common application of logistic regression. An example question might be ‘What factors are related to gap-taking?’ In this case the outcome variable is gap-taking status and it has two levels: either the student takes a gap year or does not. One level is the reference (not taking a gap year) and the other is the target outcome.</w:t>
      </w:r>
    </w:p>
    <w:p w:rsidR="00C925E9" w:rsidRDefault="00C925E9" w:rsidP="00200C9F">
      <w:pPr>
        <w:pStyle w:val="Text"/>
      </w:pPr>
      <w:r>
        <w:t>The method is particularly flexible, as explanatory variables in the model may be continuous, dichotomous, ordered discrete, or unordered categorical. Few assumptions are made about the distributional properties of the explanatory variables. The method involves finding the optimum linear combination of predictor variables to estimate the log of the odds ratio of one outcome (taking a gap year) over the alternative (not taking a gap year).</w:t>
      </w:r>
    </w:p>
    <w:p w:rsidR="00C925E9" w:rsidRDefault="00C925E9" w:rsidP="00200C9F">
      <w:pPr>
        <w:pStyle w:val="Text"/>
      </w:pPr>
      <w:r>
        <w:t>The regression parameters estimated are the log of the odds of the influence of each explanatory variable on the outcome variable. When predictor variables are continuous, the parameter indicates the effect of a unit change in the predictor on the odds of achieving the target outcome rather than the reference outcome. When explanatory variables are dichotomous (for example, sex) one level, female, is set as a reference predictor and the alternative, male, become</w:t>
      </w:r>
      <w:r w:rsidR="008863D9">
        <w:t>s</w:t>
      </w:r>
      <w:r>
        <w:t xml:space="preserve"> the predictor category. The parameter estimate is the log of the odds of a male completing Year 12 compared with a female. The exponent of the parameter gives the odds ratio.</w:t>
      </w:r>
    </w:p>
    <w:p w:rsidR="00C925E9" w:rsidRPr="004C5CF7" w:rsidRDefault="00C925E9" w:rsidP="00200C9F">
      <w:pPr>
        <w:pStyle w:val="Text"/>
      </w:pPr>
      <w:r>
        <w:t xml:space="preserve">Tabachnick and Fidell (2007, </w:t>
      </w:r>
      <w:r w:rsidRPr="00F25A44">
        <w:t>pp.437</w:t>
      </w:r>
      <w:r w:rsidR="008863D9">
        <w:t>—</w:t>
      </w:r>
      <w:r w:rsidRPr="00F25A44">
        <w:t>505</w:t>
      </w:r>
      <w:r>
        <w:t>) provide an extensive treatment of logistic regression.</w:t>
      </w:r>
    </w:p>
    <w:p w:rsidR="00C925E9" w:rsidRDefault="00C925E9" w:rsidP="00200C9F">
      <w:pPr>
        <w:pStyle w:val="Heading3"/>
      </w:pPr>
      <w:r>
        <w:t>The Rasch measurement model</w:t>
      </w:r>
    </w:p>
    <w:p w:rsidR="00C925E9" w:rsidRDefault="00C925E9" w:rsidP="00200C9F">
      <w:pPr>
        <w:pStyle w:val="Text"/>
      </w:pPr>
      <w:r>
        <w:t xml:space="preserve">The Rasch model is used in the </w:t>
      </w:r>
      <w:smartTag w:uri="urn:schemas-microsoft-com:office:smarttags" w:element="place">
        <w:smartTag w:uri="urn:schemas-microsoft-com:office:smarttags" w:element="City">
          <w:r>
            <w:t>PISA</w:t>
          </w:r>
        </w:smartTag>
      </w:smartTag>
      <w:r>
        <w:t xml:space="preserve"> survey to generate estimates of student achievement in mathematics and reading, and to generate scores on sets of related items such as students’ attitude towards school. It is used in the present study to convert the ordinal responses to the ‘quality of school life’ items for the Y95 and Y98 surveys to interval scaled scores.</w:t>
      </w:r>
    </w:p>
    <w:p w:rsidR="00C925E9" w:rsidRDefault="00C925E9" w:rsidP="00200C9F">
      <w:pPr>
        <w:pStyle w:val="Text"/>
      </w:pPr>
      <w:r>
        <w:t>The model has advantages in large datasets where some responses are missing. If raw scores are used and some individuals have missed items, the case either has to be removed or assumptions made about an appropriate value. By modelling item difficulties, the Rasch method is able to provide unbiased estimates of individuals’ scores on the trait of interest.</w:t>
      </w:r>
    </w:p>
    <w:p w:rsidR="00C925E9" w:rsidRDefault="00C925E9" w:rsidP="00200C9F">
      <w:pPr>
        <w:pStyle w:val="Text"/>
      </w:pPr>
      <w:r>
        <w:t>The Rasch model is used to convert the ordinal responses to test or items in an attitude survey to interval continuous scores on a measurement scale. It makes certain demands of the data being analysed. It assumes that a single coherent construct underlies the set of items that are used as prompts to elicit responses. If this assumption is not met, this failure will be apparent in a set of fit indices produced in the analysis.</w:t>
      </w:r>
    </w:p>
    <w:p w:rsidR="00C925E9" w:rsidRDefault="00C925E9" w:rsidP="00200C9F">
      <w:pPr>
        <w:pStyle w:val="Text"/>
      </w:pPr>
      <w:r>
        <w:t>The Rasch model (Rasch 1960, 1980) posits a logistic response function relating the difficulty of a prompt and the ability of the respondent to the probability of their producing a particular response. The basic dichotomous model was extended to model multiple responses to items, as are used in attitude surveys like job satisfaction in the rating scale model (Andrich 1978) and then to the partial credit formulation (Masters 1982).</w:t>
      </w:r>
    </w:p>
    <w:p w:rsidR="00C925E9" w:rsidRDefault="00C925E9" w:rsidP="00200C9F">
      <w:pPr>
        <w:pStyle w:val="Text"/>
      </w:pPr>
      <w:r>
        <w:t>Instead of modelling a single difficulty parameter for each item, each item has a series of parameters, one for each step in the ordered set of responses. The quality of school life instrument makes statements such as ‘The work we do is interesting’; to this respondents were asked to endorse one of ‘strongly agree’, ‘agree’, ‘disagree’ or ‘strongly disagree’. Because there are four response options, there are three thresholds between them. The probability of endorsing a particular response to an item depends on the strength of a person’s perception of schools as providing a quality experience and the difficulty of endorsing a particular step (that is, agree rather than disagree) within the set of possible responses.</w:t>
      </w:r>
    </w:p>
    <w:p w:rsidR="00851FD6" w:rsidRDefault="00C925E9" w:rsidP="00200C9F">
      <w:pPr>
        <w:pStyle w:val="Text"/>
      </w:pPr>
      <w:r>
        <w:t xml:space="preserve">The observed proportions of responses from each person to each item are used in an iterative process in the Rasch equations to estimate the parameters for each person and each item. Provided the items conform to the requirements of the model, verified through a set of fit </w:t>
      </w:r>
    </w:p>
    <w:p w:rsidR="00851FD6" w:rsidRDefault="00851FD6">
      <w:pPr>
        <w:spacing w:before="0" w:line="240" w:lineRule="auto"/>
      </w:pPr>
      <w:r>
        <w:br w:type="page"/>
      </w:r>
    </w:p>
    <w:p w:rsidR="00C925E9" w:rsidRDefault="00C925E9" w:rsidP="00200C9F">
      <w:pPr>
        <w:pStyle w:val="Text"/>
      </w:pPr>
      <w:r>
        <w:t>statistics, the item and person parameters lie on an interval measurement scale. The person estimates can then be used in subsequent statistical modelling that assume a continuous interval scale.</w:t>
      </w:r>
    </w:p>
    <w:p w:rsidR="00C925E9" w:rsidRPr="004C5CF7" w:rsidRDefault="00C925E9" w:rsidP="00200C9F">
      <w:pPr>
        <w:pStyle w:val="Text"/>
      </w:pPr>
      <w:r>
        <w:t>Bond and Fox (2001) provide an accessible treatment of the Rasch measurement model.</w:t>
      </w:r>
    </w:p>
    <w:p w:rsidR="00C925E9" w:rsidRDefault="00C925E9" w:rsidP="00200C9F">
      <w:pPr>
        <w:pStyle w:val="Text"/>
      </w:pPr>
    </w:p>
    <w:p w:rsidR="00C925E9" w:rsidRDefault="00C925E9" w:rsidP="00200C9F">
      <w:pPr>
        <w:pStyle w:val="Heading1"/>
      </w:pPr>
      <w:r>
        <w:br w:type="page"/>
      </w:r>
      <w:bookmarkStart w:id="95" w:name="_Toc323035630"/>
      <w:r>
        <w:t>Appendix 2</w:t>
      </w:r>
      <w:r w:rsidR="00374F9E">
        <w:t xml:space="preserve">: </w:t>
      </w:r>
      <w:r w:rsidR="0054533C">
        <w:br/>
      </w:r>
      <w:r w:rsidR="00374F9E">
        <w:t>s</w:t>
      </w:r>
      <w:r>
        <w:t>upplementary tables</w:t>
      </w:r>
      <w:bookmarkEnd w:id="95"/>
    </w:p>
    <w:p w:rsidR="00C925E9" w:rsidRDefault="00C925E9" w:rsidP="00200C9F">
      <w:pPr>
        <w:pStyle w:val="Text"/>
        <w:spacing w:before="440"/>
      </w:pPr>
      <w:r>
        <w:t>This appendix contains tables with more detail than those presented in the body of the report.</w:t>
      </w:r>
    </w:p>
    <w:p w:rsidR="00C925E9" w:rsidRDefault="00C925E9" w:rsidP="00200C9F">
      <w:pPr>
        <w:pStyle w:val="Heading3"/>
      </w:pPr>
      <w:r>
        <w:t>Higher education statistics</w:t>
      </w:r>
    </w:p>
    <w:p w:rsidR="00C925E9" w:rsidRDefault="00C925E9" w:rsidP="00200C9F">
      <w:pPr>
        <w:pStyle w:val="tabletitle"/>
        <w:ind w:left="993" w:hanging="993"/>
      </w:pPr>
      <w:bookmarkStart w:id="96" w:name="_Toc322691625"/>
      <w:r>
        <w:t>Table A2.1</w:t>
      </w:r>
      <w:r>
        <w:tab/>
      </w:r>
      <w:bookmarkStart w:id="97" w:name="OLE_LINK9"/>
      <w:bookmarkStart w:id="98" w:name="OLE_LINK10"/>
      <w:r>
        <w:t>Gap year status and commencer status of domestic students commencing bachelor degree programs and below</w:t>
      </w:r>
      <w:r w:rsidRPr="00AA596C">
        <w:rPr>
          <w:vertAlign w:val="superscript"/>
        </w:rPr>
        <w:t>a</w:t>
      </w:r>
      <w:r>
        <w:t xml:space="preserve"> in 2004, by jurisdiction</w:t>
      </w:r>
      <w:bookmarkEnd w:id="97"/>
      <w:bookmarkEnd w:id="98"/>
      <w:bookmarkEnd w:id="96"/>
    </w:p>
    <w:tbl>
      <w:tblPr>
        <w:tblW w:w="0" w:type="auto"/>
        <w:tblInd w:w="95" w:type="dxa"/>
        <w:tblLayout w:type="fixed"/>
        <w:tblLook w:val="0000"/>
      </w:tblPr>
      <w:tblGrid>
        <w:gridCol w:w="2552"/>
        <w:gridCol w:w="1134"/>
        <w:gridCol w:w="1134"/>
        <w:gridCol w:w="1134"/>
        <w:gridCol w:w="1134"/>
        <w:gridCol w:w="1134"/>
      </w:tblGrid>
      <w:tr w:rsidR="0054533C" w:rsidRPr="0081362A" w:rsidTr="0054533C">
        <w:trPr>
          <w:trHeight w:val="240"/>
        </w:trPr>
        <w:tc>
          <w:tcPr>
            <w:tcW w:w="2552" w:type="dxa"/>
            <w:tcBorders>
              <w:top w:val="single" w:sz="4" w:space="0" w:color="auto"/>
            </w:tcBorders>
            <w:shd w:val="clear" w:color="auto" w:fill="auto"/>
            <w:vAlign w:val="bottom"/>
          </w:tcPr>
          <w:p w:rsidR="0054533C" w:rsidRDefault="0054533C" w:rsidP="0054533C">
            <w:pPr>
              <w:pStyle w:val="Tablehead1"/>
            </w:pPr>
            <w:r>
              <w:t>Jurisdiction</w:t>
            </w:r>
          </w:p>
        </w:tc>
        <w:tc>
          <w:tcPr>
            <w:tcW w:w="5670" w:type="dxa"/>
            <w:gridSpan w:val="5"/>
            <w:tcBorders>
              <w:top w:val="single" w:sz="4" w:space="0" w:color="auto"/>
            </w:tcBorders>
            <w:shd w:val="clear" w:color="auto" w:fill="auto"/>
            <w:vAlign w:val="bottom"/>
          </w:tcPr>
          <w:p w:rsidR="0054533C" w:rsidRPr="00CD77B6" w:rsidRDefault="0054533C" w:rsidP="0054533C">
            <w:pPr>
              <w:pStyle w:val="Tablehead1"/>
              <w:jc w:val="center"/>
            </w:pPr>
            <w:r w:rsidRPr="003F25B9">
              <w:t xml:space="preserve">Gap year </w:t>
            </w:r>
            <w:r>
              <w:t>and commencement status</w:t>
            </w:r>
          </w:p>
        </w:tc>
      </w:tr>
      <w:tr w:rsidR="00C925E9" w:rsidRPr="0081362A">
        <w:trPr>
          <w:trHeight w:val="240"/>
        </w:trPr>
        <w:tc>
          <w:tcPr>
            <w:tcW w:w="2552" w:type="dxa"/>
            <w:shd w:val="clear" w:color="auto" w:fill="auto"/>
            <w:vAlign w:val="bottom"/>
          </w:tcPr>
          <w:p w:rsidR="00C925E9" w:rsidRDefault="00C925E9" w:rsidP="00200C9F">
            <w:pPr>
              <w:pStyle w:val="Tablehead2"/>
            </w:pPr>
          </w:p>
        </w:tc>
        <w:tc>
          <w:tcPr>
            <w:tcW w:w="3402" w:type="dxa"/>
            <w:gridSpan w:val="3"/>
            <w:tcBorders>
              <w:bottom w:val="single" w:sz="4" w:space="0" w:color="auto"/>
            </w:tcBorders>
            <w:shd w:val="clear" w:color="auto" w:fill="auto"/>
            <w:vAlign w:val="bottom"/>
          </w:tcPr>
          <w:p w:rsidR="00C925E9" w:rsidRPr="0054533C" w:rsidRDefault="00C925E9" w:rsidP="0054533C">
            <w:pPr>
              <w:pStyle w:val="Tablehead2"/>
              <w:jc w:val="center"/>
            </w:pPr>
            <w:r w:rsidRPr="0054533C">
              <w:t xml:space="preserve">School leavers with no other </w:t>
            </w:r>
            <w:r w:rsidRPr="0054533C">
              <w:br/>
              <w:t>qualifications</w:t>
            </w:r>
            <w:r w:rsidRPr="00851FD6">
              <w:rPr>
                <w:vertAlign w:val="superscript"/>
              </w:rPr>
              <w:t>b</w:t>
            </w:r>
          </w:p>
        </w:tc>
        <w:tc>
          <w:tcPr>
            <w:tcW w:w="1134" w:type="dxa"/>
            <w:shd w:val="clear" w:color="auto" w:fill="auto"/>
            <w:vAlign w:val="bottom"/>
          </w:tcPr>
          <w:p w:rsidR="00C925E9" w:rsidRPr="0054533C" w:rsidRDefault="00C925E9" w:rsidP="0054533C">
            <w:pPr>
              <w:pStyle w:val="Tablehead2"/>
              <w:jc w:val="right"/>
              <w:rPr>
                <w:szCs w:val="16"/>
              </w:rPr>
            </w:pPr>
            <w:r w:rsidRPr="0054533C">
              <w:rPr>
                <w:szCs w:val="16"/>
              </w:rPr>
              <w:t>Others</w:t>
            </w:r>
          </w:p>
        </w:tc>
        <w:tc>
          <w:tcPr>
            <w:tcW w:w="1134" w:type="dxa"/>
            <w:shd w:val="clear" w:color="auto" w:fill="auto"/>
            <w:vAlign w:val="bottom"/>
          </w:tcPr>
          <w:p w:rsidR="00C925E9" w:rsidRPr="0054533C" w:rsidRDefault="00C925E9" w:rsidP="0054533C">
            <w:pPr>
              <w:pStyle w:val="Tablehead2"/>
              <w:jc w:val="right"/>
            </w:pPr>
            <w:r w:rsidRPr="0054533C">
              <w:t>Total</w:t>
            </w:r>
          </w:p>
        </w:tc>
      </w:tr>
      <w:tr w:rsidR="00C925E9" w:rsidRPr="0081362A">
        <w:trPr>
          <w:trHeight w:val="240"/>
        </w:trPr>
        <w:tc>
          <w:tcPr>
            <w:tcW w:w="2552" w:type="dxa"/>
            <w:tcBorders>
              <w:bottom w:val="single" w:sz="4" w:space="0" w:color="auto"/>
            </w:tcBorders>
            <w:shd w:val="clear" w:color="auto" w:fill="auto"/>
            <w:vAlign w:val="bottom"/>
          </w:tcPr>
          <w:p w:rsidR="00C925E9" w:rsidRPr="0081362A" w:rsidRDefault="00C925E9" w:rsidP="00200C9F">
            <w:pPr>
              <w:pStyle w:val="Tablehead2"/>
            </w:pPr>
          </w:p>
        </w:tc>
        <w:tc>
          <w:tcPr>
            <w:tcW w:w="1134" w:type="dxa"/>
            <w:tcBorders>
              <w:top w:val="single" w:sz="4" w:space="0" w:color="auto"/>
              <w:bottom w:val="single" w:sz="4" w:space="0" w:color="auto"/>
            </w:tcBorders>
            <w:shd w:val="clear" w:color="auto" w:fill="auto"/>
            <w:vAlign w:val="bottom"/>
          </w:tcPr>
          <w:p w:rsidR="00C925E9" w:rsidRPr="00CD77B6" w:rsidRDefault="00C925E9" w:rsidP="0054533C">
            <w:pPr>
              <w:pStyle w:val="Tablehead3"/>
              <w:jc w:val="right"/>
            </w:pPr>
            <w:r w:rsidRPr="00CD77B6">
              <w:t>No gap</w:t>
            </w:r>
          </w:p>
        </w:tc>
        <w:tc>
          <w:tcPr>
            <w:tcW w:w="1134" w:type="dxa"/>
            <w:tcBorders>
              <w:top w:val="single" w:sz="4" w:space="0" w:color="auto"/>
              <w:bottom w:val="single" w:sz="4" w:space="0" w:color="auto"/>
            </w:tcBorders>
            <w:shd w:val="clear" w:color="auto" w:fill="auto"/>
            <w:vAlign w:val="bottom"/>
          </w:tcPr>
          <w:p w:rsidR="00C925E9" w:rsidRPr="00CD77B6" w:rsidRDefault="00C925E9" w:rsidP="0054533C">
            <w:pPr>
              <w:pStyle w:val="Tablehead3"/>
              <w:jc w:val="right"/>
            </w:pPr>
            <w:r w:rsidRPr="00CD77B6">
              <w:t>1 year gap</w:t>
            </w:r>
          </w:p>
        </w:tc>
        <w:tc>
          <w:tcPr>
            <w:tcW w:w="1134" w:type="dxa"/>
            <w:tcBorders>
              <w:top w:val="single" w:sz="4" w:space="0" w:color="auto"/>
              <w:bottom w:val="single" w:sz="4" w:space="0" w:color="auto"/>
            </w:tcBorders>
            <w:shd w:val="clear" w:color="auto" w:fill="auto"/>
            <w:vAlign w:val="bottom"/>
          </w:tcPr>
          <w:p w:rsidR="00C925E9" w:rsidRPr="00CD77B6" w:rsidRDefault="00C925E9" w:rsidP="0054533C">
            <w:pPr>
              <w:pStyle w:val="Tablehead3"/>
              <w:jc w:val="right"/>
            </w:pPr>
            <w:r w:rsidRPr="00CD77B6">
              <w:t>2 or more years gap</w:t>
            </w:r>
            <w:r>
              <w:t xml:space="preserve"> or unknown year of completion</w:t>
            </w:r>
          </w:p>
        </w:tc>
        <w:tc>
          <w:tcPr>
            <w:tcW w:w="1134" w:type="dxa"/>
            <w:tcBorders>
              <w:bottom w:val="single" w:sz="4" w:space="0" w:color="auto"/>
            </w:tcBorders>
            <w:shd w:val="clear" w:color="auto" w:fill="auto"/>
            <w:vAlign w:val="bottom"/>
          </w:tcPr>
          <w:p w:rsidR="00C925E9" w:rsidRPr="00CD77B6" w:rsidRDefault="00C925E9" w:rsidP="00200C9F">
            <w:pPr>
              <w:pStyle w:val="Tablehead2"/>
              <w:jc w:val="center"/>
            </w:pPr>
          </w:p>
        </w:tc>
        <w:tc>
          <w:tcPr>
            <w:tcW w:w="1134" w:type="dxa"/>
            <w:tcBorders>
              <w:bottom w:val="single" w:sz="4" w:space="0" w:color="auto"/>
            </w:tcBorders>
            <w:shd w:val="clear" w:color="auto" w:fill="auto"/>
            <w:vAlign w:val="bottom"/>
          </w:tcPr>
          <w:p w:rsidR="00C925E9" w:rsidRPr="00CD77B6" w:rsidRDefault="00C925E9" w:rsidP="00200C9F">
            <w:pPr>
              <w:pStyle w:val="Tablehead2"/>
              <w:jc w:val="center"/>
            </w:pPr>
          </w:p>
        </w:tc>
      </w:tr>
      <w:tr w:rsidR="00C925E9" w:rsidRPr="0081362A">
        <w:trPr>
          <w:trHeight w:val="240"/>
        </w:trPr>
        <w:tc>
          <w:tcPr>
            <w:tcW w:w="2552" w:type="dxa"/>
            <w:tcBorders>
              <w:top w:val="single" w:sz="4" w:space="0" w:color="auto"/>
            </w:tcBorders>
            <w:shd w:val="clear" w:color="auto" w:fill="auto"/>
            <w:vAlign w:val="bottom"/>
          </w:tcPr>
          <w:p w:rsidR="00C925E9" w:rsidRPr="0081362A" w:rsidRDefault="00C925E9" w:rsidP="00200C9F">
            <w:pPr>
              <w:pStyle w:val="Tabletext"/>
            </w:pPr>
            <w:smartTag w:uri="urn:schemas-microsoft-com:office:smarttags" w:element="place">
              <w:smartTag w:uri="urn:schemas-microsoft-com:office:smarttags" w:element="State">
                <w:r w:rsidRPr="0081362A">
                  <w:t>New South Wales</w:t>
                </w:r>
              </w:smartTag>
            </w:smartTag>
          </w:p>
        </w:tc>
        <w:tc>
          <w:tcPr>
            <w:tcW w:w="1134" w:type="dxa"/>
            <w:tcBorders>
              <w:top w:val="single" w:sz="4" w:space="0" w:color="auto"/>
            </w:tcBorders>
            <w:shd w:val="clear" w:color="auto" w:fill="auto"/>
            <w:noWrap/>
            <w:vAlign w:val="bottom"/>
          </w:tcPr>
          <w:p w:rsidR="00C925E9" w:rsidRPr="0081362A" w:rsidRDefault="00C925E9" w:rsidP="0054533C">
            <w:pPr>
              <w:pStyle w:val="Tabletext"/>
              <w:tabs>
                <w:tab w:val="decimal" w:pos="680"/>
              </w:tabs>
              <w:jc w:val="right"/>
            </w:pPr>
            <w:r w:rsidRPr="0081362A">
              <w:t>32</w:t>
            </w:r>
          </w:p>
        </w:tc>
        <w:tc>
          <w:tcPr>
            <w:tcW w:w="1134" w:type="dxa"/>
            <w:tcBorders>
              <w:top w:val="single" w:sz="4" w:space="0" w:color="auto"/>
            </w:tcBorders>
            <w:shd w:val="clear" w:color="auto" w:fill="auto"/>
            <w:noWrap/>
            <w:vAlign w:val="bottom"/>
          </w:tcPr>
          <w:p w:rsidR="00C925E9" w:rsidRPr="0081362A" w:rsidRDefault="00C925E9" w:rsidP="0054533C">
            <w:pPr>
              <w:pStyle w:val="Tabletext"/>
              <w:tabs>
                <w:tab w:val="decimal" w:pos="680"/>
              </w:tabs>
              <w:jc w:val="right"/>
            </w:pPr>
            <w:r w:rsidRPr="0081362A">
              <w:t>9</w:t>
            </w:r>
          </w:p>
        </w:tc>
        <w:tc>
          <w:tcPr>
            <w:tcW w:w="1134" w:type="dxa"/>
            <w:tcBorders>
              <w:top w:val="single" w:sz="4" w:space="0" w:color="auto"/>
            </w:tcBorders>
            <w:shd w:val="clear" w:color="auto" w:fill="auto"/>
            <w:noWrap/>
            <w:vAlign w:val="bottom"/>
          </w:tcPr>
          <w:p w:rsidR="00C925E9" w:rsidRPr="0081362A" w:rsidRDefault="00C925E9" w:rsidP="0054533C">
            <w:pPr>
              <w:pStyle w:val="Tabletext"/>
              <w:tabs>
                <w:tab w:val="decimal" w:pos="680"/>
              </w:tabs>
              <w:jc w:val="right"/>
            </w:pPr>
            <w:r w:rsidRPr="0081362A">
              <w:t>12</w:t>
            </w:r>
          </w:p>
        </w:tc>
        <w:tc>
          <w:tcPr>
            <w:tcW w:w="1134" w:type="dxa"/>
            <w:tcBorders>
              <w:top w:val="single" w:sz="4" w:space="0" w:color="auto"/>
            </w:tcBorders>
            <w:shd w:val="clear" w:color="auto" w:fill="auto"/>
            <w:noWrap/>
            <w:vAlign w:val="bottom"/>
          </w:tcPr>
          <w:p w:rsidR="00C925E9" w:rsidRPr="0081362A" w:rsidRDefault="00C925E9" w:rsidP="0054533C">
            <w:pPr>
              <w:pStyle w:val="Tabletext"/>
              <w:tabs>
                <w:tab w:val="decimal" w:pos="680"/>
              </w:tabs>
              <w:jc w:val="right"/>
            </w:pPr>
            <w:r w:rsidRPr="0081362A">
              <w:t>47</w:t>
            </w:r>
          </w:p>
        </w:tc>
        <w:tc>
          <w:tcPr>
            <w:tcW w:w="1134" w:type="dxa"/>
            <w:tcBorders>
              <w:top w:val="single" w:sz="4" w:space="0" w:color="auto"/>
            </w:tcBorders>
            <w:shd w:val="clear" w:color="auto" w:fill="auto"/>
            <w:noWrap/>
            <w:vAlign w:val="bottom"/>
          </w:tcPr>
          <w:p w:rsidR="00C925E9" w:rsidRPr="0081362A" w:rsidRDefault="00C925E9" w:rsidP="0054533C">
            <w:pPr>
              <w:pStyle w:val="Tabletext"/>
              <w:tabs>
                <w:tab w:val="decimal" w:pos="680"/>
              </w:tabs>
              <w:jc w:val="right"/>
            </w:pPr>
            <w:r w:rsidRPr="0081362A">
              <w:t>100</w:t>
            </w:r>
          </w:p>
        </w:tc>
      </w:tr>
      <w:tr w:rsidR="00C925E9" w:rsidRPr="0081362A">
        <w:trPr>
          <w:trHeight w:val="240"/>
        </w:trPr>
        <w:tc>
          <w:tcPr>
            <w:tcW w:w="2552" w:type="dxa"/>
            <w:shd w:val="clear" w:color="auto" w:fill="auto"/>
            <w:vAlign w:val="bottom"/>
          </w:tcPr>
          <w:p w:rsidR="00C925E9" w:rsidRPr="0081362A" w:rsidRDefault="00C925E9" w:rsidP="00200C9F">
            <w:pPr>
              <w:pStyle w:val="Tabletext"/>
            </w:pPr>
            <w:smartTag w:uri="urn:schemas-microsoft-com:office:smarttags" w:element="place">
              <w:smartTag w:uri="urn:schemas-microsoft-com:office:smarttags" w:element="State">
                <w:r w:rsidRPr="0081362A">
                  <w:t>Victoria</w:t>
                </w:r>
              </w:smartTag>
            </w:smartTag>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42</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15</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33</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100</w:t>
            </w:r>
          </w:p>
        </w:tc>
      </w:tr>
      <w:tr w:rsidR="00C925E9" w:rsidRPr="0081362A">
        <w:trPr>
          <w:trHeight w:val="240"/>
        </w:trPr>
        <w:tc>
          <w:tcPr>
            <w:tcW w:w="2552" w:type="dxa"/>
            <w:shd w:val="clear" w:color="auto" w:fill="auto"/>
            <w:vAlign w:val="bottom"/>
          </w:tcPr>
          <w:p w:rsidR="00C925E9" w:rsidRPr="0081362A" w:rsidRDefault="00C925E9" w:rsidP="00200C9F">
            <w:pPr>
              <w:pStyle w:val="Tabletext"/>
            </w:pPr>
            <w:smartTag w:uri="urn:schemas-microsoft-com:office:smarttags" w:element="place">
              <w:smartTag w:uri="urn:schemas-microsoft-com:office:smarttags" w:element="State">
                <w:r w:rsidRPr="0081362A">
                  <w:t>Queensland</w:t>
                </w:r>
              </w:smartTag>
            </w:smartTag>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32</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12</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46</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100</w:t>
            </w:r>
          </w:p>
        </w:tc>
      </w:tr>
      <w:tr w:rsidR="00C925E9" w:rsidRPr="0081362A">
        <w:trPr>
          <w:trHeight w:val="240"/>
        </w:trPr>
        <w:tc>
          <w:tcPr>
            <w:tcW w:w="2552" w:type="dxa"/>
            <w:shd w:val="clear" w:color="auto" w:fill="auto"/>
            <w:vAlign w:val="bottom"/>
          </w:tcPr>
          <w:p w:rsidR="00C925E9" w:rsidRPr="0081362A" w:rsidRDefault="00C925E9" w:rsidP="00200C9F">
            <w:pPr>
              <w:pStyle w:val="Tabletext"/>
            </w:pPr>
            <w:smartTag w:uri="urn:schemas-microsoft-com:office:smarttags" w:element="place">
              <w:smartTag w:uri="urn:schemas-microsoft-com:office:smarttags" w:element="State">
                <w:r w:rsidRPr="0081362A">
                  <w:t>Western Australia</w:t>
                </w:r>
              </w:smartTag>
            </w:smartTag>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33</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12</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14</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42</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100</w:t>
            </w:r>
          </w:p>
        </w:tc>
      </w:tr>
      <w:tr w:rsidR="00C925E9" w:rsidRPr="0081362A">
        <w:trPr>
          <w:trHeight w:val="240"/>
        </w:trPr>
        <w:tc>
          <w:tcPr>
            <w:tcW w:w="2552" w:type="dxa"/>
            <w:shd w:val="clear" w:color="auto" w:fill="auto"/>
            <w:vAlign w:val="bottom"/>
          </w:tcPr>
          <w:p w:rsidR="00C925E9" w:rsidRPr="0081362A" w:rsidRDefault="00C925E9" w:rsidP="00200C9F">
            <w:pPr>
              <w:pStyle w:val="Tabletext"/>
            </w:pPr>
            <w:smartTag w:uri="urn:schemas-microsoft-com:office:smarttags" w:element="place">
              <w:smartTag w:uri="urn:schemas-microsoft-com:office:smarttags" w:element="State">
                <w:r w:rsidRPr="0081362A">
                  <w:t>South Australia</w:t>
                </w:r>
              </w:smartTag>
            </w:smartTag>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39</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9</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42</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100</w:t>
            </w:r>
          </w:p>
        </w:tc>
      </w:tr>
      <w:tr w:rsidR="00C925E9" w:rsidRPr="0081362A">
        <w:trPr>
          <w:trHeight w:val="240"/>
        </w:trPr>
        <w:tc>
          <w:tcPr>
            <w:tcW w:w="2552" w:type="dxa"/>
            <w:shd w:val="clear" w:color="auto" w:fill="auto"/>
            <w:vAlign w:val="bottom"/>
          </w:tcPr>
          <w:p w:rsidR="00C925E9" w:rsidRPr="0081362A" w:rsidRDefault="00C925E9" w:rsidP="00200C9F">
            <w:pPr>
              <w:pStyle w:val="Tabletext"/>
            </w:pPr>
            <w:smartTag w:uri="urn:schemas-microsoft-com:office:smarttags" w:element="place">
              <w:smartTag w:uri="urn:schemas-microsoft-com:office:smarttags" w:element="State">
                <w:r w:rsidRPr="0081362A">
                  <w:t>Tasmania</w:t>
                </w:r>
              </w:smartTag>
            </w:smartTag>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27</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11</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20</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42</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100</w:t>
            </w:r>
          </w:p>
        </w:tc>
      </w:tr>
      <w:tr w:rsidR="00C925E9" w:rsidRPr="0081362A">
        <w:trPr>
          <w:trHeight w:val="240"/>
        </w:trPr>
        <w:tc>
          <w:tcPr>
            <w:tcW w:w="2552" w:type="dxa"/>
            <w:shd w:val="clear" w:color="auto" w:fill="auto"/>
            <w:vAlign w:val="bottom"/>
          </w:tcPr>
          <w:p w:rsidR="00C925E9" w:rsidRPr="0081362A" w:rsidRDefault="00C925E9" w:rsidP="00200C9F">
            <w:pPr>
              <w:pStyle w:val="Tabletext"/>
            </w:pPr>
            <w:smartTag w:uri="urn:schemas-microsoft-com:office:smarttags" w:element="place">
              <w:smartTag w:uri="urn:schemas-microsoft-com:office:smarttags" w:element="State">
                <w:r w:rsidRPr="0081362A">
                  <w:t>Northern Territory</w:t>
                </w:r>
              </w:smartTag>
            </w:smartTag>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9</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4</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17</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71</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100</w:t>
            </w:r>
          </w:p>
        </w:tc>
      </w:tr>
      <w:tr w:rsidR="00C925E9" w:rsidRPr="0081362A">
        <w:trPr>
          <w:trHeight w:val="240"/>
        </w:trPr>
        <w:tc>
          <w:tcPr>
            <w:tcW w:w="2552" w:type="dxa"/>
            <w:shd w:val="clear" w:color="auto" w:fill="auto"/>
            <w:vAlign w:val="bottom"/>
          </w:tcPr>
          <w:p w:rsidR="00C925E9" w:rsidRPr="0081362A" w:rsidRDefault="00C925E9" w:rsidP="00200C9F">
            <w:pPr>
              <w:pStyle w:val="Tabletext"/>
            </w:pPr>
            <w:smartTag w:uri="urn:schemas-microsoft-com:office:smarttags" w:element="place">
              <w:smartTag w:uri="urn:schemas-microsoft-com:office:smarttags" w:element="State">
                <w:r w:rsidRPr="0081362A">
                  <w:t>Australian Capital Territory</w:t>
                </w:r>
              </w:smartTag>
            </w:smartTag>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33</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14</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15</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38</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100</w:t>
            </w:r>
          </w:p>
        </w:tc>
      </w:tr>
      <w:tr w:rsidR="00C925E9" w:rsidRPr="0081362A">
        <w:trPr>
          <w:trHeight w:val="240"/>
        </w:trPr>
        <w:tc>
          <w:tcPr>
            <w:tcW w:w="2552" w:type="dxa"/>
            <w:shd w:val="clear" w:color="auto" w:fill="auto"/>
            <w:vAlign w:val="bottom"/>
          </w:tcPr>
          <w:p w:rsidR="00C925E9" w:rsidRPr="0081362A" w:rsidRDefault="00C925E9" w:rsidP="00200C9F">
            <w:pPr>
              <w:pStyle w:val="Tabletext"/>
            </w:pPr>
            <w:r w:rsidRPr="0081362A">
              <w:t>Multi-state</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33</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13</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43</w:t>
            </w:r>
          </w:p>
        </w:tc>
        <w:tc>
          <w:tcPr>
            <w:tcW w:w="1134" w:type="dxa"/>
            <w:shd w:val="clear" w:color="auto" w:fill="auto"/>
            <w:noWrap/>
            <w:vAlign w:val="bottom"/>
          </w:tcPr>
          <w:p w:rsidR="00C925E9" w:rsidRPr="0081362A" w:rsidRDefault="00C925E9" w:rsidP="0054533C">
            <w:pPr>
              <w:pStyle w:val="Tabletext"/>
              <w:tabs>
                <w:tab w:val="decimal" w:pos="680"/>
              </w:tabs>
              <w:jc w:val="right"/>
            </w:pPr>
            <w:r w:rsidRPr="0081362A">
              <w:t>100</w:t>
            </w:r>
          </w:p>
        </w:tc>
      </w:tr>
      <w:tr w:rsidR="00C925E9" w:rsidRPr="003F25B9">
        <w:trPr>
          <w:trHeight w:val="240"/>
        </w:trPr>
        <w:tc>
          <w:tcPr>
            <w:tcW w:w="2552" w:type="dxa"/>
            <w:shd w:val="clear" w:color="auto" w:fill="auto"/>
            <w:vAlign w:val="bottom"/>
          </w:tcPr>
          <w:p w:rsidR="00C925E9" w:rsidRPr="003F25B9" w:rsidRDefault="00C925E9" w:rsidP="00200C9F">
            <w:pPr>
              <w:pStyle w:val="Tabletext"/>
              <w:rPr>
                <w:b/>
              </w:rPr>
            </w:pPr>
            <w:r w:rsidRPr="003F25B9">
              <w:rPr>
                <w:b/>
              </w:rPr>
              <w:t xml:space="preserve">Total </w:t>
            </w:r>
            <w:smartTag w:uri="urn:schemas-microsoft-com:office:smarttags" w:element="place">
              <w:smartTag w:uri="urn:schemas-microsoft-com:office:smarttags" w:element="country-region">
                <w:r w:rsidRPr="003F25B9">
                  <w:rPr>
                    <w:b/>
                  </w:rPr>
                  <w:t>Australia</w:t>
                </w:r>
              </w:smartTag>
            </w:smartTag>
            <w:r w:rsidRPr="003F25B9">
              <w:rPr>
                <w:b/>
              </w:rPr>
              <w:t xml:space="preserve"> (%)</w:t>
            </w:r>
          </w:p>
        </w:tc>
        <w:tc>
          <w:tcPr>
            <w:tcW w:w="1134" w:type="dxa"/>
            <w:shd w:val="clear" w:color="auto" w:fill="auto"/>
            <w:noWrap/>
            <w:vAlign w:val="bottom"/>
          </w:tcPr>
          <w:p w:rsidR="00C925E9" w:rsidRPr="003F25B9" w:rsidRDefault="00C925E9" w:rsidP="0054533C">
            <w:pPr>
              <w:pStyle w:val="Tabletext"/>
              <w:tabs>
                <w:tab w:val="decimal" w:pos="680"/>
              </w:tabs>
              <w:jc w:val="right"/>
              <w:rPr>
                <w:b/>
              </w:rPr>
            </w:pPr>
            <w:r w:rsidRPr="003F25B9">
              <w:rPr>
                <w:b/>
              </w:rPr>
              <w:t>35</w:t>
            </w:r>
          </w:p>
        </w:tc>
        <w:tc>
          <w:tcPr>
            <w:tcW w:w="1134" w:type="dxa"/>
            <w:shd w:val="clear" w:color="auto" w:fill="auto"/>
            <w:noWrap/>
            <w:vAlign w:val="bottom"/>
          </w:tcPr>
          <w:p w:rsidR="00C925E9" w:rsidRPr="003F25B9" w:rsidRDefault="00C925E9" w:rsidP="0054533C">
            <w:pPr>
              <w:pStyle w:val="Tabletext"/>
              <w:tabs>
                <w:tab w:val="decimal" w:pos="680"/>
              </w:tabs>
              <w:jc w:val="right"/>
              <w:rPr>
                <w:b/>
              </w:rPr>
            </w:pPr>
            <w:r w:rsidRPr="003F25B9">
              <w:rPr>
                <w:b/>
              </w:rPr>
              <w:t>10</w:t>
            </w:r>
          </w:p>
        </w:tc>
        <w:tc>
          <w:tcPr>
            <w:tcW w:w="1134" w:type="dxa"/>
            <w:shd w:val="clear" w:color="auto" w:fill="auto"/>
            <w:noWrap/>
            <w:vAlign w:val="bottom"/>
          </w:tcPr>
          <w:p w:rsidR="00C925E9" w:rsidRPr="003F25B9" w:rsidRDefault="00C925E9" w:rsidP="0054533C">
            <w:pPr>
              <w:pStyle w:val="Tabletext"/>
              <w:tabs>
                <w:tab w:val="decimal" w:pos="680"/>
              </w:tabs>
              <w:jc w:val="right"/>
              <w:rPr>
                <w:b/>
              </w:rPr>
            </w:pPr>
            <w:r w:rsidRPr="003F25B9">
              <w:rPr>
                <w:b/>
              </w:rPr>
              <w:t>13</w:t>
            </w:r>
          </w:p>
        </w:tc>
        <w:tc>
          <w:tcPr>
            <w:tcW w:w="1134" w:type="dxa"/>
            <w:shd w:val="clear" w:color="auto" w:fill="auto"/>
            <w:noWrap/>
            <w:vAlign w:val="bottom"/>
          </w:tcPr>
          <w:p w:rsidR="00C925E9" w:rsidRPr="003F25B9" w:rsidRDefault="00C925E9" w:rsidP="0054533C">
            <w:pPr>
              <w:pStyle w:val="Tabletext"/>
              <w:tabs>
                <w:tab w:val="decimal" w:pos="680"/>
              </w:tabs>
              <w:jc w:val="right"/>
              <w:rPr>
                <w:b/>
              </w:rPr>
            </w:pPr>
            <w:r w:rsidRPr="003F25B9">
              <w:rPr>
                <w:b/>
              </w:rPr>
              <w:t>43</w:t>
            </w:r>
          </w:p>
        </w:tc>
        <w:tc>
          <w:tcPr>
            <w:tcW w:w="1134" w:type="dxa"/>
            <w:shd w:val="clear" w:color="auto" w:fill="auto"/>
            <w:noWrap/>
            <w:vAlign w:val="bottom"/>
          </w:tcPr>
          <w:p w:rsidR="00C925E9" w:rsidRPr="003F25B9" w:rsidRDefault="00C925E9" w:rsidP="0054533C">
            <w:pPr>
              <w:pStyle w:val="Tabletext"/>
              <w:tabs>
                <w:tab w:val="decimal" w:pos="680"/>
              </w:tabs>
              <w:jc w:val="right"/>
              <w:rPr>
                <w:b/>
              </w:rPr>
            </w:pPr>
            <w:r w:rsidRPr="003F25B9">
              <w:rPr>
                <w:b/>
              </w:rPr>
              <w:t>100</w:t>
            </w:r>
          </w:p>
        </w:tc>
      </w:tr>
      <w:tr w:rsidR="00C925E9" w:rsidRPr="003F25B9">
        <w:trPr>
          <w:trHeight w:val="240"/>
        </w:trPr>
        <w:tc>
          <w:tcPr>
            <w:tcW w:w="2552" w:type="dxa"/>
            <w:tcBorders>
              <w:bottom w:val="single" w:sz="4" w:space="0" w:color="auto"/>
            </w:tcBorders>
            <w:shd w:val="clear" w:color="auto" w:fill="auto"/>
            <w:vAlign w:val="bottom"/>
          </w:tcPr>
          <w:p w:rsidR="00C925E9" w:rsidRPr="003F25B9" w:rsidRDefault="00C925E9" w:rsidP="00200C9F">
            <w:pPr>
              <w:pStyle w:val="Tabletext"/>
              <w:rPr>
                <w:b/>
              </w:rPr>
            </w:pPr>
            <w:r w:rsidRPr="003F25B9">
              <w:rPr>
                <w:b/>
              </w:rPr>
              <w:t xml:space="preserve">Total </w:t>
            </w:r>
            <w:smartTag w:uri="urn:schemas-microsoft-com:office:smarttags" w:element="place">
              <w:smartTag w:uri="urn:schemas-microsoft-com:office:smarttags" w:element="country-region">
                <w:r w:rsidRPr="003F25B9">
                  <w:rPr>
                    <w:b/>
                  </w:rPr>
                  <w:t>Australia</w:t>
                </w:r>
              </w:smartTag>
            </w:smartTag>
            <w:r w:rsidRPr="003F25B9">
              <w:rPr>
                <w:b/>
              </w:rPr>
              <w:t xml:space="preserve"> (N)</w:t>
            </w:r>
          </w:p>
        </w:tc>
        <w:tc>
          <w:tcPr>
            <w:tcW w:w="1134" w:type="dxa"/>
            <w:tcBorders>
              <w:bottom w:val="single" w:sz="4" w:space="0" w:color="auto"/>
            </w:tcBorders>
            <w:shd w:val="clear" w:color="auto" w:fill="auto"/>
            <w:noWrap/>
            <w:vAlign w:val="bottom"/>
          </w:tcPr>
          <w:p w:rsidR="00C925E9" w:rsidRPr="003F25B9" w:rsidRDefault="00C925E9" w:rsidP="0054533C">
            <w:pPr>
              <w:pStyle w:val="Tabletext"/>
              <w:tabs>
                <w:tab w:val="decimal" w:pos="680"/>
              </w:tabs>
              <w:jc w:val="right"/>
              <w:rPr>
                <w:b/>
              </w:rPr>
            </w:pPr>
            <w:r>
              <w:rPr>
                <w:b/>
              </w:rPr>
              <w:t xml:space="preserve">62 </w:t>
            </w:r>
            <w:r w:rsidRPr="003F25B9">
              <w:rPr>
                <w:b/>
              </w:rPr>
              <w:t>423</w:t>
            </w:r>
          </w:p>
        </w:tc>
        <w:tc>
          <w:tcPr>
            <w:tcW w:w="1134" w:type="dxa"/>
            <w:tcBorders>
              <w:bottom w:val="single" w:sz="4" w:space="0" w:color="auto"/>
            </w:tcBorders>
            <w:shd w:val="clear" w:color="auto" w:fill="auto"/>
            <w:noWrap/>
            <w:vAlign w:val="bottom"/>
          </w:tcPr>
          <w:p w:rsidR="00C925E9" w:rsidRPr="003F25B9" w:rsidRDefault="00C925E9" w:rsidP="0054533C">
            <w:pPr>
              <w:pStyle w:val="Tabletext"/>
              <w:tabs>
                <w:tab w:val="decimal" w:pos="680"/>
              </w:tabs>
              <w:jc w:val="right"/>
              <w:rPr>
                <w:b/>
              </w:rPr>
            </w:pPr>
            <w:r>
              <w:rPr>
                <w:b/>
              </w:rPr>
              <w:t xml:space="preserve">17 </w:t>
            </w:r>
            <w:r w:rsidRPr="003F25B9">
              <w:rPr>
                <w:b/>
              </w:rPr>
              <w:t>654</w:t>
            </w:r>
          </w:p>
        </w:tc>
        <w:tc>
          <w:tcPr>
            <w:tcW w:w="1134" w:type="dxa"/>
            <w:tcBorders>
              <w:bottom w:val="single" w:sz="4" w:space="0" w:color="auto"/>
            </w:tcBorders>
            <w:shd w:val="clear" w:color="auto" w:fill="auto"/>
            <w:noWrap/>
            <w:vAlign w:val="bottom"/>
          </w:tcPr>
          <w:p w:rsidR="00C925E9" w:rsidRPr="003F25B9" w:rsidRDefault="00C925E9" w:rsidP="0054533C">
            <w:pPr>
              <w:pStyle w:val="Tabletext"/>
              <w:tabs>
                <w:tab w:val="decimal" w:pos="680"/>
              </w:tabs>
              <w:jc w:val="right"/>
              <w:rPr>
                <w:b/>
              </w:rPr>
            </w:pPr>
            <w:r>
              <w:rPr>
                <w:b/>
              </w:rPr>
              <w:t xml:space="preserve">23 </w:t>
            </w:r>
            <w:r w:rsidRPr="003F25B9">
              <w:rPr>
                <w:b/>
              </w:rPr>
              <w:t>546</w:t>
            </w:r>
          </w:p>
        </w:tc>
        <w:tc>
          <w:tcPr>
            <w:tcW w:w="1134" w:type="dxa"/>
            <w:tcBorders>
              <w:bottom w:val="single" w:sz="4" w:space="0" w:color="auto"/>
            </w:tcBorders>
            <w:shd w:val="clear" w:color="auto" w:fill="auto"/>
            <w:noWrap/>
            <w:vAlign w:val="bottom"/>
          </w:tcPr>
          <w:p w:rsidR="00C925E9" w:rsidRPr="003F25B9" w:rsidRDefault="00C925E9" w:rsidP="0054533C">
            <w:pPr>
              <w:pStyle w:val="Tabletext"/>
              <w:tabs>
                <w:tab w:val="decimal" w:pos="680"/>
              </w:tabs>
              <w:jc w:val="right"/>
              <w:rPr>
                <w:b/>
              </w:rPr>
            </w:pPr>
            <w:r>
              <w:rPr>
                <w:b/>
              </w:rPr>
              <w:t xml:space="preserve">77 </w:t>
            </w:r>
            <w:r w:rsidRPr="003F25B9">
              <w:rPr>
                <w:b/>
              </w:rPr>
              <w:t>030</w:t>
            </w:r>
          </w:p>
        </w:tc>
        <w:tc>
          <w:tcPr>
            <w:tcW w:w="1134" w:type="dxa"/>
            <w:tcBorders>
              <w:bottom w:val="single" w:sz="4" w:space="0" w:color="auto"/>
            </w:tcBorders>
            <w:shd w:val="clear" w:color="auto" w:fill="auto"/>
            <w:noWrap/>
            <w:vAlign w:val="bottom"/>
          </w:tcPr>
          <w:p w:rsidR="00C925E9" w:rsidRPr="003F25B9" w:rsidRDefault="00C925E9" w:rsidP="0054533C">
            <w:pPr>
              <w:pStyle w:val="Tabletext"/>
              <w:tabs>
                <w:tab w:val="decimal" w:pos="680"/>
              </w:tabs>
              <w:jc w:val="right"/>
              <w:rPr>
                <w:b/>
              </w:rPr>
            </w:pPr>
            <w:r w:rsidRPr="003F25B9">
              <w:rPr>
                <w:b/>
              </w:rPr>
              <w:t>180</w:t>
            </w:r>
            <w:r>
              <w:rPr>
                <w:b/>
              </w:rPr>
              <w:t xml:space="preserve"> </w:t>
            </w:r>
            <w:r w:rsidRPr="003F25B9">
              <w:rPr>
                <w:b/>
              </w:rPr>
              <w:t>653</w:t>
            </w:r>
          </w:p>
        </w:tc>
      </w:tr>
    </w:tbl>
    <w:p w:rsidR="00C925E9" w:rsidRDefault="00C925E9" w:rsidP="00200C9F">
      <w:pPr>
        <w:pStyle w:val="Source"/>
        <w:tabs>
          <w:tab w:val="left" w:pos="993"/>
        </w:tabs>
      </w:pPr>
      <w:r>
        <w:t xml:space="preserve">Source: </w:t>
      </w:r>
      <w:r>
        <w:tab/>
        <w:t xml:space="preserve">Based on </w:t>
      </w:r>
      <w:r w:rsidRPr="00817109">
        <w:t>Students</w:t>
      </w:r>
      <w:r>
        <w:t>:</w:t>
      </w:r>
      <w:r w:rsidRPr="00817109">
        <w:t xml:space="preserve"> selected higher education statistics</w:t>
      </w:r>
      <w:r>
        <w:t xml:space="preserve">, 2001–04, provided by </w:t>
      </w:r>
      <w:r w:rsidR="003168E4" w:rsidRPr="003168E4">
        <w:t>Department of Education, Employment and Workplace Relations</w:t>
      </w:r>
      <w:r>
        <w:t>.</w:t>
      </w:r>
    </w:p>
    <w:p w:rsidR="00C925E9" w:rsidRDefault="00C925E9" w:rsidP="00200C9F">
      <w:pPr>
        <w:pStyle w:val="Source"/>
        <w:tabs>
          <w:tab w:val="left" w:pos="993"/>
        </w:tabs>
      </w:pPr>
      <w:r>
        <w:t>Notes:</w:t>
      </w:r>
      <w:r>
        <w:tab/>
        <w:t>(a) Includes b</w:t>
      </w:r>
      <w:r w:rsidRPr="00AA596C">
        <w:t>achelor's graduate entry, bachelor's honours, bachelor's pass, associate degree, advanced diploma (AQF), diploma (AQF), other award courses,</w:t>
      </w:r>
      <w:r>
        <w:t xml:space="preserve"> </w:t>
      </w:r>
      <w:r w:rsidRPr="00AA596C">
        <w:t>enabling course and non-award course.</w:t>
      </w:r>
    </w:p>
    <w:p w:rsidR="00C925E9" w:rsidRPr="00AA596C" w:rsidRDefault="00C925E9" w:rsidP="00200C9F">
      <w:pPr>
        <w:pStyle w:val="Source"/>
        <w:tabs>
          <w:tab w:val="left" w:pos="993"/>
        </w:tabs>
      </w:pPr>
      <w:r>
        <w:tab/>
        <w:t>(b) School leaver</w:t>
      </w:r>
      <w:r w:rsidRPr="00AA596C">
        <w:t xml:space="preserve"> commencers with no prior qualifications higher than Year 12 or equivalent.</w:t>
      </w:r>
    </w:p>
    <w:p w:rsidR="00C925E9" w:rsidRDefault="00C925E9" w:rsidP="00200C9F">
      <w:pPr>
        <w:pStyle w:val="Source"/>
        <w:tabs>
          <w:tab w:val="left" w:pos="993"/>
        </w:tabs>
      </w:pPr>
    </w:p>
    <w:p w:rsidR="00C925E9" w:rsidRPr="005922B0" w:rsidRDefault="00C925E9" w:rsidP="00534339">
      <w:pPr>
        <w:pStyle w:val="tabletitle"/>
        <w:tabs>
          <w:tab w:val="left" w:pos="993"/>
        </w:tabs>
        <w:ind w:left="993" w:hanging="993"/>
      </w:pPr>
      <w:r>
        <w:br w:type="page"/>
      </w:r>
      <w:bookmarkStart w:id="99" w:name="_Toc322691626"/>
      <w:r>
        <w:t>Table A2.2</w:t>
      </w:r>
      <w:r w:rsidR="00534339">
        <w:tab/>
      </w:r>
      <w:r>
        <w:t>Gap year status and commencer status of domestic students commencing bachelor degree programs and below</w:t>
      </w:r>
      <w:r w:rsidRPr="00AA596C">
        <w:rPr>
          <w:vertAlign w:val="superscript"/>
        </w:rPr>
        <w:t>a</w:t>
      </w:r>
      <w:r>
        <w:t xml:space="preserve"> in 2004, Group of Eight universities</w:t>
      </w:r>
      <w:bookmarkEnd w:id="99"/>
    </w:p>
    <w:tbl>
      <w:tblPr>
        <w:tblW w:w="8505" w:type="dxa"/>
        <w:tblInd w:w="93" w:type="dxa"/>
        <w:tblLook w:val="0000"/>
      </w:tblPr>
      <w:tblGrid>
        <w:gridCol w:w="2835"/>
        <w:gridCol w:w="1134"/>
        <w:gridCol w:w="1134"/>
        <w:gridCol w:w="1134"/>
        <w:gridCol w:w="1134"/>
        <w:gridCol w:w="1134"/>
      </w:tblGrid>
      <w:tr w:rsidR="0054533C" w:rsidRPr="005922B0" w:rsidTr="0054533C">
        <w:trPr>
          <w:trHeight w:val="225"/>
        </w:trPr>
        <w:tc>
          <w:tcPr>
            <w:tcW w:w="2835" w:type="dxa"/>
            <w:tcBorders>
              <w:top w:val="single" w:sz="4" w:space="0" w:color="auto"/>
              <w:left w:val="nil"/>
              <w:right w:val="nil"/>
            </w:tcBorders>
            <w:shd w:val="clear" w:color="auto" w:fill="auto"/>
            <w:noWrap/>
            <w:vAlign w:val="bottom"/>
          </w:tcPr>
          <w:p w:rsidR="0054533C" w:rsidRPr="005922B0" w:rsidRDefault="0054533C" w:rsidP="0054533C">
            <w:pPr>
              <w:pStyle w:val="Tablehead1"/>
            </w:pPr>
            <w:r w:rsidRPr="005922B0">
              <w:t>Institution</w:t>
            </w:r>
          </w:p>
        </w:tc>
        <w:tc>
          <w:tcPr>
            <w:tcW w:w="5670" w:type="dxa"/>
            <w:gridSpan w:val="5"/>
            <w:tcBorders>
              <w:top w:val="single" w:sz="4" w:space="0" w:color="auto"/>
              <w:left w:val="nil"/>
              <w:right w:val="nil"/>
            </w:tcBorders>
            <w:shd w:val="clear" w:color="auto" w:fill="auto"/>
            <w:noWrap/>
            <w:vAlign w:val="bottom"/>
          </w:tcPr>
          <w:p w:rsidR="0054533C" w:rsidRPr="005922B0" w:rsidRDefault="0054533C" w:rsidP="00200C9F">
            <w:pPr>
              <w:pStyle w:val="Tablehead2"/>
              <w:jc w:val="center"/>
            </w:pPr>
            <w:r w:rsidRPr="008F0C8B">
              <w:rPr>
                <w:b/>
              </w:rPr>
              <w:t>Gap year and commencement status</w:t>
            </w:r>
          </w:p>
        </w:tc>
      </w:tr>
      <w:tr w:rsidR="00C925E9" w:rsidRPr="005922B0">
        <w:trPr>
          <w:trHeight w:val="225"/>
        </w:trPr>
        <w:tc>
          <w:tcPr>
            <w:tcW w:w="2835" w:type="dxa"/>
            <w:tcBorders>
              <w:left w:val="nil"/>
              <w:right w:val="nil"/>
            </w:tcBorders>
            <w:shd w:val="clear" w:color="auto" w:fill="auto"/>
            <w:noWrap/>
            <w:vAlign w:val="bottom"/>
          </w:tcPr>
          <w:p w:rsidR="00C925E9" w:rsidRPr="005922B0" w:rsidRDefault="00C925E9" w:rsidP="00200C9F">
            <w:pPr>
              <w:pStyle w:val="Tablehead2"/>
            </w:pPr>
          </w:p>
        </w:tc>
        <w:tc>
          <w:tcPr>
            <w:tcW w:w="3402" w:type="dxa"/>
            <w:gridSpan w:val="3"/>
            <w:tcBorders>
              <w:left w:val="nil"/>
              <w:bottom w:val="single" w:sz="4" w:space="0" w:color="auto"/>
              <w:right w:val="nil"/>
            </w:tcBorders>
            <w:shd w:val="clear" w:color="auto" w:fill="auto"/>
            <w:noWrap/>
            <w:vAlign w:val="bottom"/>
          </w:tcPr>
          <w:p w:rsidR="00C925E9" w:rsidRPr="00CD77B6" w:rsidRDefault="00C925E9" w:rsidP="0054533C">
            <w:pPr>
              <w:pStyle w:val="Tablehead2"/>
              <w:jc w:val="center"/>
            </w:pPr>
            <w:r>
              <w:t>School leavers with no other</w:t>
            </w:r>
            <w:r>
              <w:br/>
              <w:t xml:space="preserve"> qualifications</w:t>
            </w:r>
            <w:r w:rsidRPr="00FD2E2B">
              <w:rPr>
                <w:vertAlign w:val="superscript"/>
              </w:rPr>
              <w:t>b</w:t>
            </w:r>
          </w:p>
        </w:tc>
        <w:tc>
          <w:tcPr>
            <w:tcW w:w="1134" w:type="dxa"/>
            <w:tcBorders>
              <w:left w:val="nil"/>
              <w:right w:val="nil"/>
            </w:tcBorders>
            <w:shd w:val="clear" w:color="auto" w:fill="auto"/>
            <w:noWrap/>
            <w:vAlign w:val="bottom"/>
          </w:tcPr>
          <w:p w:rsidR="00C925E9" w:rsidRPr="00CD77B6" w:rsidRDefault="00C925E9" w:rsidP="0054533C">
            <w:pPr>
              <w:pStyle w:val="Tablehead2"/>
              <w:jc w:val="center"/>
            </w:pPr>
            <w:r>
              <w:t>Others</w:t>
            </w:r>
          </w:p>
        </w:tc>
        <w:tc>
          <w:tcPr>
            <w:tcW w:w="1134" w:type="dxa"/>
            <w:tcBorders>
              <w:left w:val="nil"/>
              <w:right w:val="nil"/>
            </w:tcBorders>
            <w:shd w:val="clear" w:color="auto" w:fill="auto"/>
            <w:noWrap/>
            <w:vAlign w:val="bottom"/>
          </w:tcPr>
          <w:p w:rsidR="00C925E9" w:rsidRPr="005922B0" w:rsidRDefault="00C925E9" w:rsidP="0054533C">
            <w:pPr>
              <w:pStyle w:val="Tablehead2"/>
              <w:jc w:val="right"/>
            </w:pPr>
            <w:r w:rsidRPr="005922B0">
              <w:t>Total</w:t>
            </w:r>
          </w:p>
        </w:tc>
      </w:tr>
      <w:tr w:rsidR="00C925E9" w:rsidRPr="005922B0">
        <w:trPr>
          <w:trHeight w:val="225"/>
        </w:trPr>
        <w:tc>
          <w:tcPr>
            <w:tcW w:w="2835" w:type="dxa"/>
            <w:tcBorders>
              <w:left w:val="nil"/>
              <w:bottom w:val="single" w:sz="4" w:space="0" w:color="auto"/>
              <w:right w:val="nil"/>
            </w:tcBorders>
            <w:shd w:val="clear" w:color="auto" w:fill="auto"/>
            <w:noWrap/>
            <w:vAlign w:val="bottom"/>
          </w:tcPr>
          <w:p w:rsidR="00C925E9" w:rsidRPr="005922B0" w:rsidRDefault="00C925E9" w:rsidP="00200C9F">
            <w:pPr>
              <w:pStyle w:val="Tablehead2"/>
            </w:pPr>
          </w:p>
        </w:tc>
        <w:tc>
          <w:tcPr>
            <w:tcW w:w="1134" w:type="dxa"/>
            <w:tcBorders>
              <w:top w:val="single" w:sz="4" w:space="0" w:color="auto"/>
              <w:left w:val="nil"/>
              <w:bottom w:val="single" w:sz="4" w:space="0" w:color="auto"/>
              <w:right w:val="nil"/>
            </w:tcBorders>
            <w:shd w:val="clear" w:color="auto" w:fill="auto"/>
            <w:noWrap/>
            <w:vAlign w:val="bottom"/>
          </w:tcPr>
          <w:p w:rsidR="00C925E9" w:rsidRPr="005922B0" w:rsidRDefault="00C925E9" w:rsidP="0054533C">
            <w:pPr>
              <w:pStyle w:val="Tablehead3"/>
              <w:jc w:val="right"/>
            </w:pPr>
            <w:r w:rsidRPr="005922B0">
              <w:t>No gap</w:t>
            </w:r>
          </w:p>
        </w:tc>
        <w:tc>
          <w:tcPr>
            <w:tcW w:w="1134" w:type="dxa"/>
            <w:tcBorders>
              <w:top w:val="single" w:sz="4" w:space="0" w:color="auto"/>
              <w:left w:val="nil"/>
              <w:bottom w:val="single" w:sz="4" w:space="0" w:color="auto"/>
              <w:right w:val="nil"/>
            </w:tcBorders>
            <w:shd w:val="clear" w:color="auto" w:fill="auto"/>
            <w:noWrap/>
            <w:vAlign w:val="bottom"/>
          </w:tcPr>
          <w:p w:rsidR="00C925E9" w:rsidRPr="005922B0" w:rsidRDefault="00C925E9" w:rsidP="0054533C">
            <w:pPr>
              <w:pStyle w:val="Tablehead3"/>
              <w:jc w:val="right"/>
            </w:pPr>
            <w:r w:rsidRPr="005922B0">
              <w:t>1 year gap</w:t>
            </w:r>
          </w:p>
        </w:tc>
        <w:tc>
          <w:tcPr>
            <w:tcW w:w="1134" w:type="dxa"/>
            <w:tcBorders>
              <w:top w:val="single" w:sz="4" w:space="0" w:color="auto"/>
              <w:left w:val="nil"/>
              <w:bottom w:val="single" w:sz="4" w:space="0" w:color="auto"/>
              <w:right w:val="nil"/>
            </w:tcBorders>
            <w:shd w:val="clear" w:color="auto" w:fill="auto"/>
            <w:noWrap/>
            <w:vAlign w:val="bottom"/>
          </w:tcPr>
          <w:p w:rsidR="00C925E9" w:rsidRPr="005922B0" w:rsidRDefault="00C925E9" w:rsidP="0054533C">
            <w:pPr>
              <w:pStyle w:val="Tablehead3"/>
              <w:jc w:val="right"/>
            </w:pPr>
            <w:r w:rsidRPr="00CD77B6">
              <w:t>2 or more years gap</w:t>
            </w:r>
            <w:r>
              <w:t xml:space="preserve"> or unknown year of completion</w:t>
            </w:r>
          </w:p>
        </w:tc>
        <w:tc>
          <w:tcPr>
            <w:tcW w:w="1134" w:type="dxa"/>
            <w:tcBorders>
              <w:left w:val="nil"/>
              <w:bottom w:val="single" w:sz="4" w:space="0" w:color="auto"/>
              <w:right w:val="nil"/>
            </w:tcBorders>
            <w:shd w:val="clear" w:color="auto" w:fill="auto"/>
            <w:noWrap/>
            <w:vAlign w:val="bottom"/>
          </w:tcPr>
          <w:p w:rsidR="00C925E9" w:rsidRPr="005922B0" w:rsidRDefault="00C925E9" w:rsidP="0054533C">
            <w:pPr>
              <w:pStyle w:val="Tablehead3"/>
              <w:jc w:val="right"/>
            </w:pPr>
            <w:r w:rsidRPr="00CD77B6">
              <w:t xml:space="preserve">Basis </w:t>
            </w:r>
            <w:r>
              <w:t>non-</w:t>
            </w:r>
            <w:r w:rsidRPr="00CD77B6">
              <w:t xml:space="preserve"> Year 12</w:t>
            </w:r>
          </w:p>
        </w:tc>
        <w:tc>
          <w:tcPr>
            <w:tcW w:w="1134" w:type="dxa"/>
            <w:tcBorders>
              <w:left w:val="nil"/>
              <w:bottom w:val="single" w:sz="4" w:space="0" w:color="auto"/>
              <w:right w:val="nil"/>
            </w:tcBorders>
            <w:shd w:val="clear" w:color="auto" w:fill="auto"/>
            <w:noWrap/>
            <w:vAlign w:val="bottom"/>
          </w:tcPr>
          <w:p w:rsidR="00C925E9" w:rsidRPr="005922B0" w:rsidRDefault="00C925E9" w:rsidP="00200C9F">
            <w:pPr>
              <w:pStyle w:val="Tablehead2"/>
              <w:jc w:val="center"/>
            </w:pPr>
          </w:p>
        </w:tc>
      </w:tr>
      <w:tr w:rsidR="00C925E9" w:rsidRPr="005922B0">
        <w:trPr>
          <w:trHeight w:val="225"/>
        </w:trPr>
        <w:tc>
          <w:tcPr>
            <w:tcW w:w="2835" w:type="dxa"/>
            <w:tcBorders>
              <w:top w:val="single" w:sz="4" w:space="0" w:color="auto"/>
              <w:left w:val="nil"/>
              <w:bottom w:val="nil"/>
              <w:right w:val="nil"/>
            </w:tcBorders>
            <w:shd w:val="clear" w:color="auto" w:fill="auto"/>
          </w:tcPr>
          <w:p w:rsidR="00C925E9" w:rsidRPr="005922B0" w:rsidRDefault="00C925E9" w:rsidP="00200C9F">
            <w:pPr>
              <w:pStyle w:val="Tabletext"/>
            </w:pPr>
            <w:r w:rsidRPr="005922B0">
              <w:t>University of New South Wales</w:t>
            </w:r>
          </w:p>
        </w:tc>
        <w:tc>
          <w:tcPr>
            <w:tcW w:w="1134" w:type="dxa"/>
            <w:tcBorders>
              <w:top w:val="single" w:sz="4" w:space="0" w:color="auto"/>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47</w:t>
            </w:r>
          </w:p>
        </w:tc>
        <w:tc>
          <w:tcPr>
            <w:tcW w:w="1134" w:type="dxa"/>
            <w:tcBorders>
              <w:top w:val="single" w:sz="4" w:space="0" w:color="auto"/>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12</w:t>
            </w:r>
          </w:p>
        </w:tc>
        <w:tc>
          <w:tcPr>
            <w:tcW w:w="1134" w:type="dxa"/>
            <w:tcBorders>
              <w:top w:val="single" w:sz="4" w:space="0" w:color="auto"/>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15</w:t>
            </w:r>
          </w:p>
        </w:tc>
        <w:tc>
          <w:tcPr>
            <w:tcW w:w="1134" w:type="dxa"/>
            <w:tcBorders>
              <w:top w:val="single" w:sz="4" w:space="0" w:color="auto"/>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26</w:t>
            </w:r>
          </w:p>
        </w:tc>
        <w:tc>
          <w:tcPr>
            <w:tcW w:w="1134" w:type="dxa"/>
            <w:tcBorders>
              <w:top w:val="single" w:sz="4" w:space="0" w:color="auto"/>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100</w:t>
            </w:r>
          </w:p>
        </w:tc>
      </w:tr>
      <w:tr w:rsidR="00C925E9" w:rsidRPr="005922B0">
        <w:trPr>
          <w:trHeight w:val="225"/>
        </w:trPr>
        <w:tc>
          <w:tcPr>
            <w:tcW w:w="2835" w:type="dxa"/>
            <w:tcBorders>
              <w:top w:val="nil"/>
              <w:left w:val="nil"/>
              <w:bottom w:val="nil"/>
              <w:right w:val="nil"/>
            </w:tcBorders>
            <w:shd w:val="clear" w:color="auto" w:fill="auto"/>
          </w:tcPr>
          <w:p w:rsidR="00C925E9" w:rsidRPr="005922B0" w:rsidRDefault="00C925E9" w:rsidP="00200C9F">
            <w:pPr>
              <w:pStyle w:val="Tabletext"/>
            </w:pPr>
            <w:r w:rsidRPr="005922B0">
              <w:t>University of Sydney</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50</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11</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12</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27</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100</w:t>
            </w:r>
          </w:p>
        </w:tc>
      </w:tr>
      <w:tr w:rsidR="00C925E9" w:rsidRPr="005922B0">
        <w:trPr>
          <w:trHeight w:val="225"/>
        </w:trPr>
        <w:tc>
          <w:tcPr>
            <w:tcW w:w="2835" w:type="dxa"/>
            <w:tcBorders>
              <w:top w:val="nil"/>
              <w:left w:val="nil"/>
              <w:bottom w:val="nil"/>
              <w:right w:val="nil"/>
            </w:tcBorders>
            <w:shd w:val="clear" w:color="auto" w:fill="auto"/>
          </w:tcPr>
          <w:p w:rsidR="00C925E9" w:rsidRPr="005922B0" w:rsidRDefault="00C925E9" w:rsidP="00200C9F">
            <w:pPr>
              <w:pStyle w:val="Tabletext"/>
            </w:pPr>
            <w:r w:rsidRPr="005922B0">
              <w:t>University of Melbourne</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61</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10</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9</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20</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100</w:t>
            </w:r>
          </w:p>
        </w:tc>
      </w:tr>
      <w:tr w:rsidR="00C925E9" w:rsidRPr="005922B0">
        <w:trPr>
          <w:trHeight w:val="225"/>
        </w:trPr>
        <w:tc>
          <w:tcPr>
            <w:tcW w:w="2835" w:type="dxa"/>
            <w:tcBorders>
              <w:top w:val="nil"/>
              <w:left w:val="nil"/>
              <w:bottom w:val="nil"/>
              <w:right w:val="nil"/>
            </w:tcBorders>
            <w:shd w:val="clear" w:color="auto" w:fill="auto"/>
          </w:tcPr>
          <w:p w:rsidR="00C925E9" w:rsidRPr="005922B0" w:rsidRDefault="00C925E9" w:rsidP="00200C9F">
            <w:pPr>
              <w:pStyle w:val="Tabletext"/>
            </w:pPr>
            <w:smartTag w:uri="urn:schemas-microsoft-com:office:smarttags" w:element="place">
              <w:smartTag w:uri="urn:schemas-microsoft-com:office:smarttags" w:element="PlaceName">
                <w:r w:rsidRPr="005922B0">
                  <w:t>Monash</w:t>
                </w:r>
              </w:smartTag>
              <w:r w:rsidRPr="005922B0">
                <w:t xml:space="preserve"> </w:t>
              </w:r>
              <w:smartTag w:uri="urn:schemas-microsoft-com:office:smarttags" w:element="PlaceType">
                <w:r w:rsidRPr="005922B0">
                  <w:t>University</w:t>
                </w:r>
              </w:smartTag>
            </w:smartTag>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46</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10</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13</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32</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100</w:t>
            </w:r>
          </w:p>
        </w:tc>
      </w:tr>
      <w:tr w:rsidR="00C925E9" w:rsidRPr="005922B0">
        <w:trPr>
          <w:trHeight w:val="225"/>
        </w:trPr>
        <w:tc>
          <w:tcPr>
            <w:tcW w:w="2835" w:type="dxa"/>
            <w:tcBorders>
              <w:top w:val="nil"/>
              <w:left w:val="nil"/>
              <w:bottom w:val="nil"/>
              <w:right w:val="nil"/>
            </w:tcBorders>
            <w:shd w:val="clear" w:color="auto" w:fill="auto"/>
          </w:tcPr>
          <w:p w:rsidR="00C925E9" w:rsidRPr="005922B0" w:rsidRDefault="00C925E9" w:rsidP="00200C9F">
            <w:pPr>
              <w:pStyle w:val="Tabletext"/>
            </w:pPr>
            <w:r w:rsidRPr="005922B0">
              <w:t>University of Queensland</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45</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14</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9</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32</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100</w:t>
            </w:r>
          </w:p>
        </w:tc>
      </w:tr>
      <w:tr w:rsidR="00C925E9" w:rsidRPr="005922B0">
        <w:trPr>
          <w:trHeight w:val="225"/>
        </w:trPr>
        <w:tc>
          <w:tcPr>
            <w:tcW w:w="2835" w:type="dxa"/>
            <w:tcBorders>
              <w:top w:val="nil"/>
              <w:left w:val="nil"/>
              <w:bottom w:val="nil"/>
              <w:right w:val="nil"/>
            </w:tcBorders>
            <w:shd w:val="clear" w:color="auto" w:fill="auto"/>
          </w:tcPr>
          <w:p w:rsidR="00C925E9" w:rsidRPr="005922B0" w:rsidRDefault="00C925E9" w:rsidP="00200C9F">
            <w:pPr>
              <w:pStyle w:val="Tabletext"/>
            </w:pPr>
            <w:r w:rsidRPr="005922B0">
              <w:t>University of Western Australia</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57</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18</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13</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12</w:t>
            </w:r>
          </w:p>
        </w:tc>
        <w:tc>
          <w:tcPr>
            <w:tcW w:w="1134" w:type="dxa"/>
            <w:tcBorders>
              <w:top w:val="nil"/>
              <w:left w:val="nil"/>
              <w:bottom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100</w:t>
            </w:r>
          </w:p>
        </w:tc>
      </w:tr>
      <w:tr w:rsidR="00C925E9" w:rsidRPr="005922B0">
        <w:trPr>
          <w:trHeight w:val="225"/>
        </w:trPr>
        <w:tc>
          <w:tcPr>
            <w:tcW w:w="2835" w:type="dxa"/>
            <w:tcBorders>
              <w:top w:val="nil"/>
              <w:left w:val="nil"/>
              <w:right w:val="nil"/>
            </w:tcBorders>
            <w:shd w:val="clear" w:color="auto" w:fill="auto"/>
          </w:tcPr>
          <w:p w:rsidR="00C925E9" w:rsidRPr="005922B0" w:rsidRDefault="00C925E9" w:rsidP="00200C9F">
            <w:pPr>
              <w:pStyle w:val="Tabletext"/>
            </w:pPr>
            <w:r w:rsidRPr="005922B0">
              <w:t>University of Adelaide</w:t>
            </w:r>
          </w:p>
        </w:tc>
        <w:tc>
          <w:tcPr>
            <w:tcW w:w="1134" w:type="dxa"/>
            <w:tcBorders>
              <w:top w:val="nil"/>
              <w:left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53</w:t>
            </w:r>
          </w:p>
        </w:tc>
        <w:tc>
          <w:tcPr>
            <w:tcW w:w="1134" w:type="dxa"/>
            <w:tcBorders>
              <w:top w:val="nil"/>
              <w:left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13</w:t>
            </w:r>
          </w:p>
        </w:tc>
        <w:tc>
          <w:tcPr>
            <w:tcW w:w="1134" w:type="dxa"/>
            <w:tcBorders>
              <w:top w:val="nil"/>
              <w:left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9</w:t>
            </w:r>
          </w:p>
        </w:tc>
        <w:tc>
          <w:tcPr>
            <w:tcW w:w="1134" w:type="dxa"/>
            <w:tcBorders>
              <w:top w:val="nil"/>
              <w:left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24</w:t>
            </w:r>
          </w:p>
        </w:tc>
        <w:tc>
          <w:tcPr>
            <w:tcW w:w="1134" w:type="dxa"/>
            <w:tcBorders>
              <w:top w:val="nil"/>
              <w:left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100</w:t>
            </w:r>
          </w:p>
        </w:tc>
      </w:tr>
      <w:tr w:rsidR="00C925E9" w:rsidRPr="005922B0">
        <w:trPr>
          <w:trHeight w:val="225"/>
        </w:trPr>
        <w:tc>
          <w:tcPr>
            <w:tcW w:w="2835" w:type="dxa"/>
            <w:tcBorders>
              <w:top w:val="nil"/>
              <w:left w:val="nil"/>
              <w:right w:val="nil"/>
            </w:tcBorders>
            <w:shd w:val="clear" w:color="auto" w:fill="auto"/>
          </w:tcPr>
          <w:p w:rsidR="00C925E9" w:rsidRPr="005922B0" w:rsidRDefault="00C925E9" w:rsidP="00200C9F">
            <w:pPr>
              <w:pStyle w:val="Tabletext"/>
            </w:pPr>
            <w:r w:rsidRPr="005922B0">
              <w:t>Australian National University</w:t>
            </w:r>
          </w:p>
        </w:tc>
        <w:tc>
          <w:tcPr>
            <w:tcW w:w="1134" w:type="dxa"/>
            <w:tcBorders>
              <w:top w:val="nil"/>
              <w:left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41</w:t>
            </w:r>
          </w:p>
        </w:tc>
        <w:tc>
          <w:tcPr>
            <w:tcW w:w="1134" w:type="dxa"/>
            <w:tcBorders>
              <w:top w:val="nil"/>
              <w:left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14</w:t>
            </w:r>
          </w:p>
        </w:tc>
        <w:tc>
          <w:tcPr>
            <w:tcW w:w="1134" w:type="dxa"/>
            <w:tcBorders>
              <w:top w:val="nil"/>
              <w:left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15</w:t>
            </w:r>
          </w:p>
        </w:tc>
        <w:tc>
          <w:tcPr>
            <w:tcW w:w="1134" w:type="dxa"/>
            <w:tcBorders>
              <w:top w:val="nil"/>
              <w:left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29</w:t>
            </w:r>
          </w:p>
        </w:tc>
        <w:tc>
          <w:tcPr>
            <w:tcW w:w="1134" w:type="dxa"/>
            <w:tcBorders>
              <w:top w:val="nil"/>
              <w:left w:val="nil"/>
              <w:right w:val="nil"/>
            </w:tcBorders>
            <w:shd w:val="clear" w:color="auto" w:fill="auto"/>
            <w:noWrap/>
            <w:vAlign w:val="bottom"/>
          </w:tcPr>
          <w:p w:rsidR="00C925E9" w:rsidRPr="005922B0" w:rsidRDefault="00C925E9" w:rsidP="0054533C">
            <w:pPr>
              <w:pStyle w:val="Tabletext"/>
              <w:tabs>
                <w:tab w:val="decimal" w:pos="567"/>
              </w:tabs>
              <w:jc w:val="right"/>
            </w:pPr>
            <w:r w:rsidRPr="005922B0">
              <w:t>100</w:t>
            </w:r>
          </w:p>
        </w:tc>
      </w:tr>
      <w:tr w:rsidR="00C925E9" w:rsidRPr="003F25B9">
        <w:trPr>
          <w:trHeight w:val="225"/>
        </w:trPr>
        <w:tc>
          <w:tcPr>
            <w:tcW w:w="2835" w:type="dxa"/>
            <w:tcBorders>
              <w:left w:val="nil"/>
              <w:right w:val="nil"/>
            </w:tcBorders>
            <w:shd w:val="clear" w:color="auto" w:fill="auto"/>
          </w:tcPr>
          <w:p w:rsidR="00C925E9" w:rsidRPr="003F25B9" w:rsidRDefault="00C925E9" w:rsidP="00200C9F">
            <w:pPr>
              <w:pStyle w:val="Tabletext"/>
              <w:rPr>
                <w:b/>
              </w:rPr>
            </w:pPr>
            <w:r w:rsidRPr="003F25B9">
              <w:rPr>
                <w:b/>
              </w:rPr>
              <w:t>All Go8 universities (%)</w:t>
            </w:r>
          </w:p>
        </w:tc>
        <w:tc>
          <w:tcPr>
            <w:tcW w:w="1134" w:type="dxa"/>
            <w:tcBorders>
              <w:left w:val="nil"/>
              <w:right w:val="nil"/>
            </w:tcBorders>
            <w:shd w:val="clear" w:color="auto" w:fill="auto"/>
            <w:noWrap/>
            <w:vAlign w:val="bottom"/>
          </w:tcPr>
          <w:p w:rsidR="00C925E9" w:rsidRPr="003F25B9" w:rsidRDefault="00C925E9" w:rsidP="0054533C">
            <w:pPr>
              <w:pStyle w:val="Tabletext"/>
              <w:tabs>
                <w:tab w:val="decimal" w:pos="567"/>
              </w:tabs>
              <w:jc w:val="right"/>
              <w:rPr>
                <w:b/>
              </w:rPr>
            </w:pPr>
            <w:r w:rsidRPr="003F25B9">
              <w:rPr>
                <w:b/>
              </w:rPr>
              <w:t>50</w:t>
            </w:r>
          </w:p>
        </w:tc>
        <w:tc>
          <w:tcPr>
            <w:tcW w:w="1134" w:type="dxa"/>
            <w:tcBorders>
              <w:left w:val="nil"/>
              <w:right w:val="nil"/>
            </w:tcBorders>
            <w:shd w:val="clear" w:color="auto" w:fill="auto"/>
            <w:noWrap/>
            <w:vAlign w:val="bottom"/>
          </w:tcPr>
          <w:p w:rsidR="00C925E9" w:rsidRPr="003F25B9" w:rsidRDefault="00C925E9" w:rsidP="0054533C">
            <w:pPr>
              <w:pStyle w:val="Tabletext"/>
              <w:tabs>
                <w:tab w:val="decimal" w:pos="567"/>
              </w:tabs>
              <w:jc w:val="right"/>
              <w:rPr>
                <w:b/>
              </w:rPr>
            </w:pPr>
            <w:r w:rsidRPr="003F25B9">
              <w:rPr>
                <w:b/>
              </w:rPr>
              <w:t>12</w:t>
            </w:r>
          </w:p>
        </w:tc>
        <w:tc>
          <w:tcPr>
            <w:tcW w:w="1134" w:type="dxa"/>
            <w:tcBorders>
              <w:left w:val="nil"/>
              <w:right w:val="nil"/>
            </w:tcBorders>
            <w:shd w:val="clear" w:color="auto" w:fill="auto"/>
            <w:noWrap/>
            <w:vAlign w:val="bottom"/>
          </w:tcPr>
          <w:p w:rsidR="00C925E9" w:rsidRPr="003F25B9" w:rsidRDefault="00C925E9" w:rsidP="0054533C">
            <w:pPr>
              <w:pStyle w:val="Tabletext"/>
              <w:tabs>
                <w:tab w:val="decimal" w:pos="567"/>
              </w:tabs>
              <w:jc w:val="right"/>
              <w:rPr>
                <w:b/>
              </w:rPr>
            </w:pPr>
            <w:r w:rsidRPr="003F25B9">
              <w:rPr>
                <w:b/>
              </w:rPr>
              <w:t>12</w:t>
            </w:r>
          </w:p>
        </w:tc>
        <w:tc>
          <w:tcPr>
            <w:tcW w:w="1134" w:type="dxa"/>
            <w:tcBorders>
              <w:left w:val="nil"/>
              <w:right w:val="nil"/>
            </w:tcBorders>
            <w:shd w:val="clear" w:color="auto" w:fill="auto"/>
            <w:noWrap/>
            <w:vAlign w:val="bottom"/>
          </w:tcPr>
          <w:p w:rsidR="00C925E9" w:rsidRPr="003F25B9" w:rsidRDefault="00C925E9" w:rsidP="0054533C">
            <w:pPr>
              <w:pStyle w:val="Tabletext"/>
              <w:tabs>
                <w:tab w:val="decimal" w:pos="567"/>
              </w:tabs>
              <w:jc w:val="right"/>
              <w:rPr>
                <w:b/>
              </w:rPr>
            </w:pPr>
            <w:r w:rsidRPr="003F25B9">
              <w:rPr>
                <w:b/>
              </w:rPr>
              <w:t>27</w:t>
            </w:r>
          </w:p>
        </w:tc>
        <w:tc>
          <w:tcPr>
            <w:tcW w:w="1134" w:type="dxa"/>
            <w:tcBorders>
              <w:left w:val="nil"/>
              <w:right w:val="nil"/>
            </w:tcBorders>
            <w:shd w:val="clear" w:color="auto" w:fill="auto"/>
            <w:noWrap/>
            <w:vAlign w:val="bottom"/>
          </w:tcPr>
          <w:p w:rsidR="00C925E9" w:rsidRPr="003F25B9" w:rsidRDefault="00C925E9" w:rsidP="0054533C">
            <w:pPr>
              <w:pStyle w:val="Tabletext"/>
              <w:tabs>
                <w:tab w:val="decimal" w:pos="567"/>
              </w:tabs>
              <w:jc w:val="right"/>
              <w:rPr>
                <w:b/>
              </w:rPr>
            </w:pPr>
            <w:r w:rsidRPr="003F25B9">
              <w:rPr>
                <w:b/>
              </w:rPr>
              <w:t>100</w:t>
            </w:r>
          </w:p>
        </w:tc>
      </w:tr>
      <w:tr w:rsidR="00C925E9" w:rsidRPr="003F25B9">
        <w:trPr>
          <w:trHeight w:val="225"/>
        </w:trPr>
        <w:tc>
          <w:tcPr>
            <w:tcW w:w="2835" w:type="dxa"/>
            <w:tcBorders>
              <w:top w:val="nil"/>
              <w:left w:val="nil"/>
              <w:bottom w:val="single" w:sz="4" w:space="0" w:color="auto"/>
              <w:right w:val="nil"/>
            </w:tcBorders>
            <w:shd w:val="clear" w:color="auto" w:fill="auto"/>
            <w:noWrap/>
            <w:vAlign w:val="bottom"/>
          </w:tcPr>
          <w:p w:rsidR="00C925E9" w:rsidRPr="003F25B9" w:rsidRDefault="00C925E9" w:rsidP="00200C9F">
            <w:pPr>
              <w:pStyle w:val="Tabletext"/>
              <w:rPr>
                <w:b/>
              </w:rPr>
            </w:pPr>
            <w:r w:rsidRPr="003F25B9">
              <w:rPr>
                <w:b/>
              </w:rPr>
              <w:t>All Go8 universities (N)</w:t>
            </w:r>
          </w:p>
        </w:tc>
        <w:tc>
          <w:tcPr>
            <w:tcW w:w="1134" w:type="dxa"/>
            <w:tcBorders>
              <w:top w:val="nil"/>
              <w:left w:val="nil"/>
              <w:bottom w:val="single" w:sz="4" w:space="0" w:color="auto"/>
              <w:right w:val="nil"/>
            </w:tcBorders>
            <w:shd w:val="clear" w:color="auto" w:fill="auto"/>
            <w:noWrap/>
            <w:vAlign w:val="bottom"/>
          </w:tcPr>
          <w:p w:rsidR="00C925E9" w:rsidRPr="003F25B9" w:rsidRDefault="00C925E9" w:rsidP="0054533C">
            <w:pPr>
              <w:pStyle w:val="Tabletext"/>
              <w:tabs>
                <w:tab w:val="decimal" w:pos="567"/>
              </w:tabs>
              <w:jc w:val="right"/>
              <w:rPr>
                <w:b/>
              </w:rPr>
            </w:pPr>
            <w:r w:rsidRPr="003F25B9">
              <w:rPr>
                <w:b/>
              </w:rPr>
              <w:t>22</w:t>
            </w:r>
            <w:r>
              <w:rPr>
                <w:b/>
              </w:rPr>
              <w:t xml:space="preserve"> </w:t>
            </w:r>
            <w:r w:rsidRPr="003F25B9">
              <w:rPr>
                <w:b/>
              </w:rPr>
              <w:t>037</w:t>
            </w:r>
          </w:p>
        </w:tc>
        <w:tc>
          <w:tcPr>
            <w:tcW w:w="1134" w:type="dxa"/>
            <w:tcBorders>
              <w:top w:val="nil"/>
              <w:left w:val="nil"/>
              <w:bottom w:val="single" w:sz="4" w:space="0" w:color="auto"/>
              <w:right w:val="nil"/>
            </w:tcBorders>
            <w:shd w:val="clear" w:color="auto" w:fill="auto"/>
            <w:noWrap/>
            <w:vAlign w:val="bottom"/>
          </w:tcPr>
          <w:p w:rsidR="00C925E9" w:rsidRPr="003F25B9" w:rsidRDefault="00C925E9" w:rsidP="0054533C">
            <w:pPr>
              <w:pStyle w:val="Tabletext"/>
              <w:tabs>
                <w:tab w:val="decimal" w:pos="567"/>
              </w:tabs>
              <w:jc w:val="right"/>
              <w:rPr>
                <w:b/>
              </w:rPr>
            </w:pPr>
            <w:r w:rsidRPr="003F25B9">
              <w:rPr>
                <w:b/>
              </w:rPr>
              <w:t>5</w:t>
            </w:r>
            <w:r>
              <w:rPr>
                <w:b/>
              </w:rPr>
              <w:t xml:space="preserve"> </w:t>
            </w:r>
            <w:r w:rsidRPr="003F25B9">
              <w:rPr>
                <w:b/>
              </w:rPr>
              <w:t>354</w:t>
            </w:r>
          </w:p>
        </w:tc>
        <w:tc>
          <w:tcPr>
            <w:tcW w:w="1134" w:type="dxa"/>
            <w:tcBorders>
              <w:top w:val="nil"/>
              <w:left w:val="nil"/>
              <w:bottom w:val="single" w:sz="4" w:space="0" w:color="auto"/>
              <w:right w:val="nil"/>
            </w:tcBorders>
            <w:shd w:val="clear" w:color="auto" w:fill="auto"/>
            <w:noWrap/>
            <w:vAlign w:val="bottom"/>
          </w:tcPr>
          <w:p w:rsidR="00C925E9" w:rsidRPr="003F25B9" w:rsidRDefault="00C925E9" w:rsidP="0054533C">
            <w:pPr>
              <w:pStyle w:val="Tabletext"/>
              <w:tabs>
                <w:tab w:val="decimal" w:pos="567"/>
              </w:tabs>
              <w:jc w:val="right"/>
              <w:rPr>
                <w:b/>
              </w:rPr>
            </w:pPr>
            <w:r w:rsidRPr="003F25B9">
              <w:rPr>
                <w:b/>
              </w:rPr>
              <w:t>5</w:t>
            </w:r>
            <w:r>
              <w:rPr>
                <w:b/>
              </w:rPr>
              <w:t xml:space="preserve"> </w:t>
            </w:r>
            <w:r w:rsidRPr="003F25B9">
              <w:rPr>
                <w:b/>
              </w:rPr>
              <w:t>112</w:t>
            </w:r>
          </w:p>
        </w:tc>
        <w:tc>
          <w:tcPr>
            <w:tcW w:w="1134" w:type="dxa"/>
            <w:tcBorders>
              <w:top w:val="nil"/>
              <w:left w:val="nil"/>
              <w:bottom w:val="single" w:sz="4" w:space="0" w:color="auto"/>
              <w:right w:val="nil"/>
            </w:tcBorders>
            <w:shd w:val="clear" w:color="auto" w:fill="auto"/>
            <w:noWrap/>
            <w:vAlign w:val="bottom"/>
          </w:tcPr>
          <w:p w:rsidR="00C925E9" w:rsidRPr="003F25B9" w:rsidRDefault="00C925E9" w:rsidP="0054533C">
            <w:pPr>
              <w:pStyle w:val="Tabletext"/>
              <w:tabs>
                <w:tab w:val="decimal" w:pos="567"/>
              </w:tabs>
              <w:jc w:val="right"/>
              <w:rPr>
                <w:b/>
              </w:rPr>
            </w:pPr>
            <w:r w:rsidRPr="003F25B9">
              <w:rPr>
                <w:b/>
              </w:rPr>
              <w:t>11</w:t>
            </w:r>
            <w:r>
              <w:rPr>
                <w:b/>
              </w:rPr>
              <w:t xml:space="preserve"> </w:t>
            </w:r>
            <w:r w:rsidRPr="003F25B9">
              <w:rPr>
                <w:b/>
              </w:rPr>
              <w:t>770</w:t>
            </w:r>
          </w:p>
        </w:tc>
        <w:tc>
          <w:tcPr>
            <w:tcW w:w="1134" w:type="dxa"/>
            <w:tcBorders>
              <w:top w:val="nil"/>
              <w:left w:val="nil"/>
              <w:bottom w:val="single" w:sz="4" w:space="0" w:color="auto"/>
              <w:right w:val="nil"/>
            </w:tcBorders>
            <w:shd w:val="clear" w:color="auto" w:fill="auto"/>
            <w:noWrap/>
            <w:vAlign w:val="bottom"/>
          </w:tcPr>
          <w:p w:rsidR="00C925E9" w:rsidRPr="003F25B9" w:rsidRDefault="00C925E9" w:rsidP="0054533C">
            <w:pPr>
              <w:pStyle w:val="Tabletext"/>
              <w:tabs>
                <w:tab w:val="decimal" w:pos="567"/>
              </w:tabs>
              <w:jc w:val="right"/>
              <w:rPr>
                <w:b/>
              </w:rPr>
            </w:pPr>
            <w:r w:rsidRPr="003F25B9">
              <w:rPr>
                <w:b/>
              </w:rPr>
              <w:t>44</w:t>
            </w:r>
            <w:r>
              <w:rPr>
                <w:b/>
              </w:rPr>
              <w:t xml:space="preserve"> </w:t>
            </w:r>
            <w:r w:rsidRPr="003F25B9">
              <w:rPr>
                <w:b/>
              </w:rPr>
              <w:t>273</w:t>
            </w:r>
          </w:p>
        </w:tc>
      </w:tr>
    </w:tbl>
    <w:p w:rsidR="00C925E9" w:rsidRDefault="00C925E9" w:rsidP="00200C9F">
      <w:pPr>
        <w:pStyle w:val="Source"/>
        <w:tabs>
          <w:tab w:val="left" w:pos="993"/>
        </w:tabs>
      </w:pPr>
      <w:r>
        <w:t xml:space="preserve">Source: </w:t>
      </w:r>
      <w:r>
        <w:tab/>
        <w:t xml:space="preserve">Based on </w:t>
      </w:r>
      <w:r w:rsidRPr="00817109">
        <w:t>Students</w:t>
      </w:r>
      <w:r>
        <w:t>:</w:t>
      </w:r>
      <w:r w:rsidRPr="00817109">
        <w:t xml:space="preserve"> selected higher education statistics</w:t>
      </w:r>
      <w:r>
        <w:t xml:space="preserve">, 2001–04 provided by </w:t>
      </w:r>
      <w:r w:rsidR="003168E4" w:rsidRPr="003168E4">
        <w:t>Department of Education, Employment and Workplace Relations</w:t>
      </w:r>
      <w:r>
        <w:t>.</w:t>
      </w:r>
    </w:p>
    <w:p w:rsidR="00C925E9" w:rsidRDefault="00C925E9" w:rsidP="00200C9F">
      <w:pPr>
        <w:pStyle w:val="Source"/>
        <w:tabs>
          <w:tab w:val="left" w:pos="993"/>
        </w:tabs>
      </w:pPr>
      <w:r>
        <w:t>Notes:</w:t>
      </w:r>
      <w:r>
        <w:tab/>
        <w:t>(a) Includes b</w:t>
      </w:r>
      <w:r w:rsidRPr="00AA596C">
        <w:t>achelor's graduate entry, bachelor's honours, bachelor's pass, associate degree, advanced diploma (AQF), diploma (AQF), other award courses,</w:t>
      </w:r>
      <w:r>
        <w:t xml:space="preserve"> </w:t>
      </w:r>
      <w:r w:rsidRPr="00AA596C">
        <w:t>enabling course and non-award course.</w:t>
      </w:r>
    </w:p>
    <w:p w:rsidR="00C925E9" w:rsidRDefault="00C925E9" w:rsidP="00200C9F">
      <w:pPr>
        <w:pStyle w:val="Source"/>
        <w:tabs>
          <w:tab w:val="left" w:pos="993"/>
        </w:tabs>
      </w:pPr>
      <w:r>
        <w:tab/>
        <w:t>(b) School leaver</w:t>
      </w:r>
      <w:r w:rsidRPr="00AA596C">
        <w:t xml:space="preserve"> commencers with no prior qualifications higher than Year 12 or equivalent.</w:t>
      </w:r>
    </w:p>
    <w:p w:rsidR="00C925E9" w:rsidRDefault="00C925E9" w:rsidP="00200C9F">
      <w:pPr>
        <w:pStyle w:val="Source"/>
        <w:tabs>
          <w:tab w:val="left" w:pos="993"/>
        </w:tabs>
      </w:pPr>
    </w:p>
    <w:p w:rsidR="00C925E9" w:rsidRDefault="00C925E9" w:rsidP="00200C9F">
      <w:pPr>
        <w:pStyle w:val="tabletitle"/>
        <w:sectPr w:rsidR="00C925E9">
          <w:headerReference w:type="even" r:id="rId17"/>
          <w:headerReference w:type="default" r:id="rId18"/>
          <w:pgSz w:w="11899" w:h="16838" w:code="9"/>
          <w:pgMar w:top="1440" w:right="1800" w:bottom="1440" w:left="1800" w:header="720" w:footer="720" w:gutter="0"/>
          <w:cols w:space="720"/>
        </w:sectPr>
      </w:pPr>
    </w:p>
    <w:p w:rsidR="00C925E9" w:rsidRDefault="00C925E9" w:rsidP="0010714E">
      <w:pPr>
        <w:pStyle w:val="Heading3"/>
        <w:spacing w:before="0"/>
      </w:pPr>
      <w:r>
        <w:t>Correlations among variables used in modelling gap-taking</w:t>
      </w:r>
    </w:p>
    <w:p w:rsidR="00C925E9" w:rsidRDefault="00C925E9" w:rsidP="0010714E">
      <w:pPr>
        <w:pStyle w:val="tabletitle"/>
        <w:spacing w:before="200"/>
      </w:pPr>
      <w:bookmarkStart w:id="100" w:name="_Toc322691627"/>
      <w:r>
        <w:t>Table A2.3</w:t>
      </w:r>
      <w:r>
        <w:tab/>
        <w:t>Correlations between variables entered in the exploration of gap-taking</w:t>
      </w:r>
      <w:bookmarkEnd w:id="100"/>
    </w:p>
    <w:tbl>
      <w:tblPr>
        <w:tblW w:w="0" w:type="auto"/>
        <w:tblLayout w:type="fixed"/>
        <w:tblCellMar>
          <w:left w:w="57" w:type="dxa"/>
          <w:right w:w="57" w:type="dxa"/>
        </w:tblCellMar>
        <w:tblLook w:val="0000"/>
      </w:tblPr>
      <w:tblGrid>
        <w:gridCol w:w="1191"/>
        <w:gridCol w:w="851"/>
        <w:gridCol w:w="1019"/>
        <w:gridCol w:w="907"/>
        <w:gridCol w:w="907"/>
        <w:gridCol w:w="907"/>
        <w:gridCol w:w="907"/>
        <w:gridCol w:w="907"/>
        <w:gridCol w:w="907"/>
        <w:gridCol w:w="907"/>
        <w:gridCol w:w="907"/>
        <w:gridCol w:w="907"/>
        <w:gridCol w:w="1021"/>
        <w:gridCol w:w="907"/>
        <w:gridCol w:w="907"/>
      </w:tblGrid>
      <w:tr w:rsidR="00922C43" w:rsidRPr="00520D1A" w:rsidTr="00922C43">
        <w:trPr>
          <w:trHeight w:val="240"/>
        </w:trPr>
        <w:tc>
          <w:tcPr>
            <w:tcW w:w="1191" w:type="dxa"/>
            <w:tcBorders>
              <w:top w:val="single" w:sz="4" w:space="0" w:color="auto"/>
              <w:left w:val="nil"/>
              <w:right w:val="nil"/>
            </w:tcBorders>
            <w:shd w:val="clear" w:color="auto" w:fill="auto"/>
          </w:tcPr>
          <w:p w:rsidR="00922C43" w:rsidRPr="00520D1A" w:rsidRDefault="00922C43" w:rsidP="00922C43">
            <w:pPr>
              <w:pStyle w:val="Tablehead1"/>
              <w:jc w:val="right"/>
            </w:pPr>
          </w:p>
        </w:tc>
        <w:tc>
          <w:tcPr>
            <w:tcW w:w="851" w:type="dxa"/>
            <w:tcBorders>
              <w:top w:val="single" w:sz="4" w:space="0" w:color="auto"/>
              <w:left w:val="nil"/>
              <w:right w:val="nil"/>
            </w:tcBorders>
            <w:shd w:val="clear" w:color="auto" w:fill="auto"/>
          </w:tcPr>
          <w:p w:rsidR="00922C43" w:rsidRPr="00520D1A" w:rsidRDefault="00922C43" w:rsidP="00922C43">
            <w:pPr>
              <w:pStyle w:val="Tablehead1"/>
              <w:jc w:val="right"/>
            </w:pPr>
            <w:r w:rsidRPr="0010714E">
              <w:rPr>
                <w:sz w:val="16"/>
                <w:szCs w:val="16"/>
              </w:rPr>
              <w:t>Male</w:t>
            </w:r>
          </w:p>
        </w:tc>
        <w:tc>
          <w:tcPr>
            <w:tcW w:w="1019" w:type="dxa"/>
            <w:vMerge w:val="restart"/>
            <w:tcBorders>
              <w:top w:val="single" w:sz="4" w:space="0" w:color="auto"/>
              <w:left w:val="nil"/>
              <w:right w:val="nil"/>
            </w:tcBorders>
            <w:shd w:val="clear" w:color="auto" w:fill="auto"/>
          </w:tcPr>
          <w:p w:rsidR="00922C43" w:rsidRPr="0010714E" w:rsidRDefault="00922C43" w:rsidP="00922C43">
            <w:pPr>
              <w:pStyle w:val="Tablehead1"/>
              <w:jc w:val="right"/>
              <w:rPr>
                <w:sz w:val="16"/>
                <w:szCs w:val="16"/>
              </w:rPr>
            </w:pPr>
            <w:r w:rsidRPr="0010714E">
              <w:rPr>
                <w:sz w:val="16"/>
                <w:szCs w:val="16"/>
              </w:rPr>
              <w:t>SES: father’s occupation</w:t>
            </w:r>
          </w:p>
        </w:tc>
        <w:tc>
          <w:tcPr>
            <w:tcW w:w="907" w:type="dxa"/>
            <w:vMerge w:val="restart"/>
            <w:tcBorders>
              <w:top w:val="single" w:sz="4" w:space="0" w:color="auto"/>
              <w:left w:val="nil"/>
              <w:right w:val="nil"/>
            </w:tcBorders>
            <w:shd w:val="clear" w:color="auto" w:fill="auto"/>
          </w:tcPr>
          <w:p w:rsidR="00922C43" w:rsidRPr="0010714E" w:rsidRDefault="00922C43" w:rsidP="00922C43">
            <w:pPr>
              <w:pStyle w:val="Tablehead1"/>
              <w:jc w:val="right"/>
              <w:rPr>
                <w:sz w:val="16"/>
                <w:szCs w:val="16"/>
              </w:rPr>
            </w:pPr>
            <w:r w:rsidRPr="0010714E">
              <w:rPr>
                <w:sz w:val="16"/>
                <w:szCs w:val="16"/>
              </w:rPr>
              <w:t>Years of education mother</w:t>
            </w:r>
          </w:p>
        </w:tc>
        <w:tc>
          <w:tcPr>
            <w:tcW w:w="907" w:type="dxa"/>
            <w:tcBorders>
              <w:top w:val="single" w:sz="4" w:space="0" w:color="auto"/>
              <w:left w:val="nil"/>
              <w:right w:val="nil"/>
            </w:tcBorders>
            <w:shd w:val="clear" w:color="auto" w:fill="auto"/>
          </w:tcPr>
          <w:p w:rsidR="00922C43" w:rsidRPr="0010714E" w:rsidRDefault="00922C43" w:rsidP="00922C43">
            <w:pPr>
              <w:pStyle w:val="Tablehead1"/>
              <w:jc w:val="right"/>
              <w:rPr>
                <w:sz w:val="16"/>
                <w:szCs w:val="16"/>
              </w:rPr>
            </w:pPr>
            <w:r w:rsidRPr="0010714E">
              <w:rPr>
                <w:sz w:val="16"/>
                <w:szCs w:val="16"/>
              </w:rPr>
              <w:t>Maths score</w:t>
            </w:r>
          </w:p>
        </w:tc>
        <w:tc>
          <w:tcPr>
            <w:tcW w:w="907" w:type="dxa"/>
            <w:tcBorders>
              <w:top w:val="single" w:sz="4" w:space="0" w:color="auto"/>
              <w:left w:val="nil"/>
              <w:right w:val="nil"/>
            </w:tcBorders>
            <w:shd w:val="clear" w:color="auto" w:fill="auto"/>
          </w:tcPr>
          <w:p w:rsidR="00922C43" w:rsidRPr="0010714E" w:rsidRDefault="00922C43" w:rsidP="00922C43">
            <w:pPr>
              <w:pStyle w:val="Tablehead1"/>
              <w:jc w:val="right"/>
              <w:rPr>
                <w:sz w:val="16"/>
                <w:szCs w:val="16"/>
              </w:rPr>
            </w:pPr>
            <w:r w:rsidRPr="0010714E">
              <w:rPr>
                <w:sz w:val="16"/>
                <w:szCs w:val="16"/>
              </w:rPr>
              <w:t>Reading score</w:t>
            </w:r>
          </w:p>
        </w:tc>
        <w:tc>
          <w:tcPr>
            <w:tcW w:w="2721" w:type="dxa"/>
            <w:gridSpan w:val="3"/>
            <w:tcBorders>
              <w:top w:val="single" w:sz="4" w:space="0" w:color="auto"/>
              <w:left w:val="nil"/>
              <w:bottom w:val="single" w:sz="4" w:space="0" w:color="auto"/>
              <w:right w:val="nil"/>
            </w:tcBorders>
            <w:shd w:val="clear" w:color="auto" w:fill="auto"/>
          </w:tcPr>
          <w:p w:rsidR="00922C43" w:rsidRPr="00520D1A" w:rsidRDefault="00922C43" w:rsidP="00851FD6">
            <w:pPr>
              <w:pStyle w:val="Tablehead1"/>
              <w:jc w:val="center"/>
            </w:pPr>
            <w:r>
              <w:t>Location</w:t>
            </w:r>
          </w:p>
        </w:tc>
        <w:tc>
          <w:tcPr>
            <w:tcW w:w="907" w:type="dxa"/>
            <w:tcBorders>
              <w:top w:val="single" w:sz="4" w:space="0" w:color="auto"/>
              <w:left w:val="nil"/>
              <w:right w:val="nil"/>
            </w:tcBorders>
            <w:shd w:val="clear" w:color="auto" w:fill="auto"/>
          </w:tcPr>
          <w:p w:rsidR="00922C43" w:rsidRPr="0010714E" w:rsidRDefault="00922C43" w:rsidP="00922C43">
            <w:pPr>
              <w:pStyle w:val="Tablehead1"/>
              <w:jc w:val="right"/>
              <w:rPr>
                <w:sz w:val="16"/>
                <w:szCs w:val="16"/>
              </w:rPr>
            </w:pPr>
            <w:r w:rsidRPr="0010714E">
              <w:rPr>
                <w:sz w:val="16"/>
                <w:szCs w:val="16"/>
              </w:rPr>
              <w:t>NESB</w:t>
            </w:r>
          </w:p>
        </w:tc>
        <w:tc>
          <w:tcPr>
            <w:tcW w:w="2835" w:type="dxa"/>
            <w:gridSpan w:val="3"/>
            <w:tcBorders>
              <w:top w:val="single" w:sz="4" w:space="0" w:color="auto"/>
              <w:left w:val="nil"/>
              <w:bottom w:val="single" w:sz="4" w:space="0" w:color="auto"/>
              <w:right w:val="nil"/>
            </w:tcBorders>
            <w:shd w:val="clear" w:color="auto" w:fill="auto"/>
          </w:tcPr>
          <w:p w:rsidR="00922C43" w:rsidRPr="00520D1A" w:rsidRDefault="00922C43" w:rsidP="00851FD6">
            <w:pPr>
              <w:pStyle w:val="Tablehead1"/>
              <w:jc w:val="center"/>
            </w:pPr>
            <w:r>
              <w:t>School sector</w:t>
            </w:r>
          </w:p>
        </w:tc>
        <w:tc>
          <w:tcPr>
            <w:tcW w:w="907" w:type="dxa"/>
            <w:tcBorders>
              <w:top w:val="single" w:sz="4" w:space="0" w:color="auto"/>
              <w:left w:val="nil"/>
              <w:right w:val="nil"/>
            </w:tcBorders>
            <w:shd w:val="clear" w:color="auto" w:fill="auto"/>
          </w:tcPr>
          <w:p w:rsidR="00922C43" w:rsidRPr="0010714E" w:rsidRDefault="00922C43" w:rsidP="00922C43">
            <w:pPr>
              <w:pStyle w:val="Tablehead1"/>
              <w:jc w:val="right"/>
              <w:rPr>
                <w:sz w:val="16"/>
                <w:szCs w:val="16"/>
              </w:rPr>
            </w:pPr>
            <w:r w:rsidRPr="0010714E">
              <w:rPr>
                <w:sz w:val="16"/>
                <w:szCs w:val="16"/>
              </w:rPr>
              <w:t>QSL</w:t>
            </w:r>
          </w:p>
        </w:tc>
        <w:tc>
          <w:tcPr>
            <w:tcW w:w="907" w:type="dxa"/>
            <w:tcBorders>
              <w:top w:val="single" w:sz="4" w:space="0" w:color="auto"/>
              <w:left w:val="nil"/>
              <w:right w:val="nil"/>
            </w:tcBorders>
            <w:shd w:val="clear" w:color="auto" w:fill="auto"/>
          </w:tcPr>
          <w:p w:rsidR="00922C43" w:rsidRPr="0010714E" w:rsidRDefault="00922C43" w:rsidP="00922C43">
            <w:pPr>
              <w:pStyle w:val="Tablehead1"/>
              <w:jc w:val="right"/>
              <w:rPr>
                <w:sz w:val="16"/>
                <w:szCs w:val="16"/>
              </w:rPr>
            </w:pPr>
            <w:r w:rsidRPr="0010714E">
              <w:rPr>
                <w:sz w:val="16"/>
                <w:szCs w:val="16"/>
              </w:rPr>
              <w:t>TER</w:t>
            </w:r>
          </w:p>
        </w:tc>
      </w:tr>
      <w:tr w:rsidR="00922C43" w:rsidRPr="0010714E" w:rsidTr="00922C43">
        <w:trPr>
          <w:trHeight w:val="240"/>
        </w:trPr>
        <w:tc>
          <w:tcPr>
            <w:tcW w:w="1191" w:type="dxa"/>
            <w:tcBorders>
              <w:top w:val="nil"/>
              <w:left w:val="nil"/>
              <w:bottom w:val="single" w:sz="4" w:space="0" w:color="auto"/>
              <w:right w:val="nil"/>
            </w:tcBorders>
            <w:shd w:val="clear" w:color="auto" w:fill="auto"/>
          </w:tcPr>
          <w:p w:rsidR="00922C43" w:rsidRPr="0010714E" w:rsidRDefault="00922C43" w:rsidP="0010714E">
            <w:pPr>
              <w:pStyle w:val="Tablehead2"/>
              <w:rPr>
                <w:sz w:val="16"/>
                <w:szCs w:val="16"/>
              </w:rPr>
            </w:pPr>
          </w:p>
        </w:tc>
        <w:tc>
          <w:tcPr>
            <w:tcW w:w="851" w:type="dxa"/>
            <w:tcBorders>
              <w:top w:val="nil"/>
              <w:left w:val="nil"/>
              <w:bottom w:val="single" w:sz="4" w:space="0" w:color="auto"/>
              <w:right w:val="nil"/>
            </w:tcBorders>
            <w:shd w:val="clear" w:color="auto" w:fill="auto"/>
          </w:tcPr>
          <w:p w:rsidR="00922C43" w:rsidRPr="0010714E" w:rsidRDefault="00922C43" w:rsidP="00922C43">
            <w:pPr>
              <w:pStyle w:val="Tablehead2"/>
              <w:spacing w:before="60"/>
              <w:jc w:val="right"/>
              <w:rPr>
                <w:sz w:val="16"/>
                <w:szCs w:val="16"/>
              </w:rPr>
            </w:pPr>
          </w:p>
        </w:tc>
        <w:tc>
          <w:tcPr>
            <w:tcW w:w="1019" w:type="dxa"/>
            <w:vMerge/>
            <w:tcBorders>
              <w:left w:val="nil"/>
              <w:bottom w:val="single" w:sz="4" w:space="0" w:color="auto"/>
              <w:right w:val="nil"/>
            </w:tcBorders>
            <w:shd w:val="clear" w:color="auto" w:fill="auto"/>
          </w:tcPr>
          <w:p w:rsidR="00922C43" w:rsidRPr="0010714E" w:rsidRDefault="00922C43" w:rsidP="00922C43">
            <w:pPr>
              <w:pStyle w:val="Tablehead2"/>
              <w:spacing w:before="60"/>
              <w:jc w:val="right"/>
              <w:rPr>
                <w:sz w:val="16"/>
                <w:szCs w:val="16"/>
              </w:rPr>
            </w:pPr>
          </w:p>
        </w:tc>
        <w:tc>
          <w:tcPr>
            <w:tcW w:w="907" w:type="dxa"/>
            <w:vMerge/>
            <w:tcBorders>
              <w:left w:val="nil"/>
              <w:bottom w:val="single" w:sz="4" w:space="0" w:color="auto"/>
              <w:right w:val="nil"/>
            </w:tcBorders>
            <w:shd w:val="clear" w:color="auto" w:fill="auto"/>
          </w:tcPr>
          <w:p w:rsidR="00922C43" w:rsidRPr="0010714E" w:rsidRDefault="00922C43" w:rsidP="00922C43">
            <w:pPr>
              <w:pStyle w:val="Tablehead2"/>
              <w:spacing w:before="60"/>
              <w:jc w:val="right"/>
              <w:rPr>
                <w:sz w:val="16"/>
                <w:szCs w:val="16"/>
              </w:rPr>
            </w:pPr>
          </w:p>
        </w:tc>
        <w:tc>
          <w:tcPr>
            <w:tcW w:w="907" w:type="dxa"/>
            <w:tcBorders>
              <w:top w:val="nil"/>
              <w:left w:val="nil"/>
              <w:bottom w:val="single" w:sz="4" w:space="0" w:color="auto"/>
              <w:right w:val="nil"/>
            </w:tcBorders>
            <w:shd w:val="clear" w:color="auto" w:fill="auto"/>
          </w:tcPr>
          <w:p w:rsidR="00922C43" w:rsidRPr="0010714E" w:rsidRDefault="00922C43" w:rsidP="00922C43">
            <w:pPr>
              <w:pStyle w:val="Tablehead2"/>
              <w:spacing w:before="60"/>
              <w:jc w:val="right"/>
              <w:rPr>
                <w:sz w:val="16"/>
                <w:szCs w:val="16"/>
              </w:rPr>
            </w:pPr>
          </w:p>
        </w:tc>
        <w:tc>
          <w:tcPr>
            <w:tcW w:w="907" w:type="dxa"/>
            <w:tcBorders>
              <w:top w:val="nil"/>
              <w:left w:val="nil"/>
              <w:bottom w:val="single" w:sz="4" w:space="0" w:color="auto"/>
              <w:right w:val="nil"/>
            </w:tcBorders>
            <w:shd w:val="clear" w:color="auto" w:fill="auto"/>
          </w:tcPr>
          <w:p w:rsidR="00922C43" w:rsidRPr="0010714E" w:rsidRDefault="00922C43" w:rsidP="00922C43">
            <w:pPr>
              <w:pStyle w:val="Tablehead2"/>
              <w:spacing w:before="60"/>
              <w:jc w:val="right"/>
              <w:rPr>
                <w:sz w:val="16"/>
                <w:szCs w:val="16"/>
              </w:rPr>
            </w:pPr>
          </w:p>
        </w:tc>
        <w:tc>
          <w:tcPr>
            <w:tcW w:w="907" w:type="dxa"/>
            <w:tcBorders>
              <w:top w:val="single" w:sz="4" w:space="0" w:color="auto"/>
              <w:left w:val="nil"/>
              <w:bottom w:val="single" w:sz="4" w:space="0" w:color="auto"/>
              <w:right w:val="nil"/>
            </w:tcBorders>
            <w:shd w:val="clear" w:color="auto" w:fill="auto"/>
          </w:tcPr>
          <w:p w:rsidR="00922C43" w:rsidRPr="0010714E" w:rsidRDefault="00922C43" w:rsidP="00851FD6">
            <w:pPr>
              <w:pStyle w:val="Tablehead2"/>
              <w:spacing w:before="80"/>
              <w:jc w:val="right"/>
              <w:rPr>
                <w:sz w:val="16"/>
                <w:szCs w:val="16"/>
              </w:rPr>
            </w:pPr>
            <w:r w:rsidRPr="0010714E">
              <w:rPr>
                <w:sz w:val="16"/>
                <w:szCs w:val="16"/>
              </w:rPr>
              <w:t>Metro</w:t>
            </w:r>
            <w:r w:rsidR="008863D9">
              <w:rPr>
                <w:sz w:val="16"/>
                <w:szCs w:val="16"/>
              </w:rPr>
              <w:t>.</w:t>
            </w:r>
          </w:p>
        </w:tc>
        <w:tc>
          <w:tcPr>
            <w:tcW w:w="907" w:type="dxa"/>
            <w:tcBorders>
              <w:top w:val="single" w:sz="4" w:space="0" w:color="auto"/>
              <w:left w:val="nil"/>
              <w:bottom w:val="single" w:sz="4" w:space="0" w:color="auto"/>
              <w:right w:val="nil"/>
            </w:tcBorders>
            <w:shd w:val="clear" w:color="auto" w:fill="auto"/>
            <w:noWrap/>
          </w:tcPr>
          <w:p w:rsidR="00922C43" w:rsidRPr="0010714E" w:rsidRDefault="00922C43" w:rsidP="00851FD6">
            <w:pPr>
              <w:pStyle w:val="Tablehead2"/>
              <w:spacing w:before="80"/>
              <w:jc w:val="right"/>
              <w:rPr>
                <w:sz w:val="16"/>
                <w:szCs w:val="16"/>
              </w:rPr>
            </w:pPr>
            <w:r w:rsidRPr="0010714E">
              <w:rPr>
                <w:sz w:val="16"/>
                <w:szCs w:val="16"/>
              </w:rPr>
              <w:t>Regional</w:t>
            </w:r>
          </w:p>
        </w:tc>
        <w:tc>
          <w:tcPr>
            <w:tcW w:w="907" w:type="dxa"/>
            <w:tcBorders>
              <w:top w:val="single" w:sz="4" w:space="0" w:color="auto"/>
              <w:left w:val="nil"/>
              <w:bottom w:val="single" w:sz="4" w:space="0" w:color="auto"/>
              <w:right w:val="nil"/>
            </w:tcBorders>
            <w:shd w:val="clear" w:color="auto" w:fill="auto"/>
            <w:noWrap/>
          </w:tcPr>
          <w:p w:rsidR="00922C43" w:rsidRPr="0010714E" w:rsidRDefault="00922C43" w:rsidP="00851FD6">
            <w:pPr>
              <w:pStyle w:val="Tablehead2"/>
              <w:spacing w:before="80"/>
              <w:jc w:val="right"/>
              <w:rPr>
                <w:sz w:val="16"/>
                <w:szCs w:val="16"/>
              </w:rPr>
            </w:pPr>
            <w:r w:rsidRPr="0010714E">
              <w:rPr>
                <w:sz w:val="16"/>
                <w:szCs w:val="16"/>
              </w:rPr>
              <w:t>Rural</w:t>
            </w:r>
          </w:p>
        </w:tc>
        <w:tc>
          <w:tcPr>
            <w:tcW w:w="907" w:type="dxa"/>
            <w:tcBorders>
              <w:top w:val="nil"/>
              <w:left w:val="nil"/>
              <w:bottom w:val="single" w:sz="4" w:space="0" w:color="auto"/>
              <w:right w:val="nil"/>
            </w:tcBorders>
            <w:shd w:val="clear" w:color="auto" w:fill="auto"/>
          </w:tcPr>
          <w:p w:rsidR="00922C43" w:rsidRPr="0010714E" w:rsidRDefault="00922C43" w:rsidP="00851FD6">
            <w:pPr>
              <w:pStyle w:val="Tablehead2"/>
              <w:spacing w:before="80"/>
              <w:jc w:val="right"/>
              <w:rPr>
                <w:sz w:val="16"/>
                <w:szCs w:val="16"/>
              </w:rPr>
            </w:pPr>
          </w:p>
        </w:tc>
        <w:tc>
          <w:tcPr>
            <w:tcW w:w="907" w:type="dxa"/>
            <w:tcBorders>
              <w:top w:val="single" w:sz="4" w:space="0" w:color="auto"/>
              <w:left w:val="nil"/>
              <w:bottom w:val="single" w:sz="4" w:space="0" w:color="auto"/>
              <w:right w:val="nil"/>
            </w:tcBorders>
            <w:shd w:val="clear" w:color="auto" w:fill="auto"/>
            <w:noWrap/>
          </w:tcPr>
          <w:p w:rsidR="00922C43" w:rsidRPr="0010714E" w:rsidRDefault="008863D9" w:rsidP="00851FD6">
            <w:pPr>
              <w:pStyle w:val="Tablehead2"/>
              <w:spacing w:before="80"/>
              <w:jc w:val="right"/>
              <w:rPr>
                <w:sz w:val="16"/>
                <w:szCs w:val="16"/>
              </w:rPr>
            </w:pPr>
            <w:r>
              <w:rPr>
                <w:sz w:val="16"/>
                <w:szCs w:val="16"/>
              </w:rPr>
              <w:t>Gov’</w:t>
            </w:r>
            <w:r w:rsidR="00922C43" w:rsidRPr="0010714E">
              <w:rPr>
                <w:sz w:val="16"/>
                <w:szCs w:val="16"/>
              </w:rPr>
              <w:t>t</w:t>
            </w:r>
          </w:p>
        </w:tc>
        <w:tc>
          <w:tcPr>
            <w:tcW w:w="907" w:type="dxa"/>
            <w:tcBorders>
              <w:top w:val="single" w:sz="4" w:space="0" w:color="auto"/>
              <w:left w:val="nil"/>
              <w:bottom w:val="single" w:sz="4" w:space="0" w:color="auto"/>
              <w:right w:val="nil"/>
            </w:tcBorders>
            <w:shd w:val="clear" w:color="auto" w:fill="auto"/>
          </w:tcPr>
          <w:p w:rsidR="00922C43" w:rsidRPr="0010714E" w:rsidRDefault="00922C43" w:rsidP="00851FD6">
            <w:pPr>
              <w:pStyle w:val="Tablehead2"/>
              <w:spacing w:before="80"/>
              <w:jc w:val="right"/>
              <w:rPr>
                <w:sz w:val="16"/>
                <w:szCs w:val="16"/>
              </w:rPr>
            </w:pPr>
            <w:r w:rsidRPr="0010714E">
              <w:rPr>
                <w:sz w:val="16"/>
                <w:szCs w:val="16"/>
              </w:rPr>
              <w:t>Catholic</w:t>
            </w:r>
          </w:p>
        </w:tc>
        <w:tc>
          <w:tcPr>
            <w:tcW w:w="1021" w:type="dxa"/>
            <w:tcBorders>
              <w:top w:val="single" w:sz="4" w:space="0" w:color="auto"/>
              <w:left w:val="nil"/>
              <w:bottom w:val="single" w:sz="4" w:space="0" w:color="auto"/>
              <w:right w:val="nil"/>
            </w:tcBorders>
            <w:shd w:val="clear" w:color="auto" w:fill="auto"/>
          </w:tcPr>
          <w:p w:rsidR="00922C43" w:rsidRPr="0010714E" w:rsidRDefault="00922C43" w:rsidP="00851FD6">
            <w:pPr>
              <w:pStyle w:val="Tablehead2"/>
              <w:spacing w:before="80"/>
              <w:jc w:val="right"/>
              <w:rPr>
                <w:sz w:val="16"/>
                <w:szCs w:val="16"/>
              </w:rPr>
            </w:pPr>
            <w:r w:rsidRPr="0010714E">
              <w:rPr>
                <w:sz w:val="16"/>
                <w:szCs w:val="16"/>
              </w:rPr>
              <w:t>Independent</w:t>
            </w:r>
          </w:p>
        </w:tc>
        <w:tc>
          <w:tcPr>
            <w:tcW w:w="907" w:type="dxa"/>
            <w:tcBorders>
              <w:top w:val="nil"/>
              <w:left w:val="nil"/>
              <w:bottom w:val="single" w:sz="4" w:space="0" w:color="auto"/>
              <w:right w:val="nil"/>
            </w:tcBorders>
            <w:shd w:val="clear" w:color="auto" w:fill="auto"/>
            <w:noWrap/>
          </w:tcPr>
          <w:p w:rsidR="00922C43" w:rsidRPr="0010714E" w:rsidRDefault="00922C43" w:rsidP="00922C43">
            <w:pPr>
              <w:pStyle w:val="Tablehead2"/>
              <w:spacing w:before="60"/>
              <w:jc w:val="right"/>
              <w:rPr>
                <w:sz w:val="16"/>
                <w:szCs w:val="16"/>
              </w:rPr>
            </w:pPr>
          </w:p>
        </w:tc>
        <w:tc>
          <w:tcPr>
            <w:tcW w:w="907" w:type="dxa"/>
            <w:tcBorders>
              <w:top w:val="nil"/>
              <w:left w:val="nil"/>
              <w:bottom w:val="single" w:sz="4" w:space="0" w:color="auto"/>
              <w:right w:val="nil"/>
            </w:tcBorders>
            <w:shd w:val="clear" w:color="auto" w:fill="auto"/>
          </w:tcPr>
          <w:p w:rsidR="00922C43" w:rsidRPr="0010714E" w:rsidRDefault="00922C43" w:rsidP="00922C43">
            <w:pPr>
              <w:pStyle w:val="Tablehead2"/>
              <w:spacing w:before="60"/>
              <w:jc w:val="right"/>
              <w:rPr>
                <w:sz w:val="16"/>
                <w:szCs w:val="16"/>
              </w:rPr>
            </w:pPr>
          </w:p>
        </w:tc>
      </w:tr>
      <w:tr w:rsidR="00922C43" w:rsidRPr="00520D1A" w:rsidTr="00922C43">
        <w:tc>
          <w:tcPr>
            <w:tcW w:w="1191" w:type="dxa"/>
            <w:tcBorders>
              <w:top w:val="single" w:sz="4" w:space="0" w:color="auto"/>
              <w:left w:val="nil"/>
              <w:bottom w:val="nil"/>
              <w:right w:val="nil"/>
            </w:tcBorders>
            <w:shd w:val="clear" w:color="auto" w:fill="auto"/>
          </w:tcPr>
          <w:p w:rsidR="00922C43" w:rsidRPr="007B5954" w:rsidRDefault="00922C43" w:rsidP="00851FD6">
            <w:pPr>
              <w:pStyle w:val="Tabletext"/>
              <w:spacing w:before="80" w:after="20"/>
            </w:pPr>
            <w:r w:rsidRPr="007B5954">
              <w:t>SES: Father's occupation</w:t>
            </w:r>
          </w:p>
        </w:tc>
        <w:tc>
          <w:tcPr>
            <w:tcW w:w="851" w:type="dxa"/>
            <w:tcBorders>
              <w:top w:val="single" w:sz="4" w:space="0" w:color="auto"/>
              <w:left w:val="nil"/>
              <w:bottom w:val="nil"/>
              <w:right w:val="nil"/>
            </w:tcBorders>
            <w:shd w:val="clear" w:color="auto" w:fill="auto"/>
          </w:tcPr>
          <w:p w:rsidR="00922C43" w:rsidRPr="00520D1A" w:rsidRDefault="00922C43" w:rsidP="00851FD6">
            <w:pPr>
              <w:pStyle w:val="Tabletext"/>
              <w:spacing w:before="80" w:after="20"/>
              <w:jc w:val="right"/>
              <w:rPr>
                <w:b/>
                <w:bCs/>
              </w:rPr>
            </w:pPr>
            <w:r w:rsidRPr="00520D1A">
              <w:rPr>
                <w:b/>
                <w:bCs/>
              </w:rPr>
              <w:t>0.063</w:t>
            </w:r>
          </w:p>
        </w:tc>
        <w:tc>
          <w:tcPr>
            <w:tcW w:w="1019" w:type="dxa"/>
            <w:tcBorders>
              <w:top w:val="single" w:sz="4" w:space="0" w:color="auto"/>
              <w:left w:val="nil"/>
              <w:bottom w:val="nil"/>
              <w:right w:val="nil"/>
            </w:tcBorders>
            <w:shd w:val="clear" w:color="auto" w:fill="auto"/>
          </w:tcPr>
          <w:p w:rsidR="00922C43" w:rsidRPr="00520D1A" w:rsidRDefault="00922C43" w:rsidP="00851FD6">
            <w:pPr>
              <w:pStyle w:val="Tabletext"/>
              <w:spacing w:before="80" w:after="20"/>
              <w:jc w:val="right"/>
            </w:pPr>
          </w:p>
        </w:tc>
        <w:tc>
          <w:tcPr>
            <w:tcW w:w="907" w:type="dxa"/>
            <w:tcBorders>
              <w:top w:val="single" w:sz="4" w:space="0" w:color="auto"/>
              <w:left w:val="nil"/>
              <w:bottom w:val="nil"/>
              <w:right w:val="nil"/>
            </w:tcBorders>
            <w:shd w:val="clear" w:color="auto" w:fill="auto"/>
          </w:tcPr>
          <w:p w:rsidR="00922C43" w:rsidRPr="00520D1A" w:rsidRDefault="00922C43" w:rsidP="00851FD6">
            <w:pPr>
              <w:pStyle w:val="Tabletext"/>
              <w:spacing w:before="80" w:after="20"/>
              <w:jc w:val="right"/>
              <w:rPr>
                <w:b/>
                <w:bCs/>
              </w:rPr>
            </w:pPr>
          </w:p>
        </w:tc>
        <w:tc>
          <w:tcPr>
            <w:tcW w:w="907" w:type="dxa"/>
            <w:tcBorders>
              <w:top w:val="single" w:sz="4" w:space="0" w:color="auto"/>
              <w:left w:val="nil"/>
              <w:bottom w:val="nil"/>
              <w:right w:val="nil"/>
            </w:tcBorders>
            <w:shd w:val="clear" w:color="auto" w:fill="auto"/>
          </w:tcPr>
          <w:p w:rsidR="00922C43" w:rsidRPr="00520D1A" w:rsidRDefault="00922C43" w:rsidP="00851FD6">
            <w:pPr>
              <w:pStyle w:val="Tabletext"/>
              <w:spacing w:before="80" w:after="20"/>
              <w:jc w:val="right"/>
              <w:rPr>
                <w:b/>
                <w:bCs/>
              </w:rPr>
            </w:pPr>
          </w:p>
        </w:tc>
        <w:tc>
          <w:tcPr>
            <w:tcW w:w="907" w:type="dxa"/>
            <w:tcBorders>
              <w:top w:val="single" w:sz="4" w:space="0" w:color="auto"/>
              <w:left w:val="nil"/>
              <w:bottom w:val="nil"/>
              <w:right w:val="nil"/>
            </w:tcBorders>
            <w:shd w:val="clear" w:color="auto" w:fill="auto"/>
          </w:tcPr>
          <w:p w:rsidR="00922C43" w:rsidRPr="00520D1A" w:rsidRDefault="00922C43" w:rsidP="00851FD6">
            <w:pPr>
              <w:pStyle w:val="Tabletext"/>
              <w:spacing w:before="80" w:after="20"/>
              <w:jc w:val="right"/>
              <w:rPr>
                <w:b/>
                <w:bCs/>
              </w:rPr>
            </w:pPr>
          </w:p>
        </w:tc>
        <w:tc>
          <w:tcPr>
            <w:tcW w:w="907" w:type="dxa"/>
            <w:tcBorders>
              <w:top w:val="single" w:sz="4" w:space="0" w:color="auto"/>
              <w:left w:val="nil"/>
              <w:bottom w:val="nil"/>
              <w:right w:val="nil"/>
            </w:tcBorders>
            <w:shd w:val="clear" w:color="auto" w:fill="auto"/>
          </w:tcPr>
          <w:p w:rsidR="00922C43" w:rsidRPr="00520D1A" w:rsidRDefault="00922C43" w:rsidP="00851FD6">
            <w:pPr>
              <w:pStyle w:val="Tabletext"/>
              <w:spacing w:before="80" w:after="20"/>
              <w:jc w:val="right"/>
              <w:rPr>
                <w:b/>
                <w:bCs/>
              </w:rPr>
            </w:pPr>
          </w:p>
        </w:tc>
        <w:tc>
          <w:tcPr>
            <w:tcW w:w="907" w:type="dxa"/>
            <w:tcBorders>
              <w:top w:val="single" w:sz="4" w:space="0" w:color="auto"/>
              <w:left w:val="nil"/>
              <w:bottom w:val="nil"/>
              <w:right w:val="nil"/>
            </w:tcBorders>
            <w:shd w:val="clear" w:color="auto" w:fill="auto"/>
            <w:noWrap/>
          </w:tcPr>
          <w:p w:rsidR="00922C43" w:rsidRPr="00520D1A" w:rsidRDefault="00922C43" w:rsidP="00851FD6">
            <w:pPr>
              <w:pStyle w:val="Tabletext"/>
              <w:spacing w:before="80" w:after="20"/>
              <w:jc w:val="right"/>
              <w:rPr>
                <w:b/>
                <w:bCs/>
              </w:rPr>
            </w:pPr>
          </w:p>
        </w:tc>
        <w:tc>
          <w:tcPr>
            <w:tcW w:w="907" w:type="dxa"/>
            <w:tcBorders>
              <w:top w:val="single" w:sz="4" w:space="0" w:color="auto"/>
              <w:left w:val="nil"/>
              <w:bottom w:val="nil"/>
              <w:right w:val="nil"/>
            </w:tcBorders>
            <w:shd w:val="clear" w:color="auto" w:fill="auto"/>
            <w:noWrap/>
          </w:tcPr>
          <w:p w:rsidR="00922C43" w:rsidRPr="00520D1A" w:rsidRDefault="00922C43" w:rsidP="00851FD6">
            <w:pPr>
              <w:pStyle w:val="Tabletext"/>
              <w:spacing w:before="80" w:after="20"/>
              <w:jc w:val="right"/>
              <w:rPr>
                <w:b/>
                <w:bCs/>
              </w:rPr>
            </w:pPr>
          </w:p>
        </w:tc>
        <w:tc>
          <w:tcPr>
            <w:tcW w:w="907" w:type="dxa"/>
            <w:tcBorders>
              <w:top w:val="single" w:sz="4" w:space="0" w:color="auto"/>
              <w:left w:val="nil"/>
              <w:bottom w:val="nil"/>
              <w:right w:val="nil"/>
            </w:tcBorders>
            <w:shd w:val="clear" w:color="auto" w:fill="auto"/>
          </w:tcPr>
          <w:p w:rsidR="00922C43" w:rsidRPr="00520D1A" w:rsidRDefault="00922C43" w:rsidP="00851FD6">
            <w:pPr>
              <w:pStyle w:val="Tabletext"/>
              <w:spacing w:before="80" w:after="20"/>
              <w:jc w:val="right"/>
              <w:rPr>
                <w:b/>
                <w:bCs/>
              </w:rPr>
            </w:pPr>
          </w:p>
        </w:tc>
        <w:tc>
          <w:tcPr>
            <w:tcW w:w="907" w:type="dxa"/>
            <w:tcBorders>
              <w:top w:val="single" w:sz="4" w:space="0" w:color="auto"/>
              <w:left w:val="nil"/>
              <w:bottom w:val="nil"/>
              <w:right w:val="nil"/>
            </w:tcBorders>
            <w:shd w:val="clear" w:color="auto" w:fill="auto"/>
            <w:noWrap/>
          </w:tcPr>
          <w:p w:rsidR="00922C43" w:rsidRPr="00520D1A" w:rsidRDefault="00922C43" w:rsidP="00851FD6">
            <w:pPr>
              <w:pStyle w:val="Tabletext"/>
              <w:spacing w:before="80" w:after="20"/>
              <w:jc w:val="right"/>
              <w:rPr>
                <w:b/>
                <w:bCs/>
              </w:rPr>
            </w:pPr>
          </w:p>
        </w:tc>
        <w:tc>
          <w:tcPr>
            <w:tcW w:w="907" w:type="dxa"/>
            <w:tcBorders>
              <w:top w:val="single" w:sz="4" w:space="0" w:color="auto"/>
              <w:left w:val="nil"/>
              <w:bottom w:val="nil"/>
              <w:right w:val="nil"/>
            </w:tcBorders>
            <w:shd w:val="clear" w:color="auto" w:fill="auto"/>
          </w:tcPr>
          <w:p w:rsidR="00922C43" w:rsidRPr="00520D1A" w:rsidRDefault="00922C43" w:rsidP="00851FD6">
            <w:pPr>
              <w:pStyle w:val="Tabletext"/>
              <w:spacing w:before="80" w:after="20"/>
              <w:jc w:val="right"/>
            </w:pPr>
          </w:p>
        </w:tc>
        <w:tc>
          <w:tcPr>
            <w:tcW w:w="1021" w:type="dxa"/>
            <w:tcBorders>
              <w:top w:val="single" w:sz="4" w:space="0" w:color="auto"/>
              <w:left w:val="nil"/>
              <w:bottom w:val="nil"/>
              <w:right w:val="nil"/>
            </w:tcBorders>
            <w:shd w:val="clear" w:color="auto" w:fill="auto"/>
          </w:tcPr>
          <w:p w:rsidR="00922C43" w:rsidRPr="00520D1A" w:rsidRDefault="00922C43" w:rsidP="00851FD6">
            <w:pPr>
              <w:pStyle w:val="Tabletext"/>
              <w:spacing w:before="80" w:after="20"/>
              <w:jc w:val="right"/>
              <w:rPr>
                <w:b/>
                <w:bCs/>
              </w:rPr>
            </w:pPr>
          </w:p>
        </w:tc>
        <w:tc>
          <w:tcPr>
            <w:tcW w:w="907" w:type="dxa"/>
            <w:tcBorders>
              <w:top w:val="single" w:sz="4" w:space="0" w:color="auto"/>
              <w:left w:val="nil"/>
              <w:bottom w:val="nil"/>
              <w:right w:val="nil"/>
            </w:tcBorders>
            <w:shd w:val="clear" w:color="auto" w:fill="auto"/>
            <w:noWrap/>
          </w:tcPr>
          <w:p w:rsidR="00922C43" w:rsidRPr="00520D1A" w:rsidRDefault="00922C43" w:rsidP="00851FD6">
            <w:pPr>
              <w:pStyle w:val="Tabletext"/>
              <w:spacing w:before="80" w:after="20"/>
              <w:jc w:val="right"/>
            </w:pPr>
          </w:p>
        </w:tc>
        <w:tc>
          <w:tcPr>
            <w:tcW w:w="907" w:type="dxa"/>
            <w:tcBorders>
              <w:top w:val="single" w:sz="4" w:space="0" w:color="auto"/>
              <w:left w:val="nil"/>
              <w:bottom w:val="nil"/>
              <w:right w:val="nil"/>
            </w:tcBorders>
            <w:shd w:val="clear" w:color="auto" w:fill="auto"/>
          </w:tcPr>
          <w:p w:rsidR="00922C43" w:rsidRPr="00520D1A" w:rsidRDefault="00922C43" w:rsidP="00851FD6">
            <w:pPr>
              <w:pStyle w:val="Tabletext"/>
              <w:spacing w:before="80" w:after="20"/>
              <w:jc w:val="right"/>
              <w:rPr>
                <w:b/>
                <w:bCs/>
              </w:rPr>
            </w:pPr>
          </w:p>
        </w:tc>
      </w:tr>
      <w:tr w:rsidR="00922C43" w:rsidRPr="00520D1A" w:rsidTr="00922C43">
        <w:tc>
          <w:tcPr>
            <w:tcW w:w="1191" w:type="dxa"/>
            <w:tcBorders>
              <w:top w:val="nil"/>
              <w:left w:val="nil"/>
              <w:bottom w:val="nil"/>
              <w:right w:val="nil"/>
            </w:tcBorders>
            <w:shd w:val="clear" w:color="auto" w:fill="auto"/>
          </w:tcPr>
          <w:p w:rsidR="00922C43" w:rsidRPr="00520D1A" w:rsidRDefault="00922C43" w:rsidP="00473182">
            <w:pPr>
              <w:pStyle w:val="Tabletext"/>
              <w:spacing w:beforeLines="20" w:after="0"/>
              <w:rPr>
                <w:bCs/>
              </w:rPr>
            </w:pPr>
            <w:r w:rsidRPr="007B5954">
              <w:t>Years of education</w:t>
            </w:r>
            <w:r>
              <w:t>:</w:t>
            </w:r>
            <w:r w:rsidRPr="007B5954">
              <w:t xml:space="preserve"> Mother</w:t>
            </w:r>
          </w:p>
        </w:tc>
        <w:tc>
          <w:tcPr>
            <w:tcW w:w="851"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0.056</w:t>
            </w:r>
          </w:p>
        </w:tc>
        <w:tc>
          <w:tcPr>
            <w:tcW w:w="1019"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0.273</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1021"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p>
        </w:tc>
      </w:tr>
      <w:tr w:rsidR="00922C43" w:rsidRPr="00520D1A" w:rsidTr="00922C43">
        <w:tc>
          <w:tcPr>
            <w:tcW w:w="1191" w:type="dxa"/>
            <w:tcBorders>
              <w:top w:val="nil"/>
              <w:left w:val="nil"/>
              <w:bottom w:val="nil"/>
              <w:right w:val="nil"/>
            </w:tcBorders>
            <w:shd w:val="clear" w:color="auto" w:fill="auto"/>
          </w:tcPr>
          <w:p w:rsidR="00922C43" w:rsidRPr="00520D1A" w:rsidRDefault="00922C43" w:rsidP="00473182">
            <w:pPr>
              <w:pStyle w:val="Tabletext"/>
              <w:spacing w:beforeLines="20" w:after="0"/>
              <w:rPr>
                <w:bCs/>
              </w:rPr>
            </w:pPr>
            <w:r w:rsidRPr="00520D1A">
              <w:rPr>
                <w:bCs/>
              </w:rPr>
              <w:t>Maths score</w:t>
            </w:r>
          </w:p>
        </w:tc>
        <w:tc>
          <w:tcPr>
            <w:tcW w:w="851"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0.173</w:t>
            </w:r>
          </w:p>
        </w:tc>
        <w:tc>
          <w:tcPr>
            <w:tcW w:w="1019"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0.193</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0.135</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p>
        </w:tc>
        <w:tc>
          <w:tcPr>
            <w:tcW w:w="1021"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p>
        </w:tc>
      </w:tr>
      <w:tr w:rsidR="00922C43" w:rsidRPr="00520D1A" w:rsidTr="00922C43">
        <w:tc>
          <w:tcPr>
            <w:tcW w:w="1191" w:type="dxa"/>
            <w:tcBorders>
              <w:top w:val="nil"/>
              <w:left w:val="nil"/>
              <w:bottom w:val="nil"/>
              <w:right w:val="nil"/>
            </w:tcBorders>
            <w:shd w:val="clear" w:color="auto" w:fill="auto"/>
          </w:tcPr>
          <w:p w:rsidR="00922C43" w:rsidRPr="00520D1A" w:rsidRDefault="00922C43" w:rsidP="00473182">
            <w:pPr>
              <w:pStyle w:val="Tabletext"/>
              <w:spacing w:beforeLines="20" w:after="0"/>
              <w:rPr>
                <w:bCs/>
              </w:rPr>
            </w:pPr>
            <w:r w:rsidRPr="00520D1A">
              <w:rPr>
                <w:bCs/>
              </w:rPr>
              <w:t>Read score</w:t>
            </w:r>
          </w:p>
        </w:tc>
        <w:tc>
          <w:tcPr>
            <w:tcW w:w="851"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-0.023</w:t>
            </w:r>
          </w:p>
        </w:tc>
        <w:tc>
          <w:tcPr>
            <w:tcW w:w="1019"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0.198</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0.167</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0.442</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1021"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r>
      <w:tr w:rsidR="00922C43" w:rsidRPr="00520D1A" w:rsidTr="00922C43">
        <w:tc>
          <w:tcPr>
            <w:tcW w:w="1191" w:type="dxa"/>
            <w:tcBorders>
              <w:top w:val="nil"/>
              <w:left w:val="nil"/>
              <w:bottom w:val="nil"/>
              <w:right w:val="nil"/>
            </w:tcBorders>
            <w:shd w:val="clear" w:color="auto" w:fill="auto"/>
          </w:tcPr>
          <w:p w:rsidR="00922C43" w:rsidRPr="00520D1A" w:rsidRDefault="00922C43" w:rsidP="00473182">
            <w:pPr>
              <w:pStyle w:val="Tabletext"/>
              <w:spacing w:beforeLines="20" w:after="0"/>
              <w:rPr>
                <w:bCs/>
              </w:rPr>
            </w:pPr>
            <w:r w:rsidRPr="00520D1A">
              <w:rPr>
                <w:bCs/>
              </w:rPr>
              <w:t>Metro</w:t>
            </w:r>
            <w:r w:rsidR="008863D9">
              <w:rPr>
                <w:bCs/>
              </w:rPr>
              <w:t>.</w:t>
            </w:r>
          </w:p>
        </w:tc>
        <w:tc>
          <w:tcPr>
            <w:tcW w:w="851"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0.051</w:t>
            </w:r>
          </w:p>
        </w:tc>
        <w:tc>
          <w:tcPr>
            <w:tcW w:w="1019"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0.133</w:t>
            </w:r>
          </w:p>
        </w:tc>
        <w:tc>
          <w:tcPr>
            <w:tcW w:w="907" w:type="dxa"/>
            <w:tcBorders>
              <w:top w:val="nil"/>
              <w:left w:val="nil"/>
              <w:bottom w:val="nil"/>
              <w:right w:val="nil"/>
            </w:tcBorders>
            <w:shd w:val="clear" w:color="auto" w:fill="auto"/>
          </w:tcPr>
          <w:p w:rsidR="00922C43" w:rsidRPr="006664CB" w:rsidRDefault="00922C43" w:rsidP="00473182">
            <w:pPr>
              <w:pStyle w:val="Tabletext"/>
              <w:spacing w:beforeLines="20" w:after="0"/>
              <w:jc w:val="right"/>
              <w:rPr>
                <w:i/>
              </w:rPr>
            </w:pPr>
            <w:r w:rsidRPr="006664CB">
              <w:rPr>
                <w:i/>
              </w:rPr>
              <w:t>0.022</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r w:rsidRPr="00520D1A">
              <w:t>0.038</w:t>
            </w:r>
          </w:p>
        </w:tc>
        <w:tc>
          <w:tcPr>
            <w:tcW w:w="907" w:type="dxa"/>
            <w:tcBorders>
              <w:top w:val="nil"/>
              <w:left w:val="nil"/>
              <w:bottom w:val="nil"/>
              <w:right w:val="nil"/>
            </w:tcBorders>
            <w:shd w:val="clear" w:color="auto" w:fill="auto"/>
          </w:tcPr>
          <w:p w:rsidR="00922C43" w:rsidRPr="006664CB" w:rsidRDefault="00922C43" w:rsidP="00473182">
            <w:pPr>
              <w:pStyle w:val="Tabletext"/>
              <w:spacing w:beforeLines="20" w:after="0"/>
              <w:jc w:val="right"/>
              <w:rPr>
                <w:i/>
              </w:rPr>
            </w:pPr>
            <w:r w:rsidRPr="006664CB">
              <w:rPr>
                <w:i/>
              </w:rPr>
              <w:t>0.025</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1021"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r>
      <w:tr w:rsidR="00922C43" w:rsidRPr="00520D1A" w:rsidTr="00922C43">
        <w:tc>
          <w:tcPr>
            <w:tcW w:w="1191" w:type="dxa"/>
            <w:tcBorders>
              <w:top w:val="nil"/>
              <w:left w:val="nil"/>
              <w:bottom w:val="nil"/>
              <w:right w:val="nil"/>
            </w:tcBorders>
            <w:shd w:val="clear" w:color="auto" w:fill="auto"/>
          </w:tcPr>
          <w:p w:rsidR="00922C43" w:rsidRPr="00520D1A" w:rsidRDefault="00922C43" w:rsidP="00473182">
            <w:pPr>
              <w:pStyle w:val="Tabletext"/>
              <w:spacing w:beforeLines="20" w:after="0"/>
              <w:rPr>
                <w:bCs/>
              </w:rPr>
            </w:pPr>
            <w:r w:rsidRPr="00520D1A">
              <w:rPr>
                <w:bCs/>
              </w:rPr>
              <w:t>Regional</w:t>
            </w:r>
          </w:p>
        </w:tc>
        <w:tc>
          <w:tcPr>
            <w:tcW w:w="851"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-0.051</w:t>
            </w:r>
          </w:p>
        </w:tc>
        <w:tc>
          <w:tcPr>
            <w:tcW w:w="1019"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-0.075</w:t>
            </w:r>
          </w:p>
        </w:tc>
        <w:tc>
          <w:tcPr>
            <w:tcW w:w="907" w:type="dxa"/>
            <w:tcBorders>
              <w:top w:val="nil"/>
              <w:left w:val="nil"/>
              <w:bottom w:val="nil"/>
              <w:right w:val="nil"/>
            </w:tcBorders>
            <w:shd w:val="clear" w:color="auto" w:fill="auto"/>
          </w:tcPr>
          <w:p w:rsidR="00922C43" w:rsidRPr="006664CB" w:rsidRDefault="00922C43" w:rsidP="00473182">
            <w:pPr>
              <w:pStyle w:val="Tabletext"/>
              <w:spacing w:beforeLines="20" w:after="0"/>
              <w:jc w:val="right"/>
              <w:rPr>
                <w:i/>
              </w:rPr>
            </w:pPr>
            <w:r w:rsidRPr="006664CB">
              <w:rPr>
                <w:i/>
              </w:rPr>
              <w:t>0.013</w:t>
            </w:r>
          </w:p>
        </w:tc>
        <w:tc>
          <w:tcPr>
            <w:tcW w:w="907"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-0.017</w:t>
            </w:r>
          </w:p>
        </w:tc>
        <w:tc>
          <w:tcPr>
            <w:tcW w:w="907"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-0.011</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1021"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r>
      <w:tr w:rsidR="00922C43" w:rsidRPr="00520D1A" w:rsidTr="00922C43">
        <w:tc>
          <w:tcPr>
            <w:tcW w:w="1191" w:type="dxa"/>
            <w:tcBorders>
              <w:top w:val="nil"/>
              <w:left w:val="nil"/>
              <w:bottom w:val="nil"/>
              <w:right w:val="nil"/>
            </w:tcBorders>
            <w:shd w:val="clear" w:color="auto" w:fill="auto"/>
          </w:tcPr>
          <w:p w:rsidR="00922C43" w:rsidRPr="00520D1A" w:rsidRDefault="00922C43" w:rsidP="00473182">
            <w:pPr>
              <w:pStyle w:val="Tabletext"/>
              <w:spacing w:beforeLines="20" w:after="0"/>
              <w:rPr>
                <w:bCs/>
              </w:rPr>
            </w:pPr>
            <w:r w:rsidRPr="00520D1A">
              <w:rPr>
                <w:bCs/>
              </w:rPr>
              <w:t>Rural</w:t>
            </w:r>
          </w:p>
        </w:tc>
        <w:tc>
          <w:tcPr>
            <w:tcW w:w="851"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-0.013</w:t>
            </w:r>
          </w:p>
        </w:tc>
        <w:tc>
          <w:tcPr>
            <w:tcW w:w="1019"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-0.091</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r w:rsidRPr="00520D1A">
              <w:t>-0.041</w:t>
            </w:r>
          </w:p>
        </w:tc>
        <w:tc>
          <w:tcPr>
            <w:tcW w:w="907"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-0.030</w:t>
            </w:r>
          </w:p>
        </w:tc>
        <w:tc>
          <w:tcPr>
            <w:tcW w:w="907"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-0.020</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1021"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r>
      <w:tr w:rsidR="00922C43" w:rsidRPr="00520D1A" w:rsidTr="00922C43">
        <w:tc>
          <w:tcPr>
            <w:tcW w:w="1191" w:type="dxa"/>
            <w:tcBorders>
              <w:top w:val="nil"/>
              <w:left w:val="nil"/>
              <w:bottom w:val="nil"/>
              <w:right w:val="nil"/>
            </w:tcBorders>
            <w:shd w:val="clear" w:color="auto" w:fill="auto"/>
          </w:tcPr>
          <w:p w:rsidR="00922C43" w:rsidRPr="00520D1A" w:rsidRDefault="00922C43" w:rsidP="00473182">
            <w:pPr>
              <w:pStyle w:val="Tabletext"/>
              <w:spacing w:beforeLines="20" w:after="0"/>
              <w:rPr>
                <w:bCs/>
              </w:rPr>
            </w:pPr>
            <w:r w:rsidRPr="00520D1A">
              <w:rPr>
                <w:bCs/>
              </w:rPr>
              <w:t>NESB</w:t>
            </w:r>
          </w:p>
        </w:tc>
        <w:tc>
          <w:tcPr>
            <w:tcW w:w="851"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-0.033</w:t>
            </w:r>
          </w:p>
        </w:tc>
        <w:tc>
          <w:tcPr>
            <w:tcW w:w="1019"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0.128</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0.083</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0.057</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0.146</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-0.167</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0.106</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0.102</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1021"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r>
      <w:tr w:rsidR="00922C43" w:rsidRPr="00520D1A" w:rsidTr="00922C43">
        <w:tc>
          <w:tcPr>
            <w:tcW w:w="1191" w:type="dxa"/>
            <w:tcBorders>
              <w:top w:val="nil"/>
              <w:left w:val="nil"/>
              <w:bottom w:val="nil"/>
              <w:right w:val="nil"/>
            </w:tcBorders>
            <w:shd w:val="clear" w:color="auto" w:fill="auto"/>
          </w:tcPr>
          <w:p w:rsidR="00922C43" w:rsidRPr="00520D1A" w:rsidRDefault="00922C43" w:rsidP="00473182">
            <w:pPr>
              <w:pStyle w:val="Tabletext"/>
              <w:spacing w:beforeLines="20" w:after="0"/>
              <w:rPr>
                <w:bCs/>
              </w:rPr>
            </w:pPr>
            <w:r w:rsidRPr="00520D1A">
              <w:rPr>
                <w:bCs/>
              </w:rPr>
              <w:t>Government</w:t>
            </w:r>
          </w:p>
        </w:tc>
        <w:tc>
          <w:tcPr>
            <w:tcW w:w="851"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-0.120</w:t>
            </w:r>
          </w:p>
        </w:tc>
        <w:tc>
          <w:tcPr>
            <w:tcW w:w="1019"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-0.178</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-0.094</w:t>
            </w:r>
          </w:p>
        </w:tc>
        <w:tc>
          <w:tcPr>
            <w:tcW w:w="907"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-0.021</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-0.067</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-0.214</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0.138</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0.129</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-0.089</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1021"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r>
      <w:tr w:rsidR="00922C43" w:rsidRPr="00520D1A" w:rsidTr="00922C43">
        <w:tc>
          <w:tcPr>
            <w:tcW w:w="1191" w:type="dxa"/>
            <w:tcBorders>
              <w:top w:val="nil"/>
              <w:left w:val="nil"/>
              <w:bottom w:val="nil"/>
              <w:right w:val="nil"/>
            </w:tcBorders>
            <w:shd w:val="clear" w:color="auto" w:fill="auto"/>
          </w:tcPr>
          <w:p w:rsidR="00922C43" w:rsidRPr="00520D1A" w:rsidRDefault="00922C43" w:rsidP="00473182">
            <w:pPr>
              <w:pStyle w:val="Tabletext"/>
              <w:spacing w:beforeLines="20" w:after="0"/>
              <w:rPr>
                <w:bCs/>
              </w:rPr>
            </w:pPr>
            <w:r w:rsidRPr="00520D1A">
              <w:rPr>
                <w:bCs/>
              </w:rPr>
              <w:t>Catholic</w:t>
            </w:r>
          </w:p>
        </w:tc>
        <w:tc>
          <w:tcPr>
            <w:tcW w:w="851" w:type="dxa"/>
            <w:tcBorders>
              <w:top w:val="nil"/>
              <w:left w:val="nil"/>
              <w:bottom w:val="nil"/>
              <w:right w:val="nil"/>
            </w:tcBorders>
            <w:shd w:val="clear" w:color="auto" w:fill="auto"/>
          </w:tcPr>
          <w:p w:rsidR="00922C43" w:rsidRPr="006664CB" w:rsidRDefault="00922C43" w:rsidP="00473182">
            <w:pPr>
              <w:pStyle w:val="Tabletext"/>
              <w:spacing w:beforeLines="20" w:after="0"/>
              <w:jc w:val="right"/>
              <w:rPr>
                <w:i/>
              </w:rPr>
            </w:pPr>
            <w:r w:rsidRPr="006664CB">
              <w:rPr>
                <w:i/>
              </w:rPr>
              <w:t>0.034</w:t>
            </w:r>
          </w:p>
        </w:tc>
        <w:tc>
          <w:tcPr>
            <w:tcW w:w="1019" w:type="dxa"/>
            <w:tcBorders>
              <w:top w:val="nil"/>
              <w:left w:val="nil"/>
              <w:bottom w:val="nil"/>
              <w:right w:val="nil"/>
            </w:tcBorders>
            <w:shd w:val="clear" w:color="auto" w:fill="auto"/>
          </w:tcPr>
          <w:p w:rsidR="00922C43" w:rsidRPr="006664CB" w:rsidRDefault="00922C43" w:rsidP="00473182">
            <w:pPr>
              <w:pStyle w:val="Tabletext"/>
              <w:spacing w:beforeLines="20" w:after="0"/>
              <w:jc w:val="right"/>
              <w:rPr>
                <w:i/>
              </w:rPr>
            </w:pPr>
            <w:r w:rsidRPr="006664CB">
              <w:rPr>
                <w:i/>
              </w:rPr>
              <w:t>0.007</w:t>
            </w:r>
          </w:p>
        </w:tc>
        <w:tc>
          <w:tcPr>
            <w:tcW w:w="907"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-0.025</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-0.075</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r w:rsidRPr="00520D1A">
              <w:t>-0.039</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0.122</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-0.101</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-0.051</w:t>
            </w:r>
          </w:p>
        </w:tc>
        <w:tc>
          <w:tcPr>
            <w:tcW w:w="907" w:type="dxa"/>
            <w:tcBorders>
              <w:top w:val="nil"/>
              <w:left w:val="nil"/>
              <w:bottom w:val="nil"/>
              <w:right w:val="nil"/>
            </w:tcBorders>
            <w:shd w:val="clear" w:color="auto" w:fill="auto"/>
          </w:tcPr>
          <w:p w:rsidR="00922C43" w:rsidRPr="006664CB" w:rsidRDefault="00922C43" w:rsidP="00473182">
            <w:pPr>
              <w:pStyle w:val="Tabletext"/>
              <w:spacing w:beforeLines="20" w:after="0"/>
              <w:jc w:val="right"/>
              <w:rPr>
                <w:i/>
              </w:rPr>
            </w:pPr>
            <w:r w:rsidRPr="006664CB">
              <w:rPr>
                <w:i/>
              </w:rPr>
              <w:t>0.014</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1021"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r>
      <w:tr w:rsidR="00922C43" w:rsidRPr="00520D1A" w:rsidTr="00922C43">
        <w:tc>
          <w:tcPr>
            <w:tcW w:w="1191" w:type="dxa"/>
            <w:tcBorders>
              <w:top w:val="nil"/>
              <w:left w:val="nil"/>
              <w:bottom w:val="nil"/>
              <w:right w:val="nil"/>
            </w:tcBorders>
            <w:shd w:val="clear" w:color="auto" w:fill="auto"/>
          </w:tcPr>
          <w:p w:rsidR="00922C43" w:rsidRPr="00520D1A" w:rsidRDefault="00922C43" w:rsidP="00473182">
            <w:pPr>
              <w:pStyle w:val="Tabletext"/>
              <w:spacing w:beforeLines="20" w:after="0"/>
              <w:rPr>
                <w:bCs/>
              </w:rPr>
            </w:pPr>
            <w:r w:rsidRPr="00520D1A">
              <w:rPr>
                <w:bCs/>
              </w:rPr>
              <w:t>Independent</w:t>
            </w:r>
          </w:p>
        </w:tc>
        <w:tc>
          <w:tcPr>
            <w:tcW w:w="851"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0.106</w:t>
            </w:r>
          </w:p>
        </w:tc>
        <w:tc>
          <w:tcPr>
            <w:tcW w:w="1019"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0.201</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0.137</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0.104</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0.120</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0.121</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-0.054</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-0.098</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0.090</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p>
        </w:tc>
        <w:tc>
          <w:tcPr>
            <w:tcW w:w="1021"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r>
      <w:tr w:rsidR="00922C43" w:rsidRPr="00520D1A" w:rsidTr="00922C43">
        <w:tc>
          <w:tcPr>
            <w:tcW w:w="1191" w:type="dxa"/>
            <w:tcBorders>
              <w:top w:val="nil"/>
              <w:left w:val="nil"/>
              <w:bottom w:val="nil"/>
              <w:right w:val="nil"/>
            </w:tcBorders>
            <w:shd w:val="clear" w:color="auto" w:fill="auto"/>
          </w:tcPr>
          <w:p w:rsidR="00922C43" w:rsidRPr="00520D1A" w:rsidRDefault="00922C43" w:rsidP="00473182">
            <w:pPr>
              <w:pStyle w:val="Tabletext"/>
              <w:spacing w:beforeLines="20" w:after="0"/>
              <w:rPr>
                <w:bCs/>
              </w:rPr>
            </w:pPr>
            <w:r w:rsidRPr="00520D1A">
              <w:rPr>
                <w:bCs/>
              </w:rPr>
              <w:t>QSL</w:t>
            </w:r>
          </w:p>
        </w:tc>
        <w:tc>
          <w:tcPr>
            <w:tcW w:w="851"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0.032</w:t>
            </w:r>
          </w:p>
        </w:tc>
        <w:tc>
          <w:tcPr>
            <w:tcW w:w="1019"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0.013</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0.057</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0.056</w:t>
            </w: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0.070</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r w:rsidRPr="00520D1A">
              <w:t>-0.022</w:t>
            </w:r>
          </w:p>
        </w:tc>
        <w:tc>
          <w:tcPr>
            <w:tcW w:w="907"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0.027</w:t>
            </w:r>
          </w:p>
        </w:tc>
        <w:tc>
          <w:tcPr>
            <w:tcW w:w="907"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0.000</w:t>
            </w:r>
          </w:p>
        </w:tc>
        <w:tc>
          <w:tcPr>
            <w:tcW w:w="907" w:type="dxa"/>
            <w:tcBorders>
              <w:top w:val="nil"/>
              <w:left w:val="nil"/>
              <w:bottom w:val="nil"/>
              <w:right w:val="nil"/>
            </w:tcBorders>
            <w:shd w:val="clear" w:color="auto" w:fill="auto"/>
          </w:tcPr>
          <w:p w:rsidR="00922C43" w:rsidRPr="006664CB" w:rsidRDefault="00922C43" w:rsidP="00473182">
            <w:pPr>
              <w:pStyle w:val="Tabletext"/>
              <w:spacing w:beforeLines="20" w:after="0"/>
              <w:jc w:val="right"/>
              <w:rPr>
                <w:i/>
              </w:rPr>
            </w:pPr>
            <w:r w:rsidRPr="006664CB">
              <w:rPr>
                <w:i/>
              </w:rPr>
              <w:t>-0.022</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-0.062</w:t>
            </w:r>
          </w:p>
        </w:tc>
        <w:tc>
          <w:tcPr>
            <w:tcW w:w="907" w:type="dxa"/>
            <w:tcBorders>
              <w:top w:val="nil"/>
              <w:left w:val="nil"/>
              <w:bottom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0.027</w:t>
            </w:r>
          </w:p>
        </w:tc>
        <w:tc>
          <w:tcPr>
            <w:tcW w:w="1021"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0.045</w:t>
            </w:r>
          </w:p>
        </w:tc>
        <w:tc>
          <w:tcPr>
            <w:tcW w:w="907" w:type="dxa"/>
            <w:tcBorders>
              <w:top w:val="nil"/>
              <w:left w:val="nil"/>
              <w:bottom w:val="nil"/>
              <w:right w:val="nil"/>
            </w:tcBorders>
            <w:shd w:val="clear" w:color="auto" w:fill="auto"/>
          </w:tcPr>
          <w:p w:rsidR="00922C43" w:rsidRPr="00520D1A" w:rsidRDefault="00922C43" w:rsidP="00473182">
            <w:pPr>
              <w:pStyle w:val="Tabletext"/>
              <w:spacing w:beforeLines="20" w:after="0"/>
              <w:jc w:val="right"/>
            </w:pPr>
          </w:p>
        </w:tc>
        <w:tc>
          <w:tcPr>
            <w:tcW w:w="907" w:type="dxa"/>
            <w:tcBorders>
              <w:top w:val="nil"/>
              <w:left w:val="nil"/>
              <w:bottom w:val="nil"/>
              <w:right w:val="nil"/>
            </w:tcBorders>
            <w:shd w:val="clear" w:color="auto" w:fill="auto"/>
            <w:noWrap/>
          </w:tcPr>
          <w:p w:rsidR="00922C43" w:rsidRPr="00520D1A" w:rsidRDefault="00922C43" w:rsidP="00473182">
            <w:pPr>
              <w:pStyle w:val="Tabletext"/>
              <w:spacing w:beforeLines="20" w:after="0"/>
              <w:jc w:val="right"/>
            </w:pPr>
          </w:p>
        </w:tc>
      </w:tr>
      <w:tr w:rsidR="00922C43" w:rsidRPr="00520D1A" w:rsidTr="00922C43">
        <w:tc>
          <w:tcPr>
            <w:tcW w:w="1191" w:type="dxa"/>
            <w:tcBorders>
              <w:top w:val="nil"/>
              <w:left w:val="nil"/>
              <w:right w:val="nil"/>
            </w:tcBorders>
            <w:shd w:val="clear" w:color="auto" w:fill="auto"/>
          </w:tcPr>
          <w:p w:rsidR="00922C43" w:rsidRPr="00520D1A" w:rsidRDefault="00922C43" w:rsidP="00473182">
            <w:pPr>
              <w:pStyle w:val="Tabletext"/>
              <w:spacing w:beforeLines="20" w:after="0"/>
              <w:rPr>
                <w:bCs/>
              </w:rPr>
            </w:pPr>
            <w:r w:rsidRPr="00520D1A">
              <w:rPr>
                <w:bCs/>
              </w:rPr>
              <w:t>TER</w:t>
            </w:r>
          </w:p>
        </w:tc>
        <w:tc>
          <w:tcPr>
            <w:tcW w:w="851" w:type="dxa"/>
            <w:tcBorders>
              <w:top w:val="nil"/>
              <w:left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-0.013</w:t>
            </w:r>
          </w:p>
        </w:tc>
        <w:tc>
          <w:tcPr>
            <w:tcW w:w="1019" w:type="dxa"/>
            <w:tcBorders>
              <w:top w:val="nil"/>
              <w:left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0.228</w:t>
            </w:r>
          </w:p>
        </w:tc>
        <w:tc>
          <w:tcPr>
            <w:tcW w:w="907" w:type="dxa"/>
            <w:tcBorders>
              <w:top w:val="nil"/>
              <w:left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0.165</w:t>
            </w:r>
          </w:p>
        </w:tc>
        <w:tc>
          <w:tcPr>
            <w:tcW w:w="907" w:type="dxa"/>
            <w:tcBorders>
              <w:top w:val="nil"/>
              <w:left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0.389</w:t>
            </w:r>
          </w:p>
        </w:tc>
        <w:tc>
          <w:tcPr>
            <w:tcW w:w="907" w:type="dxa"/>
            <w:tcBorders>
              <w:top w:val="nil"/>
              <w:left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0.338</w:t>
            </w:r>
          </w:p>
        </w:tc>
        <w:tc>
          <w:tcPr>
            <w:tcW w:w="907" w:type="dxa"/>
            <w:tcBorders>
              <w:top w:val="nil"/>
              <w:left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0.198</w:t>
            </w:r>
          </w:p>
        </w:tc>
        <w:tc>
          <w:tcPr>
            <w:tcW w:w="907" w:type="dxa"/>
            <w:tcBorders>
              <w:top w:val="nil"/>
              <w:left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-0.171</w:t>
            </w:r>
          </w:p>
        </w:tc>
        <w:tc>
          <w:tcPr>
            <w:tcW w:w="907" w:type="dxa"/>
            <w:tcBorders>
              <w:top w:val="nil"/>
              <w:left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-0.076</w:t>
            </w:r>
          </w:p>
        </w:tc>
        <w:tc>
          <w:tcPr>
            <w:tcW w:w="907" w:type="dxa"/>
            <w:tcBorders>
              <w:top w:val="nil"/>
              <w:left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-0.031</w:t>
            </w:r>
          </w:p>
        </w:tc>
        <w:tc>
          <w:tcPr>
            <w:tcW w:w="907" w:type="dxa"/>
            <w:tcBorders>
              <w:top w:val="nil"/>
              <w:left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-0.108</w:t>
            </w:r>
          </w:p>
        </w:tc>
        <w:tc>
          <w:tcPr>
            <w:tcW w:w="907" w:type="dxa"/>
            <w:tcBorders>
              <w:top w:val="nil"/>
              <w:left w:val="nil"/>
              <w:right w:val="nil"/>
            </w:tcBorders>
            <w:shd w:val="clear" w:color="auto" w:fill="auto"/>
            <w:noWrap/>
          </w:tcPr>
          <w:p w:rsidR="00922C43" w:rsidRPr="006664CB" w:rsidRDefault="00922C43" w:rsidP="00473182">
            <w:pPr>
              <w:pStyle w:val="Tabletext"/>
              <w:spacing w:beforeLines="20" w:after="0"/>
              <w:jc w:val="right"/>
              <w:rPr>
                <w:i/>
              </w:rPr>
            </w:pPr>
            <w:r w:rsidRPr="006664CB">
              <w:rPr>
                <w:i/>
              </w:rPr>
              <w:t>-0.013</w:t>
            </w:r>
          </w:p>
        </w:tc>
        <w:tc>
          <w:tcPr>
            <w:tcW w:w="1021" w:type="dxa"/>
            <w:tcBorders>
              <w:top w:val="nil"/>
              <w:left w:val="nil"/>
              <w:right w:val="nil"/>
            </w:tcBorders>
            <w:shd w:val="clear" w:color="auto" w:fill="auto"/>
          </w:tcPr>
          <w:p w:rsidR="00922C43" w:rsidRPr="00520D1A" w:rsidRDefault="00922C43" w:rsidP="00473182">
            <w:pPr>
              <w:pStyle w:val="Tabletext"/>
              <w:spacing w:beforeLines="20" w:after="0"/>
              <w:jc w:val="right"/>
              <w:rPr>
                <w:b/>
                <w:bCs/>
              </w:rPr>
            </w:pPr>
            <w:r w:rsidRPr="00520D1A">
              <w:rPr>
                <w:b/>
                <w:bCs/>
              </w:rPr>
              <w:t>0.141</w:t>
            </w:r>
          </w:p>
        </w:tc>
        <w:tc>
          <w:tcPr>
            <w:tcW w:w="907" w:type="dxa"/>
            <w:tcBorders>
              <w:top w:val="nil"/>
              <w:left w:val="nil"/>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0.152</w:t>
            </w:r>
          </w:p>
        </w:tc>
        <w:tc>
          <w:tcPr>
            <w:tcW w:w="907" w:type="dxa"/>
            <w:tcBorders>
              <w:top w:val="nil"/>
              <w:left w:val="nil"/>
              <w:right w:val="nil"/>
            </w:tcBorders>
            <w:shd w:val="clear" w:color="auto" w:fill="auto"/>
          </w:tcPr>
          <w:p w:rsidR="00922C43" w:rsidRPr="00520D1A" w:rsidRDefault="00922C43" w:rsidP="00473182">
            <w:pPr>
              <w:pStyle w:val="Tabletext"/>
              <w:spacing w:beforeLines="20" w:after="0"/>
              <w:jc w:val="right"/>
            </w:pPr>
          </w:p>
        </w:tc>
      </w:tr>
      <w:tr w:rsidR="00922C43" w:rsidRPr="00520D1A" w:rsidTr="00922C43">
        <w:tc>
          <w:tcPr>
            <w:tcW w:w="1191" w:type="dxa"/>
            <w:tcBorders>
              <w:top w:val="nil"/>
              <w:left w:val="nil"/>
              <w:bottom w:val="single" w:sz="4" w:space="0" w:color="auto"/>
              <w:right w:val="nil"/>
            </w:tcBorders>
            <w:shd w:val="clear" w:color="auto" w:fill="auto"/>
          </w:tcPr>
          <w:p w:rsidR="00922C43" w:rsidRPr="00520D1A" w:rsidRDefault="00922C43" w:rsidP="00473182">
            <w:pPr>
              <w:pStyle w:val="Tabletext"/>
              <w:spacing w:beforeLines="20" w:after="0"/>
              <w:rPr>
                <w:bCs/>
              </w:rPr>
            </w:pPr>
            <w:r w:rsidRPr="00520D1A">
              <w:rPr>
                <w:bCs/>
              </w:rPr>
              <w:t>YA school</w:t>
            </w:r>
          </w:p>
        </w:tc>
        <w:tc>
          <w:tcPr>
            <w:tcW w:w="851" w:type="dxa"/>
            <w:tcBorders>
              <w:top w:val="nil"/>
              <w:left w:val="nil"/>
              <w:bottom w:val="single" w:sz="4" w:space="0" w:color="auto"/>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-0.050</w:t>
            </w:r>
          </w:p>
        </w:tc>
        <w:tc>
          <w:tcPr>
            <w:tcW w:w="1019" w:type="dxa"/>
            <w:tcBorders>
              <w:top w:val="nil"/>
              <w:left w:val="nil"/>
              <w:bottom w:val="single" w:sz="4" w:space="0" w:color="auto"/>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-0.251</w:t>
            </w:r>
          </w:p>
        </w:tc>
        <w:tc>
          <w:tcPr>
            <w:tcW w:w="907" w:type="dxa"/>
            <w:tcBorders>
              <w:top w:val="nil"/>
              <w:left w:val="nil"/>
              <w:bottom w:val="single" w:sz="4" w:space="0" w:color="auto"/>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-0.155</w:t>
            </w:r>
          </w:p>
        </w:tc>
        <w:tc>
          <w:tcPr>
            <w:tcW w:w="907" w:type="dxa"/>
            <w:tcBorders>
              <w:top w:val="nil"/>
              <w:left w:val="nil"/>
              <w:bottom w:val="single" w:sz="4" w:space="0" w:color="auto"/>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-0.089</w:t>
            </w:r>
          </w:p>
        </w:tc>
        <w:tc>
          <w:tcPr>
            <w:tcW w:w="907" w:type="dxa"/>
            <w:tcBorders>
              <w:top w:val="nil"/>
              <w:left w:val="nil"/>
              <w:bottom w:val="single" w:sz="4" w:space="0" w:color="auto"/>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-0.119</w:t>
            </w:r>
          </w:p>
        </w:tc>
        <w:tc>
          <w:tcPr>
            <w:tcW w:w="907" w:type="dxa"/>
            <w:tcBorders>
              <w:top w:val="nil"/>
              <w:left w:val="nil"/>
              <w:bottom w:val="single" w:sz="4" w:space="0" w:color="auto"/>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-0.091</w:t>
            </w:r>
          </w:p>
        </w:tc>
        <w:tc>
          <w:tcPr>
            <w:tcW w:w="907" w:type="dxa"/>
            <w:tcBorders>
              <w:top w:val="nil"/>
              <w:left w:val="nil"/>
              <w:bottom w:val="single" w:sz="4" w:space="0" w:color="auto"/>
              <w:right w:val="nil"/>
            </w:tcBorders>
            <w:shd w:val="clear" w:color="auto" w:fill="auto"/>
          </w:tcPr>
          <w:p w:rsidR="00922C43" w:rsidRPr="00520D1A" w:rsidRDefault="00922C43" w:rsidP="00473182">
            <w:pPr>
              <w:pStyle w:val="Tabletext"/>
              <w:spacing w:beforeLines="20" w:after="0"/>
              <w:jc w:val="right"/>
            </w:pPr>
            <w:r w:rsidRPr="00520D1A">
              <w:t>0.031</w:t>
            </w:r>
          </w:p>
        </w:tc>
        <w:tc>
          <w:tcPr>
            <w:tcW w:w="907" w:type="dxa"/>
            <w:tcBorders>
              <w:top w:val="nil"/>
              <w:left w:val="nil"/>
              <w:bottom w:val="single" w:sz="4" w:space="0" w:color="auto"/>
              <w:right w:val="nil"/>
            </w:tcBorders>
            <w:shd w:val="clear" w:color="auto" w:fill="auto"/>
          </w:tcPr>
          <w:p w:rsidR="00922C43" w:rsidRPr="00520D1A" w:rsidRDefault="00922C43" w:rsidP="00473182">
            <w:pPr>
              <w:pStyle w:val="Tabletext"/>
              <w:spacing w:beforeLines="20" w:after="0"/>
              <w:jc w:val="right"/>
              <w:rPr>
                <w:b/>
                <w:bCs/>
              </w:rPr>
            </w:pPr>
            <w:r w:rsidRPr="00520D1A">
              <w:rPr>
                <w:b/>
                <w:bCs/>
              </w:rPr>
              <w:t>0.082</w:t>
            </w:r>
          </w:p>
        </w:tc>
        <w:tc>
          <w:tcPr>
            <w:tcW w:w="907" w:type="dxa"/>
            <w:tcBorders>
              <w:top w:val="nil"/>
              <w:left w:val="nil"/>
              <w:bottom w:val="single" w:sz="4" w:space="0" w:color="auto"/>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-0.136</w:t>
            </w:r>
          </w:p>
        </w:tc>
        <w:tc>
          <w:tcPr>
            <w:tcW w:w="907" w:type="dxa"/>
            <w:tcBorders>
              <w:top w:val="nil"/>
              <w:left w:val="nil"/>
              <w:bottom w:val="single" w:sz="4" w:space="0" w:color="auto"/>
              <w:right w:val="nil"/>
            </w:tcBorders>
            <w:shd w:val="clear" w:color="auto" w:fill="auto"/>
          </w:tcPr>
          <w:p w:rsidR="00922C43" w:rsidRPr="00520D1A" w:rsidRDefault="00922C43" w:rsidP="00473182">
            <w:pPr>
              <w:pStyle w:val="Tabletext"/>
              <w:spacing w:beforeLines="20" w:after="0"/>
              <w:jc w:val="right"/>
              <w:rPr>
                <w:b/>
                <w:bCs/>
              </w:rPr>
            </w:pPr>
            <w:r w:rsidRPr="00520D1A">
              <w:rPr>
                <w:b/>
                <w:bCs/>
              </w:rPr>
              <w:t>0.147</w:t>
            </w:r>
          </w:p>
        </w:tc>
        <w:tc>
          <w:tcPr>
            <w:tcW w:w="907" w:type="dxa"/>
            <w:tcBorders>
              <w:top w:val="nil"/>
              <w:left w:val="nil"/>
              <w:bottom w:val="single" w:sz="4" w:space="0" w:color="auto"/>
              <w:right w:val="nil"/>
            </w:tcBorders>
            <w:shd w:val="clear" w:color="auto" w:fill="auto"/>
            <w:noWrap/>
          </w:tcPr>
          <w:p w:rsidR="00922C43" w:rsidRPr="00520D1A" w:rsidRDefault="00922C43" w:rsidP="00473182">
            <w:pPr>
              <w:pStyle w:val="Tabletext"/>
              <w:spacing w:beforeLines="20" w:after="0"/>
              <w:jc w:val="right"/>
            </w:pPr>
            <w:r w:rsidRPr="00520D1A">
              <w:t>-0.042</w:t>
            </w:r>
          </w:p>
        </w:tc>
        <w:tc>
          <w:tcPr>
            <w:tcW w:w="1021" w:type="dxa"/>
            <w:tcBorders>
              <w:top w:val="nil"/>
              <w:left w:val="nil"/>
              <w:bottom w:val="single" w:sz="4" w:space="0" w:color="auto"/>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-0.129</w:t>
            </w:r>
          </w:p>
        </w:tc>
        <w:tc>
          <w:tcPr>
            <w:tcW w:w="907" w:type="dxa"/>
            <w:tcBorders>
              <w:top w:val="nil"/>
              <w:left w:val="nil"/>
              <w:bottom w:val="single" w:sz="4" w:space="0" w:color="auto"/>
              <w:right w:val="nil"/>
            </w:tcBorders>
            <w:shd w:val="clear" w:color="auto" w:fill="auto"/>
            <w:noWrap/>
          </w:tcPr>
          <w:p w:rsidR="00922C43" w:rsidRPr="006664CB" w:rsidRDefault="00922C43" w:rsidP="00473182">
            <w:pPr>
              <w:pStyle w:val="Tabletext"/>
              <w:spacing w:beforeLines="20" w:after="0"/>
              <w:jc w:val="right"/>
              <w:rPr>
                <w:i/>
              </w:rPr>
            </w:pPr>
            <w:r w:rsidRPr="006664CB">
              <w:rPr>
                <w:i/>
              </w:rPr>
              <w:t>0.019</w:t>
            </w:r>
          </w:p>
        </w:tc>
        <w:tc>
          <w:tcPr>
            <w:tcW w:w="907" w:type="dxa"/>
            <w:tcBorders>
              <w:top w:val="nil"/>
              <w:left w:val="nil"/>
              <w:bottom w:val="single" w:sz="4" w:space="0" w:color="auto"/>
              <w:right w:val="nil"/>
            </w:tcBorders>
            <w:shd w:val="clear" w:color="auto" w:fill="auto"/>
            <w:noWrap/>
          </w:tcPr>
          <w:p w:rsidR="00922C43" w:rsidRPr="00520D1A" w:rsidRDefault="00922C43" w:rsidP="00473182">
            <w:pPr>
              <w:pStyle w:val="Tabletext"/>
              <w:spacing w:beforeLines="20" w:after="0"/>
              <w:jc w:val="right"/>
              <w:rPr>
                <w:b/>
                <w:bCs/>
              </w:rPr>
            </w:pPr>
            <w:r w:rsidRPr="00520D1A">
              <w:rPr>
                <w:b/>
                <w:bCs/>
              </w:rPr>
              <w:t>-0.120</w:t>
            </w:r>
          </w:p>
        </w:tc>
      </w:tr>
    </w:tbl>
    <w:p w:rsidR="00C925E9" w:rsidRDefault="00C925E9" w:rsidP="00200C9F">
      <w:pPr>
        <w:pStyle w:val="Source"/>
        <w:tabs>
          <w:tab w:val="left" w:pos="993"/>
        </w:tabs>
      </w:pPr>
      <w:r>
        <w:t>Notes:</w:t>
      </w:r>
      <w:r>
        <w:tab/>
        <w:t>Correlati</w:t>
      </w:r>
      <w:r w:rsidR="006664CB">
        <w:t>on coefficients: Bold, p&lt;0.01; n</w:t>
      </w:r>
      <w:r>
        <w:t xml:space="preserve">ormal text, 0.01&lt;p&lt;0.05; </w:t>
      </w:r>
      <w:r w:rsidR="006664CB">
        <w:t>italicised</w:t>
      </w:r>
      <w:r w:rsidR="0010714E">
        <w:t xml:space="preserve"> text, p&gt;0.05 (non-significant); a</w:t>
      </w:r>
      <w:r>
        <w:t>ll variables originally entered into the model of gap-taking, including those that were subsequently eliminated from the model, are shown in the table</w:t>
      </w:r>
      <w:r w:rsidR="0010714E">
        <w:t>; v</w:t>
      </w:r>
      <w:r>
        <w:t>alues on the table diagonal (correlations of variables with themselves) and for exclusive categories (location and school sector) have been removed.</w:t>
      </w:r>
    </w:p>
    <w:p w:rsidR="00C925E9" w:rsidRDefault="00C925E9" w:rsidP="00200C9F">
      <w:pPr>
        <w:pStyle w:val="Text"/>
      </w:pPr>
      <w:r>
        <w:t xml:space="preserve">The variables, for which bivariate correlations are shown in table A2.3, have complex relationships and the model summarised in table 5 and discussed in the text adjacent to it separates the unique contributions of each variable. In doing so, some of the complexities in the relationships have been suppressed. </w:t>
      </w:r>
    </w:p>
    <w:p w:rsidR="00C925E9" w:rsidRDefault="00C925E9" w:rsidP="0010714E">
      <w:pPr>
        <w:pStyle w:val="Text"/>
        <w:spacing w:before="100"/>
        <w:ind w:right="0"/>
      </w:pPr>
      <w:r>
        <w:t>Caution should be exercised in interpreting bivariate correlations. An example is provided by the correlations between school sector and achievement variables. In isolation, one might be tempted to conclude that students in independent schools have higher mathematics scores than other students and that this is attributable to those schools. The schools may indeed be quite effective but we should note also the correlations between parental socioeconomic status and educational attainment and student achievement and that high parental socioeconomic status is associated with attendance at independent schools. Several competing causal explanations could be posited but they cannot be evaluated using correlations, such as those shown in table A2.3.</w:t>
      </w:r>
    </w:p>
    <w:p w:rsidR="00001A43" w:rsidRDefault="00001A43">
      <w:pPr>
        <w:spacing w:before="0" w:line="240" w:lineRule="auto"/>
        <w:rPr>
          <w:rFonts w:ascii="Tahoma" w:hAnsi="Tahoma"/>
          <w:b/>
          <w:sz w:val="17"/>
        </w:rPr>
      </w:pPr>
      <w:bookmarkStart w:id="101" w:name="_Toc322691628"/>
      <w:r>
        <w:br w:type="page"/>
      </w:r>
    </w:p>
    <w:p w:rsidR="00C925E9" w:rsidRDefault="00C925E9" w:rsidP="00200C9F">
      <w:pPr>
        <w:pStyle w:val="tabletitle"/>
      </w:pPr>
      <w:r>
        <w:t>Table A2.4</w:t>
      </w:r>
      <w:r>
        <w:tab/>
        <w:t>Correlations between variables entered in the exploration of labour market outcomes</w:t>
      </w:r>
      <w:bookmarkEnd w:id="101"/>
    </w:p>
    <w:tbl>
      <w:tblPr>
        <w:tblW w:w="0" w:type="auto"/>
        <w:tblLayout w:type="fixed"/>
        <w:tblCellMar>
          <w:left w:w="57" w:type="dxa"/>
          <w:right w:w="57" w:type="dxa"/>
        </w:tblCellMar>
        <w:tblLook w:val="0000"/>
      </w:tblPr>
      <w:tblGrid>
        <w:gridCol w:w="1247"/>
        <w:gridCol w:w="653"/>
        <w:gridCol w:w="1161"/>
        <w:gridCol w:w="1107"/>
        <w:gridCol w:w="707"/>
        <w:gridCol w:w="907"/>
        <w:gridCol w:w="796"/>
        <w:gridCol w:w="709"/>
        <w:gridCol w:w="850"/>
        <w:gridCol w:w="851"/>
        <w:gridCol w:w="1329"/>
      </w:tblGrid>
      <w:tr w:rsidR="00C925E9" w:rsidRPr="007B5954" w:rsidTr="00851FD6">
        <w:trPr>
          <w:trHeight w:val="240"/>
        </w:trPr>
        <w:tc>
          <w:tcPr>
            <w:tcW w:w="1247" w:type="dxa"/>
            <w:tcBorders>
              <w:top w:val="single" w:sz="4" w:space="0" w:color="auto"/>
              <w:left w:val="nil"/>
              <w:bottom w:val="single" w:sz="4" w:space="0" w:color="auto"/>
              <w:right w:val="nil"/>
            </w:tcBorders>
            <w:shd w:val="clear" w:color="auto" w:fill="auto"/>
          </w:tcPr>
          <w:p w:rsidR="00C925E9" w:rsidRPr="007B5954" w:rsidRDefault="00C925E9" w:rsidP="00C36087">
            <w:pPr>
              <w:pStyle w:val="Tablehead1"/>
            </w:pPr>
          </w:p>
        </w:tc>
        <w:tc>
          <w:tcPr>
            <w:tcW w:w="653" w:type="dxa"/>
            <w:tcBorders>
              <w:top w:val="single" w:sz="4" w:space="0" w:color="auto"/>
              <w:left w:val="nil"/>
              <w:bottom w:val="single" w:sz="4" w:space="0" w:color="auto"/>
              <w:right w:val="nil"/>
            </w:tcBorders>
            <w:shd w:val="clear" w:color="auto" w:fill="auto"/>
          </w:tcPr>
          <w:p w:rsidR="00C925E9" w:rsidRPr="007B5954" w:rsidRDefault="00C925E9" w:rsidP="00922C43">
            <w:pPr>
              <w:pStyle w:val="Tablehead1"/>
              <w:jc w:val="right"/>
            </w:pPr>
            <w:r w:rsidRPr="007B5954">
              <w:t>Male</w:t>
            </w:r>
          </w:p>
        </w:tc>
        <w:tc>
          <w:tcPr>
            <w:tcW w:w="1161" w:type="dxa"/>
            <w:tcBorders>
              <w:top w:val="single" w:sz="4" w:space="0" w:color="auto"/>
              <w:left w:val="nil"/>
              <w:bottom w:val="single" w:sz="4" w:space="0" w:color="auto"/>
              <w:right w:val="nil"/>
            </w:tcBorders>
            <w:shd w:val="clear" w:color="auto" w:fill="auto"/>
          </w:tcPr>
          <w:p w:rsidR="00C925E9" w:rsidRPr="007B5954" w:rsidRDefault="00851FD6" w:rsidP="00922C43">
            <w:pPr>
              <w:pStyle w:val="Tablehead1"/>
              <w:jc w:val="right"/>
            </w:pPr>
            <w:r>
              <w:t>SES: f</w:t>
            </w:r>
            <w:r w:rsidR="00C925E9" w:rsidRPr="007B5954">
              <w:t>ather's occupat</w:t>
            </w:r>
            <w:r w:rsidR="00C925E9">
              <w:t>’</w:t>
            </w:r>
            <w:r w:rsidR="00C925E9" w:rsidRPr="007B5954">
              <w:t>n</w:t>
            </w:r>
          </w:p>
        </w:tc>
        <w:tc>
          <w:tcPr>
            <w:tcW w:w="1107" w:type="dxa"/>
            <w:tcBorders>
              <w:top w:val="single" w:sz="4" w:space="0" w:color="auto"/>
              <w:left w:val="nil"/>
              <w:bottom w:val="single" w:sz="4" w:space="0" w:color="auto"/>
              <w:right w:val="nil"/>
            </w:tcBorders>
            <w:shd w:val="clear" w:color="auto" w:fill="auto"/>
          </w:tcPr>
          <w:p w:rsidR="00C925E9" w:rsidRPr="007B5954" w:rsidRDefault="00C925E9" w:rsidP="00922C43">
            <w:pPr>
              <w:pStyle w:val="Tablehead1"/>
              <w:jc w:val="right"/>
            </w:pPr>
            <w:r w:rsidRPr="007B5954">
              <w:t>Years of education Mother</w:t>
            </w:r>
          </w:p>
        </w:tc>
        <w:tc>
          <w:tcPr>
            <w:tcW w:w="707" w:type="dxa"/>
            <w:tcBorders>
              <w:top w:val="single" w:sz="4" w:space="0" w:color="auto"/>
              <w:left w:val="nil"/>
              <w:bottom w:val="single" w:sz="4" w:space="0" w:color="auto"/>
              <w:right w:val="nil"/>
            </w:tcBorders>
            <w:shd w:val="clear" w:color="auto" w:fill="auto"/>
          </w:tcPr>
          <w:p w:rsidR="00C925E9" w:rsidRPr="007B5954" w:rsidRDefault="00C925E9" w:rsidP="00922C43">
            <w:pPr>
              <w:pStyle w:val="Tablehead1"/>
              <w:jc w:val="right"/>
            </w:pPr>
            <w:r w:rsidRPr="007B5954">
              <w:t>Maths score</w:t>
            </w:r>
          </w:p>
        </w:tc>
        <w:tc>
          <w:tcPr>
            <w:tcW w:w="907" w:type="dxa"/>
            <w:tcBorders>
              <w:top w:val="single" w:sz="4" w:space="0" w:color="auto"/>
              <w:left w:val="nil"/>
              <w:bottom w:val="single" w:sz="4" w:space="0" w:color="auto"/>
              <w:right w:val="nil"/>
            </w:tcBorders>
            <w:shd w:val="clear" w:color="auto" w:fill="auto"/>
          </w:tcPr>
          <w:p w:rsidR="00C925E9" w:rsidRPr="007B5954" w:rsidRDefault="00C925E9" w:rsidP="00922C43">
            <w:pPr>
              <w:pStyle w:val="Tablehead1"/>
              <w:jc w:val="right"/>
            </w:pPr>
            <w:r w:rsidRPr="007B5954">
              <w:t>Reading score</w:t>
            </w:r>
          </w:p>
        </w:tc>
        <w:tc>
          <w:tcPr>
            <w:tcW w:w="796" w:type="dxa"/>
            <w:tcBorders>
              <w:top w:val="single" w:sz="4" w:space="0" w:color="auto"/>
              <w:left w:val="nil"/>
              <w:bottom w:val="single" w:sz="4" w:space="0" w:color="auto"/>
              <w:right w:val="nil"/>
            </w:tcBorders>
            <w:shd w:val="clear" w:color="auto" w:fill="auto"/>
          </w:tcPr>
          <w:p w:rsidR="00C925E9" w:rsidRPr="007B5954" w:rsidRDefault="00C925E9" w:rsidP="00922C43">
            <w:pPr>
              <w:pStyle w:val="Tablehead1"/>
              <w:jc w:val="right"/>
            </w:pPr>
            <w:r w:rsidRPr="007B5954">
              <w:t>QSL</w:t>
            </w:r>
          </w:p>
        </w:tc>
        <w:tc>
          <w:tcPr>
            <w:tcW w:w="709" w:type="dxa"/>
            <w:tcBorders>
              <w:top w:val="single" w:sz="4" w:space="0" w:color="auto"/>
              <w:left w:val="nil"/>
              <w:bottom w:val="single" w:sz="4" w:space="0" w:color="auto"/>
              <w:right w:val="nil"/>
            </w:tcBorders>
            <w:shd w:val="clear" w:color="auto" w:fill="auto"/>
          </w:tcPr>
          <w:p w:rsidR="00C925E9" w:rsidRPr="007B5954" w:rsidRDefault="00C925E9" w:rsidP="00922C43">
            <w:pPr>
              <w:pStyle w:val="Tablehead1"/>
              <w:jc w:val="right"/>
            </w:pPr>
            <w:r w:rsidRPr="007B5954">
              <w:t>TER</w:t>
            </w:r>
          </w:p>
        </w:tc>
        <w:tc>
          <w:tcPr>
            <w:tcW w:w="850" w:type="dxa"/>
            <w:tcBorders>
              <w:top w:val="single" w:sz="4" w:space="0" w:color="auto"/>
              <w:left w:val="nil"/>
              <w:bottom w:val="single" w:sz="4" w:space="0" w:color="auto"/>
              <w:right w:val="nil"/>
            </w:tcBorders>
            <w:shd w:val="clear" w:color="auto" w:fill="auto"/>
          </w:tcPr>
          <w:p w:rsidR="00C925E9" w:rsidRPr="007B5954" w:rsidRDefault="00C925E9" w:rsidP="00922C43">
            <w:pPr>
              <w:pStyle w:val="Tablehead1"/>
              <w:jc w:val="right"/>
            </w:pPr>
            <w:r w:rsidRPr="007B5954">
              <w:t>Gap-taker</w:t>
            </w:r>
          </w:p>
        </w:tc>
        <w:tc>
          <w:tcPr>
            <w:tcW w:w="851" w:type="dxa"/>
            <w:tcBorders>
              <w:top w:val="single" w:sz="4" w:space="0" w:color="auto"/>
              <w:left w:val="nil"/>
              <w:bottom w:val="single" w:sz="4" w:space="0" w:color="auto"/>
              <w:right w:val="nil"/>
            </w:tcBorders>
            <w:shd w:val="clear" w:color="auto" w:fill="auto"/>
          </w:tcPr>
          <w:p w:rsidR="00C925E9" w:rsidRPr="007B5954" w:rsidRDefault="00C925E9" w:rsidP="00922C43">
            <w:pPr>
              <w:pStyle w:val="Tablehead1"/>
              <w:jc w:val="right"/>
            </w:pPr>
            <w:r>
              <w:t>Still studying</w:t>
            </w:r>
            <w:r w:rsidRPr="007B5954">
              <w:t xml:space="preserve"> first course</w:t>
            </w:r>
          </w:p>
        </w:tc>
        <w:tc>
          <w:tcPr>
            <w:tcW w:w="1329" w:type="dxa"/>
            <w:tcBorders>
              <w:top w:val="single" w:sz="4" w:space="0" w:color="auto"/>
              <w:left w:val="nil"/>
              <w:bottom w:val="single" w:sz="4" w:space="0" w:color="auto"/>
              <w:right w:val="nil"/>
            </w:tcBorders>
            <w:shd w:val="clear" w:color="auto" w:fill="auto"/>
          </w:tcPr>
          <w:p w:rsidR="00C925E9" w:rsidRPr="007B5954" w:rsidRDefault="00C925E9" w:rsidP="00922C43">
            <w:pPr>
              <w:pStyle w:val="Tablehead1"/>
              <w:jc w:val="right"/>
            </w:pPr>
            <w:r>
              <w:t>Failed, withdrew or changed first</w:t>
            </w:r>
            <w:r w:rsidRPr="007B5954">
              <w:t xml:space="preserve"> course</w:t>
            </w:r>
          </w:p>
        </w:tc>
      </w:tr>
      <w:tr w:rsidR="00C925E9" w:rsidRPr="007B5954" w:rsidTr="00851FD6">
        <w:tc>
          <w:tcPr>
            <w:tcW w:w="1247" w:type="dxa"/>
            <w:tcBorders>
              <w:top w:val="single" w:sz="4" w:space="0" w:color="auto"/>
              <w:left w:val="nil"/>
              <w:bottom w:val="nil"/>
              <w:right w:val="nil"/>
            </w:tcBorders>
            <w:shd w:val="clear" w:color="auto" w:fill="auto"/>
          </w:tcPr>
          <w:p w:rsidR="00C925E9" w:rsidRPr="007B5954" w:rsidRDefault="00C925E9" w:rsidP="00851FD6">
            <w:pPr>
              <w:pStyle w:val="Tabletext"/>
              <w:spacing w:before="80" w:after="20"/>
            </w:pPr>
            <w:r w:rsidRPr="007B5954">
              <w:t>SES: Father's occupation</w:t>
            </w:r>
          </w:p>
        </w:tc>
        <w:tc>
          <w:tcPr>
            <w:tcW w:w="653" w:type="dxa"/>
            <w:tcBorders>
              <w:top w:val="single" w:sz="4" w:space="0" w:color="auto"/>
              <w:left w:val="nil"/>
              <w:bottom w:val="nil"/>
              <w:right w:val="nil"/>
            </w:tcBorders>
            <w:shd w:val="clear" w:color="auto" w:fill="auto"/>
          </w:tcPr>
          <w:p w:rsidR="00C925E9" w:rsidRPr="00742974" w:rsidRDefault="00C925E9" w:rsidP="00851FD6">
            <w:pPr>
              <w:pStyle w:val="Tabletext"/>
              <w:spacing w:before="80" w:after="20"/>
              <w:jc w:val="right"/>
              <w:rPr>
                <w:b/>
              </w:rPr>
            </w:pPr>
            <w:r w:rsidRPr="00742974">
              <w:rPr>
                <w:b/>
              </w:rPr>
              <w:t>0.077</w:t>
            </w:r>
          </w:p>
        </w:tc>
        <w:tc>
          <w:tcPr>
            <w:tcW w:w="1161" w:type="dxa"/>
            <w:tcBorders>
              <w:top w:val="single" w:sz="4" w:space="0" w:color="auto"/>
              <w:left w:val="nil"/>
              <w:bottom w:val="nil"/>
              <w:right w:val="nil"/>
            </w:tcBorders>
            <w:shd w:val="clear" w:color="auto" w:fill="auto"/>
          </w:tcPr>
          <w:p w:rsidR="00C925E9" w:rsidRPr="007B5954" w:rsidRDefault="00C925E9" w:rsidP="00851FD6">
            <w:pPr>
              <w:pStyle w:val="Tabletext"/>
              <w:spacing w:before="80" w:after="20"/>
              <w:jc w:val="right"/>
            </w:pPr>
          </w:p>
        </w:tc>
        <w:tc>
          <w:tcPr>
            <w:tcW w:w="1107" w:type="dxa"/>
            <w:tcBorders>
              <w:top w:val="single" w:sz="4" w:space="0" w:color="auto"/>
              <w:left w:val="nil"/>
              <w:bottom w:val="nil"/>
              <w:right w:val="nil"/>
            </w:tcBorders>
            <w:shd w:val="clear" w:color="auto" w:fill="auto"/>
          </w:tcPr>
          <w:p w:rsidR="00C925E9" w:rsidRPr="007B5954" w:rsidRDefault="00C925E9" w:rsidP="00851FD6">
            <w:pPr>
              <w:pStyle w:val="Tabletext"/>
              <w:spacing w:before="80" w:after="20"/>
              <w:jc w:val="right"/>
            </w:pPr>
          </w:p>
        </w:tc>
        <w:tc>
          <w:tcPr>
            <w:tcW w:w="707" w:type="dxa"/>
            <w:tcBorders>
              <w:top w:val="single" w:sz="4" w:space="0" w:color="auto"/>
              <w:left w:val="nil"/>
              <w:bottom w:val="nil"/>
              <w:right w:val="nil"/>
            </w:tcBorders>
            <w:shd w:val="clear" w:color="auto" w:fill="auto"/>
          </w:tcPr>
          <w:p w:rsidR="00C925E9" w:rsidRPr="007B5954" w:rsidRDefault="00C925E9" w:rsidP="00851FD6">
            <w:pPr>
              <w:pStyle w:val="Tabletext"/>
              <w:spacing w:before="80" w:after="20"/>
              <w:jc w:val="right"/>
            </w:pPr>
          </w:p>
        </w:tc>
        <w:tc>
          <w:tcPr>
            <w:tcW w:w="907" w:type="dxa"/>
            <w:tcBorders>
              <w:top w:val="single" w:sz="4" w:space="0" w:color="auto"/>
              <w:left w:val="nil"/>
              <w:bottom w:val="nil"/>
              <w:right w:val="nil"/>
            </w:tcBorders>
            <w:shd w:val="clear" w:color="auto" w:fill="auto"/>
          </w:tcPr>
          <w:p w:rsidR="00C925E9" w:rsidRPr="007B5954" w:rsidRDefault="00C925E9" w:rsidP="00851FD6">
            <w:pPr>
              <w:pStyle w:val="Tabletext"/>
              <w:spacing w:before="80" w:after="20"/>
              <w:jc w:val="right"/>
            </w:pPr>
          </w:p>
        </w:tc>
        <w:tc>
          <w:tcPr>
            <w:tcW w:w="796" w:type="dxa"/>
            <w:tcBorders>
              <w:top w:val="single" w:sz="4" w:space="0" w:color="auto"/>
              <w:left w:val="nil"/>
              <w:bottom w:val="nil"/>
              <w:right w:val="nil"/>
            </w:tcBorders>
            <w:shd w:val="clear" w:color="auto" w:fill="auto"/>
          </w:tcPr>
          <w:p w:rsidR="00C925E9" w:rsidRPr="007B5954" w:rsidRDefault="00C925E9" w:rsidP="00851FD6">
            <w:pPr>
              <w:pStyle w:val="Tabletext"/>
              <w:spacing w:before="80" w:after="20"/>
              <w:jc w:val="right"/>
            </w:pPr>
          </w:p>
        </w:tc>
        <w:tc>
          <w:tcPr>
            <w:tcW w:w="709" w:type="dxa"/>
            <w:tcBorders>
              <w:top w:val="single" w:sz="4" w:space="0" w:color="auto"/>
              <w:left w:val="nil"/>
              <w:bottom w:val="nil"/>
              <w:right w:val="nil"/>
            </w:tcBorders>
            <w:shd w:val="clear" w:color="auto" w:fill="auto"/>
          </w:tcPr>
          <w:p w:rsidR="00C925E9" w:rsidRPr="007B5954" w:rsidRDefault="00C925E9" w:rsidP="00851FD6">
            <w:pPr>
              <w:pStyle w:val="Tabletext"/>
              <w:spacing w:before="80" w:after="20"/>
              <w:jc w:val="right"/>
            </w:pPr>
          </w:p>
        </w:tc>
        <w:tc>
          <w:tcPr>
            <w:tcW w:w="850" w:type="dxa"/>
            <w:tcBorders>
              <w:top w:val="single" w:sz="4" w:space="0" w:color="auto"/>
              <w:left w:val="nil"/>
              <w:bottom w:val="nil"/>
              <w:right w:val="nil"/>
            </w:tcBorders>
            <w:shd w:val="clear" w:color="auto" w:fill="auto"/>
            <w:noWrap/>
          </w:tcPr>
          <w:p w:rsidR="00C925E9" w:rsidRPr="007B5954" w:rsidRDefault="00C925E9" w:rsidP="00851FD6">
            <w:pPr>
              <w:pStyle w:val="Tabletext"/>
              <w:spacing w:before="80" w:after="20"/>
              <w:jc w:val="right"/>
            </w:pPr>
          </w:p>
        </w:tc>
        <w:tc>
          <w:tcPr>
            <w:tcW w:w="851" w:type="dxa"/>
            <w:tcBorders>
              <w:top w:val="single" w:sz="4" w:space="0" w:color="auto"/>
              <w:left w:val="nil"/>
              <w:bottom w:val="nil"/>
              <w:right w:val="nil"/>
            </w:tcBorders>
            <w:shd w:val="clear" w:color="auto" w:fill="auto"/>
            <w:noWrap/>
          </w:tcPr>
          <w:p w:rsidR="00C925E9" w:rsidRPr="007B5954" w:rsidRDefault="00C925E9" w:rsidP="00851FD6">
            <w:pPr>
              <w:pStyle w:val="Tabletext"/>
              <w:spacing w:before="80" w:after="20"/>
              <w:jc w:val="right"/>
            </w:pPr>
          </w:p>
        </w:tc>
        <w:tc>
          <w:tcPr>
            <w:tcW w:w="1329" w:type="dxa"/>
            <w:tcBorders>
              <w:top w:val="single" w:sz="4" w:space="0" w:color="auto"/>
              <w:left w:val="nil"/>
              <w:bottom w:val="nil"/>
              <w:right w:val="nil"/>
            </w:tcBorders>
            <w:shd w:val="clear" w:color="auto" w:fill="auto"/>
            <w:noWrap/>
          </w:tcPr>
          <w:p w:rsidR="00C925E9" w:rsidRPr="007B5954" w:rsidRDefault="00C925E9" w:rsidP="00851FD6">
            <w:pPr>
              <w:pStyle w:val="Tabletext"/>
              <w:spacing w:before="80" w:after="20"/>
              <w:jc w:val="right"/>
            </w:pPr>
          </w:p>
        </w:tc>
      </w:tr>
      <w:tr w:rsidR="00C925E9" w:rsidRPr="007B5954" w:rsidTr="00851FD6">
        <w:tc>
          <w:tcPr>
            <w:tcW w:w="1247" w:type="dxa"/>
            <w:tcBorders>
              <w:top w:val="nil"/>
              <w:left w:val="nil"/>
              <w:bottom w:val="nil"/>
              <w:right w:val="nil"/>
            </w:tcBorders>
            <w:shd w:val="clear" w:color="auto" w:fill="auto"/>
          </w:tcPr>
          <w:p w:rsidR="00C925E9" w:rsidRPr="007B5954" w:rsidRDefault="00C925E9" w:rsidP="00C36087">
            <w:pPr>
              <w:pStyle w:val="Tabletext"/>
              <w:spacing w:before="20" w:after="20"/>
            </w:pPr>
            <w:r w:rsidRPr="007B5954">
              <w:t>Years of education</w:t>
            </w:r>
            <w:r>
              <w:t>:</w:t>
            </w:r>
            <w:r w:rsidRPr="007B5954">
              <w:t xml:space="preserve"> Mother</w:t>
            </w:r>
          </w:p>
        </w:tc>
        <w:tc>
          <w:tcPr>
            <w:tcW w:w="653"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0.068</w:t>
            </w:r>
          </w:p>
        </w:tc>
        <w:tc>
          <w:tcPr>
            <w:tcW w:w="1161"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0.271</w:t>
            </w:r>
          </w:p>
        </w:tc>
        <w:tc>
          <w:tcPr>
            <w:tcW w:w="1107"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707"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907"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796"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c>
          <w:tcPr>
            <w:tcW w:w="709"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850"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851"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1329"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r>
      <w:tr w:rsidR="00C925E9" w:rsidRPr="007B5954" w:rsidTr="00851FD6">
        <w:tc>
          <w:tcPr>
            <w:tcW w:w="1247" w:type="dxa"/>
            <w:tcBorders>
              <w:top w:val="nil"/>
              <w:left w:val="nil"/>
              <w:bottom w:val="nil"/>
              <w:right w:val="nil"/>
            </w:tcBorders>
            <w:shd w:val="clear" w:color="auto" w:fill="auto"/>
          </w:tcPr>
          <w:p w:rsidR="00C925E9" w:rsidRPr="007B5954" w:rsidRDefault="00C925E9" w:rsidP="00C36087">
            <w:pPr>
              <w:pStyle w:val="Tabletext"/>
              <w:spacing w:before="20" w:after="20"/>
            </w:pPr>
            <w:r w:rsidRPr="007B5954">
              <w:t>Maths score</w:t>
            </w:r>
          </w:p>
        </w:tc>
        <w:tc>
          <w:tcPr>
            <w:tcW w:w="653"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0.170</w:t>
            </w:r>
          </w:p>
        </w:tc>
        <w:tc>
          <w:tcPr>
            <w:tcW w:w="1161"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0.186</w:t>
            </w:r>
          </w:p>
        </w:tc>
        <w:tc>
          <w:tcPr>
            <w:tcW w:w="1107"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0.124</w:t>
            </w:r>
          </w:p>
        </w:tc>
        <w:tc>
          <w:tcPr>
            <w:tcW w:w="707"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907"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796"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c>
          <w:tcPr>
            <w:tcW w:w="709"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850"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c>
          <w:tcPr>
            <w:tcW w:w="851"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1329"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r>
      <w:tr w:rsidR="00C925E9" w:rsidRPr="007B5954" w:rsidTr="00851FD6">
        <w:tc>
          <w:tcPr>
            <w:tcW w:w="1247" w:type="dxa"/>
            <w:tcBorders>
              <w:top w:val="nil"/>
              <w:left w:val="nil"/>
              <w:bottom w:val="nil"/>
              <w:right w:val="nil"/>
            </w:tcBorders>
            <w:shd w:val="clear" w:color="auto" w:fill="auto"/>
          </w:tcPr>
          <w:p w:rsidR="00C925E9" w:rsidRPr="007B5954" w:rsidRDefault="00C925E9" w:rsidP="00C36087">
            <w:pPr>
              <w:pStyle w:val="Tabletext"/>
              <w:spacing w:before="20" w:after="20"/>
            </w:pPr>
            <w:r>
              <w:t>Read</w:t>
            </w:r>
            <w:r w:rsidRPr="007B5954">
              <w:t xml:space="preserve"> score</w:t>
            </w:r>
          </w:p>
        </w:tc>
        <w:tc>
          <w:tcPr>
            <w:tcW w:w="653" w:type="dxa"/>
            <w:tcBorders>
              <w:top w:val="nil"/>
              <w:left w:val="nil"/>
              <w:bottom w:val="nil"/>
              <w:right w:val="nil"/>
            </w:tcBorders>
            <w:shd w:val="clear" w:color="auto" w:fill="auto"/>
            <w:noWrap/>
          </w:tcPr>
          <w:p w:rsidR="00C925E9" w:rsidRPr="006664CB" w:rsidRDefault="00C925E9" w:rsidP="006664CB">
            <w:pPr>
              <w:pStyle w:val="Tabletext"/>
              <w:spacing w:before="20" w:after="20"/>
              <w:jc w:val="right"/>
              <w:rPr>
                <w:i/>
              </w:rPr>
            </w:pPr>
            <w:r w:rsidRPr="006664CB">
              <w:rPr>
                <w:i/>
              </w:rPr>
              <w:t>-0.015</w:t>
            </w:r>
          </w:p>
        </w:tc>
        <w:tc>
          <w:tcPr>
            <w:tcW w:w="1161"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0.181</w:t>
            </w:r>
          </w:p>
        </w:tc>
        <w:tc>
          <w:tcPr>
            <w:tcW w:w="1107"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0.185</w:t>
            </w:r>
          </w:p>
        </w:tc>
        <w:tc>
          <w:tcPr>
            <w:tcW w:w="707"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0.414</w:t>
            </w:r>
          </w:p>
        </w:tc>
        <w:tc>
          <w:tcPr>
            <w:tcW w:w="907"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796"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c>
          <w:tcPr>
            <w:tcW w:w="709"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850"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c>
          <w:tcPr>
            <w:tcW w:w="851"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c>
          <w:tcPr>
            <w:tcW w:w="1329"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r>
      <w:tr w:rsidR="00C925E9" w:rsidRPr="007B5954" w:rsidTr="00851FD6">
        <w:tc>
          <w:tcPr>
            <w:tcW w:w="1247" w:type="dxa"/>
            <w:tcBorders>
              <w:top w:val="nil"/>
              <w:left w:val="nil"/>
              <w:bottom w:val="nil"/>
              <w:right w:val="nil"/>
            </w:tcBorders>
            <w:shd w:val="clear" w:color="auto" w:fill="auto"/>
          </w:tcPr>
          <w:p w:rsidR="00C925E9" w:rsidRPr="007B5954" w:rsidRDefault="00C925E9" w:rsidP="00C36087">
            <w:pPr>
              <w:pStyle w:val="Tabletext"/>
              <w:spacing w:before="20" w:after="20"/>
            </w:pPr>
            <w:r w:rsidRPr="007B5954">
              <w:t>QSL</w:t>
            </w:r>
          </w:p>
        </w:tc>
        <w:tc>
          <w:tcPr>
            <w:tcW w:w="653" w:type="dxa"/>
            <w:tcBorders>
              <w:top w:val="nil"/>
              <w:left w:val="nil"/>
              <w:bottom w:val="nil"/>
              <w:right w:val="nil"/>
            </w:tcBorders>
            <w:shd w:val="clear" w:color="auto" w:fill="auto"/>
            <w:noWrap/>
          </w:tcPr>
          <w:p w:rsidR="00C925E9" w:rsidRPr="006664CB" w:rsidRDefault="00C925E9" w:rsidP="006664CB">
            <w:pPr>
              <w:pStyle w:val="Tabletext"/>
              <w:spacing w:before="20" w:after="20"/>
              <w:jc w:val="right"/>
              <w:rPr>
                <w:i/>
              </w:rPr>
            </w:pPr>
            <w:r w:rsidRPr="006664CB">
              <w:rPr>
                <w:i/>
              </w:rPr>
              <w:t>0.032</w:t>
            </w:r>
          </w:p>
        </w:tc>
        <w:tc>
          <w:tcPr>
            <w:tcW w:w="1161" w:type="dxa"/>
            <w:tcBorders>
              <w:top w:val="nil"/>
              <w:left w:val="nil"/>
              <w:bottom w:val="nil"/>
              <w:right w:val="nil"/>
            </w:tcBorders>
            <w:shd w:val="clear" w:color="auto" w:fill="auto"/>
          </w:tcPr>
          <w:p w:rsidR="00C925E9" w:rsidRPr="00001A43" w:rsidRDefault="00C925E9" w:rsidP="006664CB">
            <w:pPr>
              <w:pStyle w:val="Tabletext"/>
              <w:spacing w:before="20" w:after="20"/>
              <w:jc w:val="right"/>
              <w:rPr>
                <w:i/>
              </w:rPr>
            </w:pPr>
            <w:r w:rsidRPr="00001A43">
              <w:rPr>
                <w:i/>
              </w:rPr>
              <w:t>-0.016</w:t>
            </w:r>
          </w:p>
        </w:tc>
        <w:tc>
          <w:tcPr>
            <w:tcW w:w="1107"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r w:rsidRPr="007B5954">
              <w:t>0.059</w:t>
            </w:r>
          </w:p>
        </w:tc>
        <w:tc>
          <w:tcPr>
            <w:tcW w:w="707"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r w:rsidRPr="007B5954">
              <w:t>0.059</w:t>
            </w:r>
          </w:p>
        </w:tc>
        <w:tc>
          <w:tcPr>
            <w:tcW w:w="907"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r w:rsidRPr="007B5954">
              <w:t>0.069</w:t>
            </w:r>
          </w:p>
        </w:tc>
        <w:tc>
          <w:tcPr>
            <w:tcW w:w="796"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709"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c>
          <w:tcPr>
            <w:tcW w:w="850"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851"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1329"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r>
      <w:tr w:rsidR="00C925E9" w:rsidRPr="007B5954" w:rsidTr="00851FD6">
        <w:tc>
          <w:tcPr>
            <w:tcW w:w="1247" w:type="dxa"/>
            <w:tcBorders>
              <w:top w:val="nil"/>
              <w:left w:val="nil"/>
              <w:bottom w:val="nil"/>
              <w:right w:val="nil"/>
            </w:tcBorders>
            <w:shd w:val="clear" w:color="auto" w:fill="auto"/>
          </w:tcPr>
          <w:p w:rsidR="00C925E9" w:rsidRPr="007B5954" w:rsidRDefault="00C925E9" w:rsidP="00C36087">
            <w:pPr>
              <w:pStyle w:val="Tabletext"/>
              <w:spacing w:before="20" w:after="20"/>
            </w:pPr>
            <w:r w:rsidRPr="007B5954">
              <w:t>TER</w:t>
            </w:r>
          </w:p>
        </w:tc>
        <w:tc>
          <w:tcPr>
            <w:tcW w:w="653" w:type="dxa"/>
            <w:tcBorders>
              <w:top w:val="nil"/>
              <w:left w:val="nil"/>
              <w:bottom w:val="nil"/>
              <w:right w:val="nil"/>
            </w:tcBorders>
            <w:shd w:val="clear" w:color="auto" w:fill="auto"/>
            <w:noWrap/>
          </w:tcPr>
          <w:p w:rsidR="00C925E9" w:rsidRPr="006664CB" w:rsidRDefault="00C925E9" w:rsidP="006664CB">
            <w:pPr>
              <w:pStyle w:val="Tabletext"/>
              <w:spacing w:before="20" w:after="20"/>
              <w:jc w:val="right"/>
              <w:rPr>
                <w:i/>
              </w:rPr>
            </w:pPr>
            <w:r w:rsidRPr="006664CB">
              <w:rPr>
                <w:i/>
              </w:rPr>
              <w:t>-0.026</w:t>
            </w:r>
          </w:p>
        </w:tc>
        <w:tc>
          <w:tcPr>
            <w:tcW w:w="1161" w:type="dxa"/>
            <w:tcBorders>
              <w:top w:val="nil"/>
              <w:left w:val="nil"/>
              <w:bottom w:val="nil"/>
              <w:right w:val="nil"/>
            </w:tcBorders>
            <w:shd w:val="clear" w:color="auto" w:fill="auto"/>
          </w:tcPr>
          <w:p w:rsidR="00C925E9" w:rsidRPr="007B5954" w:rsidRDefault="00C925E9" w:rsidP="006664CB">
            <w:pPr>
              <w:pStyle w:val="Tabletext"/>
              <w:spacing w:before="20" w:after="20"/>
              <w:jc w:val="right"/>
            </w:pPr>
            <w:r w:rsidRPr="007B5954">
              <w:t>0.204</w:t>
            </w:r>
          </w:p>
        </w:tc>
        <w:tc>
          <w:tcPr>
            <w:tcW w:w="1107"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0.154</w:t>
            </w:r>
          </w:p>
        </w:tc>
        <w:tc>
          <w:tcPr>
            <w:tcW w:w="707"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0.378</w:t>
            </w:r>
          </w:p>
        </w:tc>
        <w:tc>
          <w:tcPr>
            <w:tcW w:w="907" w:type="dxa"/>
            <w:tcBorders>
              <w:top w:val="nil"/>
              <w:left w:val="nil"/>
              <w:bottom w:val="nil"/>
              <w:right w:val="nil"/>
            </w:tcBorders>
            <w:shd w:val="clear" w:color="auto" w:fill="auto"/>
          </w:tcPr>
          <w:p w:rsidR="00C925E9" w:rsidRPr="007B5954" w:rsidRDefault="00C925E9" w:rsidP="006664CB">
            <w:pPr>
              <w:pStyle w:val="Tabletext"/>
              <w:spacing w:before="20" w:after="20"/>
              <w:jc w:val="right"/>
            </w:pPr>
            <w:r w:rsidRPr="007B5954">
              <w:t>0.331</w:t>
            </w:r>
          </w:p>
        </w:tc>
        <w:tc>
          <w:tcPr>
            <w:tcW w:w="796" w:type="dxa"/>
            <w:tcBorders>
              <w:top w:val="nil"/>
              <w:left w:val="nil"/>
              <w:bottom w:val="nil"/>
              <w:right w:val="nil"/>
            </w:tcBorders>
            <w:shd w:val="clear" w:color="auto" w:fill="auto"/>
            <w:noWrap/>
          </w:tcPr>
          <w:p w:rsidR="00C925E9" w:rsidRPr="00742974" w:rsidRDefault="00C925E9" w:rsidP="006664CB">
            <w:pPr>
              <w:pStyle w:val="Tabletext"/>
              <w:spacing w:before="20" w:after="20"/>
              <w:jc w:val="right"/>
              <w:rPr>
                <w:b/>
              </w:rPr>
            </w:pPr>
            <w:r w:rsidRPr="00742974">
              <w:rPr>
                <w:b/>
              </w:rPr>
              <w:t>0.145</w:t>
            </w:r>
          </w:p>
        </w:tc>
        <w:tc>
          <w:tcPr>
            <w:tcW w:w="709"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850"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c>
          <w:tcPr>
            <w:tcW w:w="851"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c>
          <w:tcPr>
            <w:tcW w:w="1329"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r>
      <w:tr w:rsidR="00C925E9" w:rsidRPr="007B5954" w:rsidTr="00851FD6">
        <w:tc>
          <w:tcPr>
            <w:tcW w:w="1247" w:type="dxa"/>
            <w:tcBorders>
              <w:top w:val="nil"/>
              <w:left w:val="nil"/>
              <w:bottom w:val="nil"/>
              <w:right w:val="nil"/>
            </w:tcBorders>
            <w:shd w:val="clear" w:color="auto" w:fill="auto"/>
          </w:tcPr>
          <w:p w:rsidR="00C925E9" w:rsidRPr="007B5954" w:rsidRDefault="00C925E9" w:rsidP="00C36087">
            <w:pPr>
              <w:pStyle w:val="Tabletext"/>
              <w:spacing w:before="20" w:after="20"/>
            </w:pPr>
            <w:r w:rsidRPr="007B5954">
              <w:t>Gap-taker</w:t>
            </w:r>
          </w:p>
        </w:tc>
        <w:tc>
          <w:tcPr>
            <w:tcW w:w="653" w:type="dxa"/>
            <w:tcBorders>
              <w:top w:val="nil"/>
              <w:left w:val="nil"/>
              <w:bottom w:val="nil"/>
              <w:right w:val="nil"/>
            </w:tcBorders>
            <w:shd w:val="clear" w:color="auto" w:fill="auto"/>
            <w:noWrap/>
          </w:tcPr>
          <w:p w:rsidR="00C925E9" w:rsidRPr="006664CB" w:rsidRDefault="00C925E9" w:rsidP="006664CB">
            <w:pPr>
              <w:pStyle w:val="Tabletext"/>
              <w:spacing w:before="20" w:after="20"/>
              <w:jc w:val="right"/>
              <w:rPr>
                <w:i/>
              </w:rPr>
            </w:pPr>
            <w:r w:rsidRPr="006664CB">
              <w:rPr>
                <w:i/>
              </w:rPr>
              <w:t>-0.021</w:t>
            </w:r>
          </w:p>
        </w:tc>
        <w:tc>
          <w:tcPr>
            <w:tcW w:w="1161" w:type="dxa"/>
            <w:tcBorders>
              <w:top w:val="nil"/>
              <w:left w:val="nil"/>
              <w:bottom w:val="nil"/>
              <w:right w:val="nil"/>
            </w:tcBorders>
            <w:shd w:val="clear" w:color="auto" w:fill="auto"/>
            <w:noWrap/>
          </w:tcPr>
          <w:p w:rsidR="00C925E9" w:rsidRPr="00001A43" w:rsidRDefault="00C925E9" w:rsidP="006664CB">
            <w:pPr>
              <w:pStyle w:val="Tabletext"/>
              <w:spacing w:before="20" w:after="20"/>
              <w:jc w:val="right"/>
              <w:rPr>
                <w:i/>
              </w:rPr>
            </w:pPr>
            <w:r w:rsidRPr="00001A43">
              <w:rPr>
                <w:i/>
              </w:rPr>
              <w:t>-0.030</w:t>
            </w:r>
          </w:p>
        </w:tc>
        <w:tc>
          <w:tcPr>
            <w:tcW w:w="1107" w:type="dxa"/>
            <w:tcBorders>
              <w:top w:val="nil"/>
              <w:left w:val="nil"/>
              <w:bottom w:val="nil"/>
              <w:right w:val="nil"/>
            </w:tcBorders>
            <w:shd w:val="clear" w:color="auto" w:fill="auto"/>
          </w:tcPr>
          <w:p w:rsidR="00C925E9" w:rsidRPr="00001A43" w:rsidRDefault="00C925E9" w:rsidP="006664CB">
            <w:pPr>
              <w:pStyle w:val="Tabletext"/>
              <w:spacing w:before="20" w:after="20"/>
              <w:jc w:val="right"/>
              <w:rPr>
                <w:i/>
              </w:rPr>
            </w:pPr>
            <w:r w:rsidRPr="00001A43">
              <w:rPr>
                <w:i/>
              </w:rPr>
              <w:t>0.004</w:t>
            </w:r>
          </w:p>
        </w:tc>
        <w:tc>
          <w:tcPr>
            <w:tcW w:w="707" w:type="dxa"/>
            <w:tcBorders>
              <w:top w:val="nil"/>
              <w:left w:val="nil"/>
              <w:bottom w:val="nil"/>
              <w:right w:val="nil"/>
            </w:tcBorders>
            <w:shd w:val="clear" w:color="auto" w:fill="auto"/>
            <w:noWrap/>
          </w:tcPr>
          <w:p w:rsidR="00C925E9" w:rsidRPr="00742974" w:rsidRDefault="00C925E9" w:rsidP="006664CB">
            <w:pPr>
              <w:pStyle w:val="Tabletext"/>
              <w:spacing w:before="20" w:after="20"/>
              <w:jc w:val="right"/>
              <w:rPr>
                <w:b/>
              </w:rPr>
            </w:pPr>
            <w:r w:rsidRPr="00742974">
              <w:rPr>
                <w:b/>
              </w:rPr>
              <w:t>-0.116</w:t>
            </w:r>
          </w:p>
        </w:tc>
        <w:tc>
          <w:tcPr>
            <w:tcW w:w="907"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r w:rsidRPr="007B5954">
              <w:t>-0.062</w:t>
            </w:r>
          </w:p>
        </w:tc>
        <w:tc>
          <w:tcPr>
            <w:tcW w:w="796" w:type="dxa"/>
            <w:tcBorders>
              <w:top w:val="nil"/>
              <w:left w:val="nil"/>
              <w:bottom w:val="nil"/>
              <w:right w:val="nil"/>
            </w:tcBorders>
            <w:shd w:val="clear" w:color="auto" w:fill="auto"/>
          </w:tcPr>
          <w:p w:rsidR="00C925E9" w:rsidRPr="007B5954" w:rsidRDefault="00C925E9" w:rsidP="006664CB">
            <w:pPr>
              <w:pStyle w:val="Tabletext"/>
              <w:spacing w:before="20" w:after="20"/>
              <w:jc w:val="right"/>
            </w:pPr>
            <w:r w:rsidRPr="007B5954">
              <w:t>-0.066</w:t>
            </w:r>
          </w:p>
        </w:tc>
        <w:tc>
          <w:tcPr>
            <w:tcW w:w="709" w:type="dxa"/>
            <w:tcBorders>
              <w:top w:val="nil"/>
              <w:left w:val="nil"/>
              <w:bottom w:val="nil"/>
              <w:right w:val="nil"/>
            </w:tcBorders>
            <w:shd w:val="clear" w:color="auto" w:fill="auto"/>
            <w:noWrap/>
          </w:tcPr>
          <w:p w:rsidR="00C925E9" w:rsidRPr="00742974" w:rsidRDefault="00C925E9" w:rsidP="006664CB">
            <w:pPr>
              <w:pStyle w:val="Tabletext"/>
              <w:spacing w:before="20" w:after="20"/>
              <w:jc w:val="right"/>
              <w:rPr>
                <w:b/>
              </w:rPr>
            </w:pPr>
            <w:r w:rsidRPr="00742974">
              <w:rPr>
                <w:b/>
              </w:rPr>
              <w:t>-0.152</w:t>
            </w:r>
          </w:p>
        </w:tc>
        <w:tc>
          <w:tcPr>
            <w:tcW w:w="850"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851"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1329"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r>
      <w:tr w:rsidR="00C925E9" w:rsidRPr="007B5954" w:rsidTr="00851FD6">
        <w:tc>
          <w:tcPr>
            <w:tcW w:w="1247" w:type="dxa"/>
            <w:tcBorders>
              <w:top w:val="nil"/>
              <w:left w:val="nil"/>
              <w:bottom w:val="nil"/>
              <w:right w:val="nil"/>
            </w:tcBorders>
            <w:shd w:val="clear" w:color="auto" w:fill="auto"/>
          </w:tcPr>
          <w:p w:rsidR="00C925E9" w:rsidRPr="007B5954" w:rsidRDefault="00C925E9" w:rsidP="00C36087">
            <w:pPr>
              <w:pStyle w:val="Tabletext"/>
              <w:spacing w:before="20" w:after="20"/>
            </w:pPr>
            <w:r>
              <w:t xml:space="preserve">Still studying </w:t>
            </w:r>
            <w:r w:rsidRPr="007B5954">
              <w:t>first course</w:t>
            </w:r>
          </w:p>
        </w:tc>
        <w:tc>
          <w:tcPr>
            <w:tcW w:w="653"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0.088</w:t>
            </w:r>
          </w:p>
        </w:tc>
        <w:tc>
          <w:tcPr>
            <w:tcW w:w="1161" w:type="dxa"/>
            <w:tcBorders>
              <w:top w:val="nil"/>
              <w:left w:val="nil"/>
              <w:bottom w:val="nil"/>
              <w:right w:val="nil"/>
            </w:tcBorders>
            <w:shd w:val="clear" w:color="auto" w:fill="auto"/>
            <w:noWrap/>
          </w:tcPr>
          <w:p w:rsidR="00C925E9" w:rsidRPr="00001A43" w:rsidRDefault="00C925E9" w:rsidP="006664CB">
            <w:pPr>
              <w:pStyle w:val="Tabletext"/>
              <w:spacing w:before="20" w:after="20"/>
              <w:jc w:val="right"/>
              <w:rPr>
                <w:i/>
              </w:rPr>
            </w:pPr>
            <w:r w:rsidRPr="00001A43">
              <w:rPr>
                <w:i/>
              </w:rPr>
              <w:t>-0.004</w:t>
            </w:r>
          </w:p>
        </w:tc>
        <w:tc>
          <w:tcPr>
            <w:tcW w:w="1107" w:type="dxa"/>
            <w:tcBorders>
              <w:top w:val="nil"/>
              <w:left w:val="nil"/>
              <w:bottom w:val="nil"/>
              <w:right w:val="nil"/>
            </w:tcBorders>
            <w:shd w:val="clear" w:color="auto" w:fill="auto"/>
          </w:tcPr>
          <w:p w:rsidR="00C925E9" w:rsidRPr="00001A43" w:rsidRDefault="00C925E9" w:rsidP="006664CB">
            <w:pPr>
              <w:pStyle w:val="Tabletext"/>
              <w:spacing w:before="20" w:after="20"/>
              <w:jc w:val="right"/>
              <w:rPr>
                <w:i/>
              </w:rPr>
            </w:pPr>
            <w:r w:rsidRPr="00001A43">
              <w:rPr>
                <w:i/>
              </w:rPr>
              <w:t>0.020</w:t>
            </w:r>
          </w:p>
        </w:tc>
        <w:tc>
          <w:tcPr>
            <w:tcW w:w="707" w:type="dxa"/>
            <w:tcBorders>
              <w:top w:val="nil"/>
              <w:left w:val="nil"/>
              <w:bottom w:val="nil"/>
              <w:right w:val="nil"/>
            </w:tcBorders>
            <w:shd w:val="clear" w:color="auto" w:fill="auto"/>
          </w:tcPr>
          <w:p w:rsidR="00C925E9" w:rsidRPr="00001A43" w:rsidRDefault="00C925E9" w:rsidP="006664CB">
            <w:pPr>
              <w:pStyle w:val="Tabletext"/>
              <w:spacing w:before="20" w:after="20"/>
              <w:jc w:val="right"/>
              <w:rPr>
                <w:i/>
              </w:rPr>
            </w:pPr>
            <w:r w:rsidRPr="00001A43">
              <w:rPr>
                <w:i/>
              </w:rPr>
              <w:t>0.043</w:t>
            </w:r>
          </w:p>
        </w:tc>
        <w:tc>
          <w:tcPr>
            <w:tcW w:w="907" w:type="dxa"/>
            <w:tcBorders>
              <w:top w:val="nil"/>
              <w:left w:val="nil"/>
              <w:bottom w:val="nil"/>
              <w:right w:val="nil"/>
            </w:tcBorders>
            <w:shd w:val="clear" w:color="auto" w:fill="auto"/>
            <w:noWrap/>
          </w:tcPr>
          <w:p w:rsidR="00C925E9" w:rsidRPr="00001A43" w:rsidRDefault="00C925E9" w:rsidP="006664CB">
            <w:pPr>
              <w:pStyle w:val="Tabletext"/>
              <w:spacing w:before="20" w:after="20"/>
              <w:jc w:val="right"/>
              <w:rPr>
                <w:i/>
              </w:rPr>
            </w:pPr>
            <w:r w:rsidRPr="00001A43">
              <w:rPr>
                <w:i/>
              </w:rPr>
              <w:t>-0.005</w:t>
            </w:r>
          </w:p>
        </w:tc>
        <w:tc>
          <w:tcPr>
            <w:tcW w:w="796" w:type="dxa"/>
            <w:tcBorders>
              <w:top w:val="nil"/>
              <w:left w:val="nil"/>
              <w:bottom w:val="nil"/>
              <w:right w:val="nil"/>
            </w:tcBorders>
            <w:shd w:val="clear" w:color="auto" w:fill="auto"/>
          </w:tcPr>
          <w:p w:rsidR="00C925E9" w:rsidRPr="00001A43" w:rsidRDefault="00C925E9" w:rsidP="006664CB">
            <w:pPr>
              <w:pStyle w:val="Tabletext"/>
              <w:spacing w:before="20" w:after="20"/>
              <w:jc w:val="right"/>
              <w:rPr>
                <w:i/>
              </w:rPr>
            </w:pPr>
            <w:r w:rsidRPr="00001A43">
              <w:rPr>
                <w:i/>
              </w:rPr>
              <w:t>-0.035</w:t>
            </w:r>
          </w:p>
        </w:tc>
        <w:tc>
          <w:tcPr>
            <w:tcW w:w="709" w:type="dxa"/>
            <w:tcBorders>
              <w:top w:val="nil"/>
              <w:left w:val="nil"/>
              <w:bottom w:val="nil"/>
              <w:right w:val="nil"/>
            </w:tcBorders>
            <w:shd w:val="clear" w:color="auto" w:fill="auto"/>
            <w:noWrap/>
          </w:tcPr>
          <w:p w:rsidR="00C925E9" w:rsidRPr="006664CB" w:rsidRDefault="00C925E9" w:rsidP="006664CB">
            <w:pPr>
              <w:pStyle w:val="Tabletext"/>
              <w:spacing w:before="20" w:after="20"/>
              <w:jc w:val="right"/>
              <w:rPr>
                <w:i/>
              </w:rPr>
            </w:pPr>
            <w:r w:rsidRPr="006664CB">
              <w:rPr>
                <w:i/>
              </w:rPr>
              <w:t>-0.053</w:t>
            </w:r>
          </w:p>
        </w:tc>
        <w:tc>
          <w:tcPr>
            <w:tcW w:w="850" w:type="dxa"/>
            <w:tcBorders>
              <w:top w:val="nil"/>
              <w:left w:val="nil"/>
              <w:bottom w:val="nil"/>
              <w:right w:val="nil"/>
            </w:tcBorders>
            <w:shd w:val="clear" w:color="auto" w:fill="auto"/>
          </w:tcPr>
          <w:p w:rsidR="00C925E9" w:rsidRPr="00742974" w:rsidRDefault="00C925E9" w:rsidP="006664CB">
            <w:pPr>
              <w:pStyle w:val="Tabletext"/>
              <w:spacing w:before="20" w:after="20"/>
              <w:jc w:val="right"/>
              <w:rPr>
                <w:b/>
              </w:rPr>
            </w:pPr>
            <w:r w:rsidRPr="00742974">
              <w:rPr>
                <w:b/>
              </w:rPr>
              <w:t>0.107</w:t>
            </w:r>
          </w:p>
        </w:tc>
        <w:tc>
          <w:tcPr>
            <w:tcW w:w="851" w:type="dxa"/>
            <w:tcBorders>
              <w:top w:val="nil"/>
              <w:left w:val="nil"/>
              <w:bottom w:val="nil"/>
              <w:right w:val="nil"/>
            </w:tcBorders>
            <w:shd w:val="clear" w:color="auto" w:fill="auto"/>
          </w:tcPr>
          <w:p w:rsidR="00C925E9" w:rsidRPr="007B5954" w:rsidRDefault="00C925E9" w:rsidP="006664CB">
            <w:pPr>
              <w:pStyle w:val="Tabletext"/>
              <w:spacing w:before="20" w:after="20"/>
              <w:jc w:val="right"/>
            </w:pPr>
          </w:p>
        </w:tc>
        <w:tc>
          <w:tcPr>
            <w:tcW w:w="1329" w:type="dxa"/>
            <w:tcBorders>
              <w:top w:val="nil"/>
              <w:left w:val="nil"/>
              <w:bottom w:val="nil"/>
              <w:right w:val="nil"/>
            </w:tcBorders>
            <w:shd w:val="clear" w:color="auto" w:fill="auto"/>
            <w:noWrap/>
          </w:tcPr>
          <w:p w:rsidR="00C925E9" w:rsidRPr="007B5954" w:rsidRDefault="00C925E9" w:rsidP="006664CB">
            <w:pPr>
              <w:pStyle w:val="Tabletext"/>
              <w:spacing w:before="20" w:after="20"/>
              <w:jc w:val="right"/>
            </w:pPr>
          </w:p>
        </w:tc>
      </w:tr>
      <w:tr w:rsidR="00C925E9" w:rsidRPr="007B5954" w:rsidTr="00851FD6">
        <w:tc>
          <w:tcPr>
            <w:tcW w:w="1247" w:type="dxa"/>
            <w:tcBorders>
              <w:top w:val="nil"/>
              <w:left w:val="nil"/>
              <w:right w:val="nil"/>
            </w:tcBorders>
            <w:shd w:val="clear" w:color="auto" w:fill="auto"/>
          </w:tcPr>
          <w:p w:rsidR="00C925E9" w:rsidRPr="007B5954" w:rsidRDefault="00C925E9" w:rsidP="00C36087">
            <w:pPr>
              <w:pStyle w:val="Tabletext"/>
              <w:spacing w:before="20" w:after="20"/>
            </w:pPr>
            <w:r>
              <w:t>Failed, withdrew or changed first course</w:t>
            </w:r>
          </w:p>
        </w:tc>
        <w:tc>
          <w:tcPr>
            <w:tcW w:w="653" w:type="dxa"/>
            <w:tcBorders>
              <w:top w:val="nil"/>
              <w:left w:val="nil"/>
              <w:right w:val="nil"/>
            </w:tcBorders>
            <w:shd w:val="clear" w:color="auto" w:fill="auto"/>
          </w:tcPr>
          <w:p w:rsidR="00C925E9" w:rsidRPr="00742974" w:rsidRDefault="00C925E9" w:rsidP="006664CB">
            <w:pPr>
              <w:pStyle w:val="Tabletext"/>
              <w:spacing w:before="20" w:after="20"/>
              <w:jc w:val="right"/>
              <w:rPr>
                <w:b/>
              </w:rPr>
            </w:pPr>
            <w:r w:rsidRPr="00742974">
              <w:rPr>
                <w:b/>
              </w:rPr>
              <w:t>0.071</w:t>
            </w:r>
          </w:p>
        </w:tc>
        <w:tc>
          <w:tcPr>
            <w:tcW w:w="1161" w:type="dxa"/>
            <w:tcBorders>
              <w:top w:val="nil"/>
              <w:left w:val="nil"/>
              <w:right w:val="nil"/>
            </w:tcBorders>
            <w:shd w:val="clear" w:color="auto" w:fill="auto"/>
            <w:noWrap/>
          </w:tcPr>
          <w:p w:rsidR="00C925E9" w:rsidRPr="00001A43" w:rsidRDefault="00C925E9" w:rsidP="006664CB">
            <w:pPr>
              <w:pStyle w:val="Tabletext"/>
              <w:spacing w:before="20" w:after="20"/>
              <w:jc w:val="right"/>
              <w:rPr>
                <w:i/>
              </w:rPr>
            </w:pPr>
            <w:r w:rsidRPr="00001A43">
              <w:rPr>
                <w:i/>
              </w:rPr>
              <w:t>-0.046</w:t>
            </w:r>
          </w:p>
        </w:tc>
        <w:tc>
          <w:tcPr>
            <w:tcW w:w="1107" w:type="dxa"/>
            <w:tcBorders>
              <w:top w:val="nil"/>
              <w:left w:val="nil"/>
              <w:right w:val="nil"/>
            </w:tcBorders>
            <w:shd w:val="clear" w:color="auto" w:fill="auto"/>
            <w:noWrap/>
          </w:tcPr>
          <w:p w:rsidR="00C925E9" w:rsidRPr="007B5954" w:rsidRDefault="00C925E9" w:rsidP="006664CB">
            <w:pPr>
              <w:pStyle w:val="Tabletext"/>
              <w:spacing w:before="20" w:after="20"/>
              <w:jc w:val="right"/>
            </w:pPr>
            <w:r w:rsidRPr="007B5954">
              <w:t>-0.064</w:t>
            </w:r>
          </w:p>
        </w:tc>
        <w:tc>
          <w:tcPr>
            <w:tcW w:w="707" w:type="dxa"/>
            <w:tcBorders>
              <w:top w:val="nil"/>
              <w:left w:val="nil"/>
              <w:right w:val="nil"/>
            </w:tcBorders>
            <w:shd w:val="clear" w:color="auto" w:fill="auto"/>
            <w:noWrap/>
          </w:tcPr>
          <w:p w:rsidR="00C925E9" w:rsidRPr="007B5954" w:rsidRDefault="00C925E9" w:rsidP="006664CB">
            <w:pPr>
              <w:pStyle w:val="Tabletext"/>
              <w:spacing w:before="20" w:after="20"/>
              <w:jc w:val="right"/>
            </w:pPr>
            <w:r w:rsidRPr="007B5954">
              <w:t>-0.056</w:t>
            </w:r>
          </w:p>
        </w:tc>
        <w:tc>
          <w:tcPr>
            <w:tcW w:w="907" w:type="dxa"/>
            <w:tcBorders>
              <w:top w:val="nil"/>
              <w:left w:val="nil"/>
              <w:right w:val="nil"/>
            </w:tcBorders>
            <w:shd w:val="clear" w:color="auto" w:fill="auto"/>
            <w:noWrap/>
          </w:tcPr>
          <w:p w:rsidR="00C925E9" w:rsidRPr="00001A43" w:rsidRDefault="00C925E9" w:rsidP="006664CB">
            <w:pPr>
              <w:pStyle w:val="Tabletext"/>
              <w:spacing w:before="20" w:after="20"/>
              <w:jc w:val="right"/>
              <w:rPr>
                <w:i/>
              </w:rPr>
            </w:pPr>
            <w:r w:rsidRPr="00001A43">
              <w:rPr>
                <w:i/>
              </w:rPr>
              <w:t>-0.036</w:t>
            </w:r>
          </w:p>
        </w:tc>
        <w:tc>
          <w:tcPr>
            <w:tcW w:w="796" w:type="dxa"/>
            <w:tcBorders>
              <w:top w:val="nil"/>
              <w:left w:val="nil"/>
              <w:right w:val="nil"/>
            </w:tcBorders>
            <w:shd w:val="clear" w:color="auto" w:fill="auto"/>
          </w:tcPr>
          <w:p w:rsidR="00C925E9" w:rsidRPr="00001A43" w:rsidRDefault="00C925E9" w:rsidP="006664CB">
            <w:pPr>
              <w:pStyle w:val="Tabletext"/>
              <w:spacing w:before="20" w:after="20"/>
              <w:jc w:val="right"/>
              <w:rPr>
                <w:i/>
              </w:rPr>
            </w:pPr>
            <w:r w:rsidRPr="00001A43">
              <w:rPr>
                <w:i/>
              </w:rPr>
              <w:t>-0.027</w:t>
            </w:r>
          </w:p>
        </w:tc>
        <w:tc>
          <w:tcPr>
            <w:tcW w:w="709" w:type="dxa"/>
            <w:tcBorders>
              <w:top w:val="nil"/>
              <w:left w:val="nil"/>
              <w:right w:val="nil"/>
            </w:tcBorders>
            <w:shd w:val="clear" w:color="auto" w:fill="auto"/>
            <w:noWrap/>
          </w:tcPr>
          <w:p w:rsidR="00C925E9" w:rsidRPr="00742974" w:rsidRDefault="00C925E9" w:rsidP="006664CB">
            <w:pPr>
              <w:pStyle w:val="Tabletext"/>
              <w:spacing w:before="20" w:after="20"/>
              <w:jc w:val="right"/>
              <w:rPr>
                <w:b/>
              </w:rPr>
            </w:pPr>
            <w:r w:rsidRPr="00742974">
              <w:rPr>
                <w:b/>
              </w:rPr>
              <w:t>-0.153</w:t>
            </w:r>
          </w:p>
        </w:tc>
        <w:tc>
          <w:tcPr>
            <w:tcW w:w="850" w:type="dxa"/>
            <w:tcBorders>
              <w:top w:val="nil"/>
              <w:left w:val="nil"/>
              <w:right w:val="nil"/>
            </w:tcBorders>
            <w:shd w:val="clear" w:color="auto" w:fill="auto"/>
          </w:tcPr>
          <w:p w:rsidR="00C925E9" w:rsidRPr="00001A43" w:rsidRDefault="00C925E9" w:rsidP="006664CB">
            <w:pPr>
              <w:pStyle w:val="Tabletext"/>
              <w:spacing w:before="20" w:after="20"/>
              <w:jc w:val="right"/>
              <w:rPr>
                <w:i/>
              </w:rPr>
            </w:pPr>
            <w:r w:rsidRPr="00001A43">
              <w:rPr>
                <w:i/>
              </w:rPr>
              <w:t>0.015</w:t>
            </w:r>
          </w:p>
        </w:tc>
        <w:tc>
          <w:tcPr>
            <w:tcW w:w="851" w:type="dxa"/>
            <w:tcBorders>
              <w:top w:val="nil"/>
              <w:left w:val="nil"/>
              <w:right w:val="nil"/>
            </w:tcBorders>
            <w:shd w:val="clear" w:color="auto" w:fill="auto"/>
            <w:noWrap/>
          </w:tcPr>
          <w:p w:rsidR="00C925E9" w:rsidRPr="00742974" w:rsidRDefault="00C925E9" w:rsidP="006664CB">
            <w:pPr>
              <w:pStyle w:val="Tabletext"/>
              <w:spacing w:before="20" w:after="20"/>
              <w:jc w:val="right"/>
              <w:rPr>
                <w:b/>
              </w:rPr>
            </w:pPr>
            <w:r w:rsidRPr="00742974">
              <w:rPr>
                <w:b/>
              </w:rPr>
              <w:t>-0.083</w:t>
            </w:r>
          </w:p>
        </w:tc>
        <w:tc>
          <w:tcPr>
            <w:tcW w:w="1329" w:type="dxa"/>
            <w:tcBorders>
              <w:top w:val="nil"/>
              <w:left w:val="nil"/>
              <w:right w:val="nil"/>
            </w:tcBorders>
            <w:shd w:val="clear" w:color="auto" w:fill="auto"/>
          </w:tcPr>
          <w:p w:rsidR="00C925E9" w:rsidRPr="007B5954" w:rsidRDefault="00C925E9" w:rsidP="006664CB">
            <w:pPr>
              <w:pStyle w:val="Tabletext"/>
              <w:spacing w:before="20" w:after="20"/>
              <w:jc w:val="right"/>
            </w:pPr>
          </w:p>
        </w:tc>
      </w:tr>
      <w:tr w:rsidR="00C925E9" w:rsidRPr="007B5954" w:rsidTr="00851FD6">
        <w:tc>
          <w:tcPr>
            <w:tcW w:w="1247" w:type="dxa"/>
            <w:tcBorders>
              <w:top w:val="nil"/>
              <w:left w:val="nil"/>
              <w:bottom w:val="single" w:sz="4" w:space="0" w:color="auto"/>
              <w:right w:val="nil"/>
            </w:tcBorders>
            <w:shd w:val="clear" w:color="auto" w:fill="auto"/>
          </w:tcPr>
          <w:p w:rsidR="00C925E9" w:rsidRPr="007B5954" w:rsidRDefault="00C925E9" w:rsidP="00C36087">
            <w:pPr>
              <w:pStyle w:val="Tabletext"/>
              <w:spacing w:before="20" w:after="20"/>
            </w:pPr>
            <w:r w:rsidRPr="007B5954">
              <w:t>Part-time study</w:t>
            </w:r>
          </w:p>
        </w:tc>
        <w:tc>
          <w:tcPr>
            <w:tcW w:w="653" w:type="dxa"/>
            <w:tcBorders>
              <w:top w:val="nil"/>
              <w:left w:val="nil"/>
              <w:bottom w:val="single" w:sz="4" w:space="0" w:color="auto"/>
              <w:right w:val="nil"/>
            </w:tcBorders>
            <w:shd w:val="clear" w:color="auto" w:fill="auto"/>
          </w:tcPr>
          <w:p w:rsidR="00C925E9" w:rsidRPr="00001A43" w:rsidRDefault="00C925E9" w:rsidP="006664CB">
            <w:pPr>
              <w:pStyle w:val="Tabletext"/>
              <w:spacing w:before="20" w:after="20"/>
              <w:jc w:val="right"/>
              <w:rPr>
                <w:i/>
              </w:rPr>
            </w:pPr>
            <w:r w:rsidRPr="00001A43">
              <w:rPr>
                <w:i/>
              </w:rPr>
              <w:t>0.042</w:t>
            </w:r>
          </w:p>
        </w:tc>
        <w:tc>
          <w:tcPr>
            <w:tcW w:w="1161" w:type="dxa"/>
            <w:tcBorders>
              <w:top w:val="nil"/>
              <w:left w:val="nil"/>
              <w:bottom w:val="single" w:sz="4" w:space="0" w:color="auto"/>
              <w:right w:val="nil"/>
            </w:tcBorders>
            <w:shd w:val="clear" w:color="auto" w:fill="auto"/>
          </w:tcPr>
          <w:p w:rsidR="00C925E9" w:rsidRPr="00001A43" w:rsidRDefault="00C925E9" w:rsidP="006664CB">
            <w:pPr>
              <w:pStyle w:val="Tabletext"/>
              <w:spacing w:before="20" w:after="20"/>
              <w:jc w:val="right"/>
              <w:rPr>
                <w:i/>
              </w:rPr>
            </w:pPr>
            <w:r w:rsidRPr="00001A43">
              <w:rPr>
                <w:i/>
              </w:rPr>
              <w:t>0.004</w:t>
            </w:r>
          </w:p>
        </w:tc>
        <w:tc>
          <w:tcPr>
            <w:tcW w:w="1107" w:type="dxa"/>
            <w:tcBorders>
              <w:top w:val="nil"/>
              <w:left w:val="nil"/>
              <w:bottom w:val="single" w:sz="4" w:space="0" w:color="auto"/>
              <w:right w:val="nil"/>
            </w:tcBorders>
            <w:shd w:val="clear" w:color="auto" w:fill="auto"/>
          </w:tcPr>
          <w:p w:rsidR="00C925E9" w:rsidRPr="00001A43" w:rsidRDefault="00C925E9" w:rsidP="006664CB">
            <w:pPr>
              <w:pStyle w:val="Tabletext"/>
              <w:spacing w:before="20" w:after="20"/>
              <w:jc w:val="right"/>
              <w:rPr>
                <w:i/>
              </w:rPr>
            </w:pPr>
            <w:r w:rsidRPr="00001A43">
              <w:rPr>
                <w:i/>
              </w:rPr>
              <w:t>0.013</w:t>
            </w:r>
          </w:p>
        </w:tc>
        <w:tc>
          <w:tcPr>
            <w:tcW w:w="707" w:type="dxa"/>
            <w:tcBorders>
              <w:top w:val="nil"/>
              <w:left w:val="nil"/>
              <w:bottom w:val="single" w:sz="4" w:space="0" w:color="auto"/>
              <w:right w:val="nil"/>
            </w:tcBorders>
            <w:shd w:val="clear" w:color="auto" w:fill="auto"/>
          </w:tcPr>
          <w:p w:rsidR="00C925E9" w:rsidRPr="00001A43" w:rsidRDefault="00C925E9" w:rsidP="006664CB">
            <w:pPr>
              <w:pStyle w:val="Tabletext"/>
              <w:spacing w:before="20" w:after="20"/>
              <w:jc w:val="right"/>
              <w:rPr>
                <w:i/>
              </w:rPr>
            </w:pPr>
            <w:r w:rsidRPr="00001A43">
              <w:rPr>
                <w:i/>
              </w:rPr>
              <w:t>0.041</w:t>
            </w:r>
          </w:p>
        </w:tc>
        <w:tc>
          <w:tcPr>
            <w:tcW w:w="907" w:type="dxa"/>
            <w:tcBorders>
              <w:top w:val="nil"/>
              <w:left w:val="nil"/>
              <w:bottom w:val="single" w:sz="4" w:space="0" w:color="auto"/>
              <w:right w:val="nil"/>
            </w:tcBorders>
            <w:shd w:val="clear" w:color="auto" w:fill="auto"/>
          </w:tcPr>
          <w:p w:rsidR="00C925E9" w:rsidRPr="00742974" w:rsidRDefault="00C925E9" w:rsidP="006664CB">
            <w:pPr>
              <w:pStyle w:val="Tabletext"/>
              <w:spacing w:before="20" w:after="20"/>
              <w:jc w:val="right"/>
              <w:rPr>
                <w:b/>
              </w:rPr>
            </w:pPr>
            <w:r w:rsidRPr="00742974">
              <w:rPr>
                <w:b/>
              </w:rPr>
              <w:t>0.074</w:t>
            </w:r>
          </w:p>
        </w:tc>
        <w:tc>
          <w:tcPr>
            <w:tcW w:w="796" w:type="dxa"/>
            <w:tcBorders>
              <w:top w:val="nil"/>
              <w:left w:val="nil"/>
              <w:bottom w:val="single" w:sz="4" w:space="0" w:color="auto"/>
              <w:right w:val="nil"/>
            </w:tcBorders>
            <w:shd w:val="clear" w:color="auto" w:fill="auto"/>
            <w:noWrap/>
          </w:tcPr>
          <w:p w:rsidR="00C925E9" w:rsidRPr="00001A43" w:rsidRDefault="00C925E9" w:rsidP="006664CB">
            <w:pPr>
              <w:pStyle w:val="Tabletext"/>
              <w:spacing w:before="20" w:after="20"/>
              <w:jc w:val="right"/>
              <w:rPr>
                <w:i/>
              </w:rPr>
            </w:pPr>
            <w:r w:rsidRPr="00001A43">
              <w:rPr>
                <w:i/>
              </w:rPr>
              <w:t>0.005</w:t>
            </w:r>
          </w:p>
        </w:tc>
        <w:tc>
          <w:tcPr>
            <w:tcW w:w="709" w:type="dxa"/>
            <w:tcBorders>
              <w:top w:val="nil"/>
              <w:left w:val="nil"/>
              <w:bottom w:val="single" w:sz="4" w:space="0" w:color="auto"/>
              <w:right w:val="nil"/>
            </w:tcBorders>
            <w:shd w:val="clear" w:color="auto" w:fill="auto"/>
            <w:noWrap/>
          </w:tcPr>
          <w:p w:rsidR="00C925E9" w:rsidRPr="00001A43" w:rsidRDefault="00C925E9" w:rsidP="006664CB">
            <w:pPr>
              <w:pStyle w:val="Tabletext"/>
              <w:spacing w:before="20" w:after="20"/>
              <w:jc w:val="right"/>
              <w:rPr>
                <w:i/>
              </w:rPr>
            </w:pPr>
            <w:r w:rsidRPr="00001A43">
              <w:rPr>
                <w:i/>
              </w:rPr>
              <w:t>-0.002</w:t>
            </w:r>
          </w:p>
        </w:tc>
        <w:tc>
          <w:tcPr>
            <w:tcW w:w="850" w:type="dxa"/>
            <w:tcBorders>
              <w:top w:val="nil"/>
              <w:left w:val="nil"/>
              <w:bottom w:val="single" w:sz="4" w:space="0" w:color="auto"/>
              <w:right w:val="nil"/>
            </w:tcBorders>
            <w:shd w:val="clear" w:color="auto" w:fill="auto"/>
            <w:noWrap/>
          </w:tcPr>
          <w:p w:rsidR="00C925E9" w:rsidRPr="00001A43" w:rsidRDefault="00C925E9" w:rsidP="006664CB">
            <w:pPr>
              <w:pStyle w:val="Tabletext"/>
              <w:spacing w:before="20" w:after="20"/>
              <w:jc w:val="right"/>
              <w:rPr>
                <w:i/>
              </w:rPr>
            </w:pPr>
            <w:r w:rsidRPr="00001A43">
              <w:rPr>
                <w:i/>
              </w:rPr>
              <w:t>-0.011</w:t>
            </w:r>
          </w:p>
        </w:tc>
        <w:tc>
          <w:tcPr>
            <w:tcW w:w="851" w:type="dxa"/>
            <w:tcBorders>
              <w:top w:val="nil"/>
              <w:left w:val="nil"/>
              <w:bottom w:val="single" w:sz="4" w:space="0" w:color="auto"/>
              <w:right w:val="nil"/>
            </w:tcBorders>
            <w:shd w:val="clear" w:color="auto" w:fill="auto"/>
          </w:tcPr>
          <w:p w:rsidR="00C925E9" w:rsidRPr="00742974" w:rsidRDefault="00C925E9" w:rsidP="006664CB">
            <w:pPr>
              <w:pStyle w:val="Tabletext"/>
              <w:spacing w:before="20" w:after="20"/>
              <w:jc w:val="right"/>
              <w:rPr>
                <w:b/>
              </w:rPr>
            </w:pPr>
            <w:r w:rsidRPr="00742974">
              <w:rPr>
                <w:b/>
              </w:rPr>
              <w:t>0.541</w:t>
            </w:r>
          </w:p>
        </w:tc>
        <w:tc>
          <w:tcPr>
            <w:tcW w:w="1329" w:type="dxa"/>
            <w:tcBorders>
              <w:top w:val="nil"/>
              <w:left w:val="nil"/>
              <w:bottom w:val="single" w:sz="4" w:space="0" w:color="auto"/>
              <w:right w:val="nil"/>
            </w:tcBorders>
            <w:shd w:val="clear" w:color="auto" w:fill="auto"/>
          </w:tcPr>
          <w:p w:rsidR="00C925E9" w:rsidRPr="00001A43" w:rsidRDefault="00C925E9" w:rsidP="006664CB">
            <w:pPr>
              <w:pStyle w:val="Tabletext"/>
              <w:spacing w:before="20" w:after="20"/>
              <w:jc w:val="right"/>
              <w:rPr>
                <w:i/>
              </w:rPr>
            </w:pPr>
            <w:r w:rsidRPr="00001A43">
              <w:rPr>
                <w:i/>
              </w:rPr>
              <w:t>0.005</w:t>
            </w:r>
          </w:p>
        </w:tc>
      </w:tr>
    </w:tbl>
    <w:p w:rsidR="00C925E9" w:rsidRDefault="00C925E9" w:rsidP="00200C9F">
      <w:pPr>
        <w:pStyle w:val="Source"/>
      </w:pPr>
      <w:r>
        <w:t>Notes:</w:t>
      </w:r>
      <w:r>
        <w:tab/>
        <w:t>Correlati</w:t>
      </w:r>
      <w:r w:rsidR="00001A43">
        <w:t>on coefficients: Bold, p&lt;0.01; n</w:t>
      </w:r>
      <w:r>
        <w:t xml:space="preserve">ormal text, 0.01&lt;p&lt;0.05; </w:t>
      </w:r>
      <w:r w:rsidR="00001A43">
        <w:t>italicised</w:t>
      </w:r>
      <w:r>
        <w:t xml:space="preserve"> </w:t>
      </w:r>
      <w:r w:rsidR="00C36087">
        <w:t>text, p&gt;0.05 (non-significant); a</w:t>
      </w:r>
      <w:r>
        <w:t>ll variables originally entered into the model of labour market success, including those that were subsequently eliminated from the model, are shown in the table</w:t>
      </w:r>
      <w:r w:rsidR="00C36087">
        <w:t>; f</w:t>
      </w:r>
      <w:r>
        <w:t>or clarity, values on the table diagonal (correlations of variables with themselves) have been removed.</w:t>
      </w:r>
    </w:p>
    <w:p w:rsidR="00001A43" w:rsidRDefault="00C925E9" w:rsidP="00200C9F">
      <w:pPr>
        <w:pStyle w:val="Text"/>
        <w:sectPr w:rsidR="00001A43" w:rsidSect="00001A43">
          <w:footerReference w:type="even" r:id="rId19"/>
          <w:footerReference w:type="default" r:id="rId20"/>
          <w:pgSz w:w="16838" w:h="11899" w:orient="landscape" w:code="9"/>
          <w:pgMar w:top="1134" w:right="1440" w:bottom="1134" w:left="1440" w:header="720" w:footer="720" w:gutter="0"/>
          <w:cols w:space="720"/>
        </w:sectPr>
      </w:pPr>
      <w:r>
        <w:t>The caveats noted above in relation to interpreting bivariate correlations in table A2.3 apply equally to those in table A2.4. Some of the expected correlations noted in relation to table A2.3 a</w:t>
      </w:r>
      <w:r w:rsidR="00C36087">
        <w:t>re also apparent in table A2.4.</w:t>
      </w:r>
    </w:p>
    <w:p w:rsidR="008B22E2" w:rsidRDefault="008B22E2" w:rsidP="00C36087">
      <w:pPr>
        <w:pStyle w:val="Text"/>
      </w:pPr>
    </w:p>
    <w:sectPr w:rsidR="008B22E2" w:rsidSect="00F60BA5">
      <w:footerReference w:type="even" r:id="rId21"/>
      <w:footerReference w:type="default" r:id="rId22"/>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894" w:rsidRDefault="00FC1894">
      <w:r>
        <w:separator/>
      </w:r>
    </w:p>
  </w:endnote>
  <w:endnote w:type="continuationSeparator" w:id="0">
    <w:p w:rsidR="00FC1894" w:rsidRDefault="00FC1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wis721 BT">
    <w:panose1 w:val="00000000000000000000"/>
    <w:charset w:val="00"/>
    <w:family w:val="swiss"/>
    <w:notTrueType/>
    <w:pitch w:val="variable"/>
    <w:sig w:usb0="00000003" w:usb1="00000000" w:usb2="00000000" w:usb3="00000000" w:csb0="00000001" w:csb1="00000000"/>
  </w:font>
  <w:font w:name="Swis721 Md BT">
    <w:panose1 w:val="00000000000000000000"/>
    <w:charset w:val="00"/>
    <w:family w:val="swiss"/>
    <w:notTrueType/>
    <w:pitch w:val="variable"/>
    <w:sig w:usb0="00000003" w:usb1="00000000" w:usb2="00000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94" w:rsidRPr="00382D69" w:rsidRDefault="00FC1894" w:rsidP="00382D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94" w:rsidRPr="00D1359E" w:rsidRDefault="00FC1894" w:rsidP="00200C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94" w:rsidRPr="00001A43" w:rsidRDefault="003D7E87" w:rsidP="00001A43">
    <w:pPr>
      <w:pStyle w:val="Footer"/>
      <w:ind w:hanging="284"/>
      <w:rPr>
        <w:b/>
      </w:rPr>
    </w:pPr>
    <w:r w:rsidRPr="003D7E87">
      <w:rPr>
        <w:b/>
        <w:color w:val="FFFFFF" w:themeColor="background1"/>
      </w:rPr>
      <w:pict>
        <v:rect id="_x0000_s2056" style="position:absolute;margin-left:-99pt;margin-top:-2.45pt;width:99pt;height:18.75pt;z-index:-251649024" fillcolor="black [3213]" stroked="f" strokecolor="#bfbfbf [2412]"/>
      </w:pict>
    </w:r>
    <w:r w:rsidRPr="003D7E87">
      <w:rPr>
        <w:b/>
        <w:color w:val="FFFFFF" w:themeColor="background1"/>
      </w:rPr>
      <w:fldChar w:fldCharType="begin"/>
    </w:r>
    <w:r w:rsidR="00FC1894" w:rsidRPr="00001A43">
      <w:rPr>
        <w:b/>
        <w:color w:val="FFFFFF" w:themeColor="background1"/>
      </w:rPr>
      <w:instrText xml:space="preserve"> PAGE </w:instrText>
    </w:r>
    <w:r w:rsidRPr="003D7E87">
      <w:rPr>
        <w:b/>
        <w:color w:val="FFFFFF" w:themeColor="background1"/>
      </w:rPr>
      <w:fldChar w:fldCharType="separate"/>
    </w:r>
    <w:r w:rsidR="00473182">
      <w:rPr>
        <w:b/>
        <w:noProof/>
        <w:color w:val="FFFFFF" w:themeColor="background1"/>
      </w:rPr>
      <w:t>38</w:t>
    </w:r>
    <w:r w:rsidRPr="00001A43">
      <w:rPr>
        <w:color w:val="FFFFFF" w:themeColor="background1"/>
      </w:rPr>
      <w:fldChar w:fldCharType="end"/>
    </w:r>
    <w:r w:rsidR="00FC1894" w:rsidRPr="00001A43">
      <w:rPr>
        <w:b/>
      </w:rPr>
      <w:tab/>
    </w:r>
    <w:r w:rsidR="00FC1894" w:rsidRPr="00001A43">
      <w:rPr>
        <w:b/>
      </w:rPr>
      <w:tab/>
      <w:t>Bridging the gap: who takes a gap year and why?</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94" w:rsidRPr="00001A43" w:rsidRDefault="003D7E87" w:rsidP="00001A43">
    <w:pPr>
      <w:pStyle w:val="Footer"/>
      <w:tabs>
        <w:tab w:val="clear" w:pos="8505"/>
        <w:tab w:val="right" w:pos="8789"/>
      </w:tabs>
    </w:pPr>
    <w:r w:rsidRPr="003D7E87">
      <w:rPr>
        <w:b/>
      </w:rPr>
      <w:pict>
        <v:rect id="_x0000_s2054" style="position:absolute;margin-left:425.6pt;margin-top:-2.45pt;width:99pt;height:18.75pt;z-index:-251651072" fillcolor="black [3213]" stroked="f" strokecolor="#bfbfbf [2412]"/>
      </w:pict>
    </w:r>
    <w:r w:rsidR="00FC1894" w:rsidRPr="00001A43">
      <w:rPr>
        <w:b/>
      </w:rPr>
      <w:t>NCVER</w:t>
    </w:r>
    <w:r w:rsidR="00FC1894" w:rsidRPr="00001A43">
      <w:tab/>
    </w:r>
    <w:r w:rsidRPr="003D7E87">
      <w:rPr>
        <w:b/>
        <w:color w:val="FFFFFF" w:themeColor="background1"/>
      </w:rPr>
      <w:fldChar w:fldCharType="begin"/>
    </w:r>
    <w:r w:rsidR="00FC1894" w:rsidRPr="00001A43">
      <w:rPr>
        <w:b/>
        <w:color w:val="FFFFFF" w:themeColor="background1"/>
      </w:rPr>
      <w:instrText xml:space="preserve"> PAGE </w:instrText>
    </w:r>
    <w:r w:rsidRPr="003D7E87">
      <w:rPr>
        <w:b/>
        <w:color w:val="FFFFFF" w:themeColor="background1"/>
      </w:rPr>
      <w:fldChar w:fldCharType="separate"/>
    </w:r>
    <w:r w:rsidR="00473182">
      <w:rPr>
        <w:b/>
        <w:noProof/>
        <w:color w:val="FFFFFF" w:themeColor="background1"/>
      </w:rPr>
      <w:t>39</w:t>
    </w:r>
    <w:r w:rsidRPr="00001A43">
      <w:rPr>
        <w:color w:val="FFFFFF" w:themeColor="background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94" w:rsidRPr="00534339" w:rsidRDefault="00FC1894" w:rsidP="0053433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94" w:rsidRPr="00534339" w:rsidRDefault="00FC1894" w:rsidP="0053433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94" w:rsidRPr="008863D9" w:rsidRDefault="00FC1894" w:rsidP="008863D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94" w:rsidRPr="009775C7" w:rsidRDefault="003D7E87" w:rsidP="008C0A74">
    <w:pPr>
      <w:pStyle w:val="Footer"/>
      <w:tabs>
        <w:tab w:val="clear" w:pos="8505"/>
        <w:tab w:val="right" w:pos="8789"/>
      </w:tabs>
      <w:rPr>
        <w:color w:val="FFFFFF" w:themeColor="background1"/>
      </w:rPr>
    </w:pPr>
    <w:r w:rsidRPr="003D7E87">
      <w:rPr>
        <w:b/>
        <w:noProof/>
        <w:lang w:eastAsia="en-AU"/>
      </w:rPr>
      <w:pict>
        <v:rect id="_x0000_s2052" style="position:absolute;margin-left:425.6pt;margin-top:-2.45pt;width:99pt;height:18.75pt;z-index:-251653120" fillcolor="black [3213]" stroked="f" strokecolor="#bfbfbf [2412]"/>
      </w:pict>
    </w:r>
    <w:r w:rsidR="00FC1894" w:rsidRPr="009775C7">
      <w:rPr>
        <w:b/>
      </w:rPr>
      <w:t>NCVER</w:t>
    </w:r>
    <w:r w:rsidR="00FC1894" w:rsidRPr="009775C7">
      <w:tab/>
    </w:r>
    <w:r w:rsidRPr="009775C7">
      <w:rPr>
        <w:rStyle w:val="PageNumber"/>
        <w:rFonts w:cs="Tahoma"/>
        <w:b/>
        <w:color w:val="FFFFFF" w:themeColor="background1"/>
        <w:sz w:val="17"/>
      </w:rPr>
      <w:fldChar w:fldCharType="begin"/>
    </w:r>
    <w:r w:rsidR="00FC1894"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FC1894">
      <w:rPr>
        <w:rStyle w:val="PageNumber"/>
        <w:rFonts w:cs="Tahoma"/>
        <w:b/>
        <w:noProof/>
        <w:color w:val="FFFFFF" w:themeColor="background1"/>
        <w:sz w:val="17"/>
      </w:rPr>
      <w:t>57</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894" w:rsidRDefault="00FC1894">
      <w:r>
        <w:separator/>
      </w:r>
    </w:p>
  </w:footnote>
  <w:footnote w:type="continuationSeparator" w:id="0">
    <w:p w:rsidR="00FC1894" w:rsidRDefault="00FC1894">
      <w:r>
        <w:continuationSeparator/>
      </w:r>
    </w:p>
  </w:footnote>
  <w:footnote w:id="1">
    <w:p w:rsidR="00FC1894" w:rsidRPr="00F844D3" w:rsidRDefault="00FC1894" w:rsidP="00374F9E">
      <w:pPr>
        <w:pStyle w:val="Text"/>
        <w:tabs>
          <w:tab w:val="left" w:pos="284"/>
        </w:tabs>
        <w:spacing w:before="120" w:line="240" w:lineRule="auto"/>
        <w:ind w:left="284" w:hanging="284"/>
        <w:rPr>
          <w:sz w:val="16"/>
        </w:rPr>
      </w:pPr>
      <w:r w:rsidRPr="00F844D3">
        <w:rPr>
          <w:rStyle w:val="FootnoteReference"/>
          <w:sz w:val="16"/>
        </w:rPr>
        <w:footnoteRef/>
      </w:r>
      <w:r w:rsidRPr="00F844D3">
        <w:rPr>
          <w:sz w:val="16"/>
        </w:rPr>
        <w:t xml:space="preserve"> </w:t>
      </w:r>
      <w:r>
        <w:rPr>
          <w:sz w:val="16"/>
        </w:rPr>
        <w:tab/>
      </w:r>
      <w:r w:rsidRPr="00F844D3">
        <w:rPr>
          <w:sz w:val="16"/>
        </w:rPr>
        <w:t>Data from these cohorts are presented as summary descriptive statistics and, for the Y98 data, a logistic regression model was developed to explore the factors that influence gap-taking.</w:t>
      </w:r>
    </w:p>
  </w:footnote>
  <w:footnote w:id="2">
    <w:p w:rsidR="00FC1894" w:rsidRDefault="00FC1894">
      <w:pPr>
        <w:pStyle w:val="FootnoteText"/>
      </w:pPr>
      <w:r>
        <w:rPr>
          <w:rStyle w:val="FootnoteReference"/>
        </w:rPr>
        <w:footnoteRef/>
      </w:r>
      <w:r>
        <w:t xml:space="preserve"> </w:t>
      </w:r>
      <w:r>
        <w:tab/>
        <w:t>This criteria was in place at the time this report was prepared. However, since 2010, changes to student income support arrangements have occurred. More details can be found at &lt;www.deewr.gov.au/HigherEducation/Programs/YouthAllowance/Pages/RSISROverview.aspx&gt;.</w:t>
      </w:r>
    </w:p>
  </w:footnote>
  <w:footnote w:id="3">
    <w:p w:rsidR="00FC1894" w:rsidRDefault="00FC1894" w:rsidP="00200C9F">
      <w:pPr>
        <w:pStyle w:val="FootnoteText"/>
      </w:pPr>
      <w:r>
        <w:rPr>
          <w:rStyle w:val="FootnoteReference"/>
        </w:rPr>
        <w:footnoteRef/>
      </w:r>
      <w:r>
        <w:t xml:space="preserve"> </w:t>
      </w:r>
      <w:r>
        <w:tab/>
        <w:t>Supplementary tuition fees were introduced in 2006—07 and it is too early to gather data on any effect of this change.</w:t>
      </w:r>
    </w:p>
  </w:footnote>
  <w:footnote w:id="4">
    <w:p w:rsidR="00FC1894" w:rsidRPr="00B5677F" w:rsidRDefault="00FC1894" w:rsidP="00200C9F">
      <w:pPr>
        <w:pStyle w:val="FootnoteText"/>
      </w:pPr>
      <w:r w:rsidRPr="00B5677F">
        <w:rPr>
          <w:rStyle w:val="FootnoteReference"/>
        </w:rPr>
        <w:footnoteRef/>
      </w:r>
      <w:r w:rsidRPr="00B5677F">
        <w:t xml:space="preserve"> </w:t>
      </w:r>
      <w:r>
        <w:tab/>
      </w:r>
      <w:r w:rsidRPr="00B5677F">
        <w:t xml:space="preserve">Due to changes in the </w:t>
      </w:r>
      <w:r>
        <w:t>h</w:t>
      </w:r>
      <w:r w:rsidRPr="00B5677F">
        <w:t xml:space="preserve">igher </w:t>
      </w:r>
      <w:r>
        <w:t>e</w:t>
      </w:r>
      <w:r w:rsidRPr="00B5677F">
        <w:t xml:space="preserve">ducation data system the data used in </w:t>
      </w:r>
      <w:r>
        <w:t>t</w:t>
      </w:r>
      <w:r w:rsidRPr="00B5677F">
        <w:t xml:space="preserve">able 1 </w:t>
      </w:r>
      <w:r>
        <w:t>are</w:t>
      </w:r>
      <w:r w:rsidRPr="00B5677F">
        <w:t xml:space="preserve"> not available for 2005 and following years.</w:t>
      </w:r>
      <w:r>
        <w:t xml:space="preserve"> </w:t>
      </w:r>
      <w:r w:rsidRPr="00B5677F">
        <w:t>Similarly, 2001</w:t>
      </w:r>
      <w:r>
        <w:t>—</w:t>
      </w:r>
      <w:r w:rsidRPr="00B5677F">
        <w:t xml:space="preserve">04 data </w:t>
      </w:r>
      <w:r>
        <w:t>are</w:t>
      </w:r>
      <w:r w:rsidRPr="00B5677F">
        <w:t xml:space="preserve"> not directly comparable </w:t>
      </w:r>
      <w:r>
        <w:t>with</w:t>
      </w:r>
      <w:r w:rsidRPr="00B5677F">
        <w:t xml:space="preserve"> published data for earlier years due to changes in data collection in 2001</w:t>
      </w:r>
      <w:r>
        <w:t>.</w:t>
      </w:r>
    </w:p>
  </w:footnote>
  <w:footnote w:id="5">
    <w:p w:rsidR="00FC1894" w:rsidRDefault="00FC1894" w:rsidP="00200C9F">
      <w:pPr>
        <w:pStyle w:val="FootnoteText"/>
        <w:spacing w:before="60" w:after="60"/>
      </w:pPr>
      <w:r>
        <w:rPr>
          <w:rStyle w:val="FootnoteReference"/>
        </w:rPr>
        <w:footnoteRef/>
      </w:r>
      <w:r>
        <w:t xml:space="preserve"> Throughout the report, all data are based on weighted frequencies.</w:t>
      </w:r>
    </w:p>
  </w:footnote>
  <w:footnote w:id="6">
    <w:p w:rsidR="00FC1894" w:rsidRDefault="00FC1894" w:rsidP="00200C9F">
      <w:pPr>
        <w:pStyle w:val="FootnoteText"/>
      </w:pPr>
      <w:r>
        <w:rPr>
          <w:rStyle w:val="FootnoteReference"/>
        </w:rPr>
        <w:footnoteRef/>
      </w:r>
      <w:r>
        <w:t xml:space="preserve"> </w:t>
      </w:r>
      <w:r>
        <w:tab/>
        <w:t>The reading variable was removed from the analysis because of colinearity with mathematics score.</w:t>
      </w:r>
    </w:p>
  </w:footnote>
  <w:footnote w:id="7">
    <w:p w:rsidR="00FC1894" w:rsidRDefault="00FC1894">
      <w:pPr>
        <w:pStyle w:val="FootnoteText"/>
      </w:pPr>
      <w:r>
        <w:rPr>
          <w:rStyle w:val="FootnoteReference"/>
        </w:rPr>
        <w:footnoteRef/>
      </w:r>
      <w:r>
        <w:t xml:space="preserve"> </w:t>
      </w:r>
      <w:r>
        <w:tab/>
      </w:r>
      <w:r w:rsidRPr="00742974">
        <w:t>This criteria was in place at the time this report was prepared. However, since 2010</w:t>
      </w:r>
      <w:r>
        <w:t>,</w:t>
      </w:r>
      <w:r w:rsidRPr="00742974">
        <w:t xml:space="preserve"> changes to student income support arrangements have occurred. More details can be found at &lt;www.deewr.gov.au/HigherEducation/Programs/YouthAllowance/Pages/RSISROverview.aspx&gt;.</w:t>
      </w:r>
    </w:p>
  </w:footnote>
  <w:footnote w:id="8">
    <w:p w:rsidR="00FC1894" w:rsidRDefault="00FC1894">
      <w:pPr>
        <w:pStyle w:val="FootnoteText"/>
      </w:pPr>
      <w:r>
        <w:rPr>
          <w:rStyle w:val="FootnoteReference"/>
        </w:rPr>
        <w:footnoteRef/>
      </w:r>
      <w:r>
        <w:t xml:space="preserve"> </w:t>
      </w:r>
      <w:r>
        <w:tab/>
        <w:t>Refer to data sources and methods in the introduction for definitions of one- and two-year gappers.</w:t>
      </w:r>
    </w:p>
  </w:footnote>
  <w:footnote w:id="9">
    <w:p w:rsidR="00FC1894" w:rsidRDefault="00FC1894" w:rsidP="00A2463B">
      <w:pPr>
        <w:pStyle w:val="FootnoteText"/>
        <w:tabs>
          <w:tab w:val="clear" w:pos="1418"/>
          <w:tab w:val="left" w:pos="426"/>
        </w:tabs>
        <w:ind w:left="426" w:hanging="426"/>
      </w:pPr>
      <w:r>
        <w:rPr>
          <w:rStyle w:val="FootnoteReference"/>
        </w:rPr>
        <w:footnoteRef/>
      </w:r>
      <w:r w:rsidRPr="006840BE">
        <w:rPr>
          <w:vertAlign w:val="superscript"/>
        </w:rPr>
        <w:t>,</w:t>
      </w:r>
      <w:r>
        <w:rPr>
          <w:rStyle w:val="FootnoteReference"/>
        </w:rPr>
        <w:t>1</w:t>
      </w:r>
      <w:r w:rsidRPr="006840BE">
        <w:rPr>
          <w:vertAlign w:val="superscript"/>
        </w:rPr>
        <w:t>0</w:t>
      </w:r>
      <w:r>
        <w:rPr>
          <w:vertAlign w:val="superscript"/>
        </w:rPr>
        <w:tab/>
      </w:r>
      <w:r>
        <w:t>This was the income threshold needed to qualify as an independent student in 2007-08 rather than in 2002 (the year in which the gap was taken). The threshold in 2002 was lower ($15 444), meaning that the number of students who took a gap year and were eligible for the Youth Allowance may be higher than is estimated here.</w:t>
      </w:r>
    </w:p>
  </w:footnote>
  <w:footnote w:id="10">
    <w:p w:rsidR="00FC1894" w:rsidRDefault="00FC1894" w:rsidP="006840BE">
      <w:pPr>
        <w:pStyle w:val="FootnoteText"/>
        <w:ind w:left="0" w:firstLine="0"/>
      </w:pPr>
    </w:p>
  </w:footnote>
  <w:footnote w:id="11">
    <w:p w:rsidR="00FC1894" w:rsidRDefault="00FC1894">
      <w:pPr>
        <w:pStyle w:val="FootnoteText"/>
      </w:pPr>
      <w:r>
        <w:rPr>
          <w:rStyle w:val="FootnoteReference"/>
        </w:rPr>
        <w:footnoteRef/>
      </w:r>
      <w:r>
        <w:t xml:space="preserve"> See note for table 13.</w:t>
      </w:r>
    </w:p>
  </w:footnote>
  <w:footnote w:id="12">
    <w:p w:rsidR="00FC1894" w:rsidRDefault="00FC1894" w:rsidP="00200C9F">
      <w:pPr>
        <w:pStyle w:val="FootnoteText"/>
      </w:pPr>
      <w:r>
        <w:rPr>
          <w:rStyle w:val="FootnoteReference"/>
        </w:rPr>
        <w:footnoteRef/>
      </w:r>
      <w:r>
        <w:t xml:space="preserve"> </w:t>
      </w:r>
      <w:r>
        <w:tab/>
        <w:t>The numbers of cohort members studying is different from those shown in the previous section. There has been some sample attrition and we now consider any study, not just participation in or completion of the first course, which was the focus of the previous sections.</w:t>
      </w:r>
    </w:p>
  </w:footnote>
  <w:footnote w:id="13">
    <w:p w:rsidR="00FC1894" w:rsidRDefault="00FC1894" w:rsidP="00200C9F">
      <w:pPr>
        <w:pStyle w:val="FootnoteText"/>
      </w:pPr>
      <w:r>
        <w:rPr>
          <w:rStyle w:val="FootnoteReference"/>
        </w:rPr>
        <w:footnoteRef/>
      </w:r>
      <w:r>
        <w:t xml:space="preserve"> Reading achievement at Year 9 was excluded because of its colinearity with Year 9 mathematics achievement.</w:t>
      </w:r>
    </w:p>
  </w:footnote>
  <w:footnote w:id="14">
    <w:p w:rsidR="00FC1894" w:rsidRPr="00194C53" w:rsidRDefault="00FC1894" w:rsidP="00534339">
      <w:pPr>
        <w:pStyle w:val="FootnoteText"/>
        <w:rPr>
          <w:rStyle w:val="FootnoteReference"/>
        </w:rPr>
      </w:pPr>
      <w:r w:rsidRPr="006E50C0">
        <w:rPr>
          <w:rStyle w:val="FootnoteReference"/>
        </w:rPr>
        <w:footnoteRef/>
      </w:r>
      <w:r w:rsidRPr="00194C53">
        <w:rPr>
          <w:rStyle w:val="FootnoteReference"/>
        </w:rPr>
        <w:t xml:space="preserve"> </w:t>
      </w:r>
      <w:r>
        <w:tab/>
      </w:r>
      <w:r w:rsidRPr="00534339">
        <w:rPr>
          <w:rStyle w:val="FootnoteReference"/>
          <w:vertAlign w:val="baseline"/>
        </w:rPr>
        <w:t>The findings of outcomes at this age are not indicative of outcomes which could be expected once both groups have completed their transitions from study into the labour market</w:t>
      </w:r>
      <w:r>
        <w:t>.</w:t>
      </w:r>
    </w:p>
    <w:p w:rsidR="00FC1894" w:rsidRDefault="00FC1894">
      <w:pPr>
        <w:pStyle w:val="FootnoteText"/>
      </w:pPr>
    </w:p>
  </w:footnote>
  <w:footnote w:id="15">
    <w:p w:rsidR="00FC1894" w:rsidRDefault="00FC1894">
      <w:pPr>
        <w:pStyle w:val="FootnoteText"/>
      </w:pPr>
      <w:r>
        <w:rPr>
          <w:rStyle w:val="FootnoteReference"/>
        </w:rPr>
        <w:footnoteRef/>
      </w:r>
      <w:r>
        <w:t xml:space="preserve"> See note for table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94" w:rsidRPr="005E79FC" w:rsidRDefault="00FC18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894" w:rsidRDefault="00FC18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5BC2354"/>
    <w:multiLevelType w:val="hybridMultilevel"/>
    <w:tmpl w:val="E6E21D0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C055833"/>
    <w:multiLevelType w:val="hybridMultilevel"/>
    <w:tmpl w:val="B5DAFA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C623A6C"/>
    <w:multiLevelType w:val="hybridMultilevel"/>
    <w:tmpl w:val="1006F2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0803D0B"/>
    <w:multiLevelType w:val="hybridMultilevel"/>
    <w:tmpl w:val="10505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41808AC"/>
    <w:multiLevelType w:val="hybridMultilevel"/>
    <w:tmpl w:val="EFC6471E"/>
    <w:lvl w:ilvl="0" w:tplc="A5EAA17E">
      <w:start w:val="1"/>
      <w:numFmt w:val="bullet"/>
      <w:pStyle w:val="bullets"/>
      <w:lvlText w:val=""/>
      <w:lvlJc w:val="left"/>
      <w:pPr>
        <w:tabs>
          <w:tab w:val="num" w:pos="700"/>
        </w:tabs>
        <w:ind w:left="870" w:hanging="170"/>
      </w:pPr>
      <w:rPr>
        <w:rFonts w:ascii="Symbol" w:hAnsi="Symbol" w:hint="default"/>
        <w:b w:val="0"/>
        <w:i w:val="0"/>
        <w:sz w:val="20"/>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7"/>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8"/>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61085C"/>
    <w:rsid w:val="00001A43"/>
    <w:rsid w:val="000020E7"/>
    <w:rsid w:val="000108B2"/>
    <w:rsid w:val="00012B64"/>
    <w:rsid w:val="00013265"/>
    <w:rsid w:val="00013AF5"/>
    <w:rsid w:val="00022290"/>
    <w:rsid w:val="000315D7"/>
    <w:rsid w:val="00056610"/>
    <w:rsid w:val="0006125F"/>
    <w:rsid w:val="00074BD4"/>
    <w:rsid w:val="0008138D"/>
    <w:rsid w:val="00093AB9"/>
    <w:rsid w:val="000A0745"/>
    <w:rsid w:val="000F641C"/>
    <w:rsid w:val="00101785"/>
    <w:rsid w:val="0010714E"/>
    <w:rsid w:val="0010761A"/>
    <w:rsid w:val="00111F57"/>
    <w:rsid w:val="00123B5C"/>
    <w:rsid w:val="00135C75"/>
    <w:rsid w:val="00150874"/>
    <w:rsid w:val="001509F3"/>
    <w:rsid w:val="00155839"/>
    <w:rsid w:val="0016133C"/>
    <w:rsid w:val="00166EF6"/>
    <w:rsid w:val="00170452"/>
    <w:rsid w:val="00177827"/>
    <w:rsid w:val="001810E3"/>
    <w:rsid w:val="00184504"/>
    <w:rsid w:val="00191583"/>
    <w:rsid w:val="001B43CF"/>
    <w:rsid w:val="001F7D84"/>
    <w:rsid w:val="00200C9F"/>
    <w:rsid w:val="002162D6"/>
    <w:rsid w:val="002277A9"/>
    <w:rsid w:val="00233BFA"/>
    <w:rsid w:val="00236822"/>
    <w:rsid w:val="00252E1C"/>
    <w:rsid w:val="0026394E"/>
    <w:rsid w:val="0028137D"/>
    <w:rsid w:val="00284FCB"/>
    <w:rsid w:val="002C5091"/>
    <w:rsid w:val="002E196B"/>
    <w:rsid w:val="002E66CD"/>
    <w:rsid w:val="002E6BE2"/>
    <w:rsid w:val="00301248"/>
    <w:rsid w:val="003030ED"/>
    <w:rsid w:val="00304127"/>
    <w:rsid w:val="00315CB9"/>
    <w:rsid w:val="003168E4"/>
    <w:rsid w:val="003219C4"/>
    <w:rsid w:val="003241D2"/>
    <w:rsid w:val="00334CE3"/>
    <w:rsid w:val="00340B4D"/>
    <w:rsid w:val="00342A9F"/>
    <w:rsid w:val="003546FA"/>
    <w:rsid w:val="003560DB"/>
    <w:rsid w:val="00374F9E"/>
    <w:rsid w:val="00382D69"/>
    <w:rsid w:val="00397C94"/>
    <w:rsid w:val="003B16DA"/>
    <w:rsid w:val="003B483E"/>
    <w:rsid w:val="003D5EB0"/>
    <w:rsid w:val="003D6251"/>
    <w:rsid w:val="003D7E87"/>
    <w:rsid w:val="003E67CB"/>
    <w:rsid w:val="00430FD7"/>
    <w:rsid w:val="00473182"/>
    <w:rsid w:val="0048643A"/>
    <w:rsid w:val="0048663C"/>
    <w:rsid w:val="0049453B"/>
    <w:rsid w:val="00494E7C"/>
    <w:rsid w:val="004C0A3C"/>
    <w:rsid w:val="004C4063"/>
    <w:rsid w:val="004D4802"/>
    <w:rsid w:val="004E7227"/>
    <w:rsid w:val="00501948"/>
    <w:rsid w:val="00520315"/>
    <w:rsid w:val="0052276C"/>
    <w:rsid w:val="00534339"/>
    <w:rsid w:val="00541B94"/>
    <w:rsid w:val="0054533C"/>
    <w:rsid w:val="00546509"/>
    <w:rsid w:val="00546574"/>
    <w:rsid w:val="00570758"/>
    <w:rsid w:val="005A52D3"/>
    <w:rsid w:val="005C277E"/>
    <w:rsid w:val="005C61F8"/>
    <w:rsid w:val="005E4764"/>
    <w:rsid w:val="005F16CF"/>
    <w:rsid w:val="005F221C"/>
    <w:rsid w:val="0061085C"/>
    <w:rsid w:val="006426FA"/>
    <w:rsid w:val="00652973"/>
    <w:rsid w:val="006532BA"/>
    <w:rsid w:val="00656679"/>
    <w:rsid w:val="006664CB"/>
    <w:rsid w:val="0067712D"/>
    <w:rsid w:val="00682A97"/>
    <w:rsid w:val="006840BE"/>
    <w:rsid w:val="00696A48"/>
    <w:rsid w:val="006A1CE4"/>
    <w:rsid w:val="006C5DA9"/>
    <w:rsid w:val="006C609C"/>
    <w:rsid w:val="006D751E"/>
    <w:rsid w:val="007037A4"/>
    <w:rsid w:val="007208A9"/>
    <w:rsid w:val="00731EC8"/>
    <w:rsid w:val="00742974"/>
    <w:rsid w:val="00754C80"/>
    <w:rsid w:val="00767988"/>
    <w:rsid w:val="00783F44"/>
    <w:rsid w:val="00784F4E"/>
    <w:rsid w:val="00787494"/>
    <w:rsid w:val="00790B4A"/>
    <w:rsid w:val="007A2079"/>
    <w:rsid w:val="007B6C4A"/>
    <w:rsid w:val="007C3281"/>
    <w:rsid w:val="007C50A7"/>
    <w:rsid w:val="007C71AD"/>
    <w:rsid w:val="007C75D3"/>
    <w:rsid w:val="007D626A"/>
    <w:rsid w:val="007E2D8C"/>
    <w:rsid w:val="00800A2B"/>
    <w:rsid w:val="008056ED"/>
    <w:rsid w:val="00806C1C"/>
    <w:rsid w:val="00826757"/>
    <w:rsid w:val="00833EC2"/>
    <w:rsid w:val="00842044"/>
    <w:rsid w:val="0084604B"/>
    <w:rsid w:val="00851FD6"/>
    <w:rsid w:val="00852661"/>
    <w:rsid w:val="00856572"/>
    <w:rsid w:val="00874DA5"/>
    <w:rsid w:val="008863D9"/>
    <w:rsid w:val="008923B6"/>
    <w:rsid w:val="00894271"/>
    <w:rsid w:val="008B22E2"/>
    <w:rsid w:val="008B4B8A"/>
    <w:rsid w:val="008C0A74"/>
    <w:rsid w:val="008C2283"/>
    <w:rsid w:val="008D5A7E"/>
    <w:rsid w:val="008E7CC7"/>
    <w:rsid w:val="008F20BA"/>
    <w:rsid w:val="008F373B"/>
    <w:rsid w:val="009058B5"/>
    <w:rsid w:val="00922C43"/>
    <w:rsid w:val="00933317"/>
    <w:rsid w:val="00944730"/>
    <w:rsid w:val="009461ED"/>
    <w:rsid w:val="009538E6"/>
    <w:rsid w:val="009704E4"/>
    <w:rsid w:val="009775C7"/>
    <w:rsid w:val="009C22BE"/>
    <w:rsid w:val="009D6EB9"/>
    <w:rsid w:val="009E231A"/>
    <w:rsid w:val="009E2F64"/>
    <w:rsid w:val="00A10A6B"/>
    <w:rsid w:val="00A10E2B"/>
    <w:rsid w:val="00A2463B"/>
    <w:rsid w:val="00A30084"/>
    <w:rsid w:val="00A50895"/>
    <w:rsid w:val="00A52719"/>
    <w:rsid w:val="00A567A3"/>
    <w:rsid w:val="00A56A4A"/>
    <w:rsid w:val="00A73318"/>
    <w:rsid w:val="00A93867"/>
    <w:rsid w:val="00AA44D4"/>
    <w:rsid w:val="00AB667D"/>
    <w:rsid w:val="00AB7C9D"/>
    <w:rsid w:val="00AC688A"/>
    <w:rsid w:val="00AF0EA8"/>
    <w:rsid w:val="00AF1005"/>
    <w:rsid w:val="00AF5A17"/>
    <w:rsid w:val="00B05F5C"/>
    <w:rsid w:val="00B21581"/>
    <w:rsid w:val="00B41272"/>
    <w:rsid w:val="00B426FE"/>
    <w:rsid w:val="00B70A39"/>
    <w:rsid w:val="00B77043"/>
    <w:rsid w:val="00B86D06"/>
    <w:rsid w:val="00BB113D"/>
    <w:rsid w:val="00BC770A"/>
    <w:rsid w:val="00BC7C47"/>
    <w:rsid w:val="00BF690E"/>
    <w:rsid w:val="00C053D5"/>
    <w:rsid w:val="00C1383F"/>
    <w:rsid w:val="00C14A54"/>
    <w:rsid w:val="00C36087"/>
    <w:rsid w:val="00C37003"/>
    <w:rsid w:val="00C54125"/>
    <w:rsid w:val="00C63294"/>
    <w:rsid w:val="00C77DC6"/>
    <w:rsid w:val="00C801DA"/>
    <w:rsid w:val="00C82F31"/>
    <w:rsid w:val="00C850E2"/>
    <w:rsid w:val="00C925E9"/>
    <w:rsid w:val="00C926F0"/>
    <w:rsid w:val="00C9656D"/>
    <w:rsid w:val="00CA4AFC"/>
    <w:rsid w:val="00CD166E"/>
    <w:rsid w:val="00CD5F32"/>
    <w:rsid w:val="00CE1E2B"/>
    <w:rsid w:val="00CE5022"/>
    <w:rsid w:val="00CF3CED"/>
    <w:rsid w:val="00D02FAE"/>
    <w:rsid w:val="00D02FCB"/>
    <w:rsid w:val="00D43B5F"/>
    <w:rsid w:val="00D80657"/>
    <w:rsid w:val="00D806B0"/>
    <w:rsid w:val="00DA6878"/>
    <w:rsid w:val="00DB4061"/>
    <w:rsid w:val="00DB599C"/>
    <w:rsid w:val="00DC0339"/>
    <w:rsid w:val="00DC5F5C"/>
    <w:rsid w:val="00DE2C71"/>
    <w:rsid w:val="00DF2BD0"/>
    <w:rsid w:val="00E03CC1"/>
    <w:rsid w:val="00E06B95"/>
    <w:rsid w:val="00E123CB"/>
    <w:rsid w:val="00E14FA9"/>
    <w:rsid w:val="00E236D0"/>
    <w:rsid w:val="00E365F8"/>
    <w:rsid w:val="00E45A10"/>
    <w:rsid w:val="00E52313"/>
    <w:rsid w:val="00E56EC1"/>
    <w:rsid w:val="00E57478"/>
    <w:rsid w:val="00E57FCD"/>
    <w:rsid w:val="00E81A91"/>
    <w:rsid w:val="00E81BB0"/>
    <w:rsid w:val="00E94F7E"/>
    <w:rsid w:val="00E95812"/>
    <w:rsid w:val="00E95948"/>
    <w:rsid w:val="00EC0CAE"/>
    <w:rsid w:val="00EC29E3"/>
    <w:rsid w:val="00EC3B91"/>
    <w:rsid w:val="00ED24F6"/>
    <w:rsid w:val="00ED4D6D"/>
    <w:rsid w:val="00ED5DD0"/>
    <w:rsid w:val="00EE42D9"/>
    <w:rsid w:val="00EE67B3"/>
    <w:rsid w:val="00EF151D"/>
    <w:rsid w:val="00F21109"/>
    <w:rsid w:val="00F60BA5"/>
    <w:rsid w:val="00F64D97"/>
    <w:rsid w:val="00F8576A"/>
    <w:rsid w:val="00F8762F"/>
    <w:rsid w:val="00F93048"/>
    <w:rsid w:val="00FA79F7"/>
    <w:rsid w:val="00FB35CA"/>
    <w:rsid w:val="00FC1894"/>
    <w:rsid w:val="00FE3F74"/>
    <w:rsid w:val="00FE4A2D"/>
    <w:rsid w:val="00FF41C9"/>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footnote text" w:uiPriority="0" w:unhideWhenUsed="1"/>
    <w:lsdException w:name="annotation text" w:uiPriority="0"/>
    <w:lsdException w:name="header" w:uiPriority="0" w:unhideWhenUsed="1"/>
    <w:lsdException w:name="footer" w:unhideWhenUsed="1"/>
    <w:lsdException w:name="caption" w:uiPriority="35" w:qFormat="1"/>
    <w:lsdException w:name="table of figures" w:unhideWhenUsed="1"/>
    <w:lsdException w:name="footnote reference" w:uiPriority="0"/>
    <w:lsdException w:name="annotation reference" w:uiPriority="0"/>
    <w:lsdException w:name="page number" w:unhideWhenUsed="1"/>
    <w:lsdException w:name="endnote reference" w:uiPriority="0"/>
    <w:lsdException w:name="endnote text" w:uiPriority="0"/>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0" w:qFormat="1"/>
    <w:lsdException w:name="Document Map" w:uiPriority="0"/>
    <w:lsdException w:name="HTML Top of Form" w:unhideWhenUsed="1"/>
    <w:lsdException w:name="HTML Bottom of Form" w:unhideWhenUsed="1"/>
    <w:lsdException w:name="Normal (Web)" w:unhideWhenUsed="1"/>
    <w:lsdException w:name="Normal Table" w:unhideWhenUsed="1"/>
    <w:lsdException w:name="annotation subject" w:uiPriority="0"/>
    <w:lsdException w:name="No List" w:uiPriority="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iPriority="0" w:unhideWhenUsed="1"/>
    <w:lsdException w:name="Table Classic 2" w:uiPriority="0"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534339"/>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styleId="PageNumber">
    <w:name w:val="page number"/>
    <w:basedOn w:val="DefaultParagraphFont"/>
    <w:uiPriority w:val="99"/>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1"/>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
      </w:numPr>
      <w:tabs>
        <w:tab w:val="clear" w:pos="284"/>
        <w:tab w:val="left" w:pos="567"/>
      </w:tabs>
      <w:ind w:left="568" w:hanging="284"/>
    </w:pPr>
  </w:style>
  <w:style w:type="paragraph" w:customStyle="1" w:styleId="NumberedListContinuing">
    <w:name w:val="NumberedListContinuing"/>
    <w:rsid w:val="00520315"/>
    <w:pPr>
      <w:numPr>
        <w:numId w:val="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7037A4"/>
    <w:rPr>
      <w:rFonts w:ascii="Tahoma" w:hAnsi="Tahoma" w:cs="Tahoma"/>
      <w:sz w:val="16"/>
      <w:szCs w:val="16"/>
      <w:lang w:val="en-AU"/>
    </w:rPr>
  </w:style>
  <w:style w:type="table" w:styleId="TableGrid">
    <w:name w:val="Table Grid"/>
    <w:basedOn w:val="TableNormal"/>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aliases w:val="FrontPage"/>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aliases w:val="FrontPage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styleId="TOC5">
    <w:name w:val="toc 5"/>
    <w:basedOn w:val="Normal"/>
    <w:next w:val="Normal"/>
    <w:autoRedefine/>
    <w:semiHidden/>
    <w:rsid w:val="00C925E9"/>
    <w:pPr>
      <w:spacing w:before="200" w:line="240" w:lineRule="auto"/>
      <w:ind w:left="880"/>
    </w:pPr>
    <w:rPr>
      <w:rFonts w:ascii="Times New Roman" w:hAnsi="Times New Roman"/>
      <w:sz w:val="24"/>
      <w:lang w:eastAsia="en-AU"/>
    </w:rPr>
  </w:style>
  <w:style w:type="paragraph" w:styleId="TOC6">
    <w:name w:val="toc 6"/>
    <w:basedOn w:val="Normal"/>
    <w:next w:val="Normal"/>
    <w:autoRedefine/>
    <w:semiHidden/>
    <w:rsid w:val="00C925E9"/>
    <w:pPr>
      <w:spacing w:before="200" w:line="240" w:lineRule="auto"/>
      <w:ind w:left="1100"/>
    </w:pPr>
    <w:rPr>
      <w:rFonts w:ascii="Times New Roman" w:hAnsi="Times New Roman"/>
      <w:sz w:val="24"/>
      <w:lang w:eastAsia="en-AU"/>
    </w:rPr>
  </w:style>
  <w:style w:type="paragraph" w:styleId="TOC7">
    <w:name w:val="toc 7"/>
    <w:basedOn w:val="Normal"/>
    <w:next w:val="Normal"/>
    <w:autoRedefine/>
    <w:semiHidden/>
    <w:rsid w:val="00C925E9"/>
    <w:pPr>
      <w:spacing w:before="200" w:line="240" w:lineRule="auto"/>
      <w:ind w:left="1320"/>
    </w:pPr>
    <w:rPr>
      <w:rFonts w:ascii="Times New Roman" w:hAnsi="Times New Roman"/>
      <w:sz w:val="24"/>
      <w:lang w:eastAsia="en-AU"/>
    </w:rPr>
  </w:style>
  <w:style w:type="paragraph" w:styleId="TOC8">
    <w:name w:val="toc 8"/>
    <w:basedOn w:val="Normal"/>
    <w:next w:val="Normal"/>
    <w:autoRedefine/>
    <w:semiHidden/>
    <w:rsid w:val="00C925E9"/>
    <w:pPr>
      <w:spacing w:before="200" w:line="240" w:lineRule="auto"/>
      <w:ind w:left="1540"/>
    </w:pPr>
    <w:rPr>
      <w:rFonts w:ascii="Times New Roman" w:hAnsi="Times New Roman"/>
      <w:sz w:val="24"/>
      <w:lang w:eastAsia="en-AU"/>
    </w:rPr>
  </w:style>
  <w:style w:type="paragraph" w:styleId="TOC9">
    <w:name w:val="toc 9"/>
    <w:basedOn w:val="Normal"/>
    <w:next w:val="Normal"/>
    <w:autoRedefine/>
    <w:semiHidden/>
    <w:rsid w:val="00C925E9"/>
    <w:pPr>
      <w:spacing w:before="200" w:line="240" w:lineRule="auto"/>
      <w:ind w:left="1760"/>
    </w:pPr>
    <w:rPr>
      <w:rFonts w:ascii="Times New Roman" w:hAnsi="Times New Roman"/>
      <w:sz w:val="24"/>
      <w:lang w:eastAsia="en-AU"/>
    </w:rPr>
  </w:style>
  <w:style w:type="paragraph" w:customStyle="1" w:styleId="contents0">
    <w:name w:val="contents"/>
    <w:rsid w:val="00C925E9"/>
    <w:pPr>
      <w:pBdr>
        <w:bottom w:val="single" w:sz="4" w:space="1" w:color="auto"/>
      </w:pBdr>
      <w:spacing w:before="440"/>
      <w:jc w:val="right"/>
    </w:pPr>
    <w:rPr>
      <w:rFonts w:ascii="Garamond" w:hAnsi="Garamond"/>
      <w:kern w:val="28"/>
      <w:sz w:val="60"/>
      <w:lang w:val="en-AU" w:eastAsia="en-AU"/>
    </w:rPr>
  </w:style>
  <w:style w:type="character" w:styleId="FootnoteReference">
    <w:name w:val="footnote reference"/>
    <w:basedOn w:val="DefaultParagraphFont"/>
    <w:semiHidden/>
    <w:rsid w:val="00C925E9"/>
    <w:rPr>
      <w:vertAlign w:val="superscript"/>
    </w:rPr>
  </w:style>
  <w:style w:type="character" w:styleId="CommentReference">
    <w:name w:val="annotation reference"/>
    <w:basedOn w:val="DefaultParagraphFont"/>
    <w:rsid w:val="00C925E9"/>
    <w:rPr>
      <w:sz w:val="16"/>
      <w:szCs w:val="16"/>
    </w:rPr>
  </w:style>
  <w:style w:type="paragraph" w:styleId="CommentText">
    <w:name w:val="annotation text"/>
    <w:basedOn w:val="Normal"/>
    <w:link w:val="CommentTextChar"/>
    <w:rsid w:val="00C925E9"/>
    <w:pPr>
      <w:spacing w:before="200" w:line="240" w:lineRule="auto"/>
    </w:pPr>
    <w:rPr>
      <w:rFonts w:ascii="Times New Roman" w:hAnsi="Times New Roman"/>
      <w:sz w:val="20"/>
      <w:lang w:eastAsia="en-AU"/>
    </w:rPr>
  </w:style>
  <w:style w:type="character" w:customStyle="1" w:styleId="CommentTextChar">
    <w:name w:val="Comment Text Char"/>
    <w:basedOn w:val="DefaultParagraphFont"/>
    <w:link w:val="CommentText"/>
    <w:rsid w:val="00C925E9"/>
    <w:rPr>
      <w:lang w:val="en-AU" w:eastAsia="en-AU"/>
    </w:rPr>
  </w:style>
  <w:style w:type="paragraph" w:styleId="CommentSubject">
    <w:name w:val="annotation subject"/>
    <w:basedOn w:val="CommentText"/>
    <w:next w:val="CommentText"/>
    <w:link w:val="CommentSubjectChar"/>
    <w:rsid w:val="00C925E9"/>
    <w:rPr>
      <w:b/>
      <w:bCs/>
    </w:rPr>
  </w:style>
  <w:style w:type="character" w:customStyle="1" w:styleId="CommentSubjectChar">
    <w:name w:val="Comment Subject Char"/>
    <w:basedOn w:val="CommentTextChar"/>
    <w:link w:val="CommentSubject"/>
    <w:rsid w:val="00C925E9"/>
    <w:rPr>
      <w:b/>
      <w:bCs/>
    </w:rPr>
  </w:style>
  <w:style w:type="paragraph" w:customStyle="1" w:styleId="Style1">
    <w:name w:val="Style1"/>
    <w:basedOn w:val="Normal"/>
    <w:rsid w:val="00C925E9"/>
    <w:pPr>
      <w:spacing w:before="0" w:line="240" w:lineRule="auto"/>
    </w:pPr>
    <w:rPr>
      <w:rFonts w:ascii="Times New Roman" w:hAnsi="Times New Roman"/>
      <w:snapToGrid w:val="0"/>
      <w:sz w:val="24"/>
    </w:rPr>
  </w:style>
  <w:style w:type="character" w:styleId="Emphasis">
    <w:name w:val="Emphasis"/>
    <w:basedOn w:val="DefaultParagraphFont"/>
    <w:qFormat/>
    <w:rsid w:val="00C925E9"/>
    <w:rPr>
      <w:b/>
      <w:bCs/>
      <w:i w:val="0"/>
      <w:iCs w:val="0"/>
      <w:shd w:val="clear" w:color="auto" w:fill="auto"/>
    </w:rPr>
  </w:style>
  <w:style w:type="paragraph" w:styleId="EndnoteText">
    <w:name w:val="endnote text"/>
    <w:basedOn w:val="Normal"/>
    <w:link w:val="EndnoteTextChar"/>
    <w:rsid w:val="00C925E9"/>
    <w:pPr>
      <w:spacing w:before="200" w:line="240" w:lineRule="auto"/>
    </w:pPr>
    <w:rPr>
      <w:rFonts w:ascii="Times New Roman" w:hAnsi="Times New Roman"/>
      <w:sz w:val="20"/>
      <w:lang w:eastAsia="en-AU"/>
    </w:rPr>
  </w:style>
  <w:style w:type="character" w:customStyle="1" w:styleId="EndnoteTextChar">
    <w:name w:val="Endnote Text Char"/>
    <w:basedOn w:val="DefaultParagraphFont"/>
    <w:link w:val="EndnoteText"/>
    <w:rsid w:val="00C925E9"/>
    <w:rPr>
      <w:lang w:val="en-AU" w:eastAsia="en-AU"/>
    </w:rPr>
  </w:style>
  <w:style w:type="character" w:styleId="EndnoteReference">
    <w:name w:val="endnote reference"/>
    <w:basedOn w:val="DefaultParagraphFont"/>
    <w:rsid w:val="00C925E9"/>
    <w:rPr>
      <w:vertAlign w:val="superscript"/>
    </w:rPr>
  </w:style>
  <w:style w:type="table" w:styleId="TableClassic1">
    <w:name w:val="Table Classic 1"/>
    <w:basedOn w:val="TableNormal"/>
    <w:rsid w:val="00C925E9"/>
    <w:pPr>
      <w:spacing w:before="200"/>
    </w:pPr>
    <w:rPr>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925E9"/>
    <w:pPr>
      <w:spacing w:before="200"/>
    </w:pPr>
    <w:rPr>
      <w:lang w:val="en-AU"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locked/>
    <w:rsid w:val="00C925E9"/>
    <w:rPr>
      <w:rFonts w:ascii="Tahoma" w:hAnsi="Tahoma"/>
      <w:sz w:val="17"/>
      <w:szCs w:val="17"/>
      <w:lang w:val="en-AU"/>
    </w:rPr>
  </w:style>
  <w:style w:type="paragraph" w:customStyle="1" w:styleId="Aboutresearch">
    <w:name w:val="About research"/>
    <w:basedOn w:val="Normal"/>
    <w:uiPriority w:val="99"/>
    <w:rsid w:val="00C925E9"/>
    <w:pPr>
      <w:pBdr>
        <w:bottom w:val="single" w:sz="4" w:space="1" w:color="auto"/>
      </w:pBdr>
      <w:spacing w:before="0" w:line="240" w:lineRule="auto"/>
      <w:jc w:val="right"/>
    </w:pPr>
    <w:rPr>
      <w:rFonts w:ascii="Garamond" w:hAnsi="Garamond"/>
      <w:kern w:val="28"/>
      <w:sz w:val="60"/>
      <w:lang w:eastAsia="en-AU"/>
    </w:rPr>
  </w:style>
  <w:style w:type="paragraph" w:customStyle="1" w:styleId="body">
    <w:name w:val="body"/>
    <w:basedOn w:val="Normal"/>
    <w:link w:val="bodyChar"/>
    <w:rsid w:val="00C925E9"/>
    <w:pPr>
      <w:suppressAutoHyphens/>
      <w:autoSpaceDE w:val="0"/>
      <w:autoSpaceDN w:val="0"/>
      <w:adjustRightInd w:val="0"/>
      <w:spacing w:before="120" w:after="240" w:line="264" w:lineRule="auto"/>
      <w:textAlignment w:val="center"/>
    </w:pPr>
    <w:rPr>
      <w:rFonts w:ascii="Helvetica" w:hAnsi="Helvetica" w:cs="Swis721 BT"/>
      <w:color w:val="000000"/>
      <w:sz w:val="24"/>
      <w:szCs w:val="24"/>
      <w:lang w:val="en-US" w:eastAsia="en-AU"/>
    </w:rPr>
  </w:style>
  <w:style w:type="paragraph" w:customStyle="1" w:styleId="bullets">
    <w:name w:val="bullets"/>
    <w:basedOn w:val="Normal"/>
    <w:rsid w:val="00C925E9"/>
    <w:pPr>
      <w:numPr>
        <w:numId w:val="7"/>
      </w:numPr>
      <w:tabs>
        <w:tab w:val="clear" w:pos="700"/>
        <w:tab w:val="left" w:pos="360"/>
      </w:tabs>
      <w:suppressAutoHyphens/>
      <w:autoSpaceDE w:val="0"/>
      <w:autoSpaceDN w:val="0"/>
      <w:adjustRightInd w:val="0"/>
      <w:spacing w:before="0" w:after="57" w:line="288" w:lineRule="auto"/>
      <w:ind w:left="720" w:hanging="360"/>
      <w:textAlignment w:val="center"/>
    </w:pPr>
    <w:rPr>
      <w:rFonts w:ascii="Helvetica" w:hAnsi="Helvetica" w:cs="Swis721 BT"/>
      <w:color w:val="000000"/>
      <w:sz w:val="24"/>
      <w:szCs w:val="24"/>
      <w:lang w:val="en-US" w:eastAsia="en-AU"/>
    </w:rPr>
  </w:style>
  <w:style w:type="paragraph" w:customStyle="1" w:styleId="HeadingOne">
    <w:name w:val="Heading One"/>
    <w:basedOn w:val="Normal"/>
    <w:rsid w:val="00C925E9"/>
    <w:pPr>
      <w:suppressAutoHyphens/>
      <w:autoSpaceDE w:val="0"/>
      <w:autoSpaceDN w:val="0"/>
      <w:adjustRightInd w:val="0"/>
      <w:spacing w:before="540" w:after="283" w:line="360" w:lineRule="atLeast"/>
      <w:textAlignment w:val="center"/>
    </w:pPr>
    <w:rPr>
      <w:rFonts w:ascii="Helvetica" w:hAnsi="Helvetica" w:cs="Swis721 Md BT"/>
      <w:b/>
      <w:caps/>
      <w:color w:val="0398C3"/>
      <w:spacing w:val="-10"/>
      <w:sz w:val="32"/>
      <w:szCs w:val="32"/>
      <w:lang w:val="en-US" w:eastAsia="en-AU"/>
    </w:rPr>
  </w:style>
  <w:style w:type="character" w:customStyle="1" w:styleId="bodyChar">
    <w:name w:val="body Char"/>
    <w:basedOn w:val="DefaultParagraphFont"/>
    <w:link w:val="body"/>
    <w:locked/>
    <w:rsid w:val="00C925E9"/>
    <w:rPr>
      <w:rFonts w:ascii="Helvetica" w:hAnsi="Helvetica" w:cs="Swis721 BT"/>
      <w:color w:val="000000"/>
      <w:sz w:val="24"/>
      <w:szCs w:val="24"/>
      <w:lang w:eastAsia="en-AU"/>
    </w:rPr>
  </w:style>
  <w:style w:type="paragraph" w:customStyle="1" w:styleId="bulletlist">
    <w:name w:val="bullet list"/>
    <w:basedOn w:val="bullets"/>
    <w:rsid w:val="00C925E9"/>
    <w:pPr>
      <w:tabs>
        <w:tab w:val="num" w:pos="700"/>
      </w:tabs>
      <w:spacing w:after="160"/>
      <w:ind w:left="870" w:hanging="170"/>
    </w:pPr>
  </w:style>
  <w:style w:type="paragraph" w:styleId="DocumentMap">
    <w:name w:val="Document Map"/>
    <w:basedOn w:val="Normal"/>
    <w:link w:val="DocumentMapChar"/>
    <w:semiHidden/>
    <w:rsid w:val="00C925E9"/>
    <w:pPr>
      <w:shd w:val="clear" w:color="auto" w:fill="000080"/>
      <w:spacing w:before="200" w:line="240" w:lineRule="auto"/>
    </w:pPr>
    <w:rPr>
      <w:rFonts w:ascii="Tahoma" w:hAnsi="Tahoma" w:cs="Tahoma"/>
      <w:sz w:val="20"/>
      <w:lang w:eastAsia="en-AU"/>
    </w:rPr>
  </w:style>
  <w:style w:type="character" w:customStyle="1" w:styleId="DocumentMapChar">
    <w:name w:val="Document Map Char"/>
    <w:basedOn w:val="DefaultParagraphFont"/>
    <w:link w:val="DocumentMap"/>
    <w:semiHidden/>
    <w:rsid w:val="00C925E9"/>
    <w:rPr>
      <w:rFonts w:ascii="Tahoma" w:hAnsi="Tahoma" w:cs="Tahoma"/>
      <w:shd w:val="clear" w:color="auto" w:fill="000080"/>
      <w:lang w:val="en-AU" w:eastAsia="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apyearresearch.org/heathworkingpaper.pdf"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4D43-45D0-4E38-A56C-3D2BB751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18032</Words>
  <Characters>102785</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120576</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kayemcadam</dc:creator>
  <cp:keywords/>
  <dc:description/>
  <cp:lastModifiedBy>julianneTreloar</cp:lastModifiedBy>
  <cp:revision>2</cp:revision>
  <cp:lastPrinted>2012-04-23T00:07:00Z</cp:lastPrinted>
  <dcterms:created xsi:type="dcterms:W3CDTF">2012-05-30T23:00:00Z</dcterms:created>
  <dcterms:modified xsi:type="dcterms:W3CDTF">2012-05-30T23:00:00Z</dcterms:modified>
</cp:coreProperties>
</file>