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77827" w:rsidP="00177827">
      <w:pPr>
        <w:pStyle w:val="PublicationTitle"/>
        <w:spacing w:before="0"/>
      </w:pPr>
      <w:bookmarkStart w:id="0" w:name="_Toc296423677"/>
      <w:bookmarkStart w:id="1" w:name="_Toc296497508"/>
    </w:p>
    <w:p w:rsidR="00177827" w:rsidRDefault="00177827" w:rsidP="00177827">
      <w:pPr>
        <w:pStyle w:val="PublicationTitle"/>
        <w:spacing w:before="0"/>
      </w:pPr>
    </w:p>
    <w:p w:rsidR="009E231A" w:rsidRPr="005C2FCF" w:rsidRDefault="00177827" w:rsidP="00177827">
      <w:pPr>
        <w:pStyle w:val="PublicationTitle"/>
        <w:spacing w:before="0"/>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bookmarkEnd w:id="0"/>
      <w:bookmarkEnd w:id="1"/>
      <w:r w:rsidR="00CC04B7">
        <w:t>Understanding and improving labour mobility: a scoping paper</w:t>
      </w:r>
    </w:p>
    <w:p w:rsidR="00177827" w:rsidRDefault="00CC04B7" w:rsidP="00177827">
      <w:pPr>
        <w:pStyle w:val="Authors"/>
      </w:pPr>
      <w:bookmarkStart w:id="3" w:name="_Toc296423678"/>
      <w:bookmarkStart w:id="4" w:name="_Toc296497509"/>
      <w:r>
        <w:t>John Buchanan</w:t>
      </w:r>
      <w:r>
        <w:br/>
        <w:t>Susanna Baldwin</w:t>
      </w:r>
      <w:r>
        <w:br/>
        <w:t>Sally Wright</w:t>
      </w:r>
    </w:p>
    <w:bookmarkEnd w:id="3"/>
    <w:bookmarkEnd w:id="4"/>
    <w:p w:rsidR="009E231A" w:rsidRDefault="00CC04B7" w:rsidP="00177827">
      <w:pPr>
        <w:pStyle w:val="Organisation"/>
      </w:pPr>
      <w:r>
        <w:t>Workplace Research Centre, University of Sydney Business School</w:t>
      </w:r>
    </w:p>
    <w:p w:rsidR="000315D7" w:rsidRDefault="000315D7" w:rsidP="00177827">
      <w:pPr>
        <w:pStyle w:val="Organisation"/>
      </w:pPr>
    </w:p>
    <w:p w:rsidR="006C5DA9" w:rsidRPr="006C5DA9" w:rsidRDefault="006C5DA9"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DB599C" w:rsidRDefault="00DB599C" w:rsidP="0048643A">
      <w:pPr>
        <w:pStyle w:val="Text"/>
      </w:pPr>
    </w:p>
    <w:p w:rsidR="00DB599C" w:rsidRDefault="00782085" w:rsidP="0048643A">
      <w:pPr>
        <w:pStyle w:val="Text"/>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94.65pt;height:83pt;z-index:251660288;mso-position-vertical-relative:margin" filled="f" stroked="f">
            <v:textbox style="mso-next-textbox:#_x0000_s1036">
              <w:txbxContent>
                <w:p w:rsidR="00E70A37" w:rsidRDefault="00DE11E0" w:rsidP="00CC04B7">
                  <w:pPr>
                    <w:pStyle w:val="Heading3"/>
                  </w:pPr>
                  <w:r w:rsidRPr="003716FE">
                    <w:t>NATIONAL VOCATIONAL EDUCATION AND TRAINING RESEARCH AND EVALUATION PROGRAM</w:t>
                  </w:r>
                </w:p>
                <w:p w:rsidR="00DE11E0" w:rsidRPr="003716FE" w:rsidRDefault="00DE11E0" w:rsidP="00E70A37">
                  <w:pPr>
                    <w:pStyle w:val="Heading3"/>
                    <w:spacing w:before="80"/>
                  </w:pPr>
                  <w:r w:rsidRPr="003716FE">
                    <w:rPr>
                      <w:b/>
                    </w:rPr>
                    <w:t>OCCASIONAL PAPER</w:t>
                  </w:r>
                </w:p>
                <w:p w:rsidR="00DE11E0" w:rsidRDefault="00DE11E0" w:rsidP="009E2F64">
                  <w:pPr>
                    <w:pStyle w:val="Heading3"/>
                  </w:pPr>
                </w:p>
              </w:txbxContent>
            </v:textbox>
            <w10:wrap anchory="margin"/>
          </v:shape>
        </w:pict>
      </w:r>
    </w:p>
    <w:p w:rsidR="00DB599C" w:rsidRDefault="00782085" w:rsidP="0006125F">
      <w:pPr>
        <w:pStyle w:val="Heading3"/>
        <w:ind w:right="-1"/>
      </w:pP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DE11E0" w:rsidRDefault="00DE11E0"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DE11E0" w:rsidRPr="005C2FCF" w:rsidRDefault="00DE11E0" w:rsidP="006C5DA9">
                  <w:pPr>
                    <w:pStyle w:val="Imprint"/>
                    <w:spacing w:before="120"/>
                    <w:ind w:left="142" w:right="10"/>
                    <w:rPr>
                      <w:color w:val="000000"/>
                    </w:rPr>
                  </w:pPr>
                  <w:r w:rsidRPr="005C2FCF">
                    <w:rPr>
                      <w:color w:val="000000"/>
                    </w:rPr>
                    <w:t>Any interpretation of data is the responsibility of the author/project team.</w:t>
                  </w:r>
                </w:p>
                <w:p w:rsidR="00DE11E0" w:rsidRDefault="00DE11E0" w:rsidP="00DB599C">
                  <w:pPr>
                    <w:ind w:left="284" w:right="294"/>
                  </w:pPr>
                </w:p>
              </w:txbxContent>
            </v:textbox>
            <w10:wrap anchory="margin"/>
          </v:shape>
        </w:pict>
      </w:r>
      <w:r w:rsidR="00DB599C">
        <w:softHyphen/>
      </w:r>
    </w:p>
    <w:p w:rsidR="00233BFA" w:rsidRPr="00E236D0" w:rsidRDefault="00FE4A2D" w:rsidP="00CC04B7">
      <w:pPr>
        <w:pStyle w:val="Heading3"/>
        <w:ind w:right="-1"/>
        <w:rPr>
          <w:b/>
          <w:sz w:val="19"/>
          <w:szCs w:val="19"/>
        </w:rPr>
      </w:pPr>
      <w:r w:rsidRPr="005C2FCF">
        <w:br w:type="page"/>
      </w:r>
    </w:p>
    <w:p w:rsidR="009E231A" w:rsidRPr="00C77DC6" w:rsidRDefault="00782085" w:rsidP="0049453B">
      <w:pPr>
        <w:pStyle w:val="Abouttheresearch"/>
      </w:pPr>
      <w:r>
        <w:lastRenderedPageBreak/>
        <w:pict>
          <v:shape id="_x0000_s1038" type="#_x0000_t202" style="position:absolute;margin-left:0;margin-top:153.15pt;width:344pt;height:522.9pt;z-index:251661312;v-text-anchor:bottom" filled="f" stroked="f">
            <v:textbox style="mso-next-textbox:#_x0000_s1038" inset="0,,0">
              <w:txbxContent>
                <w:p w:rsidR="005E1C1C" w:rsidRPr="005E1C1C" w:rsidRDefault="005E1C1C" w:rsidP="005E1C1C">
                  <w:pPr>
                    <w:pStyle w:val="Imprint"/>
                    <w:rPr>
                      <w:b/>
                    </w:rPr>
                  </w:pPr>
                  <w:r w:rsidRPr="005E1C1C">
                    <w:rPr>
                      <w:b/>
                    </w:rPr>
                    <w:t>© Commonwealth of Australia, 2011</w:t>
                  </w:r>
                </w:p>
                <w:p w:rsidR="00357396" w:rsidRDefault="005E1C1C" w:rsidP="00357396">
                  <w:pPr>
                    <w:pStyle w:val="Imprint"/>
                    <w:rPr>
                      <w:sz w:val="20"/>
                    </w:rPr>
                  </w:pPr>
                  <w:r w:rsidRPr="00C66E90">
                    <w:rPr>
                      <w:noProof/>
                      <w:sz w:val="20"/>
                      <w:lang w:eastAsia="en-AU"/>
                    </w:rPr>
                    <w:drawing>
                      <wp:inline distT="0" distB="0" distL="0" distR="0">
                        <wp:extent cx="838200" cy="295275"/>
                        <wp:effectExtent l="19050" t="0" r="0" b="0"/>
                        <wp:docPr id="3"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9"/>
                                </pic:cNvPr>
                                <pic:cNvPicPr>
                                  <a:picLocks noChangeAspect="1" noChangeArrowheads="1"/>
                                </pic:cNvPicPr>
                              </pic:nvPicPr>
                              <pic:blipFill>
                                <a:blip r:embed="rId10"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357396" w:rsidRPr="00357396" w:rsidRDefault="00357396" w:rsidP="00357396">
                  <w:pPr>
                    <w:pStyle w:val="Imprint"/>
                  </w:pPr>
                  <w:r w:rsidRPr="00C66E90">
                    <w:t xml:space="preserve">With the exception of the Commonwealth Coat of Arms, the Department’s logo, any material protected by a trade mark and where otherwise noted all material presented in this </w:t>
                  </w:r>
                  <w:r w:rsidRPr="00357396">
                    <w:t xml:space="preserve">document is provided under a Creative Commons Attribution 3.0 Australia &lt;http://creativecommons.org/licenses/by/3.0/au&gt; licence. </w:t>
                  </w:r>
                </w:p>
                <w:p w:rsidR="00357396" w:rsidRPr="00357396" w:rsidRDefault="00357396" w:rsidP="00357396">
                  <w:pPr>
                    <w:pStyle w:val="Imprint"/>
                    <w:spacing w:before="80"/>
                  </w:pPr>
                  <w:r w:rsidRPr="00357396">
                    <w:t>The details of the relevant licence conditions are available on the Creative Commons website (accessible using the links provided) as is the full legal code for the CC BY 3.0 AU licence &lt;http://creativecommons.org/licenses/by/3.0/legalcode&gt;.</w:t>
                  </w:r>
                </w:p>
                <w:p w:rsidR="00357396" w:rsidRPr="00357396" w:rsidRDefault="00357396" w:rsidP="00357396">
                  <w:pPr>
                    <w:pStyle w:val="Imprint"/>
                    <w:spacing w:before="80"/>
                  </w:pPr>
                  <w:r w:rsidRPr="00357396">
                    <w:t>The Creative Commons licence conditions do not apply to all logos, graphic design, artwork and photographs. Requests and enquiries concerning other reproduction and rights should be directed to the National Centre for Vocational Education Research (NCVER).</w:t>
                  </w:r>
                </w:p>
                <w:p w:rsidR="00357396" w:rsidRPr="00357396" w:rsidRDefault="00357396" w:rsidP="00357396">
                  <w:pPr>
                    <w:pStyle w:val="Imprint"/>
                    <w:spacing w:before="80"/>
                  </w:pPr>
                  <w:r w:rsidRPr="00357396">
                    <w:t xml:space="preserve">This document should be attributed as </w:t>
                  </w:r>
                  <w:r>
                    <w:t xml:space="preserve">Buchanan, J, Baldwin, S &amp; Wright, S 2011, </w:t>
                  </w:r>
                  <w:r>
                    <w:rPr>
                      <w:i/>
                    </w:rPr>
                    <w:t>Understanding and improving labour mobility: a scoping paper</w:t>
                  </w:r>
                  <w:r w:rsidRPr="00357396">
                    <w:t>, NCVER.</w:t>
                  </w:r>
                </w:p>
                <w:p w:rsidR="00357396" w:rsidRPr="00357396" w:rsidRDefault="00357396" w:rsidP="00357396">
                  <w:pPr>
                    <w:pStyle w:val="Imprint"/>
                    <w:spacing w:before="80"/>
                  </w:pPr>
                  <w:r w:rsidRPr="00357396">
                    <w:t xml:space="preserve">This work has been produced by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w:t>
                  </w:r>
                </w:p>
                <w:p w:rsidR="00357396" w:rsidRPr="003716FE" w:rsidRDefault="00357396" w:rsidP="00357396">
                  <w:pPr>
                    <w:pStyle w:val="Imprint"/>
                    <w:spacing w:before="80"/>
                  </w:pPr>
                  <w:r w:rsidRPr="00357396">
                    <w:t>The NVETRE program is based upon priorities approved by ministers with responsibility for vocational education and training (VET). This research aims to improve policy and practice in the VET sector. For further information about the program go to the NCVER website &lt;http://www.ncver.edu.au&gt;.</w:t>
                  </w:r>
                  <w:r w:rsidRPr="003716FE">
                    <w:t xml:space="preserve"> The author/project team was funded to undertake this research via a grant under the NVETRE program. These grants are awarded to organisations through a competitive process, in which NCVER does not participate. </w:t>
                  </w:r>
                </w:p>
                <w:p w:rsidR="00DE11E0" w:rsidRPr="00B71E29" w:rsidRDefault="00DE11E0" w:rsidP="00357396">
                  <w:pPr>
                    <w:pStyle w:val="Imprint"/>
                    <w:spacing w:before="80"/>
                  </w:pPr>
                  <w:r w:rsidRPr="00B71E29">
                    <w:t>The views and opinions expressed in this document are those of the author</w:t>
                  </w:r>
                  <w:r w:rsidR="00357396">
                    <w:t>/project team</w:t>
                  </w:r>
                  <w:r w:rsidRPr="00B71E29">
                    <w:t xml:space="preserve"> and do not necessarily reflect the views of the Australian Government, state and territory governments or NCVER</w:t>
                  </w:r>
                  <w:r>
                    <w:t xml:space="preserve">. </w:t>
                  </w:r>
                </w:p>
                <w:p w:rsidR="00DE11E0" w:rsidRPr="005C2FCF" w:rsidRDefault="00DE11E0" w:rsidP="00357396">
                  <w:pPr>
                    <w:pStyle w:val="Imprint"/>
                    <w:spacing w:before="80"/>
                    <w:rPr>
                      <w:color w:val="000000"/>
                    </w:rPr>
                  </w:pPr>
                  <w:r w:rsidRPr="005C2FCF">
                    <w:rPr>
                      <w:color w:val="000000"/>
                    </w:rPr>
                    <w:t>ISBN</w:t>
                  </w:r>
                  <w:r w:rsidRPr="005C2FCF">
                    <w:rPr>
                      <w:color w:val="000000"/>
                    </w:rPr>
                    <w:tab/>
                  </w:r>
                  <w:r>
                    <w:rPr>
                      <w:color w:val="000000"/>
                    </w:rPr>
                    <w:t>978 1 921955 37 2</w:t>
                  </w:r>
                  <w:r w:rsidRPr="005C2FCF">
                    <w:rPr>
                      <w:color w:val="000000"/>
                    </w:rPr>
                    <w:tab/>
                  </w:r>
                  <w:r>
                    <w:rPr>
                      <w:color w:val="000000"/>
                    </w:rPr>
                    <w:t>web</w:t>
                  </w:r>
                  <w:r w:rsidRPr="005C2FCF">
                    <w:rPr>
                      <w:color w:val="000000"/>
                    </w:rPr>
                    <w:t xml:space="preserve"> edition </w:t>
                  </w:r>
                  <w:r w:rsidRPr="005C2FCF">
                    <w:rPr>
                      <w:color w:val="000000"/>
                    </w:rPr>
                    <w:br/>
                  </w:r>
                  <w:r w:rsidRPr="005C2FCF">
                    <w:rPr>
                      <w:color w:val="000000"/>
                    </w:rPr>
                    <w:tab/>
                  </w:r>
                  <w:r>
                    <w:rPr>
                      <w:color w:val="000000"/>
                    </w:rPr>
                    <w:t>978 1 921955 38 9</w:t>
                  </w:r>
                  <w:r w:rsidRPr="005C2FCF">
                    <w:rPr>
                      <w:color w:val="000000"/>
                    </w:rPr>
                    <w:tab/>
                  </w:r>
                  <w:r>
                    <w:rPr>
                      <w:color w:val="000000"/>
                    </w:rPr>
                    <w:t>print</w:t>
                  </w:r>
                  <w:r w:rsidRPr="005C2FCF">
                    <w:rPr>
                      <w:color w:val="000000"/>
                    </w:rPr>
                    <w:t xml:space="preserve"> edition</w:t>
                  </w:r>
                  <w:r>
                    <w:rPr>
                      <w:color w:val="000000"/>
                    </w:rPr>
                    <w:br/>
                  </w:r>
                  <w:r w:rsidRPr="005C2FCF">
                    <w:rPr>
                      <w:color w:val="000000"/>
                    </w:rPr>
                    <w:t>TD/TNC</w:t>
                  </w:r>
                  <w:r w:rsidRPr="005C2FCF">
                    <w:rPr>
                      <w:color w:val="000000"/>
                    </w:rPr>
                    <w:tab/>
                  </w:r>
                  <w:r>
                    <w:rPr>
                      <w:color w:val="000000"/>
                    </w:rPr>
                    <w:t>104.23</w:t>
                  </w:r>
                </w:p>
                <w:p w:rsidR="00DE11E0" w:rsidRPr="005C2FCF" w:rsidRDefault="00DE11E0" w:rsidP="00357396">
                  <w:pPr>
                    <w:pStyle w:val="Imprint"/>
                    <w:spacing w:before="80"/>
                    <w:rPr>
                      <w:color w:val="000000"/>
                    </w:rPr>
                  </w:pPr>
                  <w:r w:rsidRPr="005C2FCF">
                    <w:rPr>
                      <w:color w:val="000000"/>
                    </w:rPr>
                    <w:t>Published by NCVER</w:t>
                  </w:r>
                  <w:r w:rsidR="00357396">
                    <w:rPr>
                      <w:color w:val="000000"/>
                    </w:rPr>
                    <w:t xml:space="preserve">, </w:t>
                  </w:r>
                  <w:r w:rsidRPr="005C2FCF">
                    <w:rPr>
                      <w:color w:val="000000"/>
                    </w:rPr>
                    <w:t>ABN 87 007 967 311</w:t>
                  </w:r>
                </w:p>
                <w:p w:rsidR="00DE11E0" w:rsidRPr="005C2FCF" w:rsidRDefault="00DE11E0" w:rsidP="00357396">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DE11E0" w:rsidRDefault="00357396" w:rsidP="00357396">
                  <w:pPr>
                    <w:pStyle w:val="Imprint"/>
                    <w:spacing w:before="80"/>
                    <w:rPr>
                      <w:color w:val="000000"/>
                    </w:rPr>
                  </w:pPr>
                  <w:r>
                    <w:rPr>
                      <w:b/>
                      <w:color w:val="000000"/>
                    </w:rPr>
                    <w:t>P</w:t>
                  </w:r>
                  <w:r w:rsidR="00DE11E0" w:rsidRPr="005C2FCF">
                    <w:rPr>
                      <w:color w:val="000000"/>
                    </w:rPr>
                    <w:t xml:space="preserve"> +61 8 8230 8400 </w:t>
                  </w:r>
                  <w:r>
                    <w:rPr>
                      <w:color w:val="000000"/>
                    </w:rPr>
                    <w:t xml:space="preserve"> </w:t>
                  </w:r>
                  <w:r>
                    <w:rPr>
                      <w:b/>
                      <w:color w:val="000000"/>
                    </w:rPr>
                    <w:t>F</w:t>
                  </w:r>
                  <w:r w:rsidR="00DE11E0" w:rsidRPr="005C2FCF">
                    <w:rPr>
                      <w:color w:val="000000"/>
                    </w:rPr>
                    <w:t xml:space="preserve"> +61 8 8212 3436</w:t>
                  </w:r>
                  <w:r>
                    <w:rPr>
                      <w:color w:val="000000"/>
                    </w:rPr>
                    <w:t xml:space="preserve">  </w:t>
                  </w:r>
                  <w:r>
                    <w:rPr>
                      <w:b/>
                      <w:color w:val="000000"/>
                    </w:rPr>
                    <w:t>E</w:t>
                  </w:r>
                  <w:r>
                    <w:rPr>
                      <w:color w:val="000000"/>
                    </w:rPr>
                    <w:t xml:space="preserve"> </w:t>
                  </w:r>
                  <w:hyperlink r:id="rId11" w:history="1">
                    <w:r w:rsidRPr="004B2F81">
                      <w:rPr>
                        <w:rStyle w:val="Hyperlink"/>
                        <w:sz w:val="16"/>
                      </w:rPr>
                      <w:t>ncver@ncver.edu.au</w:t>
                    </w:r>
                  </w:hyperlink>
                  <w:r>
                    <w:rPr>
                      <w:color w:val="000000"/>
                    </w:rPr>
                    <w:t xml:space="preserve">  </w:t>
                  </w:r>
                  <w:r>
                    <w:rPr>
                      <w:b/>
                      <w:color w:val="000000"/>
                    </w:rPr>
                    <w:t>W</w:t>
                  </w:r>
                  <w:r>
                    <w:rPr>
                      <w:color w:val="000000"/>
                    </w:rPr>
                    <w:t xml:space="preserve"> </w:t>
                  </w:r>
                  <w:r w:rsidR="00DE11E0" w:rsidRPr="005C2FCF">
                    <w:rPr>
                      <w:color w:val="000000"/>
                    </w:rPr>
                    <w:t>http://www.ncver.edu.au</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1B43CF" w:rsidRDefault="00CC04B7" w:rsidP="00F93048">
      <w:pPr>
        <w:pStyle w:val="Abouttheresearchpubtitle"/>
      </w:pPr>
      <w:bookmarkStart w:id="22" w:name="_Toc98394877"/>
      <w:r>
        <w:t>Understanding and improving labour mobility: a scoping paper</w:t>
      </w:r>
    </w:p>
    <w:bookmarkEnd w:id="22"/>
    <w:p w:rsidR="009E231A" w:rsidRPr="001B43CF" w:rsidRDefault="00CC04B7" w:rsidP="00874DA5">
      <w:pPr>
        <w:pStyle w:val="Heading3"/>
      </w:pPr>
      <w:r>
        <w:t>John Buchanan, Susanna Baldwin and Sally Wright, Workplace Research Centre, University of Sydney Business Sc</w:t>
      </w:r>
      <w:r w:rsidR="00B01FBB">
        <w:t>h</w:t>
      </w:r>
      <w:r>
        <w:t>ool</w:t>
      </w:r>
    </w:p>
    <w:p w:rsidR="00CC04B7" w:rsidRDefault="00CC04B7" w:rsidP="00CC04B7">
      <w:pPr>
        <w:pStyle w:val="Text"/>
      </w:pPr>
      <w:r>
        <w:t>The dynamics of labour mobility is a tricky subject, one that is afflicted by limitations in the information available and one which can also pose dilemmas for social policy-makers who are concerned to ensure both a well-functioning labour market and people’s welfare.</w:t>
      </w:r>
    </w:p>
    <w:p w:rsidR="00CC04B7" w:rsidRDefault="00CC04B7" w:rsidP="007170C2">
      <w:pPr>
        <w:pStyle w:val="Text"/>
        <w:ind w:right="-143"/>
      </w:pPr>
      <w:r>
        <w:t>This paper is one of three commissioned by the National Centre for Vocational Education Research (NCVER), at the request of the Department of Education, Employment and Workplace Relations, to tease out some of the issues connected to mobility in the Australian workforce. The related papers are:</w:t>
      </w:r>
    </w:p>
    <w:p w:rsidR="00CC04B7" w:rsidRPr="00A0366B" w:rsidRDefault="00CC04B7" w:rsidP="00571AFA">
      <w:pPr>
        <w:pStyle w:val="Dotpoint1"/>
      </w:pPr>
      <w:r w:rsidRPr="00213E0E">
        <w:rPr>
          <w:i/>
        </w:rPr>
        <w:t>The mobile worker: concepts, issues, implications</w:t>
      </w:r>
      <w:r w:rsidRPr="00A0366B">
        <w:t xml:space="preserve"> by Richard Sweet </w:t>
      </w:r>
    </w:p>
    <w:p w:rsidR="00CC04B7" w:rsidRPr="005467EE" w:rsidRDefault="00CC04B7" w:rsidP="00A0366B">
      <w:pPr>
        <w:pStyle w:val="Dotpoint1"/>
      </w:pPr>
      <w:r w:rsidRPr="00A0366B">
        <w:rPr>
          <w:i/>
        </w:rPr>
        <w:t>Does changing your job leave you better off? A</w:t>
      </w:r>
      <w:r w:rsidRPr="002A05E6">
        <w:rPr>
          <w:i/>
        </w:rPr>
        <w:t xml:space="preserve"> study of labour mobility in Australia, 2002 to 2008</w:t>
      </w:r>
      <w:r w:rsidRPr="005467EE">
        <w:t xml:space="preserve"> </w:t>
      </w:r>
      <w:r>
        <w:t xml:space="preserve">by </w:t>
      </w:r>
      <w:r w:rsidRPr="005467EE">
        <w:t>Ian</w:t>
      </w:r>
      <w:r>
        <w:t> </w:t>
      </w:r>
      <w:r w:rsidRPr="005467EE">
        <w:t>Watson</w:t>
      </w:r>
      <w:r>
        <w:t>.</w:t>
      </w:r>
    </w:p>
    <w:p w:rsidR="00CC04B7" w:rsidRDefault="00CC04B7" w:rsidP="00CC04B7">
      <w:pPr>
        <w:pStyle w:val="Text"/>
      </w:pPr>
      <w:r w:rsidRPr="00B71E29">
        <w:t>Amongst some employers, especially those in the Australian mining industry, there is concern that mobility in the labour market is a problem</w:t>
      </w:r>
      <w:r>
        <w:t xml:space="preserve">. </w:t>
      </w:r>
      <w:r w:rsidRPr="00B71E29">
        <w:t xml:space="preserve">It is commonly asserted by leaders </w:t>
      </w:r>
      <w:r>
        <w:t>in</w:t>
      </w:r>
      <w:r w:rsidRPr="00B71E29">
        <w:t xml:space="preserve"> this sector that their demand for labour is often unmatched </w:t>
      </w:r>
      <w:r>
        <w:t>by a suitable number</w:t>
      </w:r>
      <w:r w:rsidRPr="00B71E29">
        <w:t xml:space="preserve"> of applicants</w:t>
      </w:r>
      <w:r>
        <w:t xml:space="preserve">. </w:t>
      </w:r>
      <w:r w:rsidRPr="00B71E29">
        <w:t xml:space="preserve">They argue </w:t>
      </w:r>
      <w:r>
        <w:t xml:space="preserve">that </w:t>
      </w:r>
      <w:r w:rsidRPr="00B71E29">
        <w:t>this is a market failure that requ</w:t>
      </w:r>
      <w:r>
        <w:t xml:space="preserve">ires government intervention. </w:t>
      </w:r>
      <w:r w:rsidRPr="00B71E29">
        <w:t>The unstated assumption is: improve the flow of labour</w:t>
      </w:r>
      <w:r>
        <w:t>,</w:t>
      </w:r>
      <w:r w:rsidRPr="00B71E29">
        <w:t xml:space="preserve"> and orderly, sustainable growth will follow.</w:t>
      </w:r>
    </w:p>
    <w:p w:rsidR="00CC04B7" w:rsidRPr="00B71E29" w:rsidRDefault="00CC04B7" w:rsidP="00CC04B7">
      <w:pPr>
        <w:pStyle w:val="Text"/>
      </w:pPr>
      <w:r>
        <w:t>In this</w:t>
      </w:r>
      <w:r w:rsidRPr="00B71E29">
        <w:t xml:space="preserve"> pap</w:t>
      </w:r>
      <w:r>
        <w:t xml:space="preserve">er, researchers from the Workplace Research Centre, University of Sydney Business School, paint a more complex picture. They argue that the structure of industries, their occupational profiles, wages and other conditions contribute to greater or lesser mobility. This paper provides a preliminary assessment of </w:t>
      </w:r>
      <w:r w:rsidRPr="00B71E29">
        <w:t xml:space="preserve">the key issues </w:t>
      </w:r>
      <w:r>
        <w:t>relating to</w:t>
      </w:r>
      <w:r w:rsidRPr="00B71E29">
        <w:t xml:space="preserve"> labour mobility and</w:t>
      </w:r>
      <w:r>
        <w:t xml:space="preserve"> identifies ways to</w:t>
      </w:r>
      <w:r w:rsidRPr="00B71E29">
        <w:t xml:space="preserve"> best generate new knowledge to inform the development of more effective public policy in this area.</w:t>
      </w:r>
    </w:p>
    <w:p w:rsidR="009E231A" w:rsidRPr="005C2FCF" w:rsidRDefault="009E231A" w:rsidP="0048643A">
      <w:pPr>
        <w:pStyle w:val="Text"/>
      </w:pPr>
    </w:p>
    <w:p w:rsidR="009E231A" w:rsidRPr="005C2FCF" w:rsidRDefault="00FE4A2D" w:rsidP="0048643A">
      <w:pPr>
        <w:pStyle w:val="Text"/>
      </w:pPr>
      <w:r w:rsidRPr="005C2FCF">
        <w:t>Tom Karmel</w:t>
      </w:r>
      <w:r w:rsidRPr="005C2FCF">
        <w:br/>
        <w:t>Managing Director, NCVER</w:t>
      </w:r>
    </w:p>
    <w:p w:rsidR="00177827" w:rsidRDefault="00177827">
      <w:pPr>
        <w:spacing w:before="0" w:line="240" w:lineRule="auto"/>
      </w:pPr>
      <w:r>
        <w:br w:type="page"/>
      </w:r>
    </w:p>
    <w:p w:rsidR="00177827" w:rsidRDefault="00177827" w:rsidP="00874DA5">
      <w:pPr>
        <w:pStyle w:val="Contents"/>
      </w:pPr>
    </w:p>
    <w:p w:rsidR="00177827" w:rsidRDefault="00177827" w:rsidP="00874DA5">
      <w:pPr>
        <w:pStyle w:val="Contents"/>
        <w:sectPr w:rsidR="00177827" w:rsidSect="007170C2">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23" w:name="_Toc98394880"/>
      <w:bookmarkStart w:id="24" w:name="_Toc296423683"/>
      <w:bookmarkStart w:id="25" w:name="_Toc296497514"/>
      <w:r w:rsidRPr="00DC5F5C">
        <w:lastRenderedPageBreak/>
        <w:t>Contents</w:t>
      </w:r>
      <w:bookmarkEnd w:id="23"/>
      <w:bookmarkEnd w:id="24"/>
      <w:bookmarkEnd w:id="25"/>
    </w:p>
    <w:p w:rsidR="00D8551E" w:rsidRDefault="00782085">
      <w:pPr>
        <w:pStyle w:val="TOC1"/>
        <w:rPr>
          <w:rFonts w:asciiTheme="minorHAnsi" w:eastAsiaTheme="minorEastAsia" w:hAnsiTheme="minorHAnsi" w:cstheme="minorBidi"/>
          <w:color w:val="auto"/>
          <w:sz w:val="22"/>
          <w:szCs w:val="22"/>
          <w:lang w:eastAsia="en-AU"/>
        </w:rPr>
      </w:pPr>
      <w:r w:rsidRPr="00782085">
        <w:rPr>
          <w:rFonts w:ascii="Avant Garde" w:hAnsi="Avant Garde"/>
        </w:rPr>
        <w:fldChar w:fldCharType="begin"/>
      </w:r>
      <w:r w:rsidR="00FE4A2D" w:rsidRPr="009775C7">
        <w:rPr>
          <w:rFonts w:ascii="Avant Garde" w:hAnsi="Avant Garde"/>
        </w:rPr>
        <w:instrText xml:space="preserve"> TOC \o "1-2" </w:instrText>
      </w:r>
      <w:r w:rsidRPr="00782085">
        <w:rPr>
          <w:rFonts w:ascii="Avant Garde" w:hAnsi="Avant Garde"/>
        </w:rPr>
        <w:fldChar w:fldCharType="separate"/>
      </w:r>
      <w:r w:rsidR="00D8551E">
        <w:t>Tables</w:t>
      </w:r>
      <w:r w:rsidR="00D8551E">
        <w:tab/>
      </w:r>
      <w:r>
        <w:fldChar w:fldCharType="begin"/>
      </w:r>
      <w:r w:rsidR="00D8551E">
        <w:instrText xml:space="preserve"> PAGEREF _Toc300838464 \h </w:instrText>
      </w:r>
      <w:r>
        <w:fldChar w:fldCharType="separate"/>
      </w:r>
      <w:r w:rsidR="003C590E">
        <w:t>6</w:t>
      </w:r>
      <w:r>
        <w:fldChar w:fldCharType="end"/>
      </w:r>
    </w:p>
    <w:p w:rsidR="00D8551E" w:rsidRDefault="00D8551E">
      <w:pPr>
        <w:pStyle w:val="TOC1"/>
        <w:rPr>
          <w:rFonts w:asciiTheme="minorHAnsi" w:eastAsiaTheme="minorEastAsia" w:hAnsiTheme="minorHAnsi" w:cstheme="minorBidi"/>
          <w:color w:val="auto"/>
          <w:sz w:val="22"/>
          <w:szCs w:val="22"/>
          <w:lang w:eastAsia="en-AU"/>
        </w:rPr>
      </w:pPr>
      <w:r>
        <w:t>Acknowledgments</w:t>
      </w:r>
      <w:r>
        <w:tab/>
      </w:r>
      <w:r w:rsidR="00782085">
        <w:fldChar w:fldCharType="begin"/>
      </w:r>
      <w:r>
        <w:instrText xml:space="preserve"> PAGEREF _Toc300838466 \h </w:instrText>
      </w:r>
      <w:r w:rsidR="00782085">
        <w:fldChar w:fldCharType="separate"/>
      </w:r>
      <w:r w:rsidR="003C590E">
        <w:t>7</w:t>
      </w:r>
      <w:r w:rsidR="00782085">
        <w:fldChar w:fldCharType="end"/>
      </w:r>
    </w:p>
    <w:p w:rsidR="00D8551E" w:rsidRDefault="00D8551E">
      <w:pPr>
        <w:pStyle w:val="TOC1"/>
        <w:rPr>
          <w:rFonts w:asciiTheme="minorHAnsi" w:eastAsiaTheme="minorEastAsia" w:hAnsiTheme="minorHAnsi" w:cstheme="minorBidi"/>
          <w:color w:val="auto"/>
          <w:sz w:val="22"/>
          <w:szCs w:val="22"/>
          <w:lang w:eastAsia="en-AU"/>
        </w:rPr>
      </w:pPr>
      <w:r>
        <w:t>Executive summary</w:t>
      </w:r>
      <w:r>
        <w:tab/>
      </w:r>
      <w:r w:rsidR="00782085">
        <w:fldChar w:fldCharType="begin"/>
      </w:r>
      <w:r>
        <w:instrText xml:space="preserve"> PAGEREF _Toc300838467 \h </w:instrText>
      </w:r>
      <w:r w:rsidR="00782085">
        <w:fldChar w:fldCharType="separate"/>
      </w:r>
      <w:r w:rsidR="003C590E">
        <w:t>8</w:t>
      </w:r>
      <w:r w:rsidR="00782085">
        <w:fldChar w:fldCharType="end"/>
      </w:r>
    </w:p>
    <w:p w:rsidR="00D8551E" w:rsidRDefault="00D8551E">
      <w:pPr>
        <w:pStyle w:val="TOC1"/>
        <w:rPr>
          <w:rFonts w:asciiTheme="minorHAnsi" w:eastAsiaTheme="minorEastAsia" w:hAnsiTheme="minorHAnsi" w:cstheme="minorBidi"/>
          <w:color w:val="auto"/>
          <w:sz w:val="22"/>
          <w:szCs w:val="22"/>
          <w:lang w:eastAsia="en-AU"/>
        </w:rPr>
      </w:pPr>
      <w:r>
        <w:t>Findings</w:t>
      </w:r>
      <w:r>
        <w:tab/>
      </w:r>
      <w:r w:rsidR="00782085">
        <w:fldChar w:fldCharType="begin"/>
      </w:r>
      <w:r>
        <w:instrText xml:space="preserve"> PAGEREF _Toc300838468 \h </w:instrText>
      </w:r>
      <w:r w:rsidR="00782085">
        <w:fldChar w:fldCharType="separate"/>
      </w:r>
      <w:r w:rsidR="003C590E">
        <w:t>10</w:t>
      </w:r>
      <w:r w:rsidR="00782085">
        <w:fldChar w:fldCharType="end"/>
      </w:r>
    </w:p>
    <w:p w:rsidR="00D8551E" w:rsidRDefault="00D8551E">
      <w:pPr>
        <w:pStyle w:val="TOC2"/>
        <w:rPr>
          <w:rFonts w:asciiTheme="minorHAnsi" w:eastAsiaTheme="minorEastAsia" w:hAnsiTheme="minorHAnsi" w:cstheme="minorBidi"/>
          <w:color w:val="auto"/>
          <w:sz w:val="22"/>
          <w:szCs w:val="22"/>
          <w:lang w:eastAsia="en-AU"/>
        </w:rPr>
      </w:pPr>
      <w:r>
        <w:t>Insights from the literature</w:t>
      </w:r>
      <w:r>
        <w:tab/>
      </w:r>
      <w:r w:rsidR="00782085">
        <w:fldChar w:fldCharType="begin"/>
      </w:r>
      <w:r>
        <w:instrText xml:space="preserve"> PAGEREF _Toc300838469 \h </w:instrText>
      </w:r>
      <w:r w:rsidR="00782085">
        <w:fldChar w:fldCharType="separate"/>
      </w:r>
      <w:r w:rsidR="003C590E">
        <w:t>10</w:t>
      </w:r>
      <w:r w:rsidR="00782085">
        <w:fldChar w:fldCharType="end"/>
      </w:r>
    </w:p>
    <w:p w:rsidR="00D8551E" w:rsidRDefault="00D8551E">
      <w:pPr>
        <w:pStyle w:val="TOC2"/>
        <w:rPr>
          <w:rFonts w:asciiTheme="minorHAnsi" w:eastAsiaTheme="minorEastAsia" w:hAnsiTheme="minorHAnsi" w:cstheme="minorBidi"/>
          <w:color w:val="auto"/>
          <w:sz w:val="22"/>
          <w:szCs w:val="22"/>
          <w:lang w:eastAsia="en-AU"/>
        </w:rPr>
      </w:pPr>
      <w:r>
        <w:t>Insights from contrasting sector case studies of labour mobility dynamics</w:t>
      </w:r>
      <w:r>
        <w:tab/>
      </w:r>
      <w:r w:rsidR="00782085">
        <w:fldChar w:fldCharType="begin"/>
      </w:r>
      <w:r>
        <w:instrText xml:space="preserve"> PAGEREF _Toc300838470 \h </w:instrText>
      </w:r>
      <w:r w:rsidR="00782085">
        <w:fldChar w:fldCharType="separate"/>
      </w:r>
      <w:r w:rsidR="003C590E">
        <w:t>13</w:t>
      </w:r>
      <w:r w:rsidR="00782085">
        <w:fldChar w:fldCharType="end"/>
      </w:r>
    </w:p>
    <w:p w:rsidR="00D8551E" w:rsidRDefault="00D8551E">
      <w:pPr>
        <w:pStyle w:val="TOC2"/>
        <w:rPr>
          <w:rFonts w:asciiTheme="minorHAnsi" w:eastAsiaTheme="minorEastAsia" w:hAnsiTheme="minorHAnsi" w:cstheme="minorBidi"/>
          <w:color w:val="auto"/>
          <w:sz w:val="22"/>
          <w:szCs w:val="22"/>
          <w:lang w:eastAsia="en-AU"/>
        </w:rPr>
      </w:pPr>
      <w:r>
        <w:t>Insights from Australia at Work</w:t>
      </w:r>
      <w:r>
        <w:tab/>
      </w:r>
      <w:r w:rsidR="00782085">
        <w:fldChar w:fldCharType="begin"/>
      </w:r>
      <w:r>
        <w:instrText xml:space="preserve"> PAGEREF _Toc300838471 \h </w:instrText>
      </w:r>
      <w:r w:rsidR="00782085">
        <w:fldChar w:fldCharType="separate"/>
      </w:r>
      <w:r w:rsidR="003C590E">
        <w:t>22</w:t>
      </w:r>
      <w:r w:rsidR="00782085">
        <w:fldChar w:fldCharType="end"/>
      </w:r>
    </w:p>
    <w:p w:rsidR="00D8551E" w:rsidRDefault="00D8551E">
      <w:pPr>
        <w:pStyle w:val="TOC1"/>
        <w:rPr>
          <w:rFonts w:asciiTheme="minorHAnsi" w:eastAsiaTheme="minorEastAsia" w:hAnsiTheme="minorHAnsi" w:cstheme="minorBidi"/>
          <w:color w:val="auto"/>
          <w:sz w:val="22"/>
          <w:szCs w:val="22"/>
          <w:lang w:eastAsia="en-AU"/>
        </w:rPr>
      </w:pPr>
      <w:r>
        <w:t>Suggestions for further work</w:t>
      </w:r>
      <w:r>
        <w:tab/>
      </w:r>
      <w:r w:rsidR="00782085">
        <w:fldChar w:fldCharType="begin"/>
      </w:r>
      <w:r>
        <w:instrText xml:space="preserve"> PAGEREF _Toc300838472 \h </w:instrText>
      </w:r>
      <w:r w:rsidR="00782085">
        <w:fldChar w:fldCharType="separate"/>
      </w:r>
      <w:r w:rsidR="003C590E">
        <w:t>26</w:t>
      </w:r>
      <w:r w:rsidR="00782085">
        <w:fldChar w:fldCharType="end"/>
      </w:r>
    </w:p>
    <w:p w:rsidR="00D8551E" w:rsidRDefault="00D8551E">
      <w:pPr>
        <w:pStyle w:val="TOC2"/>
        <w:rPr>
          <w:rFonts w:asciiTheme="minorHAnsi" w:eastAsiaTheme="minorEastAsia" w:hAnsiTheme="minorHAnsi" w:cstheme="minorBidi"/>
          <w:color w:val="auto"/>
          <w:sz w:val="22"/>
          <w:szCs w:val="22"/>
          <w:lang w:eastAsia="en-AU"/>
        </w:rPr>
      </w:pPr>
      <w:r>
        <w:t>Clarifying what needs to change: mapping labour flows</w:t>
      </w:r>
      <w:r>
        <w:tab/>
      </w:r>
      <w:r w:rsidR="00782085">
        <w:fldChar w:fldCharType="begin"/>
      </w:r>
      <w:r>
        <w:instrText xml:space="preserve"> PAGEREF _Toc300838473 \h </w:instrText>
      </w:r>
      <w:r w:rsidR="00782085">
        <w:fldChar w:fldCharType="separate"/>
      </w:r>
      <w:r w:rsidR="003C590E">
        <w:t>26</w:t>
      </w:r>
      <w:r w:rsidR="00782085">
        <w:fldChar w:fldCharType="end"/>
      </w:r>
    </w:p>
    <w:p w:rsidR="00D8551E" w:rsidRDefault="00D8551E">
      <w:pPr>
        <w:pStyle w:val="TOC2"/>
        <w:rPr>
          <w:rFonts w:asciiTheme="minorHAnsi" w:eastAsiaTheme="minorEastAsia" w:hAnsiTheme="minorHAnsi" w:cstheme="minorBidi"/>
          <w:color w:val="auto"/>
          <w:sz w:val="22"/>
          <w:szCs w:val="22"/>
          <w:lang w:eastAsia="en-AU"/>
        </w:rPr>
      </w:pPr>
      <w:r>
        <w:t>Identify the pre-conditions for successful interventions</w:t>
      </w:r>
      <w:r>
        <w:tab/>
      </w:r>
      <w:r w:rsidR="00782085">
        <w:fldChar w:fldCharType="begin"/>
      </w:r>
      <w:r>
        <w:instrText xml:space="preserve"> PAGEREF _Toc300838474 \h </w:instrText>
      </w:r>
      <w:r w:rsidR="00782085">
        <w:fldChar w:fldCharType="separate"/>
      </w:r>
      <w:r w:rsidR="003C590E">
        <w:t>28</w:t>
      </w:r>
      <w:r w:rsidR="00782085">
        <w:fldChar w:fldCharType="end"/>
      </w:r>
    </w:p>
    <w:p w:rsidR="00D8551E" w:rsidRDefault="00D8551E">
      <w:pPr>
        <w:pStyle w:val="TOC2"/>
        <w:rPr>
          <w:rFonts w:asciiTheme="minorHAnsi" w:eastAsiaTheme="minorEastAsia" w:hAnsiTheme="minorHAnsi" w:cstheme="minorBidi"/>
          <w:color w:val="auto"/>
          <w:sz w:val="22"/>
          <w:szCs w:val="22"/>
          <w:lang w:eastAsia="en-AU"/>
        </w:rPr>
      </w:pPr>
      <w:r>
        <w:t>Learn from local failures as well as nascent successes</w:t>
      </w:r>
      <w:r>
        <w:tab/>
      </w:r>
      <w:r w:rsidR="00782085">
        <w:fldChar w:fldCharType="begin"/>
      </w:r>
      <w:r>
        <w:instrText xml:space="preserve"> PAGEREF _Toc300838475 \h </w:instrText>
      </w:r>
      <w:r w:rsidR="00782085">
        <w:fldChar w:fldCharType="separate"/>
      </w:r>
      <w:r w:rsidR="003C590E">
        <w:t>29</w:t>
      </w:r>
      <w:r w:rsidR="00782085">
        <w:fldChar w:fldCharType="end"/>
      </w:r>
    </w:p>
    <w:p w:rsidR="00D8551E" w:rsidRDefault="00D8551E">
      <w:pPr>
        <w:pStyle w:val="TOC1"/>
        <w:rPr>
          <w:rFonts w:asciiTheme="minorHAnsi" w:eastAsiaTheme="minorEastAsia" w:hAnsiTheme="minorHAnsi" w:cstheme="minorBidi"/>
          <w:color w:val="auto"/>
          <w:sz w:val="22"/>
          <w:szCs w:val="22"/>
          <w:lang w:eastAsia="en-AU"/>
        </w:rPr>
      </w:pPr>
      <w:r>
        <w:t>Conclusion</w:t>
      </w:r>
      <w:r>
        <w:tab/>
      </w:r>
      <w:r w:rsidR="00782085">
        <w:fldChar w:fldCharType="begin"/>
      </w:r>
      <w:r>
        <w:instrText xml:space="preserve"> PAGEREF _Toc300838476 \h </w:instrText>
      </w:r>
      <w:r w:rsidR="00782085">
        <w:fldChar w:fldCharType="separate"/>
      </w:r>
      <w:r w:rsidR="003C590E">
        <w:t>31</w:t>
      </w:r>
      <w:r w:rsidR="00782085">
        <w:fldChar w:fldCharType="end"/>
      </w:r>
    </w:p>
    <w:p w:rsidR="00D8551E" w:rsidRDefault="00D8551E">
      <w:pPr>
        <w:pStyle w:val="TOC1"/>
        <w:rPr>
          <w:rFonts w:asciiTheme="minorHAnsi" w:eastAsiaTheme="minorEastAsia" w:hAnsiTheme="minorHAnsi" w:cstheme="minorBidi"/>
          <w:color w:val="auto"/>
          <w:sz w:val="22"/>
          <w:szCs w:val="22"/>
          <w:lang w:eastAsia="en-AU"/>
        </w:rPr>
      </w:pPr>
      <w:r>
        <w:t>References</w:t>
      </w:r>
      <w:r>
        <w:tab/>
      </w:r>
      <w:r w:rsidR="00782085">
        <w:fldChar w:fldCharType="begin"/>
      </w:r>
      <w:r>
        <w:instrText xml:space="preserve"> PAGEREF _Toc300838477 \h </w:instrText>
      </w:r>
      <w:r w:rsidR="00782085">
        <w:fldChar w:fldCharType="separate"/>
      </w:r>
      <w:r w:rsidR="003C590E">
        <w:t>32</w:t>
      </w:r>
      <w:r w:rsidR="00782085">
        <w:fldChar w:fldCharType="end"/>
      </w:r>
    </w:p>
    <w:p w:rsidR="00D8551E" w:rsidRDefault="00D8551E">
      <w:pPr>
        <w:pStyle w:val="TOC1"/>
        <w:rPr>
          <w:rFonts w:asciiTheme="minorHAnsi" w:eastAsiaTheme="minorEastAsia" w:hAnsiTheme="minorHAnsi" w:cstheme="minorBidi"/>
          <w:color w:val="auto"/>
          <w:sz w:val="22"/>
          <w:szCs w:val="22"/>
          <w:lang w:eastAsia="en-AU"/>
        </w:rPr>
      </w:pPr>
      <w:r>
        <w:t>Appendix 1</w:t>
      </w:r>
      <w:r>
        <w:tab/>
      </w:r>
      <w:r w:rsidR="00782085">
        <w:fldChar w:fldCharType="begin"/>
      </w:r>
      <w:r>
        <w:instrText xml:space="preserve"> PAGEREF _Toc300838478 \h </w:instrText>
      </w:r>
      <w:r w:rsidR="00782085">
        <w:fldChar w:fldCharType="separate"/>
      </w:r>
      <w:r w:rsidR="003C590E">
        <w:t>35</w:t>
      </w:r>
      <w:r w:rsidR="00782085">
        <w:fldChar w:fldCharType="end"/>
      </w:r>
    </w:p>
    <w:p w:rsidR="00D8551E" w:rsidRDefault="00D8551E">
      <w:pPr>
        <w:pStyle w:val="TOC2"/>
        <w:rPr>
          <w:rFonts w:asciiTheme="minorHAnsi" w:eastAsiaTheme="minorEastAsia" w:hAnsiTheme="minorHAnsi" w:cstheme="minorBidi"/>
          <w:color w:val="auto"/>
          <w:sz w:val="22"/>
          <w:szCs w:val="22"/>
          <w:lang w:eastAsia="en-AU"/>
        </w:rPr>
      </w:pPr>
    </w:p>
    <w:p w:rsidR="004E7227" w:rsidRDefault="00782085"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6" w:name="_Toc300838464"/>
      <w:r>
        <w:lastRenderedPageBreak/>
        <w:t>Tables</w:t>
      </w:r>
      <w:bookmarkEnd w:id="26"/>
    </w:p>
    <w:p w:rsidR="00D8551E" w:rsidRDefault="00782085" w:rsidP="00311D60">
      <w:pPr>
        <w:pStyle w:val="TableofFigures"/>
        <w:tabs>
          <w:tab w:val="clear" w:pos="284"/>
        </w:tabs>
        <w:ind w:left="567" w:hanging="567"/>
        <w:rPr>
          <w:rFonts w:asciiTheme="minorHAnsi" w:eastAsiaTheme="minorEastAsia" w:hAnsiTheme="minorHAnsi" w:cstheme="minorBidi"/>
          <w:color w:val="auto"/>
          <w:sz w:val="22"/>
          <w:szCs w:val="22"/>
          <w:lang w:eastAsia="en-AU"/>
        </w:rPr>
      </w:pPr>
      <w:r w:rsidRPr="00782085">
        <w:fldChar w:fldCharType="begin"/>
      </w:r>
      <w:r w:rsidR="004E7227">
        <w:instrText xml:space="preserve"> TOC \f F \t "tabletitle" \c </w:instrText>
      </w:r>
      <w:r w:rsidRPr="00782085">
        <w:fldChar w:fldCharType="separate"/>
      </w:r>
      <w:r w:rsidR="00D8551E">
        <w:t>1</w:t>
      </w:r>
      <w:r w:rsidR="00D8551E">
        <w:rPr>
          <w:rFonts w:asciiTheme="minorHAnsi" w:eastAsiaTheme="minorEastAsia" w:hAnsiTheme="minorHAnsi" w:cstheme="minorBidi"/>
          <w:color w:val="auto"/>
          <w:sz w:val="22"/>
          <w:szCs w:val="22"/>
          <w:lang w:eastAsia="en-AU"/>
        </w:rPr>
        <w:tab/>
      </w:r>
      <w:r w:rsidR="00D8551E">
        <w:t xml:space="preserve">Suggested categories of non-competing groups in mid-twentieth </w:t>
      </w:r>
      <w:r w:rsidR="00311D60">
        <w:br/>
      </w:r>
      <w:r w:rsidR="00D8551E">
        <w:t>century USA</w:t>
      </w:r>
      <w:r w:rsidR="00D8551E">
        <w:tab/>
      </w:r>
      <w:r>
        <w:fldChar w:fldCharType="begin"/>
      </w:r>
      <w:r w:rsidR="00D8551E">
        <w:instrText xml:space="preserve"> PAGEREF _Toc300838518 \h </w:instrText>
      </w:r>
      <w:r>
        <w:fldChar w:fldCharType="separate"/>
      </w:r>
      <w:r w:rsidR="003C590E">
        <w:t>11</w:t>
      </w:r>
      <w:r>
        <w:fldChar w:fldCharType="end"/>
      </w:r>
    </w:p>
    <w:p w:rsidR="00D8551E" w:rsidRDefault="00D8551E" w:rsidP="00311D60">
      <w:pPr>
        <w:pStyle w:val="TableofFigures"/>
        <w:tabs>
          <w:tab w:val="clear" w:pos="284"/>
        </w:tabs>
        <w:ind w:left="567" w:hanging="567"/>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The Goldthorpe class categories</w:t>
      </w:r>
      <w:r>
        <w:tab/>
      </w:r>
      <w:r w:rsidR="00782085">
        <w:fldChar w:fldCharType="begin"/>
      </w:r>
      <w:r>
        <w:instrText xml:space="preserve"> PAGEREF _Toc300838519 \h </w:instrText>
      </w:r>
      <w:r w:rsidR="00782085">
        <w:fldChar w:fldCharType="separate"/>
      </w:r>
      <w:r w:rsidR="003C590E">
        <w:t>12</w:t>
      </w:r>
      <w:r w:rsidR="00782085">
        <w:fldChar w:fldCharType="end"/>
      </w:r>
    </w:p>
    <w:p w:rsidR="00D8551E" w:rsidRDefault="00D8551E" w:rsidP="00311D60">
      <w:pPr>
        <w:pStyle w:val="TableofFigures"/>
        <w:tabs>
          <w:tab w:val="clear" w:pos="284"/>
        </w:tabs>
        <w:ind w:left="567" w:hanging="567"/>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A 17-class (and collapsed 8-class) schema based on differences in </w:t>
      </w:r>
      <w:r w:rsidR="00311D60">
        <w:br/>
      </w:r>
      <w:r>
        <w:t>work logic and in marketable skills</w:t>
      </w:r>
      <w:r>
        <w:tab/>
      </w:r>
      <w:r w:rsidR="00782085">
        <w:fldChar w:fldCharType="begin"/>
      </w:r>
      <w:r>
        <w:instrText xml:space="preserve"> PAGEREF _Toc300838520 \h </w:instrText>
      </w:r>
      <w:r w:rsidR="00782085">
        <w:fldChar w:fldCharType="separate"/>
      </w:r>
      <w:r w:rsidR="003C590E">
        <w:t>13</w:t>
      </w:r>
      <w:r w:rsidR="00782085">
        <w:fldChar w:fldCharType="end"/>
      </w:r>
    </w:p>
    <w:p w:rsidR="00D8551E" w:rsidRDefault="00D8551E" w:rsidP="00311D60">
      <w:pPr>
        <w:pStyle w:val="TableofFigures"/>
        <w:tabs>
          <w:tab w:val="clear" w:pos="284"/>
        </w:tabs>
        <w:ind w:left="567" w:hanging="567"/>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Labour stability and flows in the mining, meat-processing and early childhood education and care sectors, Australia at Work sample </w:t>
      </w:r>
      <w:r>
        <w:br/>
        <w:t>counts, Australia 2006</w:t>
      </w:r>
      <w:r w:rsidR="00311D60">
        <w:t>—</w:t>
      </w:r>
      <w:r>
        <w:t>09</w:t>
      </w:r>
      <w:r>
        <w:tab/>
      </w:r>
      <w:r w:rsidR="00782085">
        <w:fldChar w:fldCharType="begin"/>
      </w:r>
      <w:r>
        <w:instrText xml:space="preserve"> PAGEREF _Toc300838521 \h </w:instrText>
      </w:r>
      <w:r w:rsidR="00782085">
        <w:fldChar w:fldCharType="separate"/>
      </w:r>
      <w:r w:rsidR="003C590E">
        <w:t>24</w:t>
      </w:r>
      <w:r w:rsidR="00782085">
        <w:fldChar w:fldCharType="end"/>
      </w:r>
    </w:p>
    <w:p w:rsidR="00D8551E" w:rsidRDefault="00D8551E" w:rsidP="00311D60">
      <w:pPr>
        <w:pStyle w:val="TableofFigures"/>
        <w:tabs>
          <w:tab w:val="clear" w:pos="284"/>
        </w:tabs>
        <w:ind w:left="567" w:hanging="567"/>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Select work histories of Australia at Work respondents from mining, </w:t>
      </w:r>
      <w:r>
        <w:br/>
        <w:t>meat processing and early childhood education and care</w:t>
      </w:r>
      <w:r>
        <w:tab/>
      </w:r>
      <w:r w:rsidR="00782085">
        <w:fldChar w:fldCharType="begin"/>
      </w:r>
      <w:r>
        <w:instrText xml:space="preserve"> PAGEREF _Toc300838522 \h </w:instrText>
      </w:r>
      <w:r w:rsidR="00782085">
        <w:fldChar w:fldCharType="separate"/>
      </w:r>
      <w:r w:rsidR="003C590E">
        <w:t>25</w:t>
      </w:r>
      <w:r w:rsidR="00782085">
        <w:fldChar w:fldCharType="end"/>
      </w:r>
    </w:p>
    <w:p w:rsidR="00D8551E" w:rsidRDefault="00D8551E" w:rsidP="00311D60">
      <w:pPr>
        <w:pStyle w:val="TableofFigures"/>
        <w:tabs>
          <w:tab w:val="clear" w:pos="284"/>
          <w:tab w:val="left" w:pos="1320"/>
        </w:tabs>
        <w:ind w:left="567" w:hanging="567"/>
        <w:rPr>
          <w:rFonts w:asciiTheme="minorHAnsi" w:eastAsiaTheme="minorEastAsia" w:hAnsiTheme="minorHAnsi" w:cstheme="minorBidi"/>
          <w:color w:val="auto"/>
          <w:sz w:val="22"/>
          <w:szCs w:val="22"/>
          <w:lang w:eastAsia="en-AU"/>
        </w:rPr>
      </w:pPr>
      <w:r>
        <w:t>A1.1</w:t>
      </w:r>
      <w:r>
        <w:rPr>
          <w:rFonts w:asciiTheme="minorHAnsi" w:eastAsiaTheme="minorEastAsia" w:hAnsiTheme="minorHAnsi" w:cstheme="minorBidi"/>
          <w:color w:val="auto"/>
          <w:sz w:val="22"/>
          <w:szCs w:val="22"/>
          <w:lang w:eastAsia="en-AU"/>
        </w:rPr>
        <w:tab/>
      </w:r>
      <w:r>
        <w:t xml:space="preserve">Change in employees’ paid leave entitlements in main job, </w:t>
      </w:r>
      <w:r w:rsidR="00311D60">
        <w:br/>
      </w:r>
      <w:r>
        <w:t>2006</w:t>
      </w:r>
      <w:r w:rsidR="00311D60">
        <w:t>—</w:t>
      </w:r>
      <w:r>
        <w:t>09, %</w:t>
      </w:r>
      <w:r>
        <w:tab/>
      </w:r>
      <w:r w:rsidR="00782085">
        <w:fldChar w:fldCharType="begin"/>
      </w:r>
      <w:r>
        <w:instrText xml:space="preserve"> PAGEREF _Toc300838523 \h </w:instrText>
      </w:r>
      <w:r w:rsidR="00782085">
        <w:fldChar w:fldCharType="separate"/>
      </w:r>
      <w:r w:rsidR="003C590E">
        <w:t>36</w:t>
      </w:r>
      <w:r w:rsidR="00782085">
        <w:fldChar w:fldCharType="end"/>
      </w:r>
    </w:p>
    <w:p w:rsidR="00D8551E" w:rsidRDefault="00D8551E" w:rsidP="00311D60">
      <w:pPr>
        <w:pStyle w:val="TableofFigures"/>
        <w:tabs>
          <w:tab w:val="clear" w:pos="284"/>
          <w:tab w:val="left" w:pos="1320"/>
        </w:tabs>
        <w:ind w:left="567" w:hanging="567"/>
        <w:rPr>
          <w:rFonts w:asciiTheme="minorHAnsi" w:eastAsiaTheme="minorEastAsia" w:hAnsiTheme="minorHAnsi" w:cstheme="minorBidi"/>
          <w:color w:val="auto"/>
          <w:sz w:val="22"/>
          <w:szCs w:val="22"/>
          <w:lang w:eastAsia="en-AU"/>
        </w:rPr>
      </w:pPr>
      <w:r>
        <w:t>A1.2</w:t>
      </w:r>
      <w:r>
        <w:rPr>
          <w:rFonts w:asciiTheme="minorHAnsi" w:eastAsiaTheme="minorEastAsia" w:hAnsiTheme="minorHAnsi" w:cstheme="minorBidi"/>
          <w:color w:val="auto"/>
          <w:sz w:val="22"/>
          <w:szCs w:val="22"/>
          <w:lang w:eastAsia="en-AU"/>
        </w:rPr>
        <w:tab/>
      </w:r>
      <w:r>
        <w:t>Change in employer or employment situation, 2006</w:t>
      </w:r>
      <w:r w:rsidR="00311D60">
        <w:t>—</w:t>
      </w:r>
      <w:r>
        <w:t>09, %</w:t>
      </w:r>
      <w:r>
        <w:tab/>
      </w:r>
      <w:r w:rsidR="00782085">
        <w:fldChar w:fldCharType="begin"/>
      </w:r>
      <w:r>
        <w:instrText xml:space="preserve"> PAGEREF _Toc300838524 \h </w:instrText>
      </w:r>
      <w:r w:rsidR="00782085">
        <w:fldChar w:fldCharType="separate"/>
      </w:r>
      <w:r w:rsidR="003C590E">
        <w:t>37</w:t>
      </w:r>
      <w:r w:rsidR="00782085">
        <w:fldChar w:fldCharType="end"/>
      </w:r>
    </w:p>
    <w:p w:rsidR="00D8551E" w:rsidRDefault="00D8551E" w:rsidP="00311D60">
      <w:pPr>
        <w:pStyle w:val="TableofFigures"/>
        <w:tabs>
          <w:tab w:val="clear" w:pos="284"/>
          <w:tab w:val="left" w:pos="1320"/>
        </w:tabs>
        <w:ind w:left="567" w:hanging="567"/>
        <w:rPr>
          <w:rFonts w:asciiTheme="minorHAnsi" w:eastAsiaTheme="minorEastAsia" w:hAnsiTheme="minorHAnsi" w:cstheme="minorBidi"/>
          <w:color w:val="auto"/>
          <w:sz w:val="22"/>
          <w:szCs w:val="22"/>
          <w:lang w:eastAsia="en-AU"/>
        </w:rPr>
      </w:pPr>
      <w:r>
        <w:t>A1.3</w:t>
      </w:r>
      <w:r>
        <w:rPr>
          <w:rFonts w:asciiTheme="minorHAnsi" w:eastAsiaTheme="minorEastAsia" w:hAnsiTheme="minorHAnsi" w:cstheme="minorBidi"/>
          <w:color w:val="auto"/>
          <w:sz w:val="22"/>
          <w:szCs w:val="22"/>
          <w:lang w:eastAsia="en-AU"/>
        </w:rPr>
        <w:tab/>
      </w:r>
      <w:r>
        <w:t xml:space="preserve">Change in paid leave entitlements in main job by change in </w:t>
      </w:r>
      <w:r w:rsidR="00311D60">
        <w:br/>
      </w:r>
      <w:r>
        <w:t>employer, 2006</w:t>
      </w:r>
      <w:r w:rsidR="00311D60">
        <w:t>—</w:t>
      </w:r>
      <w:r>
        <w:t>09, %</w:t>
      </w:r>
      <w:r>
        <w:tab/>
      </w:r>
      <w:r w:rsidR="00782085">
        <w:fldChar w:fldCharType="begin"/>
      </w:r>
      <w:r>
        <w:instrText xml:space="preserve"> PAGEREF _Toc300838525 \h </w:instrText>
      </w:r>
      <w:r w:rsidR="00782085">
        <w:fldChar w:fldCharType="separate"/>
      </w:r>
      <w:r w:rsidR="003C590E">
        <w:t>38</w:t>
      </w:r>
      <w:r w:rsidR="00782085">
        <w:fldChar w:fldCharType="end"/>
      </w:r>
    </w:p>
    <w:p w:rsidR="00D8551E" w:rsidRDefault="00D8551E" w:rsidP="00311D60">
      <w:pPr>
        <w:pStyle w:val="TableofFigures"/>
        <w:tabs>
          <w:tab w:val="clear" w:pos="284"/>
          <w:tab w:val="left" w:pos="1320"/>
        </w:tabs>
        <w:ind w:left="567" w:hanging="567"/>
        <w:rPr>
          <w:rFonts w:asciiTheme="minorHAnsi" w:eastAsiaTheme="minorEastAsia" w:hAnsiTheme="minorHAnsi" w:cstheme="minorBidi"/>
          <w:color w:val="auto"/>
          <w:sz w:val="22"/>
          <w:szCs w:val="22"/>
          <w:lang w:eastAsia="en-AU"/>
        </w:rPr>
      </w:pPr>
      <w:r>
        <w:t>A1.4</w:t>
      </w:r>
      <w:r>
        <w:rPr>
          <w:rFonts w:asciiTheme="minorHAnsi" w:eastAsiaTheme="minorEastAsia" w:hAnsiTheme="minorHAnsi" w:cstheme="minorBidi"/>
          <w:color w:val="auto"/>
          <w:sz w:val="22"/>
          <w:szCs w:val="22"/>
          <w:lang w:eastAsia="en-AU"/>
        </w:rPr>
        <w:tab/>
      </w:r>
      <w:r>
        <w:t xml:space="preserve">Change in usual hours in main job by paid leave entitlements in </w:t>
      </w:r>
      <w:r w:rsidR="00311D60">
        <w:br/>
      </w:r>
      <w:r>
        <w:t>the latter year, 2007</w:t>
      </w:r>
      <w:r w:rsidR="00311D60">
        <w:t>—</w:t>
      </w:r>
      <w:r>
        <w:t>08 &amp; 2008</w:t>
      </w:r>
      <w:r w:rsidR="00311D60">
        <w:t>—</w:t>
      </w:r>
      <w:r>
        <w:t>09, %</w:t>
      </w:r>
      <w:r>
        <w:tab/>
      </w:r>
      <w:r w:rsidR="00782085">
        <w:fldChar w:fldCharType="begin"/>
      </w:r>
      <w:r>
        <w:instrText xml:space="preserve"> PAGEREF _Toc300838526 \h </w:instrText>
      </w:r>
      <w:r w:rsidR="00782085">
        <w:fldChar w:fldCharType="separate"/>
      </w:r>
      <w:r w:rsidR="003C590E">
        <w:t>39</w:t>
      </w:r>
      <w:r w:rsidR="00782085">
        <w:fldChar w:fldCharType="end"/>
      </w:r>
    </w:p>
    <w:p w:rsidR="00D8551E" w:rsidRDefault="00D8551E" w:rsidP="00311D60">
      <w:pPr>
        <w:pStyle w:val="TableofFigures"/>
        <w:tabs>
          <w:tab w:val="clear" w:pos="284"/>
          <w:tab w:val="left" w:pos="1320"/>
        </w:tabs>
        <w:ind w:left="567" w:hanging="567"/>
        <w:rPr>
          <w:rFonts w:asciiTheme="minorHAnsi" w:eastAsiaTheme="minorEastAsia" w:hAnsiTheme="minorHAnsi" w:cstheme="minorBidi"/>
          <w:color w:val="auto"/>
          <w:sz w:val="22"/>
          <w:szCs w:val="22"/>
          <w:lang w:eastAsia="en-AU"/>
        </w:rPr>
      </w:pPr>
      <w:r>
        <w:t>A1.5</w:t>
      </w:r>
      <w:r>
        <w:rPr>
          <w:rFonts w:asciiTheme="minorHAnsi" w:eastAsiaTheme="minorEastAsia" w:hAnsiTheme="minorHAnsi" w:cstheme="minorBidi"/>
          <w:color w:val="auto"/>
          <w:sz w:val="22"/>
          <w:szCs w:val="22"/>
          <w:lang w:eastAsia="en-AU"/>
        </w:rPr>
        <w:tab/>
      </w:r>
      <w:r>
        <w:t xml:space="preserve">Change in yearly salary in main job by paid leave entitlements in </w:t>
      </w:r>
      <w:r w:rsidR="00311D60">
        <w:br/>
      </w:r>
      <w:r>
        <w:t>the latter year and change in employer, 2007</w:t>
      </w:r>
      <w:r w:rsidR="00311D60">
        <w:t>—</w:t>
      </w:r>
      <w:r>
        <w:t>08 &amp; 2008</w:t>
      </w:r>
      <w:r w:rsidR="00311D60">
        <w:t>—</w:t>
      </w:r>
      <w:r>
        <w:t>09, %</w:t>
      </w:r>
      <w:r>
        <w:tab/>
      </w:r>
      <w:r w:rsidR="00782085">
        <w:fldChar w:fldCharType="begin"/>
      </w:r>
      <w:r>
        <w:instrText xml:space="preserve"> PAGEREF _Toc300838527 \h </w:instrText>
      </w:r>
      <w:r w:rsidR="00782085">
        <w:fldChar w:fldCharType="separate"/>
      </w:r>
      <w:r w:rsidR="003C590E">
        <w:t>40</w:t>
      </w:r>
      <w:r w:rsidR="00782085">
        <w:fldChar w:fldCharType="end"/>
      </w:r>
    </w:p>
    <w:p w:rsidR="00D8551E" w:rsidRDefault="00D8551E" w:rsidP="00311D60">
      <w:pPr>
        <w:pStyle w:val="TableofFigures"/>
        <w:tabs>
          <w:tab w:val="clear" w:pos="284"/>
          <w:tab w:val="left" w:pos="1320"/>
        </w:tabs>
        <w:ind w:left="567" w:hanging="567"/>
        <w:rPr>
          <w:rFonts w:asciiTheme="minorHAnsi" w:eastAsiaTheme="minorEastAsia" w:hAnsiTheme="minorHAnsi" w:cstheme="minorBidi"/>
          <w:color w:val="auto"/>
          <w:sz w:val="22"/>
          <w:szCs w:val="22"/>
          <w:lang w:eastAsia="en-AU"/>
        </w:rPr>
      </w:pPr>
      <w:r>
        <w:t>A1.6</w:t>
      </w:r>
      <w:r>
        <w:rPr>
          <w:rFonts w:asciiTheme="minorHAnsi" w:eastAsiaTheme="minorEastAsia" w:hAnsiTheme="minorHAnsi" w:cstheme="minorBidi"/>
          <w:color w:val="auto"/>
          <w:sz w:val="22"/>
          <w:szCs w:val="22"/>
          <w:lang w:eastAsia="en-AU"/>
        </w:rPr>
        <w:tab/>
      </w:r>
      <w:r>
        <w:t xml:space="preserve">Employees who are no longer entitled to paid leave compared to </w:t>
      </w:r>
      <w:r>
        <w:br/>
        <w:t>previous year, 2006</w:t>
      </w:r>
      <w:r w:rsidR="00311D60">
        <w:t>—</w:t>
      </w:r>
      <w:r>
        <w:t>09, %</w:t>
      </w:r>
      <w:r>
        <w:tab/>
      </w:r>
      <w:r w:rsidR="00782085">
        <w:fldChar w:fldCharType="begin"/>
      </w:r>
      <w:r>
        <w:instrText xml:space="preserve"> PAGEREF _Toc300838528 \h </w:instrText>
      </w:r>
      <w:r w:rsidR="00782085">
        <w:fldChar w:fldCharType="separate"/>
      </w:r>
      <w:r w:rsidR="003C590E">
        <w:t>41</w:t>
      </w:r>
      <w:r w:rsidR="00782085">
        <w:fldChar w:fldCharType="end"/>
      </w:r>
    </w:p>
    <w:p w:rsidR="004E7227" w:rsidRDefault="00782085" w:rsidP="00691289">
      <w:pPr>
        <w:pStyle w:val="Heading2"/>
      </w:pPr>
      <w:r>
        <w:fldChar w:fldCharType="end"/>
      </w:r>
    </w:p>
    <w:p w:rsidR="00691289" w:rsidRDefault="00691289">
      <w:pPr>
        <w:spacing w:before="0" w:line="240" w:lineRule="auto"/>
        <w:rPr>
          <w:b/>
        </w:rPr>
      </w:pPr>
      <w:r>
        <w:rPr>
          <w:b/>
        </w:rPr>
        <w:br w:type="page"/>
      </w:r>
    </w:p>
    <w:p w:rsidR="00691289" w:rsidRDefault="00691289" w:rsidP="00691289">
      <w:pPr>
        <w:pStyle w:val="Heading1"/>
      </w:pPr>
      <w:bookmarkStart w:id="27" w:name="_Toc300838466"/>
      <w:r>
        <w:lastRenderedPageBreak/>
        <w:t>Acknowledgments</w:t>
      </w:r>
      <w:bookmarkEnd w:id="27"/>
    </w:p>
    <w:p w:rsidR="00691289" w:rsidRDefault="00691289" w:rsidP="00691289">
      <w:pPr>
        <w:pStyle w:val="Text"/>
      </w:pPr>
      <w:r>
        <w:t xml:space="preserve">This work has benefited immensely from very useful comments provided by an anonymous referee at NCVER and research assistance provided by Sarah Kennedy-Bates. Excellent technical assistance in formatting and layout was provided by Terri Drage and Katrina Watt. None of these people is responsible for any omissions or imperfections in the analysis or text. </w:t>
      </w:r>
    </w:p>
    <w:p w:rsidR="00691289" w:rsidRDefault="00691289">
      <w:pPr>
        <w:spacing w:before="0" w:line="240" w:lineRule="auto"/>
        <w:rPr>
          <w:b/>
        </w:rPr>
      </w:pP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9E231A" w:rsidRPr="00B86D06" w:rsidRDefault="00FE4A2D" w:rsidP="008C0A74">
      <w:pPr>
        <w:pStyle w:val="Heading1"/>
      </w:pPr>
      <w:bookmarkStart w:id="28" w:name="_Toc300838467"/>
      <w:r w:rsidRPr="00B86D06">
        <w:lastRenderedPageBreak/>
        <w:t>Executive summary</w:t>
      </w:r>
      <w:bookmarkEnd w:id="28"/>
    </w:p>
    <w:bookmarkEnd w:id="18"/>
    <w:bookmarkEnd w:id="19"/>
    <w:bookmarkEnd w:id="20"/>
    <w:bookmarkEnd w:id="21"/>
    <w:p w:rsidR="00691289" w:rsidRPr="00B71E29" w:rsidRDefault="00691289" w:rsidP="00A0366B">
      <w:pPr>
        <w:pStyle w:val="Text"/>
      </w:pPr>
      <w:r w:rsidRPr="00B71E29">
        <w:t>How is mobility changing and what can be done to improve it?</w:t>
      </w:r>
      <w:r>
        <w:t xml:space="preserve"> </w:t>
      </w:r>
      <w:r w:rsidRPr="00B71E29">
        <w:t xml:space="preserve">This paper identifies the key issues that must be considered in designing an effective research </w:t>
      </w:r>
      <w:r>
        <w:t>project to answer this question</w:t>
      </w:r>
      <w:r w:rsidR="00213E0E">
        <w:t xml:space="preserve"> — </w:t>
      </w:r>
      <w:r w:rsidRPr="00B71E29">
        <w:t>especially as it concerns the character of flows of workers between jobs.</w:t>
      </w:r>
    </w:p>
    <w:p w:rsidR="00691289" w:rsidRPr="00B71E29" w:rsidRDefault="00691289" w:rsidP="00A0366B">
      <w:pPr>
        <w:pStyle w:val="Text"/>
      </w:pPr>
      <w:r w:rsidRPr="00B71E29">
        <w:t>In recent years overseas demand for Australian raw materials has triggered a ‘resources boom</w:t>
      </w:r>
      <w:r>
        <w:t xml:space="preserve">’. </w:t>
      </w:r>
      <w:r w:rsidRPr="00B71E29">
        <w:t xml:space="preserve">While the mining industry still only employs </w:t>
      </w:r>
      <w:r>
        <w:t>fewer than 200 000 people</w:t>
      </w:r>
      <w:r w:rsidR="00213E0E">
        <w:t xml:space="preserve"> — </w:t>
      </w:r>
      <w:r>
        <w:t>or less than 2% of employment</w:t>
      </w:r>
      <w:r w:rsidR="00213E0E">
        <w:t xml:space="preserve"> — </w:t>
      </w:r>
      <w:r w:rsidRPr="00B71E29">
        <w:t>its demand for labour has triggered something of</w:t>
      </w:r>
      <w:r>
        <w:t xml:space="preserve"> a ‘moral panic’ amongst policy-</w:t>
      </w:r>
      <w:r w:rsidRPr="00B71E29">
        <w:t>makers</w:t>
      </w:r>
      <w:r>
        <w:t xml:space="preserve">. </w:t>
      </w:r>
      <w:r w:rsidRPr="00B71E29">
        <w:t>This industry regularly claims its capacity to prosper is constrained because too many Australians are not prepared to move to where the jobs are</w:t>
      </w:r>
      <w:r>
        <w:t xml:space="preserve">. </w:t>
      </w:r>
      <w:r w:rsidRPr="00B71E29">
        <w:t>This country, it seems, has a ‘labour mobility problem</w:t>
      </w:r>
      <w:r>
        <w:t>’.</w:t>
      </w:r>
      <w:r w:rsidRPr="00B71E29">
        <w:t xml:space="preserve"> </w:t>
      </w:r>
    </w:p>
    <w:p w:rsidR="00691289" w:rsidRPr="00B71E29" w:rsidRDefault="00691289" w:rsidP="00A0366B">
      <w:pPr>
        <w:pStyle w:val="Text"/>
      </w:pPr>
      <w:r w:rsidRPr="00B71E29">
        <w:t xml:space="preserve">One </w:t>
      </w:r>
      <w:r>
        <w:t>of the key challenges policy-</w:t>
      </w:r>
      <w:r w:rsidRPr="00B71E29">
        <w:t>makers face is the lack of systemic analysis of this issue</w:t>
      </w:r>
      <w:r>
        <w:t xml:space="preserve">. </w:t>
      </w:r>
      <w:r w:rsidRPr="00B71E29">
        <w:t>This paper does not provide the answers</w:t>
      </w:r>
      <w:r>
        <w:t>; i</w:t>
      </w:r>
      <w:r w:rsidRPr="00B71E29">
        <w:t>nstead</w:t>
      </w:r>
      <w:r>
        <w:t>,</w:t>
      </w:r>
      <w:r w:rsidRPr="00B71E29">
        <w:t xml:space="preserve"> it outlines how a better understanding of the nature of Australia’s ‘labour mobility problem’ can be generated</w:t>
      </w:r>
      <w:r>
        <w:t xml:space="preserve">. </w:t>
      </w:r>
      <w:r w:rsidRPr="00B71E29">
        <w:t xml:space="preserve">It does this by: </w:t>
      </w:r>
    </w:p>
    <w:p w:rsidR="00691289" w:rsidRPr="007170C2" w:rsidRDefault="00691289" w:rsidP="007170C2">
      <w:pPr>
        <w:pStyle w:val="Dotpoint1"/>
      </w:pPr>
      <w:r w:rsidRPr="00B71E29">
        <w:t xml:space="preserve">providing a brief overview of the insights generated by previous researchers who have analysed the structure of </w:t>
      </w:r>
      <w:r w:rsidRPr="007170C2">
        <w:t>labour flows in modern market economies</w:t>
      </w:r>
    </w:p>
    <w:p w:rsidR="00691289" w:rsidRPr="007170C2" w:rsidRDefault="00691289" w:rsidP="007170C2">
      <w:pPr>
        <w:pStyle w:val="Dotpoint1"/>
      </w:pPr>
      <w:r w:rsidRPr="007170C2">
        <w:t>distilling the significance of recent qualitative analysis of labour flows in three contrasting sectors: red meat-processing, early childhood services and mining</w:t>
      </w:r>
    </w:p>
    <w:p w:rsidR="00691289" w:rsidRPr="007170C2" w:rsidRDefault="00691289" w:rsidP="007170C2">
      <w:pPr>
        <w:pStyle w:val="Dotpoint1"/>
      </w:pPr>
      <w:r w:rsidRPr="007170C2">
        <w:t xml:space="preserve">deepening insights from this source by locating them in an analysis of labour flows available from a large-scale longitudinal study of the evolution of labour flows and the labour contract (that is, the Australia at work study) </w:t>
      </w:r>
    </w:p>
    <w:p w:rsidR="00691289" w:rsidRPr="00B71E29" w:rsidRDefault="00691289" w:rsidP="007170C2">
      <w:pPr>
        <w:pStyle w:val="Dotpoint1"/>
      </w:pPr>
      <w:r w:rsidRPr="007170C2">
        <w:t>identifying how best</w:t>
      </w:r>
      <w:r w:rsidRPr="00B71E29">
        <w:t xml:space="preserve"> to </w:t>
      </w:r>
      <w:r>
        <w:t>undertake further policy-relevant research on this topic.</w:t>
      </w:r>
      <w:r w:rsidRPr="00B71E29">
        <w:t xml:space="preserve"> </w:t>
      </w:r>
    </w:p>
    <w:p w:rsidR="00691289" w:rsidRPr="00B71E29" w:rsidRDefault="00691289" w:rsidP="00A0366B">
      <w:pPr>
        <w:pStyle w:val="Text"/>
      </w:pPr>
      <w:r w:rsidRPr="00B71E29">
        <w:t>Useful literature on the topic of mobility dates from the 1950s and 1960s</w:t>
      </w:r>
      <w:r>
        <w:t xml:space="preserve">. </w:t>
      </w:r>
      <w:r w:rsidRPr="00B71E29">
        <w:t xml:space="preserve">The </w:t>
      </w:r>
      <w:r>
        <w:t>‘neo</w:t>
      </w:r>
      <w:r w:rsidRPr="00B71E29">
        <w:t>classical realists’ of that era explored and documented the nature of job-to-job mobility with great empirical sensitivity</w:t>
      </w:r>
      <w:r>
        <w:t xml:space="preserve">. </w:t>
      </w:r>
      <w:r w:rsidRPr="00B71E29">
        <w:t xml:space="preserve">In the 1970s and 1980s important </w:t>
      </w:r>
      <w:r>
        <w:t>research</w:t>
      </w:r>
      <w:r w:rsidRPr="00B71E29">
        <w:t xml:space="preserve"> on this topic was undertaken by Goldthorpe and other industrial sociologist</w:t>
      </w:r>
      <w:r>
        <w:t>s</w:t>
      </w:r>
      <w:r w:rsidRPr="00B71E29">
        <w:t xml:space="preserve"> in their work on social mobility</w:t>
      </w:r>
      <w:r>
        <w:t xml:space="preserve">. </w:t>
      </w:r>
      <w:r w:rsidRPr="00B71E29">
        <w:t>In the 1980s and 1990s Marsden and other researchers in the ‘societal effects’ tradition of labour economics/industrial sociology generated new insights</w:t>
      </w:r>
      <w:r>
        <w:t xml:space="preserve">. </w:t>
      </w:r>
      <w:r w:rsidRPr="00B71E29">
        <w:t>Th</w:t>
      </w:r>
      <w:r>
        <w:t>ese</w:t>
      </w:r>
      <w:r w:rsidRPr="00B71E29">
        <w:t xml:space="preserve"> </w:t>
      </w:r>
      <w:r>
        <w:t>showed</w:t>
      </w:r>
      <w:r w:rsidRPr="00B71E29">
        <w:t xml:space="preserve"> the importance of understanding labour flows in the context</w:t>
      </w:r>
      <w:r>
        <w:t> </w:t>
      </w:r>
      <w:r w:rsidRPr="00B71E29">
        <w:t>of employment systems defined primarily as different types of internal and occupational labour markets.</w:t>
      </w:r>
    </w:p>
    <w:p w:rsidR="00691289" w:rsidRPr="00B71E29" w:rsidRDefault="00691289" w:rsidP="00A0366B">
      <w:pPr>
        <w:pStyle w:val="Text"/>
      </w:pPr>
      <w:r w:rsidRPr="00B71E29">
        <w:t xml:space="preserve">To help identify the key issues </w:t>
      </w:r>
      <w:r>
        <w:t>requiring</w:t>
      </w:r>
      <w:r w:rsidRPr="00B71E29">
        <w:t xml:space="preserve"> closer analysis in contemporary Australia, synoptic case studies of three contrasting sectors were undertaken</w:t>
      </w:r>
      <w:r>
        <w:t>. The sectors were</w:t>
      </w:r>
      <w:r w:rsidRPr="00B71E29">
        <w:t xml:space="preserve">: mining, red </w:t>
      </w:r>
      <w:r>
        <w:t>meat-processing</w:t>
      </w:r>
      <w:r w:rsidRPr="00B71E29">
        <w:t xml:space="preserve"> and early childhood services</w:t>
      </w:r>
      <w:r>
        <w:t>. Cross-</w:t>
      </w:r>
      <w:r w:rsidRPr="00B71E29">
        <w:t xml:space="preserve">case analysis </w:t>
      </w:r>
      <w:r>
        <w:t>reveals</w:t>
      </w:r>
      <w:r w:rsidRPr="00B71E29">
        <w:t xml:space="preserve">: </w:t>
      </w:r>
    </w:p>
    <w:p w:rsidR="00691289" w:rsidRPr="007170C2" w:rsidRDefault="00691289" w:rsidP="007170C2">
      <w:pPr>
        <w:pStyle w:val="Dotpoint1"/>
      </w:pPr>
      <w:r w:rsidRPr="00B71E29">
        <w:t xml:space="preserve">There is not one, </w:t>
      </w:r>
      <w:r w:rsidRPr="007170C2">
        <w:t xml:space="preserve">common labour mobility problem. </w:t>
      </w:r>
    </w:p>
    <w:p w:rsidR="00691289" w:rsidRPr="007170C2" w:rsidRDefault="00691289" w:rsidP="007170C2">
      <w:pPr>
        <w:pStyle w:val="Dotpoint1"/>
      </w:pPr>
      <w:r w:rsidRPr="007170C2">
        <w:t>The changing role of women in the workforce affects the labour supply strategies of increasing numbers of households and consequently labour market flows.</w:t>
      </w:r>
    </w:p>
    <w:p w:rsidR="00691289" w:rsidRPr="007170C2" w:rsidRDefault="00691289" w:rsidP="007170C2">
      <w:pPr>
        <w:pStyle w:val="Dotpoint1"/>
      </w:pPr>
      <w:r w:rsidRPr="007170C2">
        <w:t>The roots of many mobility problems are as much related to the structure of jobs as they are to any alleged immobility of labour.</w:t>
      </w:r>
    </w:p>
    <w:p w:rsidR="00691289" w:rsidRPr="00B71E29" w:rsidRDefault="00691289" w:rsidP="007170C2">
      <w:pPr>
        <w:pStyle w:val="Dotpoint1"/>
      </w:pPr>
      <w:r w:rsidRPr="007170C2">
        <w:t>The nature of mobility dy</w:t>
      </w:r>
      <w:r w:rsidRPr="00B71E29">
        <w:t>namics has changed dramatically in recent decades</w:t>
      </w:r>
      <w:r>
        <w:t xml:space="preserve">. </w:t>
      </w:r>
      <w:r w:rsidRPr="00B71E29">
        <w:t>The clearest case is that of mining</w:t>
      </w:r>
      <w:r>
        <w:t>,</w:t>
      </w:r>
      <w:r w:rsidRPr="00B71E29">
        <w:t xml:space="preserve"> where labour flows were previously built around mining towns but now </w:t>
      </w:r>
      <w:r>
        <w:t>rely considerably on</w:t>
      </w:r>
      <w:r w:rsidRPr="00B71E29">
        <w:t xml:space="preserve"> fly-in, fly-out arrangements.</w:t>
      </w:r>
    </w:p>
    <w:p w:rsidR="00691289" w:rsidRPr="00B71E29" w:rsidRDefault="00691289" w:rsidP="00A0366B">
      <w:pPr>
        <w:pStyle w:val="Text"/>
      </w:pPr>
      <w:r w:rsidRPr="00B71E29">
        <w:lastRenderedPageBreak/>
        <w:t xml:space="preserve">Material from the first three waves of the </w:t>
      </w:r>
      <w:r w:rsidRPr="00B71E29">
        <w:rPr>
          <w:i/>
        </w:rPr>
        <w:t>Australia at work</w:t>
      </w:r>
      <w:r>
        <w:t xml:space="preserve"> study of 8</w:t>
      </w:r>
      <w:r w:rsidRPr="00B71E29">
        <w:t>300 workers between 2006 and 2011 was examined to see how labour flows have changed over the latest phase of the business cycle</w:t>
      </w:r>
      <w:r>
        <w:t>,</w:t>
      </w:r>
      <w:r w:rsidR="00213E0E">
        <w:t xml:space="preserve"> including during the Global Financial Crisis,</w:t>
      </w:r>
      <w:r w:rsidRPr="00B71E29">
        <w:t xml:space="preserve"> especially in the three contrasting case study sectors</w:t>
      </w:r>
      <w:r>
        <w:t xml:space="preserve">. </w:t>
      </w:r>
      <w:r w:rsidRPr="00B71E29">
        <w:t>This</w:t>
      </w:r>
      <w:r w:rsidR="00213E0E">
        <w:t> </w:t>
      </w:r>
      <w:r w:rsidRPr="00B71E29">
        <w:t>reveals:</w:t>
      </w:r>
    </w:p>
    <w:p w:rsidR="00691289" w:rsidRPr="007170C2" w:rsidRDefault="00691289" w:rsidP="007170C2">
      <w:pPr>
        <w:pStyle w:val="Dotpoint1"/>
      </w:pPr>
      <w:r w:rsidRPr="00B71E29">
        <w:t>As with previous business cycles</w:t>
      </w:r>
      <w:r>
        <w:t>,</w:t>
      </w:r>
      <w:r w:rsidRPr="00B71E29">
        <w:t xml:space="preserve"> labour </w:t>
      </w:r>
      <w:r w:rsidRPr="007170C2">
        <w:t>mobility rose during the up-swing and fell during the downturn.</w:t>
      </w:r>
    </w:p>
    <w:p w:rsidR="00691289" w:rsidRPr="007170C2" w:rsidRDefault="00691289" w:rsidP="007170C2">
      <w:pPr>
        <w:pStyle w:val="Dotpoint1"/>
      </w:pPr>
      <w:r w:rsidRPr="007170C2">
        <w:t xml:space="preserve">There were qualitative as well as quantitative changes in these labour flows. In particular, </w:t>
      </w:r>
      <w:r w:rsidR="00213E0E">
        <w:t>people</w:t>
      </w:r>
      <w:r w:rsidRPr="007170C2">
        <w:t xml:space="preserve"> changing jobs were less likely to move to jobs with paid leave.</w:t>
      </w:r>
    </w:p>
    <w:p w:rsidR="00691289" w:rsidRPr="00B71E29" w:rsidRDefault="00691289" w:rsidP="007170C2">
      <w:pPr>
        <w:pStyle w:val="Dotpoint1"/>
      </w:pPr>
      <w:r w:rsidRPr="007170C2">
        <w:t>Those who changed jobs were more likely to</w:t>
      </w:r>
      <w:r w:rsidRPr="00B71E29">
        <w:t xml:space="preserve"> experience a drop in earnings and hours of work.</w:t>
      </w:r>
    </w:p>
    <w:p w:rsidR="00691289" w:rsidRPr="00B71E29" w:rsidRDefault="00691289" w:rsidP="00A0366B">
      <w:pPr>
        <w:pStyle w:val="Text"/>
      </w:pPr>
      <w:r w:rsidRPr="00B71E29">
        <w:t>Data</w:t>
      </w:r>
      <w:r>
        <w:t xml:space="preserve"> from this source also indicate</w:t>
      </w:r>
      <w:r w:rsidRPr="00B71E29">
        <w:t xml:space="preserve"> that: </w:t>
      </w:r>
    </w:p>
    <w:p w:rsidR="00691289" w:rsidRPr="007170C2" w:rsidRDefault="00691289" w:rsidP="007170C2">
      <w:pPr>
        <w:pStyle w:val="Dotpoint1"/>
      </w:pPr>
      <w:r w:rsidRPr="00B71E29">
        <w:t>Patterns of labour mobility differ between sectors over the cycle</w:t>
      </w:r>
      <w:r>
        <w:t xml:space="preserve">. </w:t>
      </w:r>
      <w:r w:rsidRPr="00B71E29">
        <w:t xml:space="preserve">While mining conformed to aggregate trends, early childhood services </w:t>
      </w:r>
      <w:r w:rsidRPr="007170C2">
        <w:t>experienced greater flows in and out during the downturn.</w:t>
      </w:r>
    </w:p>
    <w:p w:rsidR="00691289" w:rsidRPr="00B71E29" w:rsidRDefault="00691289" w:rsidP="007170C2">
      <w:pPr>
        <w:pStyle w:val="Dotpoint1"/>
      </w:pPr>
      <w:r w:rsidRPr="007170C2">
        <w:t>Preliminary scrutiny of particular work histories reported</w:t>
      </w:r>
      <w:r w:rsidRPr="00B71E29">
        <w:t xml:space="preserve"> in the data indicate that workers probably</w:t>
      </w:r>
      <w:r>
        <w:t xml:space="preserve"> move in distinct ‘streams’; for example, high-skill manual, elementary manual and undervalued care/low-paid business services</w:t>
      </w:r>
      <w:r w:rsidRPr="00B71E29">
        <w:t>.</w:t>
      </w:r>
    </w:p>
    <w:p w:rsidR="00691289" w:rsidRPr="00B71E29" w:rsidRDefault="00691289" w:rsidP="00A0366B">
      <w:pPr>
        <w:pStyle w:val="Text"/>
      </w:pPr>
      <w:r>
        <w:t xml:space="preserve">To contribute further to our understanding of labour </w:t>
      </w:r>
      <w:r w:rsidRPr="004256C7">
        <w:t>mobility</w:t>
      </w:r>
      <w:r>
        <w:t>, this project identified the following topics for research</w:t>
      </w:r>
      <w:r w:rsidRPr="00B71E29">
        <w:t xml:space="preserve">: </w:t>
      </w:r>
    </w:p>
    <w:p w:rsidR="00691289" w:rsidRPr="007170C2" w:rsidRDefault="00691289" w:rsidP="007170C2">
      <w:pPr>
        <w:pStyle w:val="Dotpoint1"/>
      </w:pPr>
      <w:r w:rsidRPr="00B71E29">
        <w:t xml:space="preserve">Clarify what needs to </w:t>
      </w:r>
      <w:r>
        <w:t>change, that is,</w:t>
      </w:r>
      <w:r w:rsidRPr="00B71E29">
        <w:t xml:space="preserve"> have better mapping of </w:t>
      </w:r>
      <w:r w:rsidRPr="007170C2">
        <w:t>labour flows.</w:t>
      </w:r>
    </w:p>
    <w:p w:rsidR="00691289" w:rsidRPr="007170C2" w:rsidRDefault="00691289" w:rsidP="007170C2">
      <w:pPr>
        <w:pStyle w:val="Dotpoint1"/>
      </w:pPr>
      <w:r w:rsidRPr="007170C2">
        <w:t>Identify the pre-conditions for successful interventions by comparative analyses of labour mobility policy and practice in Sweden, Norway and select sectors and regions in the United States.</w:t>
      </w:r>
    </w:p>
    <w:p w:rsidR="00691289" w:rsidRPr="00B71E29" w:rsidRDefault="00691289" w:rsidP="007170C2">
      <w:pPr>
        <w:pStyle w:val="Dotpoint1"/>
      </w:pPr>
      <w:r w:rsidRPr="007170C2">
        <w:t>Learn from local failures as well as nascent successes. This m</w:t>
      </w:r>
      <w:r w:rsidRPr="00B71E29">
        <w:t>aterial can provide important leads for better labour market po</w:t>
      </w:r>
      <w:r>
        <w:t>licy and the nurturing of inter-</w:t>
      </w:r>
      <w:r w:rsidRPr="00B71E29">
        <w:t>industry workforce development and deployment agreements</w:t>
      </w:r>
      <w:r>
        <w:t xml:space="preserve">. </w:t>
      </w:r>
    </w:p>
    <w:p w:rsidR="00691289" w:rsidRPr="00B71E29" w:rsidRDefault="00691289" w:rsidP="007170C2">
      <w:pPr>
        <w:pStyle w:val="Text"/>
        <w:rPr>
          <w:rFonts w:cs="Arial"/>
          <w:sz w:val="20"/>
        </w:rPr>
      </w:pPr>
      <w:bookmarkStart w:id="29" w:name="_Toc456000800"/>
      <w:bookmarkStart w:id="30" w:name="_Toc457122465"/>
      <w:r w:rsidRPr="00B71E29">
        <w:t>This paper should be read in conjunction with two others commissioned by NCVER</w:t>
      </w:r>
      <w:r>
        <w:t>. One explores</w:t>
      </w:r>
      <w:r w:rsidRPr="00B71E29">
        <w:t xml:space="preserve"> the current nature of labour mobility in Australia using </w:t>
      </w:r>
      <w:r>
        <w:t xml:space="preserve">the </w:t>
      </w:r>
      <w:r w:rsidRPr="00B71E29">
        <w:t xml:space="preserve">ABS’s Labour Mobility Survey </w:t>
      </w:r>
      <w:r>
        <w:t xml:space="preserve">(Sweet 2011). The other is based on </w:t>
      </w:r>
      <w:r w:rsidRPr="00B71E29">
        <w:t xml:space="preserve">the Department of Families, </w:t>
      </w:r>
      <w:r w:rsidRPr="004256C7">
        <w:t>Community</w:t>
      </w:r>
      <w:r w:rsidRPr="00B71E29">
        <w:t xml:space="preserve"> </w:t>
      </w:r>
      <w:r>
        <w:t>Services and Indigenous Affairs and the</w:t>
      </w:r>
      <w:r w:rsidR="007170C2">
        <w:t> </w:t>
      </w:r>
      <w:r w:rsidRPr="00B71E29">
        <w:t>Melbourne Institute</w:t>
      </w:r>
      <w:r>
        <w:t>’s</w:t>
      </w:r>
      <w:r w:rsidRPr="00B71E29">
        <w:t xml:space="preserve"> H</w:t>
      </w:r>
      <w:r>
        <w:t>ousehold, Income and Labour Dynamics of Australia (H</w:t>
      </w:r>
      <w:r w:rsidRPr="00B71E29">
        <w:t>ILDA</w:t>
      </w:r>
      <w:r>
        <w:t>) data</w:t>
      </w:r>
      <w:r w:rsidRPr="00B71E29">
        <w:t>set (Watson 2011).</w:t>
      </w:r>
    </w:p>
    <w:p w:rsidR="00691289" w:rsidRPr="00B71E29" w:rsidRDefault="00691289" w:rsidP="00691289">
      <w:pPr>
        <w:pStyle w:val="Heading1"/>
      </w:pPr>
      <w:r w:rsidRPr="00B71E29">
        <w:br w:type="page"/>
      </w:r>
      <w:bookmarkStart w:id="31" w:name="_Toc297558026"/>
      <w:bookmarkStart w:id="32" w:name="_Toc300838468"/>
      <w:r w:rsidRPr="00B71E29">
        <w:lastRenderedPageBreak/>
        <w:t>Findings</w:t>
      </w:r>
      <w:bookmarkEnd w:id="31"/>
      <w:bookmarkEnd w:id="32"/>
    </w:p>
    <w:p w:rsidR="00691289" w:rsidRPr="00B71E29" w:rsidRDefault="00691289" w:rsidP="00691289">
      <w:pPr>
        <w:pStyle w:val="Heading2"/>
      </w:pPr>
      <w:bookmarkStart w:id="33" w:name="_Toc297558027"/>
      <w:bookmarkStart w:id="34" w:name="_Toc300838469"/>
      <w:bookmarkStart w:id="35" w:name="_Toc265854389"/>
      <w:r>
        <w:t>Insights from the literature</w:t>
      </w:r>
      <w:bookmarkEnd w:id="33"/>
      <w:bookmarkEnd w:id="34"/>
    </w:p>
    <w:p w:rsidR="00691289" w:rsidRPr="003F43B4" w:rsidRDefault="00691289" w:rsidP="007170C2">
      <w:pPr>
        <w:pStyle w:val="Text"/>
      </w:pPr>
      <w:r w:rsidRPr="003F43B4">
        <w:t>Labour mobility has been a topic of ongoing interest to social and economic researchers since the emergence of market societies (McNulty 1980)</w:t>
      </w:r>
      <w:r>
        <w:t xml:space="preserve">. </w:t>
      </w:r>
      <w:r w:rsidRPr="003F43B4">
        <w:t>Indeed, the mobility of labour has been regarded as one of the defining feature</w:t>
      </w:r>
      <w:r>
        <w:t>s</w:t>
      </w:r>
      <w:r w:rsidRPr="003F43B4">
        <w:t xml:space="preserve"> of such societies</w:t>
      </w:r>
      <w:r>
        <w:t>. As with</w:t>
      </w:r>
      <w:r w:rsidRPr="003F43B4">
        <w:t xml:space="preserve"> all other areas of social and economic analysis</w:t>
      </w:r>
      <w:r>
        <w:t>,</w:t>
      </w:r>
      <w:r w:rsidRPr="003F43B4">
        <w:t xml:space="preserve"> there are a number of cross currents in this literature</w:t>
      </w:r>
      <w:r>
        <w:t xml:space="preserve">. </w:t>
      </w:r>
      <w:r w:rsidRPr="003F43B4">
        <w:t xml:space="preserve">Much orthodox analysis has assumed </w:t>
      </w:r>
      <w:r>
        <w:t xml:space="preserve">that </w:t>
      </w:r>
      <w:r w:rsidRPr="003F43B4">
        <w:t>labour can be treated as a homogenous entity amenable to analysis with the conventional tools of neoclassical economic theory</w:t>
      </w:r>
      <w:r>
        <w:t xml:space="preserve">. </w:t>
      </w:r>
      <w:r w:rsidRPr="003F43B4">
        <w:t>There is, however, an equally long tradition which has grappled with the key reality: labour is not homogenous and distinctive categories appropriate for understanding it are needed for robust analysis</w:t>
      </w:r>
      <w:r>
        <w:t xml:space="preserve">. </w:t>
      </w:r>
      <w:r w:rsidRPr="003F43B4">
        <w:t>This analytical starting point is common in industrial sociology, industrial relations, the ‘new institutionalism’ in economics</w:t>
      </w:r>
      <w:r>
        <w:t xml:space="preserve"> and </w:t>
      </w:r>
      <w:r w:rsidRPr="003F43B4">
        <w:t>labour process and labour market segmentation theory</w:t>
      </w:r>
      <w:r>
        <w:t xml:space="preserve"> (Fine 1998;</w:t>
      </w:r>
      <w:r w:rsidRPr="003F43B4">
        <w:t xml:space="preserve"> Marsden 1999)</w:t>
      </w:r>
      <w:r>
        <w:t xml:space="preserve">. </w:t>
      </w:r>
      <w:r w:rsidRPr="003F43B4">
        <w:t>The central notion here is that there is not one ‘labour market’ but rather a series of them</w:t>
      </w:r>
      <w:r>
        <w:t xml:space="preserve">. </w:t>
      </w:r>
      <w:r w:rsidRPr="003F43B4">
        <w:t>Cairnes (1874), for example, noted that the labour market was best understood as being comprised of a series of ‘non-competing groups’</w:t>
      </w:r>
      <w:r>
        <w:t xml:space="preserve">. </w:t>
      </w:r>
      <w:r w:rsidRPr="003F43B4">
        <w:t>A lat</w:t>
      </w:r>
      <w:r>
        <w:t>er generation, known as the neo</w:t>
      </w:r>
      <w:r w:rsidRPr="003F43B4">
        <w:t>classical realists, explored the evolution and interaction of internal and external labour markets</w:t>
      </w:r>
      <w:r>
        <w:t xml:space="preserve">. </w:t>
      </w:r>
      <w:r w:rsidRPr="003F43B4">
        <w:t xml:space="preserve">In more recent times there has been considerable debate </w:t>
      </w:r>
      <w:r>
        <w:t>on</w:t>
      </w:r>
      <w:r w:rsidRPr="003F43B4">
        <w:t xml:space="preserve"> the notion of labour market segmentation and stratification</w:t>
      </w:r>
      <w:r>
        <w:t xml:space="preserve">. </w:t>
      </w:r>
      <w:r w:rsidRPr="003F43B4">
        <w:t xml:space="preserve">The latest current within this broader analytical tradition has examined labour mobility in the context of different </w:t>
      </w:r>
      <w:r>
        <w:t>employment regimes</w:t>
      </w:r>
      <w:r w:rsidR="00213E0E">
        <w:t xml:space="preserve"> — </w:t>
      </w:r>
      <w:r w:rsidRPr="003F43B4">
        <w:t>at both national and sectoral level</w:t>
      </w:r>
      <w:r>
        <w:t xml:space="preserve">s. </w:t>
      </w:r>
    </w:p>
    <w:p w:rsidR="00691289" w:rsidRPr="00B71E29" w:rsidRDefault="00691289" w:rsidP="007170C2">
      <w:pPr>
        <w:pStyle w:val="Text"/>
      </w:pPr>
      <w:r>
        <w:t>A scan of the most recently published literature reveals that current researchers on mobility are primarily concerned with five issues</w:t>
      </w:r>
      <w:r w:rsidRPr="00B71E29">
        <w:t>:</w:t>
      </w:r>
    </w:p>
    <w:p w:rsidR="00691289" w:rsidRPr="007170C2" w:rsidRDefault="00691289" w:rsidP="007170C2">
      <w:pPr>
        <w:pStyle w:val="Dotpoint1"/>
      </w:pPr>
      <w:r w:rsidRPr="00B71E29">
        <w:rPr>
          <w:i/>
        </w:rPr>
        <w:t>The generation of robust data on the topic</w:t>
      </w:r>
      <w:r>
        <w:t>:</w:t>
      </w:r>
      <w:r>
        <w:rPr>
          <w:i/>
        </w:rPr>
        <w:t xml:space="preserve"> </w:t>
      </w:r>
      <w:r>
        <w:t>m</w:t>
      </w:r>
      <w:r w:rsidRPr="00B71E29">
        <w:t>ost of this literature focuses on gross flows and changes in labour force states (</w:t>
      </w:r>
      <w:r>
        <w:t>for example,</w:t>
      </w:r>
      <w:r w:rsidRPr="00B71E29">
        <w:t xml:space="preserve"> flows from ‘not in the labour force</w:t>
      </w:r>
      <w:r>
        <w:t>’</w:t>
      </w:r>
      <w:r w:rsidRPr="00B71E29">
        <w:t xml:space="preserve"> to employment, employment to unemployment, unemploy</w:t>
      </w:r>
      <w:r>
        <w:t>ment to not in the labour force; see</w:t>
      </w:r>
      <w:r w:rsidRPr="00B71E29">
        <w:t xml:space="preserve"> </w:t>
      </w:r>
      <w:r>
        <w:t>Davis, Faberman &amp; Haltiwanger 2006;</w:t>
      </w:r>
      <w:r w:rsidRPr="00B71E29">
        <w:t xml:space="preserve"> Shah </w:t>
      </w:r>
      <w:r w:rsidRPr="007170C2">
        <w:t>&amp; Burke 2004; Van Gils et al. 2008).</w:t>
      </w:r>
    </w:p>
    <w:p w:rsidR="00691289" w:rsidRPr="007170C2" w:rsidRDefault="00691289" w:rsidP="007170C2">
      <w:pPr>
        <w:pStyle w:val="Dotpoint1"/>
      </w:pPr>
      <w:r w:rsidRPr="007170C2">
        <w:rPr>
          <w:i/>
        </w:rPr>
        <w:t>Analysis of key variables associated with these gross flows</w:t>
      </w:r>
      <w:r w:rsidRPr="007170C2">
        <w:t xml:space="preserve">: special attention is devoted to how wage rates affect such flows (for example, Brezzi &amp; Piacentini 2008; Fenech, Waniganayake &amp; Fleet 2009; Gielen &amp; von Ours 2006; Mitchell 2008; Pavlopoulos, Muffels &amp; Vermunt 2005) </w:t>
      </w:r>
    </w:p>
    <w:p w:rsidR="00691289" w:rsidRPr="007170C2" w:rsidRDefault="00691289" w:rsidP="007170C2">
      <w:pPr>
        <w:pStyle w:val="Dotpoint1"/>
      </w:pPr>
      <w:r w:rsidRPr="007170C2">
        <w:rPr>
          <w:i/>
        </w:rPr>
        <w:t>A burgeoning literature on international labour mobility</w:t>
      </w:r>
      <w:r w:rsidRPr="007170C2">
        <w:t>: associated with this is the growing literature on region-level flows within countries, especially the huge internal migrations within China (for example, Andrienko 2010; Lucas 2008; Tunon 2006).</w:t>
      </w:r>
    </w:p>
    <w:p w:rsidR="00691289" w:rsidRPr="007170C2" w:rsidRDefault="00691289" w:rsidP="007170C2">
      <w:pPr>
        <w:pStyle w:val="Dotpoint1"/>
      </w:pPr>
      <w:r w:rsidRPr="007170C2">
        <w:rPr>
          <w:i/>
        </w:rPr>
        <w:t>An allied literature on standards to regulate such flows</w:t>
      </w:r>
      <w:r w:rsidRPr="007170C2">
        <w:t xml:space="preserve">: is now emerging (for example, Baruah &amp; Cholewinski 2006; Lemaitre 2004) </w:t>
      </w:r>
    </w:p>
    <w:p w:rsidR="00691289" w:rsidRPr="00B71E29" w:rsidRDefault="00691289" w:rsidP="007170C2">
      <w:pPr>
        <w:pStyle w:val="Dotpoint1"/>
      </w:pPr>
      <w:r w:rsidRPr="007170C2">
        <w:rPr>
          <w:i/>
        </w:rPr>
        <w:t>The small but significant international comparative</w:t>
      </w:r>
      <w:r w:rsidRPr="00B71E29">
        <w:rPr>
          <w:i/>
        </w:rPr>
        <w:t xml:space="preserve"> </w:t>
      </w:r>
      <w:r w:rsidRPr="00182E45">
        <w:rPr>
          <w:i/>
        </w:rPr>
        <w:t>literature on the nexus between mobility, working life transitions and employment regimes</w:t>
      </w:r>
      <w:r>
        <w:rPr>
          <w:i/>
        </w:rPr>
        <w:t xml:space="preserve">. </w:t>
      </w:r>
      <w:r w:rsidRPr="00B71E29">
        <w:t>This literature explores how labour flows are closely linked to:</w:t>
      </w:r>
    </w:p>
    <w:p w:rsidR="00691289" w:rsidRPr="007170C2" w:rsidRDefault="00691289" w:rsidP="007170C2">
      <w:pPr>
        <w:pStyle w:val="Dotpoint2"/>
      </w:pPr>
      <w:r w:rsidRPr="00B71E29">
        <w:t xml:space="preserve">changing life </w:t>
      </w:r>
      <w:r w:rsidRPr="007170C2">
        <w:t>courses</w:t>
      </w:r>
    </w:p>
    <w:p w:rsidR="00691289" w:rsidRPr="007170C2" w:rsidRDefault="00691289" w:rsidP="007170C2">
      <w:pPr>
        <w:pStyle w:val="Dotpoint2"/>
      </w:pPr>
      <w:r w:rsidRPr="007170C2">
        <w:t>welfare state regimes</w:t>
      </w:r>
    </w:p>
    <w:p w:rsidR="00691289" w:rsidRPr="007170C2" w:rsidRDefault="00691289" w:rsidP="007170C2">
      <w:pPr>
        <w:pStyle w:val="Dotpoint2"/>
      </w:pPr>
      <w:r w:rsidRPr="007170C2">
        <w:t>employment regimes (primarily national)</w:t>
      </w:r>
    </w:p>
    <w:p w:rsidR="00691289" w:rsidRPr="00B71E29" w:rsidRDefault="00691289" w:rsidP="007170C2">
      <w:pPr>
        <w:pStyle w:val="Dotpoint2"/>
      </w:pPr>
      <w:r w:rsidRPr="007170C2">
        <w:t>regional economic</w:t>
      </w:r>
      <w:r>
        <w:t xml:space="preserve"> development (see for example, Auer 2005; Berndt 2010; Mu</w:t>
      </w:r>
      <w:r w:rsidRPr="00B71E29">
        <w:t>ffels et al</w:t>
      </w:r>
      <w:r>
        <w:t>.</w:t>
      </w:r>
      <w:r w:rsidRPr="00B71E29">
        <w:t xml:space="preserve"> 2002)</w:t>
      </w:r>
      <w:r>
        <w:t>.</w:t>
      </w:r>
    </w:p>
    <w:p w:rsidR="00691289" w:rsidRPr="00B71E29" w:rsidRDefault="00691289" w:rsidP="007170C2">
      <w:pPr>
        <w:pStyle w:val="Text"/>
      </w:pPr>
      <w:r w:rsidRPr="00B71E29">
        <w:lastRenderedPageBreak/>
        <w:t xml:space="preserve">Despite this extensive research, very little detailed work has been done on the nature of and </w:t>
      </w:r>
      <w:r>
        <w:t xml:space="preserve">the </w:t>
      </w:r>
      <w:r w:rsidRPr="00B71E29">
        <w:t>dynamics associated with job-to-job flows</w:t>
      </w:r>
      <w:r w:rsidR="00213E0E">
        <w:t xml:space="preserve"> — </w:t>
      </w:r>
      <w:r w:rsidRPr="00B71E29">
        <w:t xml:space="preserve">the issue of most concern </w:t>
      </w:r>
      <w:r>
        <w:t>to contemporary Australian policy-</w:t>
      </w:r>
      <w:r w:rsidRPr="00B71E29">
        <w:t>makers</w:t>
      </w:r>
      <w:r>
        <w:t>. Serious large-</w:t>
      </w:r>
      <w:r w:rsidRPr="00B71E29">
        <w:t xml:space="preserve">scale analysis of this issue commenced with the work of the </w:t>
      </w:r>
      <w:r>
        <w:t>so-called neo</w:t>
      </w:r>
      <w:r w:rsidRPr="00B71E29">
        <w:t>classical realists who dominated labour economics in the 1940s, 1950s and 1960</w:t>
      </w:r>
      <w:r>
        <w:t xml:space="preserve">s (Kaufman 1988). </w:t>
      </w:r>
      <w:r w:rsidRPr="00B71E29">
        <w:t>Reflecting on this work, Dunlop (1988) provided his ‘best guess’ of what non-competing groups looked like during the time he and colleagues like Clarke Kerr and Richard Lester were at their prime</w:t>
      </w:r>
      <w:r w:rsidR="00213E0E">
        <w:t xml:space="preserve"> — </w:t>
      </w:r>
      <w:r w:rsidRPr="00B71E29">
        <w:t>in the middle of last century</w:t>
      </w:r>
      <w:r>
        <w:t xml:space="preserve">. </w:t>
      </w:r>
      <w:r w:rsidRPr="00B71E29">
        <w:t xml:space="preserve">His </w:t>
      </w:r>
      <w:r>
        <w:t>account is summarised in t</w:t>
      </w:r>
      <w:r w:rsidRPr="00B71E29">
        <w:t>able 1</w:t>
      </w:r>
      <w:r>
        <w:t xml:space="preserve">. </w:t>
      </w:r>
    </w:p>
    <w:p w:rsidR="00691289" w:rsidRPr="00C50187" w:rsidRDefault="00691289" w:rsidP="007170C2">
      <w:pPr>
        <w:pStyle w:val="tabletitle"/>
      </w:pPr>
      <w:bookmarkStart w:id="36" w:name="_Toc297558133"/>
      <w:bookmarkStart w:id="37" w:name="_Toc300838518"/>
      <w:r w:rsidRPr="00C50187">
        <w:t>Table 1</w:t>
      </w:r>
      <w:r w:rsidRPr="00C50187">
        <w:tab/>
        <w:t>Suggested categories of non</w:t>
      </w:r>
      <w:r>
        <w:t>-</w:t>
      </w:r>
      <w:r w:rsidRPr="00C50187">
        <w:t xml:space="preserve">competing </w:t>
      </w:r>
      <w:r w:rsidRPr="007170C2">
        <w:t>groups</w:t>
      </w:r>
      <w:r>
        <w:t xml:space="preserve"> in mid-</w:t>
      </w:r>
      <w:r w:rsidRPr="00C50187">
        <w:t xml:space="preserve">twentieth </w:t>
      </w:r>
      <w:r w:rsidRPr="004256C7">
        <w:t>century</w:t>
      </w:r>
      <w:r w:rsidRPr="00C50187">
        <w:t xml:space="preserve"> USA</w:t>
      </w:r>
      <w:bookmarkEnd w:id="36"/>
      <w:bookmarkEnd w:id="37"/>
    </w:p>
    <w:tbl>
      <w:tblPr>
        <w:tblW w:w="8789" w:type="dxa"/>
        <w:tblInd w:w="108" w:type="dxa"/>
        <w:tblBorders>
          <w:top w:val="single" w:sz="4" w:space="0" w:color="auto"/>
          <w:bottom w:val="single" w:sz="4" w:space="0" w:color="auto"/>
        </w:tblBorders>
        <w:tblLayout w:type="fixed"/>
        <w:tblLook w:val="0000"/>
      </w:tblPr>
      <w:tblGrid>
        <w:gridCol w:w="6006"/>
        <w:gridCol w:w="2783"/>
      </w:tblGrid>
      <w:tr w:rsidR="00691289" w:rsidRPr="00B71E29" w:rsidTr="007170C2">
        <w:trPr>
          <w:cantSplit/>
        </w:trPr>
        <w:tc>
          <w:tcPr>
            <w:tcW w:w="5812" w:type="dxa"/>
            <w:tcBorders>
              <w:top w:val="single" w:sz="4" w:space="0" w:color="auto"/>
              <w:bottom w:val="single" w:sz="4" w:space="0" w:color="auto"/>
              <w:right w:val="nil"/>
            </w:tcBorders>
          </w:tcPr>
          <w:p w:rsidR="00691289" w:rsidRPr="00B71E29" w:rsidRDefault="00691289" w:rsidP="00A0366B">
            <w:pPr>
              <w:pStyle w:val="Tablehead1"/>
            </w:pPr>
            <w:r w:rsidRPr="00B71E29">
              <w:t>Category</w:t>
            </w:r>
          </w:p>
        </w:tc>
        <w:tc>
          <w:tcPr>
            <w:tcW w:w="2693" w:type="dxa"/>
            <w:tcBorders>
              <w:top w:val="single" w:sz="4" w:space="0" w:color="auto"/>
              <w:left w:val="nil"/>
              <w:bottom w:val="single" w:sz="4" w:space="0" w:color="auto"/>
              <w:right w:val="nil"/>
            </w:tcBorders>
          </w:tcPr>
          <w:p w:rsidR="00691289" w:rsidRPr="00B71E29" w:rsidRDefault="00691289" w:rsidP="00A0366B">
            <w:pPr>
              <w:pStyle w:val="Tablehead1"/>
              <w:jc w:val="center"/>
            </w:pPr>
            <w:r w:rsidRPr="00B71E29">
              <w:t xml:space="preserve">Percentage of total </w:t>
            </w:r>
            <w:r>
              <w:br/>
            </w:r>
            <w:r w:rsidRPr="00B71E29">
              <w:t>civilian labour force</w:t>
            </w:r>
          </w:p>
        </w:tc>
      </w:tr>
      <w:tr w:rsidR="00691289" w:rsidRPr="00B71E29" w:rsidTr="007170C2">
        <w:trPr>
          <w:cantSplit/>
        </w:trPr>
        <w:tc>
          <w:tcPr>
            <w:tcW w:w="5812" w:type="dxa"/>
            <w:tcBorders>
              <w:top w:val="nil"/>
              <w:bottom w:val="nil"/>
              <w:right w:val="nil"/>
            </w:tcBorders>
          </w:tcPr>
          <w:p w:rsidR="00691289" w:rsidRPr="00B71E29" w:rsidRDefault="00691289" w:rsidP="00A0366B">
            <w:pPr>
              <w:pStyle w:val="Tabletext"/>
            </w:pPr>
            <w:r w:rsidRPr="00B71E29">
              <w:t>Production and maintenance in larger enterprises (non-exempt employees)</w:t>
            </w:r>
          </w:p>
        </w:tc>
        <w:tc>
          <w:tcPr>
            <w:tcW w:w="2693" w:type="dxa"/>
            <w:tcBorders>
              <w:top w:val="nil"/>
              <w:left w:val="nil"/>
              <w:bottom w:val="nil"/>
              <w:right w:val="nil"/>
            </w:tcBorders>
          </w:tcPr>
          <w:p w:rsidR="00691289" w:rsidRPr="00B71E29" w:rsidRDefault="00691289" w:rsidP="00A0366B">
            <w:pPr>
              <w:pStyle w:val="Tabletext"/>
              <w:tabs>
                <w:tab w:val="decimal" w:pos="1332"/>
              </w:tabs>
            </w:pPr>
            <w:r w:rsidRPr="00B71E29">
              <w:t>20</w:t>
            </w:r>
          </w:p>
        </w:tc>
      </w:tr>
      <w:tr w:rsidR="00691289" w:rsidRPr="00B71E29" w:rsidTr="007170C2">
        <w:trPr>
          <w:cantSplit/>
        </w:trPr>
        <w:tc>
          <w:tcPr>
            <w:tcW w:w="5812" w:type="dxa"/>
            <w:tcBorders>
              <w:top w:val="nil"/>
              <w:bottom w:val="nil"/>
              <w:right w:val="nil"/>
            </w:tcBorders>
          </w:tcPr>
          <w:p w:rsidR="00691289" w:rsidRPr="00B71E29" w:rsidRDefault="00691289" w:rsidP="00A0366B">
            <w:pPr>
              <w:pStyle w:val="Tabletext"/>
            </w:pPr>
            <w:r w:rsidRPr="00B71E29">
              <w:t>Supervisory, technical, and professional (exempt employees)</w:t>
            </w:r>
          </w:p>
        </w:tc>
        <w:tc>
          <w:tcPr>
            <w:tcW w:w="2693" w:type="dxa"/>
            <w:tcBorders>
              <w:top w:val="nil"/>
              <w:left w:val="nil"/>
              <w:bottom w:val="nil"/>
              <w:right w:val="nil"/>
            </w:tcBorders>
          </w:tcPr>
          <w:p w:rsidR="00691289" w:rsidRPr="00B71E29" w:rsidRDefault="00691289" w:rsidP="00A0366B">
            <w:pPr>
              <w:pStyle w:val="Tabletext"/>
              <w:tabs>
                <w:tab w:val="decimal" w:pos="1332"/>
              </w:tabs>
            </w:pPr>
            <w:r w:rsidRPr="00B71E29">
              <w:t>12</w:t>
            </w:r>
          </w:p>
        </w:tc>
      </w:tr>
      <w:tr w:rsidR="00691289" w:rsidRPr="00B71E29" w:rsidTr="007170C2">
        <w:trPr>
          <w:cantSplit/>
        </w:trPr>
        <w:tc>
          <w:tcPr>
            <w:tcW w:w="5812" w:type="dxa"/>
            <w:tcBorders>
              <w:top w:val="nil"/>
              <w:bottom w:val="nil"/>
              <w:right w:val="nil"/>
            </w:tcBorders>
          </w:tcPr>
          <w:p w:rsidR="00691289" w:rsidRPr="00B71E29" w:rsidRDefault="00691289" w:rsidP="00A0366B">
            <w:pPr>
              <w:pStyle w:val="Tabletext"/>
            </w:pPr>
            <w:r w:rsidRPr="00B71E29">
              <w:t>Clerical occupations in larger enterprises</w:t>
            </w:r>
          </w:p>
        </w:tc>
        <w:tc>
          <w:tcPr>
            <w:tcW w:w="2693" w:type="dxa"/>
            <w:tcBorders>
              <w:top w:val="nil"/>
              <w:left w:val="nil"/>
              <w:bottom w:val="nil"/>
              <w:right w:val="nil"/>
            </w:tcBorders>
          </w:tcPr>
          <w:p w:rsidR="00691289" w:rsidRPr="00B71E29" w:rsidRDefault="00691289" w:rsidP="00A0366B">
            <w:pPr>
              <w:pStyle w:val="Tabletext"/>
              <w:tabs>
                <w:tab w:val="decimal" w:pos="1332"/>
              </w:tabs>
            </w:pPr>
            <w:r w:rsidRPr="00B71E29">
              <w:t>10</w:t>
            </w:r>
          </w:p>
        </w:tc>
      </w:tr>
      <w:tr w:rsidR="00691289" w:rsidRPr="00B71E29" w:rsidTr="007170C2">
        <w:trPr>
          <w:cantSplit/>
        </w:trPr>
        <w:tc>
          <w:tcPr>
            <w:tcW w:w="5812" w:type="dxa"/>
            <w:tcBorders>
              <w:top w:val="nil"/>
              <w:bottom w:val="nil"/>
              <w:right w:val="nil"/>
            </w:tcBorders>
          </w:tcPr>
          <w:p w:rsidR="00691289" w:rsidRPr="00B71E29" w:rsidRDefault="00691289" w:rsidP="00A0366B">
            <w:pPr>
              <w:pStyle w:val="Tabletext"/>
            </w:pPr>
            <w:r w:rsidRPr="00B71E29">
              <w:t>Top management grades in larger enterprises</w:t>
            </w:r>
          </w:p>
        </w:tc>
        <w:tc>
          <w:tcPr>
            <w:tcW w:w="2693" w:type="dxa"/>
            <w:tcBorders>
              <w:top w:val="nil"/>
              <w:left w:val="nil"/>
              <w:bottom w:val="nil"/>
              <w:right w:val="nil"/>
            </w:tcBorders>
          </w:tcPr>
          <w:p w:rsidR="00691289" w:rsidRPr="00B71E29" w:rsidRDefault="00691289" w:rsidP="00A0366B">
            <w:pPr>
              <w:pStyle w:val="Tabletext"/>
              <w:tabs>
                <w:tab w:val="decimal" w:pos="1332"/>
              </w:tabs>
            </w:pPr>
            <w:r w:rsidRPr="00B71E29">
              <w:t>2</w:t>
            </w:r>
          </w:p>
        </w:tc>
      </w:tr>
      <w:tr w:rsidR="00691289" w:rsidRPr="00B71E29" w:rsidTr="007170C2">
        <w:trPr>
          <w:cantSplit/>
        </w:trPr>
        <w:tc>
          <w:tcPr>
            <w:tcW w:w="5812" w:type="dxa"/>
            <w:tcBorders>
              <w:top w:val="nil"/>
              <w:bottom w:val="nil"/>
              <w:right w:val="nil"/>
            </w:tcBorders>
          </w:tcPr>
          <w:p w:rsidR="00691289" w:rsidRPr="00B71E29" w:rsidRDefault="00691289" w:rsidP="00A0366B">
            <w:pPr>
              <w:pStyle w:val="Tabletext"/>
            </w:pPr>
            <w:r w:rsidRPr="00B71E29">
              <w:t>Self-employment</w:t>
            </w:r>
          </w:p>
        </w:tc>
        <w:tc>
          <w:tcPr>
            <w:tcW w:w="2693" w:type="dxa"/>
            <w:tcBorders>
              <w:top w:val="nil"/>
              <w:left w:val="nil"/>
              <w:bottom w:val="nil"/>
              <w:right w:val="nil"/>
            </w:tcBorders>
          </w:tcPr>
          <w:p w:rsidR="00691289" w:rsidRPr="00B71E29" w:rsidRDefault="00691289" w:rsidP="00A0366B">
            <w:pPr>
              <w:pStyle w:val="Tabletext"/>
              <w:tabs>
                <w:tab w:val="decimal" w:pos="1332"/>
              </w:tabs>
            </w:pPr>
            <w:r w:rsidRPr="00B71E29">
              <w:t>8</w:t>
            </w:r>
          </w:p>
        </w:tc>
      </w:tr>
      <w:tr w:rsidR="00691289" w:rsidRPr="00B71E29" w:rsidTr="007170C2">
        <w:trPr>
          <w:cantSplit/>
        </w:trPr>
        <w:tc>
          <w:tcPr>
            <w:tcW w:w="5812" w:type="dxa"/>
            <w:tcBorders>
              <w:top w:val="nil"/>
              <w:bottom w:val="nil"/>
              <w:right w:val="nil"/>
            </w:tcBorders>
          </w:tcPr>
          <w:p w:rsidR="00691289" w:rsidRPr="00B71E29" w:rsidRDefault="00691289" w:rsidP="00A0366B">
            <w:pPr>
              <w:pStyle w:val="Tabletext"/>
            </w:pPr>
            <w:r w:rsidRPr="00B71E29">
              <w:t>Voluntary associations</w:t>
            </w:r>
          </w:p>
        </w:tc>
        <w:tc>
          <w:tcPr>
            <w:tcW w:w="2693" w:type="dxa"/>
            <w:tcBorders>
              <w:top w:val="nil"/>
              <w:left w:val="nil"/>
              <w:bottom w:val="nil"/>
              <w:right w:val="nil"/>
            </w:tcBorders>
          </w:tcPr>
          <w:p w:rsidR="00691289" w:rsidRPr="00B71E29" w:rsidRDefault="00691289" w:rsidP="00A0366B">
            <w:pPr>
              <w:pStyle w:val="Tabletext"/>
              <w:tabs>
                <w:tab w:val="decimal" w:pos="1332"/>
              </w:tabs>
            </w:pPr>
            <w:r w:rsidRPr="00B71E29">
              <w:t>3</w:t>
            </w:r>
          </w:p>
        </w:tc>
      </w:tr>
      <w:tr w:rsidR="00691289" w:rsidRPr="00B71E29" w:rsidTr="007170C2">
        <w:trPr>
          <w:cantSplit/>
        </w:trPr>
        <w:tc>
          <w:tcPr>
            <w:tcW w:w="5812" w:type="dxa"/>
            <w:tcBorders>
              <w:top w:val="nil"/>
              <w:bottom w:val="nil"/>
              <w:right w:val="nil"/>
            </w:tcBorders>
          </w:tcPr>
          <w:p w:rsidR="00691289" w:rsidRPr="00B71E29" w:rsidRDefault="00691289" w:rsidP="00A0366B">
            <w:pPr>
              <w:pStyle w:val="Tabletext"/>
            </w:pPr>
            <w:r w:rsidRPr="00B71E29">
              <w:t>Public sector (federal, state, and local)</w:t>
            </w:r>
          </w:p>
        </w:tc>
        <w:tc>
          <w:tcPr>
            <w:tcW w:w="2693" w:type="dxa"/>
            <w:tcBorders>
              <w:top w:val="nil"/>
              <w:left w:val="nil"/>
              <w:bottom w:val="nil"/>
              <w:right w:val="nil"/>
            </w:tcBorders>
          </w:tcPr>
          <w:p w:rsidR="00691289" w:rsidRPr="00B71E29" w:rsidRDefault="00691289" w:rsidP="00A0366B">
            <w:pPr>
              <w:pStyle w:val="Tabletext"/>
              <w:tabs>
                <w:tab w:val="decimal" w:pos="1332"/>
              </w:tabs>
            </w:pPr>
            <w:r w:rsidRPr="00B71E29">
              <w:t>15</w:t>
            </w:r>
          </w:p>
        </w:tc>
      </w:tr>
      <w:tr w:rsidR="00691289" w:rsidRPr="00B71E29" w:rsidTr="007170C2">
        <w:trPr>
          <w:cantSplit/>
        </w:trPr>
        <w:tc>
          <w:tcPr>
            <w:tcW w:w="5812" w:type="dxa"/>
            <w:tcBorders>
              <w:top w:val="nil"/>
              <w:bottom w:val="single" w:sz="4" w:space="0" w:color="auto"/>
              <w:right w:val="nil"/>
            </w:tcBorders>
          </w:tcPr>
          <w:p w:rsidR="00691289" w:rsidRPr="00B71E29" w:rsidRDefault="00691289" w:rsidP="00A0366B">
            <w:pPr>
              <w:pStyle w:val="Tabletext"/>
            </w:pPr>
            <w:r w:rsidRPr="00B71E29">
              <w:t>Small enterprises, all grades</w:t>
            </w:r>
          </w:p>
        </w:tc>
        <w:tc>
          <w:tcPr>
            <w:tcW w:w="2693" w:type="dxa"/>
            <w:tcBorders>
              <w:top w:val="nil"/>
              <w:left w:val="nil"/>
              <w:bottom w:val="single" w:sz="4" w:space="0" w:color="auto"/>
              <w:right w:val="nil"/>
            </w:tcBorders>
          </w:tcPr>
          <w:p w:rsidR="00691289" w:rsidRPr="00B71E29" w:rsidRDefault="00691289" w:rsidP="00A0366B">
            <w:pPr>
              <w:pStyle w:val="Tabletext"/>
              <w:tabs>
                <w:tab w:val="decimal" w:pos="1332"/>
              </w:tabs>
            </w:pPr>
            <w:r w:rsidRPr="00B71E29">
              <w:t>30</w:t>
            </w:r>
          </w:p>
        </w:tc>
      </w:tr>
    </w:tbl>
    <w:p w:rsidR="00691289" w:rsidRPr="00B71E29" w:rsidRDefault="00691289" w:rsidP="00691289">
      <w:pPr>
        <w:pStyle w:val="Source"/>
      </w:pPr>
      <w:r w:rsidRPr="00B71E29">
        <w:t>Source:</w:t>
      </w:r>
      <w:r w:rsidRPr="00B71E29">
        <w:tab/>
      </w:r>
      <w:r w:rsidRPr="004256C7">
        <w:t>Dunlop</w:t>
      </w:r>
      <w:r w:rsidRPr="00B71E29">
        <w:t xml:space="preserve"> </w:t>
      </w:r>
      <w:r>
        <w:t>(</w:t>
      </w:r>
      <w:r w:rsidRPr="00B71E29">
        <w:t>1988</w:t>
      </w:r>
      <w:r>
        <w:t>)</w:t>
      </w:r>
      <w:r w:rsidRPr="00B71E29">
        <w:t>.</w:t>
      </w:r>
    </w:p>
    <w:p w:rsidR="00691289" w:rsidRDefault="00691289" w:rsidP="00CE146C">
      <w:pPr>
        <w:pStyle w:val="Textmorebefore"/>
      </w:pPr>
      <w:bookmarkStart w:id="38" w:name="_Toc294703194"/>
      <w:r w:rsidRPr="00B71E29">
        <w:t xml:space="preserve">As </w:t>
      </w:r>
      <w:r>
        <w:t>Dunlop (</w:t>
      </w:r>
      <w:r w:rsidRPr="00B71E29">
        <w:t>1988) notes, ‘the lines</w:t>
      </w:r>
      <w:r>
        <w:t xml:space="preserve"> of demarcation are not hard’</w:t>
      </w:r>
      <w:r w:rsidR="00213E0E">
        <w:t xml:space="preserve"> — </w:t>
      </w:r>
      <w:r w:rsidRPr="00B71E29">
        <w:t>but what they lack in precision they make up for in capturing something distinctive about how labour markets are structured</w:t>
      </w:r>
      <w:r>
        <w:t xml:space="preserve">. </w:t>
      </w:r>
      <w:r w:rsidRPr="00B71E29">
        <w:t>What is powerful about this schema is that the workforce is not divided neatly on the basis of categories that make a priori, categorical ‘sense’</w:t>
      </w:r>
      <w:r>
        <w:t xml:space="preserve">. </w:t>
      </w:r>
      <w:r w:rsidRPr="00B71E29">
        <w:t>Today we often consider ‘industry’ and ‘occupational’ breakdowns</w:t>
      </w:r>
      <w:r>
        <w:t xml:space="preserve">. </w:t>
      </w:r>
      <w:r w:rsidRPr="00B71E29">
        <w:t>By blending industry and occupation we can sometimes get closer to how ensembles of practice work</w:t>
      </w:r>
      <w:r>
        <w:t xml:space="preserve">. </w:t>
      </w:r>
      <w:r w:rsidRPr="00B71E29">
        <w:t>But such splicing is limited by the categories used in the defining frameworks</w:t>
      </w:r>
      <w:r>
        <w:t xml:space="preserve">. </w:t>
      </w:r>
      <w:r w:rsidRPr="00B71E29">
        <w:t>Often labour cannot be helpfully classified by industry and then by occupation</w:t>
      </w:r>
      <w:r>
        <w:t xml:space="preserve">. </w:t>
      </w:r>
      <w:r w:rsidRPr="00B71E29">
        <w:t>It often involves a blend of both</w:t>
      </w:r>
      <w:r>
        <w:t xml:space="preserve">. </w:t>
      </w:r>
      <w:r w:rsidRPr="00B71E29">
        <w:t xml:space="preserve">The classic cases here are engineering and </w:t>
      </w:r>
      <w:r>
        <w:t>information technology (</w:t>
      </w:r>
      <w:r w:rsidRPr="00B71E29">
        <w:t>IT</w:t>
      </w:r>
      <w:r>
        <w:t>)</w:t>
      </w:r>
      <w:r w:rsidRPr="00B71E29">
        <w:t xml:space="preserve"> labour</w:t>
      </w:r>
      <w:r>
        <w:t xml:space="preserve">. </w:t>
      </w:r>
      <w:r w:rsidRPr="00B71E29">
        <w:t>Maintenance engineers, such as metal fitters and machinist or boiler makers</w:t>
      </w:r>
      <w:r>
        <w:t>,</w:t>
      </w:r>
      <w:r w:rsidRPr="00B71E29">
        <w:t xml:space="preserve"> do not just work in ‘manufacturing’</w:t>
      </w:r>
      <w:r>
        <w:t xml:space="preserve">. </w:t>
      </w:r>
      <w:r w:rsidRPr="00B71E29">
        <w:t>They are found in sectors as diverse as retail, wholesale and health</w:t>
      </w:r>
      <w:r>
        <w:t>. Equally, information communication technologies (ICT)</w:t>
      </w:r>
      <w:r w:rsidRPr="00B71E29">
        <w:t xml:space="preserve"> workers are not just engaged in the specialised information services sector, but spread throughout nearly every other industry</w:t>
      </w:r>
      <w:r>
        <w:t xml:space="preserve">. </w:t>
      </w:r>
      <w:r w:rsidRPr="00B71E29">
        <w:t xml:space="preserve">Along with the importance of understanding labour on the basis of </w:t>
      </w:r>
      <w:r w:rsidRPr="00B71E29">
        <w:rPr>
          <w:i/>
        </w:rPr>
        <w:t>the nature of work performed</w:t>
      </w:r>
      <w:r>
        <w:t>,</w:t>
      </w:r>
      <w:r w:rsidRPr="00B71E29">
        <w:t xml:space="preserve"> it is also important to give due weight to </w:t>
      </w:r>
      <w:r w:rsidRPr="00B71E29">
        <w:rPr>
          <w:i/>
        </w:rPr>
        <w:t>the form of business organisation and labour contract within which it is embedded</w:t>
      </w:r>
      <w:r>
        <w:t xml:space="preserve">. </w:t>
      </w:r>
      <w:r w:rsidRPr="00B71E29">
        <w:t xml:space="preserve">This concerns whether work is performed in a large or small enterprise, and whether </w:t>
      </w:r>
      <w:r>
        <w:t>it is</w:t>
      </w:r>
      <w:r w:rsidRPr="00B71E29">
        <w:t xml:space="preserve"> engaged on a ‘standard employee’, casual or contractor basis</w:t>
      </w:r>
      <w:r>
        <w:t xml:space="preserve">. </w:t>
      </w:r>
    </w:p>
    <w:p w:rsidR="00691289" w:rsidRDefault="00691289" w:rsidP="007170C2">
      <w:pPr>
        <w:pStyle w:val="Text"/>
      </w:pPr>
      <w:r w:rsidRPr="00B71E29">
        <w:t>The rea</w:t>
      </w:r>
      <w:r>
        <w:t>lity is that the nature of labour</w:t>
      </w:r>
      <w:r w:rsidR="00213E0E">
        <w:t xml:space="preserve"> — </w:t>
      </w:r>
      <w:r w:rsidRPr="00B71E29">
        <w:t>and flows o</w:t>
      </w:r>
      <w:r>
        <w:t>f similar streams of labour</w:t>
      </w:r>
      <w:r w:rsidR="00213E0E">
        <w:t xml:space="preserve"> — </w:t>
      </w:r>
      <w:r w:rsidRPr="00B71E29">
        <w:t>rarely fits neatly into the categories commonly used in policy discourse today</w:t>
      </w:r>
      <w:r>
        <w:t xml:space="preserve">. </w:t>
      </w:r>
      <w:r w:rsidRPr="00B71E29">
        <w:t>More often than not they are most accurately classified using a schema like that of Dunlop’s</w:t>
      </w:r>
      <w:r>
        <w:t xml:space="preserve">. </w:t>
      </w:r>
      <w:r w:rsidRPr="00B71E29">
        <w:t xml:space="preserve">The problem is </w:t>
      </w:r>
      <w:r>
        <w:t xml:space="preserve">that </w:t>
      </w:r>
      <w:r w:rsidRPr="00B71E29">
        <w:t>Dunlop’s captures the world as it was in the middle of the last century.</w:t>
      </w:r>
      <w:bookmarkStart w:id="39" w:name="_Toc294703195"/>
      <w:bookmarkEnd w:id="38"/>
    </w:p>
    <w:p w:rsidR="00691289" w:rsidRPr="00B71E29" w:rsidRDefault="00691289" w:rsidP="007170C2">
      <w:pPr>
        <w:pStyle w:val="Text"/>
      </w:pPr>
      <w:r w:rsidRPr="00B71E29">
        <w:t>Fortunately</w:t>
      </w:r>
      <w:r>
        <w:t>, a number of large-</w:t>
      </w:r>
      <w:r w:rsidRPr="00B71E29">
        <w:t>scale research programs have devised schema more relevant to today’s labour market</w:t>
      </w:r>
      <w:r>
        <w:t xml:space="preserve">. </w:t>
      </w:r>
      <w:r w:rsidRPr="00B71E29">
        <w:t>The hallmark of these more recent contributions is that</w:t>
      </w:r>
      <w:r>
        <w:t>,</w:t>
      </w:r>
      <w:r w:rsidRPr="00B71E29">
        <w:t xml:space="preserve"> while they too are empirically grounded, their categories are based on carefully derived conceptual underpinnings</w:t>
      </w:r>
      <w:r>
        <w:t xml:space="preserve">. </w:t>
      </w:r>
      <w:r w:rsidRPr="00B71E29">
        <w:t xml:space="preserve">These schemas, and the debates around them, provide powerful pointers </w:t>
      </w:r>
      <w:r>
        <w:t>to</w:t>
      </w:r>
      <w:r w:rsidRPr="00B71E29">
        <w:t xml:space="preserve"> the categories that should </w:t>
      </w:r>
      <w:r>
        <w:t>inform</w:t>
      </w:r>
      <w:r w:rsidRPr="00B71E29">
        <w:t xml:space="preserve"> our analysis of labour mobility today.</w:t>
      </w:r>
      <w:bookmarkEnd w:id="39"/>
    </w:p>
    <w:p w:rsidR="00691289" w:rsidRPr="00B71E29" w:rsidRDefault="00691289" w:rsidP="007170C2">
      <w:pPr>
        <w:pStyle w:val="Text"/>
      </w:pPr>
      <w:r w:rsidRPr="00B71E29">
        <w:lastRenderedPageBreak/>
        <w:t>Arguably</w:t>
      </w:r>
      <w:r>
        <w:t>,</w:t>
      </w:r>
      <w:r w:rsidRPr="00B71E29">
        <w:t xml:space="preserve"> the most influential schema has been devised by industrial sociologists building on the work of John Goldthorpe</w:t>
      </w:r>
      <w:r>
        <w:t xml:space="preserve"> and others (for example, Goldthorpe 1980; Erikson &amp; Goldthorpe 1992</w:t>
      </w:r>
      <w:r w:rsidRPr="00B71E29">
        <w:t>)</w:t>
      </w:r>
      <w:r>
        <w:t xml:space="preserve">. </w:t>
      </w:r>
      <w:r w:rsidRPr="00B71E29">
        <w:t>Their interest has been in social mobility at large, not job mobility in the labour market</w:t>
      </w:r>
      <w:r>
        <w:t xml:space="preserve">. </w:t>
      </w:r>
      <w:r w:rsidRPr="00B71E29">
        <w:t>The labour market, however, plays a defining role in their framework for understanding flows in modern society</w:t>
      </w:r>
      <w:r>
        <w:t xml:space="preserve">. </w:t>
      </w:r>
      <w:r w:rsidRPr="00B71E29">
        <w:t>Goldthorpe’s class schema, as it is known, classifies people (and often households) on the basis of two dimensions: labour market situation and work situation</w:t>
      </w:r>
      <w:r>
        <w:t xml:space="preserve">. </w:t>
      </w:r>
      <w:r w:rsidRPr="00B71E29">
        <w:rPr>
          <w:i/>
        </w:rPr>
        <w:t>Market situation</w:t>
      </w:r>
      <w:r w:rsidRPr="00B71E29">
        <w:t xml:space="preserve"> classifies people in terms of ‘their sources and levels of income, their degree of economic security and chances of economic advancement’ (Lockwood 1980, cited in Marshall 1998)</w:t>
      </w:r>
      <w:r>
        <w:t xml:space="preserve">. </w:t>
      </w:r>
      <w:r>
        <w:rPr>
          <w:i/>
        </w:rPr>
        <w:t>Work s</w:t>
      </w:r>
      <w:r w:rsidRPr="00B71E29">
        <w:rPr>
          <w:i/>
        </w:rPr>
        <w:t>ituation</w:t>
      </w:r>
      <w:r w:rsidRPr="00B71E29">
        <w:t xml:space="preserve"> refers to</w:t>
      </w:r>
      <w:r>
        <w:t>:</w:t>
      </w:r>
      <w:r w:rsidRPr="00B71E29">
        <w:t xml:space="preserve"> </w:t>
      </w:r>
    </w:p>
    <w:p w:rsidR="00691289" w:rsidRPr="00CF49A1" w:rsidRDefault="00691289" w:rsidP="007170C2">
      <w:pPr>
        <w:pStyle w:val="Quote"/>
      </w:pPr>
      <w:r w:rsidRPr="00CF49A1">
        <w:t xml:space="preserve">their location within the system of authority and control governing the process of </w:t>
      </w:r>
      <w:r w:rsidRPr="007170C2">
        <w:t>production</w:t>
      </w:r>
      <w:r w:rsidRPr="00CF49A1">
        <w:t xml:space="preserve"> in which they are engaged, and hence in their degree of autonomy in performing their work tasks and roles</w:t>
      </w:r>
      <w:r>
        <w:t>.</w:t>
      </w:r>
      <w:r>
        <w:tab/>
      </w:r>
      <w:r w:rsidRPr="00CF49A1">
        <w:t>(Goldthorpe 1980, cited in Marshall 1998)</w:t>
      </w:r>
    </w:p>
    <w:p w:rsidR="00691289" w:rsidRPr="00B71E29" w:rsidRDefault="00691289" w:rsidP="007170C2">
      <w:pPr>
        <w:pStyle w:val="Text"/>
      </w:pPr>
      <w:r w:rsidRPr="00B71E29">
        <w:t>Using these criteria</w:t>
      </w:r>
      <w:r>
        <w:t>,</w:t>
      </w:r>
      <w:r w:rsidRPr="00B71E29">
        <w:t xml:space="preserve"> Goldthorpe’s classificatory system identified 11 basic categories for making sense of the employed workforce</w:t>
      </w:r>
      <w:r>
        <w:t>. This is summarised in t</w:t>
      </w:r>
      <w:r w:rsidRPr="00B71E29">
        <w:t xml:space="preserve">able 2. </w:t>
      </w:r>
    </w:p>
    <w:p w:rsidR="00691289" w:rsidRPr="00C50187" w:rsidRDefault="00691289" w:rsidP="00691289">
      <w:pPr>
        <w:pStyle w:val="tabletitle"/>
      </w:pPr>
      <w:bookmarkStart w:id="40" w:name="_Toc297558134"/>
      <w:bookmarkStart w:id="41" w:name="_Toc300838519"/>
      <w:r>
        <w:t>Table 2</w:t>
      </w:r>
      <w:r>
        <w:tab/>
      </w:r>
      <w:r w:rsidRPr="004E42DC">
        <w:t>The</w:t>
      </w:r>
      <w:r w:rsidRPr="00C50187">
        <w:t xml:space="preserve"> Goldthorpe class categories</w:t>
      </w:r>
      <w:bookmarkEnd w:id="40"/>
      <w:bookmarkEnd w:id="41"/>
    </w:p>
    <w:tbl>
      <w:tblPr>
        <w:tblW w:w="8789" w:type="dxa"/>
        <w:tblInd w:w="108" w:type="dxa"/>
        <w:tblBorders>
          <w:top w:val="single" w:sz="4" w:space="0" w:color="auto"/>
          <w:bottom w:val="single" w:sz="4" w:space="0" w:color="auto"/>
        </w:tblBorders>
        <w:tblLayout w:type="fixed"/>
        <w:tblLook w:val="04A0"/>
      </w:tblPr>
      <w:tblGrid>
        <w:gridCol w:w="586"/>
        <w:gridCol w:w="8203"/>
      </w:tblGrid>
      <w:tr w:rsidR="00691289" w:rsidRPr="00B71E29" w:rsidTr="007170C2">
        <w:tc>
          <w:tcPr>
            <w:tcW w:w="567" w:type="dxa"/>
            <w:shd w:val="clear" w:color="auto" w:fill="auto"/>
            <w:hideMark/>
          </w:tcPr>
          <w:p w:rsidR="00691289" w:rsidRPr="00B71E29" w:rsidRDefault="00691289" w:rsidP="00A0366B">
            <w:pPr>
              <w:pStyle w:val="Tabletext"/>
            </w:pPr>
            <w:r w:rsidRPr="00B71E29">
              <w:t>I</w:t>
            </w:r>
          </w:p>
        </w:tc>
        <w:tc>
          <w:tcPr>
            <w:tcW w:w="7938" w:type="dxa"/>
            <w:shd w:val="clear" w:color="auto" w:fill="auto"/>
            <w:hideMark/>
          </w:tcPr>
          <w:p w:rsidR="00691289" w:rsidRPr="00B71E29" w:rsidRDefault="00691289" w:rsidP="00A0366B">
            <w:pPr>
              <w:pStyle w:val="Tabletext"/>
            </w:pPr>
            <w:r w:rsidRPr="00B71E29">
              <w:t>Higher-grade professionals, administrators, and officials; managers in large industrial establishments; large</w:t>
            </w:r>
            <w:r>
              <w:t> </w:t>
            </w:r>
            <w:r w:rsidRPr="00B71E29">
              <w:t>proprietors</w:t>
            </w:r>
          </w:p>
        </w:tc>
      </w:tr>
      <w:tr w:rsidR="00691289" w:rsidRPr="00B71E29" w:rsidTr="007170C2">
        <w:tc>
          <w:tcPr>
            <w:tcW w:w="567" w:type="dxa"/>
            <w:shd w:val="clear" w:color="auto" w:fill="auto"/>
            <w:hideMark/>
          </w:tcPr>
          <w:p w:rsidR="00691289" w:rsidRPr="00B71E29" w:rsidRDefault="00691289" w:rsidP="00A0366B">
            <w:pPr>
              <w:pStyle w:val="Tabletext"/>
            </w:pPr>
            <w:r w:rsidRPr="00B71E29">
              <w:t>II</w:t>
            </w:r>
          </w:p>
        </w:tc>
        <w:tc>
          <w:tcPr>
            <w:tcW w:w="7938" w:type="dxa"/>
            <w:shd w:val="clear" w:color="auto" w:fill="auto"/>
            <w:hideMark/>
          </w:tcPr>
          <w:p w:rsidR="00691289" w:rsidRPr="00B71E29" w:rsidRDefault="00691289" w:rsidP="00A0366B">
            <w:pPr>
              <w:pStyle w:val="Tabletext"/>
            </w:pPr>
            <w:r w:rsidRPr="00B71E29">
              <w:t>Lower-grade professionals, administrators, and officials, higher-grade technicians; managers in small industrial establishments; supervisors of non-manual employees</w:t>
            </w:r>
          </w:p>
        </w:tc>
      </w:tr>
      <w:tr w:rsidR="00691289" w:rsidRPr="00B71E29" w:rsidTr="007170C2">
        <w:tc>
          <w:tcPr>
            <w:tcW w:w="567" w:type="dxa"/>
            <w:shd w:val="clear" w:color="auto" w:fill="auto"/>
            <w:hideMark/>
          </w:tcPr>
          <w:p w:rsidR="00691289" w:rsidRPr="00B71E29" w:rsidRDefault="00691289" w:rsidP="00A0366B">
            <w:pPr>
              <w:pStyle w:val="Tabletext"/>
            </w:pPr>
            <w:r w:rsidRPr="00B71E29">
              <w:t>IIIa</w:t>
            </w:r>
          </w:p>
        </w:tc>
        <w:tc>
          <w:tcPr>
            <w:tcW w:w="7938" w:type="dxa"/>
            <w:shd w:val="clear" w:color="auto" w:fill="auto"/>
            <w:hideMark/>
          </w:tcPr>
          <w:p w:rsidR="00691289" w:rsidRPr="00B71E29" w:rsidRDefault="00691289" w:rsidP="00A0366B">
            <w:pPr>
              <w:pStyle w:val="Tabletext"/>
            </w:pPr>
            <w:r w:rsidRPr="00B71E29">
              <w:t>Routine non-manual employees, higher grade (administration and commerce)</w:t>
            </w:r>
          </w:p>
        </w:tc>
      </w:tr>
      <w:tr w:rsidR="00691289" w:rsidRPr="00B71E29" w:rsidTr="007170C2">
        <w:tc>
          <w:tcPr>
            <w:tcW w:w="567" w:type="dxa"/>
            <w:shd w:val="clear" w:color="auto" w:fill="auto"/>
            <w:hideMark/>
          </w:tcPr>
          <w:p w:rsidR="00691289" w:rsidRPr="00B71E29" w:rsidRDefault="00691289" w:rsidP="00A0366B">
            <w:pPr>
              <w:pStyle w:val="Tabletext"/>
            </w:pPr>
            <w:r w:rsidRPr="00B71E29">
              <w:t>IIIb</w:t>
            </w:r>
          </w:p>
        </w:tc>
        <w:tc>
          <w:tcPr>
            <w:tcW w:w="7938" w:type="dxa"/>
            <w:shd w:val="clear" w:color="auto" w:fill="auto"/>
            <w:hideMark/>
          </w:tcPr>
          <w:p w:rsidR="00691289" w:rsidRPr="00B71E29" w:rsidRDefault="00691289" w:rsidP="00A0366B">
            <w:pPr>
              <w:pStyle w:val="Tabletext"/>
            </w:pPr>
            <w:r w:rsidRPr="00B71E29">
              <w:t>Routine non-manual employees, lower grade (sales and services)</w:t>
            </w:r>
          </w:p>
        </w:tc>
      </w:tr>
      <w:tr w:rsidR="00691289" w:rsidRPr="00B71E29" w:rsidTr="007170C2">
        <w:tc>
          <w:tcPr>
            <w:tcW w:w="567" w:type="dxa"/>
            <w:shd w:val="clear" w:color="auto" w:fill="auto"/>
            <w:hideMark/>
          </w:tcPr>
          <w:p w:rsidR="00691289" w:rsidRPr="00B71E29" w:rsidRDefault="00691289" w:rsidP="00A0366B">
            <w:pPr>
              <w:pStyle w:val="Tabletext"/>
            </w:pPr>
            <w:r w:rsidRPr="00B71E29">
              <w:t>IVa</w:t>
            </w:r>
          </w:p>
        </w:tc>
        <w:tc>
          <w:tcPr>
            <w:tcW w:w="7938" w:type="dxa"/>
            <w:shd w:val="clear" w:color="auto" w:fill="auto"/>
            <w:hideMark/>
          </w:tcPr>
          <w:p w:rsidR="00691289" w:rsidRPr="00B71E29" w:rsidRDefault="00691289" w:rsidP="00A0366B">
            <w:pPr>
              <w:pStyle w:val="Tabletext"/>
            </w:pPr>
            <w:r w:rsidRPr="00B71E29">
              <w:t>Small proprietors, artisans, etc., with employees</w:t>
            </w:r>
          </w:p>
        </w:tc>
      </w:tr>
      <w:tr w:rsidR="00691289" w:rsidRPr="00B71E29" w:rsidTr="007170C2">
        <w:tc>
          <w:tcPr>
            <w:tcW w:w="567" w:type="dxa"/>
            <w:shd w:val="clear" w:color="auto" w:fill="auto"/>
            <w:hideMark/>
          </w:tcPr>
          <w:p w:rsidR="00691289" w:rsidRPr="00B71E29" w:rsidRDefault="00691289" w:rsidP="00A0366B">
            <w:pPr>
              <w:pStyle w:val="Tabletext"/>
            </w:pPr>
            <w:r w:rsidRPr="00B71E29">
              <w:t>IVb</w:t>
            </w:r>
          </w:p>
        </w:tc>
        <w:tc>
          <w:tcPr>
            <w:tcW w:w="7938" w:type="dxa"/>
            <w:shd w:val="clear" w:color="auto" w:fill="auto"/>
            <w:hideMark/>
          </w:tcPr>
          <w:p w:rsidR="00691289" w:rsidRPr="00B71E29" w:rsidRDefault="00691289" w:rsidP="00A0366B">
            <w:pPr>
              <w:pStyle w:val="Tabletext"/>
            </w:pPr>
            <w:r w:rsidRPr="00B71E29">
              <w:t>Small proprietors, artisans, etc., without employees</w:t>
            </w:r>
          </w:p>
        </w:tc>
      </w:tr>
      <w:tr w:rsidR="00691289" w:rsidRPr="00B71E29" w:rsidTr="007170C2">
        <w:tc>
          <w:tcPr>
            <w:tcW w:w="567" w:type="dxa"/>
            <w:shd w:val="clear" w:color="auto" w:fill="auto"/>
            <w:hideMark/>
          </w:tcPr>
          <w:p w:rsidR="00691289" w:rsidRPr="00B71E29" w:rsidRDefault="00691289" w:rsidP="00A0366B">
            <w:pPr>
              <w:pStyle w:val="Tabletext"/>
            </w:pPr>
            <w:r w:rsidRPr="00B71E29">
              <w:t>IVc</w:t>
            </w:r>
          </w:p>
        </w:tc>
        <w:tc>
          <w:tcPr>
            <w:tcW w:w="7938" w:type="dxa"/>
            <w:shd w:val="clear" w:color="auto" w:fill="auto"/>
            <w:hideMark/>
          </w:tcPr>
          <w:p w:rsidR="00691289" w:rsidRPr="00B71E29" w:rsidRDefault="00691289" w:rsidP="00A0366B">
            <w:pPr>
              <w:pStyle w:val="Tabletext"/>
            </w:pPr>
            <w:r w:rsidRPr="00B71E29">
              <w:t>Farmers and smallholders; other self-employed workers in primary production</w:t>
            </w:r>
          </w:p>
        </w:tc>
      </w:tr>
      <w:tr w:rsidR="00691289" w:rsidRPr="00B71E29" w:rsidTr="007170C2">
        <w:tc>
          <w:tcPr>
            <w:tcW w:w="567" w:type="dxa"/>
            <w:shd w:val="clear" w:color="auto" w:fill="auto"/>
            <w:hideMark/>
          </w:tcPr>
          <w:p w:rsidR="00691289" w:rsidRPr="00B71E29" w:rsidRDefault="00691289" w:rsidP="00A0366B">
            <w:pPr>
              <w:pStyle w:val="Tabletext"/>
            </w:pPr>
            <w:r w:rsidRPr="00B71E29">
              <w:t>V</w:t>
            </w:r>
          </w:p>
        </w:tc>
        <w:tc>
          <w:tcPr>
            <w:tcW w:w="7938" w:type="dxa"/>
            <w:shd w:val="clear" w:color="auto" w:fill="auto"/>
            <w:hideMark/>
          </w:tcPr>
          <w:p w:rsidR="00691289" w:rsidRPr="00B71E29" w:rsidRDefault="00691289" w:rsidP="00A0366B">
            <w:pPr>
              <w:pStyle w:val="Tabletext"/>
            </w:pPr>
            <w:r w:rsidRPr="00B71E29">
              <w:t>Lower-grade technicians; supervisors of manual workers</w:t>
            </w:r>
          </w:p>
        </w:tc>
      </w:tr>
      <w:tr w:rsidR="00691289" w:rsidRPr="00B71E29" w:rsidTr="007170C2">
        <w:tc>
          <w:tcPr>
            <w:tcW w:w="567" w:type="dxa"/>
            <w:shd w:val="clear" w:color="auto" w:fill="auto"/>
            <w:hideMark/>
          </w:tcPr>
          <w:p w:rsidR="00691289" w:rsidRPr="00B71E29" w:rsidRDefault="00691289" w:rsidP="00A0366B">
            <w:pPr>
              <w:pStyle w:val="Tabletext"/>
            </w:pPr>
            <w:r w:rsidRPr="00B71E29">
              <w:t>VI</w:t>
            </w:r>
          </w:p>
        </w:tc>
        <w:tc>
          <w:tcPr>
            <w:tcW w:w="7938" w:type="dxa"/>
            <w:shd w:val="clear" w:color="auto" w:fill="auto"/>
            <w:hideMark/>
          </w:tcPr>
          <w:p w:rsidR="00691289" w:rsidRPr="00B71E29" w:rsidRDefault="00691289" w:rsidP="00A0366B">
            <w:pPr>
              <w:pStyle w:val="Tabletext"/>
            </w:pPr>
            <w:r w:rsidRPr="00B71E29">
              <w:t>Skilled manual workers</w:t>
            </w:r>
          </w:p>
        </w:tc>
      </w:tr>
      <w:tr w:rsidR="00691289" w:rsidRPr="00B71E29" w:rsidTr="007170C2">
        <w:tc>
          <w:tcPr>
            <w:tcW w:w="567" w:type="dxa"/>
            <w:shd w:val="clear" w:color="auto" w:fill="auto"/>
            <w:hideMark/>
          </w:tcPr>
          <w:p w:rsidR="00691289" w:rsidRPr="00B71E29" w:rsidRDefault="00691289" w:rsidP="00A0366B">
            <w:pPr>
              <w:pStyle w:val="Tabletext"/>
            </w:pPr>
            <w:r w:rsidRPr="00B71E29">
              <w:t>VIIa</w:t>
            </w:r>
          </w:p>
        </w:tc>
        <w:tc>
          <w:tcPr>
            <w:tcW w:w="7938" w:type="dxa"/>
            <w:shd w:val="clear" w:color="auto" w:fill="auto"/>
            <w:hideMark/>
          </w:tcPr>
          <w:p w:rsidR="00691289" w:rsidRPr="00B71E29" w:rsidRDefault="00691289" w:rsidP="00A0366B">
            <w:pPr>
              <w:pStyle w:val="Tabletext"/>
            </w:pPr>
            <w:r w:rsidRPr="00B71E29">
              <w:t>Semi-skilled and unskilled manual workers (not in agriculture, etc.)</w:t>
            </w:r>
          </w:p>
        </w:tc>
      </w:tr>
      <w:tr w:rsidR="00691289" w:rsidRPr="00B71E29" w:rsidTr="007170C2">
        <w:tc>
          <w:tcPr>
            <w:tcW w:w="567" w:type="dxa"/>
            <w:shd w:val="clear" w:color="auto" w:fill="auto"/>
            <w:hideMark/>
          </w:tcPr>
          <w:p w:rsidR="00691289" w:rsidRPr="00B71E29" w:rsidRDefault="00691289" w:rsidP="00A0366B">
            <w:pPr>
              <w:pStyle w:val="Tabletext"/>
            </w:pPr>
            <w:r w:rsidRPr="00B71E29">
              <w:t>VIIb</w:t>
            </w:r>
          </w:p>
        </w:tc>
        <w:tc>
          <w:tcPr>
            <w:tcW w:w="7938" w:type="dxa"/>
            <w:shd w:val="clear" w:color="auto" w:fill="auto"/>
            <w:hideMark/>
          </w:tcPr>
          <w:p w:rsidR="00691289" w:rsidRPr="00B71E29" w:rsidRDefault="00691289" w:rsidP="00A0366B">
            <w:pPr>
              <w:pStyle w:val="Tabletext"/>
            </w:pPr>
            <w:r w:rsidRPr="00B71E29">
              <w:t>Agricultural and other workers in primary production</w:t>
            </w:r>
          </w:p>
        </w:tc>
      </w:tr>
    </w:tbl>
    <w:p w:rsidR="00691289" w:rsidRPr="00B71E29" w:rsidRDefault="00691289" w:rsidP="00691289">
      <w:pPr>
        <w:pStyle w:val="Source"/>
        <w:rPr>
          <w:rFonts w:cs="Arial"/>
        </w:rPr>
      </w:pPr>
      <w:r w:rsidRPr="00B71E29">
        <w:rPr>
          <w:rFonts w:cs="Arial"/>
        </w:rPr>
        <w:t>Source:</w:t>
      </w:r>
      <w:r>
        <w:rPr>
          <w:rFonts w:cs="Arial"/>
        </w:rPr>
        <w:tab/>
      </w:r>
      <w:r w:rsidRPr="00B71E29">
        <w:t xml:space="preserve">Goldthorpe </w:t>
      </w:r>
      <w:r>
        <w:t>(</w:t>
      </w:r>
      <w:r w:rsidRPr="00B71E29">
        <w:t>1980 cited in Marshall 1998</w:t>
      </w:r>
      <w:r>
        <w:t>).</w:t>
      </w:r>
    </w:p>
    <w:p w:rsidR="00691289" w:rsidRDefault="00691289" w:rsidP="00CE146C">
      <w:pPr>
        <w:pStyle w:val="Textmorebefore"/>
      </w:pPr>
      <w:r w:rsidRPr="00B71E29">
        <w:t>This framework has been refined over time</w:t>
      </w:r>
      <w:r>
        <w:t xml:space="preserve">. </w:t>
      </w:r>
      <w:r w:rsidRPr="00B71E29">
        <w:t xml:space="preserve">In more recent work Goldthorpe and his colleagues argued </w:t>
      </w:r>
      <w:r>
        <w:t xml:space="preserve">that </w:t>
      </w:r>
      <w:r w:rsidRPr="00B71E29">
        <w:t xml:space="preserve">their framework was best understood as differentiating ‘positions within </w:t>
      </w:r>
      <w:r w:rsidRPr="00B71E29">
        <w:rPr>
          <w:i/>
        </w:rPr>
        <w:t>labour markets</w:t>
      </w:r>
      <w:r w:rsidRPr="00B71E29">
        <w:t xml:space="preserve"> and </w:t>
      </w:r>
      <w:r w:rsidRPr="00B71E29">
        <w:rPr>
          <w:i/>
        </w:rPr>
        <w:t>production units</w:t>
      </w:r>
      <w:r w:rsidRPr="00B71E29">
        <w:t xml:space="preserve"> or, more to differentiate such positions in terms of the </w:t>
      </w:r>
      <w:r w:rsidRPr="00B71E29">
        <w:rPr>
          <w:i/>
        </w:rPr>
        <w:t>employment relations</w:t>
      </w:r>
      <w:r w:rsidRPr="00B71E29">
        <w:t xml:space="preserve"> that they entail’ (Erikson </w:t>
      </w:r>
      <w:r>
        <w:t>&amp;</w:t>
      </w:r>
      <w:r w:rsidRPr="00B71E29">
        <w:t xml:space="preserve"> Goldthorpe 1992, p</w:t>
      </w:r>
      <w:r>
        <w:t>.</w:t>
      </w:r>
      <w:r w:rsidRPr="00B71E29">
        <w:t>37)</w:t>
      </w:r>
      <w:r>
        <w:t xml:space="preserve">. </w:t>
      </w:r>
      <w:r w:rsidRPr="00B71E29">
        <w:t>This is a subtle but significant shift in how the researchers in this tradition define the bas</w:t>
      </w:r>
      <w:r>
        <w:t>es</w:t>
      </w:r>
      <w:r w:rsidRPr="00B71E29">
        <w:t xml:space="preserve"> for their categorical system</w:t>
      </w:r>
      <w:r>
        <w:t xml:space="preserve">. </w:t>
      </w:r>
      <w:r w:rsidRPr="00B71E29">
        <w:t>It has enabled the further evolution of this classificatory system to allow it to engage with key changes in the nature of work that have occurred in m</w:t>
      </w:r>
      <w:r>
        <w:t>ore recent times (Marshall, Swift &amp; Roberts</w:t>
      </w:r>
      <w:r w:rsidRPr="00B71E29">
        <w:t xml:space="preserve"> 1997)</w:t>
      </w:r>
      <w:r>
        <w:t xml:space="preserve">. </w:t>
      </w:r>
      <w:r w:rsidRPr="00B71E29">
        <w:t>Arguably</w:t>
      </w:r>
      <w:r>
        <w:t>,</w:t>
      </w:r>
      <w:r w:rsidRPr="00B71E29">
        <w:t xml:space="preserve"> the most dramatic shifts </w:t>
      </w:r>
      <w:r>
        <w:t>in</w:t>
      </w:r>
      <w:r w:rsidRPr="00B71E29">
        <w:t xml:space="preserve"> the nature of work have been increases in </w:t>
      </w:r>
      <w:r>
        <w:t xml:space="preserve">services </w:t>
      </w:r>
      <w:r w:rsidRPr="00B71E29">
        <w:t>and female employment</w:t>
      </w:r>
      <w:r>
        <w:t xml:space="preserve">. </w:t>
      </w:r>
      <w:r w:rsidRPr="00B71E29">
        <w:t>Capturing this requires a significant re</w:t>
      </w:r>
      <w:r>
        <w:t>-evaluation</w:t>
      </w:r>
      <w:r w:rsidRPr="00B71E29">
        <w:t xml:space="preserve"> of </w:t>
      </w:r>
      <w:r>
        <w:t>how</w:t>
      </w:r>
      <w:r w:rsidRPr="00B71E29">
        <w:t xml:space="preserve"> work is defined in terms of </w:t>
      </w:r>
      <w:r>
        <w:t xml:space="preserve">the </w:t>
      </w:r>
      <w:r w:rsidRPr="00B71E29">
        <w:t>labour market, production</w:t>
      </w:r>
      <w:r>
        <w:t xml:space="preserve"> units and employment relations. </w:t>
      </w:r>
    </w:p>
    <w:p w:rsidR="00691289" w:rsidRDefault="00691289" w:rsidP="007170C2">
      <w:pPr>
        <w:pStyle w:val="Text"/>
      </w:pPr>
      <w:r w:rsidRPr="00B71E29">
        <w:t>Oesch (2003</w:t>
      </w:r>
      <w:r>
        <w:t>, 2006</w:t>
      </w:r>
      <w:r w:rsidRPr="00B71E29">
        <w:t xml:space="preserve">) argues that this is best done by reworking Goldthorpe’s categories on the basis of the notion of </w:t>
      </w:r>
      <w:r>
        <w:t>work logics</w:t>
      </w:r>
      <w:r w:rsidR="00213E0E">
        <w:t xml:space="preserve"> — </w:t>
      </w:r>
      <w:r w:rsidRPr="00B71E29">
        <w:t>something broader than the ‘production unit’</w:t>
      </w:r>
      <w:r>
        <w:t xml:space="preserve">. </w:t>
      </w:r>
      <w:r w:rsidRPr="00B71E29">
        <w:t xml:space="preserve">Using this </w:t>
      </w:r>
      <w:r>
        <w:t xml:space="preserve">extensive reworking of categorical principles for differentiating workers, </w:t>
      </w:r>
      <w:r w:rsidRPr="00B71E29">
        <w:t>Oesch produces what can be described as a ‘modernised’ Goldthorpe</w:t>
      </w:r>
      <w:r>
        <w:t xml:space="preserve"> class schema. This is summarised in t</w:t>
      </w:r>
      <w:r w:rsidRPr="00B71E29">
        <w:t xml:space="preserve">able </w:t>
      </w:r>
      <w:r>
        <w:t>3</w:t>
      </w:r>
      <w:r w:rsidRPr="00B71E29">
        <w:t>.</w:t>
      </w:r>
    </w:p>
    <w:p w:rsidR="00CE146C" w:rsidRDefault="00CE146C">
      <w:pPr>
        <w:spacing w:before="0" w:line="240" w:lineRule="auto"/>
        <w:rPr>
          <w:rFonts w:ascii="Tahoma" w:hAnsi="Tahoma"/>
          <w:b/>
          <w:sz w:val="17"/>
        </w:rPr>
      </w:pPr>
      <w:bookmarkStart w:id="42" w:name="_Toc297558135"/>
      <w:r>
        <w:br w:type="page"/>
      </w:r>
    </w:p>
    <w:p w:rsidR="00691289" w:rsidRPr="00C50187" w:rsidRDefault="00691289" w:rsidP="00691289">
      <w:pPr>
        <w:pStyle w:val="tabletitle"/>
        <w:rPr>
          <w:szCs w:val="22"/>
        </w:rPr>
      </w:pPr>
      <w:bookmarkStart w:id="43" w:name="_Toc300838520"/>
      <w:r w:rsidRPr="00C50187">
        <w:lastRenderedPageBreak/>
        <w:t>Table 3</w:t>
      </w:r>
      <w:r>
        <w:tab/>
      </w:r>
      <w:r w:rsidRPr="00C50187">
        <w:t>A</w:t>
      </w:r>
      <w:r>
        <w:t xml:space="preserve"> </w:t>
      </w:r>
      <w:r w:rsidRPr="00C50187">
        <w:t>17-class (and collapsed 8-class) schema based on differences in work logic and in marketable skills</w:t>
      </w:r>
      <w:bookmarkEnd w:id="42"/>
      <w:bookmarkEnd w:id="43"/>
    </w:p>
    <w:tbl>
      <w:tblPr>
        <w:tblW w:w="878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71"/>
        <w:gridCol w:w="1171"/>
        <w:gridCol w:w="919"/>
        <w:gridCol w:w="838"/>
        <w:gridCol w:w="10"/>
        <w:gridCol w:w="1752"/>
        <w:gridCol w:w="1757"/>
        <w:gridCol w:w="1171"/>
      </w:tblGrid>
      <w:tr w:rsidR="00691289" w:rsidRPr="00B71E29" w:rsidTr="00C34DD8">
        <w:tc>
          <w:tcPr>
            <w:tcW w:w="2342" w:type="dxa"/>
            <w:gridSpan w:val="2"/>
            <w:tcBorders>
              <w:top w:val="single" w:sz="4" w:space="0" w:color="auto"/>
              <w:left w:val="nil"/>
              <w:bottom w:val="nil"/>
              <w:right w:val="nil"/>
            </w:tcBorders>
          </w:tcPr>
          <w:p w:rsidR="00691289" w:rsidRPr="00B71E29" w:rsidRDefault="00691289" w:rsidP="00A0366B">
            <w:pPr>
              <w:pStyle w:val="Tablehead1"/>
            </w:pPr>
            <w:r w:rsidRPr="00B71E29">
              <w:t>Self-employed</w:t>
            </w:r>
          </w:p>
        </w:tc>
        <w:tc>
          <w:tcPr>
            <w:tcW w:w="5276" w:type="dxa"/>
            <w:gridSpan w:val="5"/>
            <w:tcBorders>
              <w:top w:val="single" w:sz="4" w:space="0" w:color="auto"/>
              <w:left w:val="nil"/>
              <w:bottom w:val="nil"/>
              <w:right w:val="nil"/>
            </w:tcBorders>
          </w:tcPr>
          <w:p w:rsidR="00691289" w:rsidRPr="00B71E29" w:rsidRDefault="00691289" w:rsidP="00A0366B">
            <w:pPr>
              <w:pStyle w:val="Tablehead1"/>
              <w:jc w:val="center"/>
            </w:pPr>
            <w:r w:rsidRPr="00B71E29">
              <w:t>Employees</w:t>
            </w:r>
          </w:p>
        </w:tc>
        <w:tc>
          <w:tcPr>
            <w:tcW w:w="1171" w:type="dxa"/>
            <w:tcBorders>
              <w:top w:val="single" w:sz="4" w:space="0" w:color="auto"/>
              <w:left w:val="nil"/>
              <w:bottom w:val="nil"/>
              <w:right w:val="nil"/>
            </w:tcBorders>
          </w:tcPr>
          <w:p w:rsidR="00691289" w:rsidRPr="00B71E29" w:rsidRDefault="00691289" w:rsidP="00A0366B">
            <w:pPr>
              <w:pStyle w:val="Tablehead1"/>
            </w:pPr>
            <w:r>
              <w:t>Marketable skills</w:t>
            </w:r>
          </w:p>
        </w:tc>
      </w:tr>
      <w:tr w:rsidR="00691289" w:rsidRPr="00B71E29" w:rsidTr="00C34DD8">
        <w:tc>
          <w:tcPr>
            <w:tcW w:w="2342" w:type="dxa"/>
            <w:gridSpan w:val="2"/>
            <w:tcBorders>
              <w:top w:val="nil"/>
              <w:left w:val="nil"/>
              <w:bottom w:val="single" w:sz="4" w:space="0" w:color="auto"/>
              <w:right w:val="nil"/>
            </w:tcBorders>
          </w:tcPr>
          <w:p w:rsidR="00691289" w:rsidRPr="00B71E29" w:rsidRDefault="00691289" w:rsidP="00A0366B">
            <w:pPr>
              <w:pStyle w:val="Tablehead2"/>
            </w:pPr>
            <w:r w:rsidRPr="00B71E29">
              <w:t>Independent work logic</w:t>
            </w:r>
          </w:p>
        </w:tc>
        <w:tc>
          <w:tcPr>
            <w:tcW w:w="1757" w:type="dxa"/>
            <w:gridSpan w:val="2"/>
            <w:tcBorders>
              <w:top w:val="nil"/>
              <w:left w:val="nil"/>
              <w:bottom w:val="single" w:sz="4" w:space="0" w:color="auto"/>
              <w:right w:val="nil"/>
            </w:tcBorders>
          </w:tcPr>
          <w:p w:rsidR="00691289" w:rsidRPr="00B71E29" w:rsidRDefault="00691289" w:rsidP="00A0366B">
            <w:pPr>
              <w:pStyle w:val="Tablehead2"/>
            </w:pPr>
            <w:r w:rsidRPr="00B71E29">
              <w:t>Technical work logic</w:t>
            </w:r>
          </w:p>
        </w:tc>
        <w:tc>
          <w:tcPr>
            <w:tcW w:w="1762" w:type="dxa"/>
            <w:gridSpan w:val="2"/>
            <w:tcBorders>
              <w:top w:val="nil"/>
              <w:left w:val="nil"/>
              <w:bottom w:val="single" w:sz="4" w:space="0" w:color="auto"/>
              <w:right w:val="nil"/>
            </w:tcBorders>
          </w:tcPr>
          <w:p w:rsidR="00691289" w:rsidRPr="00B71E29" w:rsidRDefault="00691289" w:rsidP="00A0366B">
            <w:pPr>
              <w:pStyle w:val="Tablehead2"/>
            </w:pPr>
            <w:r w:rsidRPr="00B71E29">
              <w:t>Organisational work logic</w:t>
            </w:r>
          </w:p>
        </w:tc>
        <w:tc>
          <w:tcPr>
            <w:tcW w:w="1757" w:type="dxa"/>
            <w:tcBorders>
              <w:top w:val="nil"/>
              <w:left w:val="nil"/>
              <w:bottom w:val="single" w:sz="4" w:space="0" w:color="auto"/>
              <w:right w:val="nil"/>
            </w:tcBorders>
          </w:tcPr>
          <w:p w:rsidR="00691289" w:rsidRPr="00B71E29" w:rsidRDefault="00691289" w:rsidP="00A0366B">
            <w:pPr>
              <w:pStyle w:val="Tablehead2"/>
            </w:pPr>
            <w:r w:rsidRPr="00B71E29">
              <w:t>Interpersonal service work logic</w:t>
            </w:r>
          </w:p>
        </w:tc>
        <w:tc>
          <w:tcPr>
            <w:tcW w:w="1171" w:type="dxa"/>
            <w:tcBorders>
              <w:top w:val="nil"/>
              <w:left w:val="nil"/>
              <w:bottom w:val="single" w:sz="4" w:space="0" w:color="auto"/>
              <w:right w:val="nil"/>
            </w:tcBorders>
          </w:tcPr>
          <w:p w:rsidR="00691289" w:rsidRPr="00B71E29" w:rsidRDefault="00691289" w:rsidP="00A0366B">
            <w:pPr>
              <w:pStyle w:val="Tablehead2"/>
            </w:pPr>
          </w:p>
        </w:tc>
      </w:tr>
      <w:tr w:rsidR="00691289" w:rsidRPr="00076CB4" w:rsidTr="00C34DD8">
        <w:tc>
          <w:tcPr>
            <w:tcW w:w="1171" w:type="dxa"/>
            <w:tcBorders>
              <w:top w:val="single" w:sz="4" w:space="0" w:color="auto"/>
              <w:left w:val="nil"/>
              <w:bottom w:val="nil"/>
              <w:right w:val="nil"/>
            </w:tcBorders>
            <w:tcMar>
              <w:right w:w="0" w:type="dxa"/>
            </w:tcMar>
          </w:tcPr>
          <w:p w:rsidR="00691289" w:rsidRPr="00076CB4" w:rsidRDefault="00691289" w:rsidP="00A0366B">
            <w:pPr>
              <w:pStyle w:val="Tabletext"/>
              <w:ind w:left="170" w:hanging="170"/>
              <w:rPr>
                <w:szCs w:val="16"/>
              </w:rPr>
            </w:pPr>
            <w:r w:rsidRPr="00076CB4">
              <w:rPr>
                <w:szCs w:val="16"/>
              </w:rPr>
              <w:t>1</w:t>
            </w:r>
            <w:r>
              <w:rPr>
                <w:szCs w:val="16"/>
              </w:rPr>
              <w:tab/>
            </w:r>
            <w:r w:rsidRPr="00076CB4">
              <w:rPr>
                <w:szCs w:val="16"/>
              </w:rPr>
              <w:t>Large employers</w:t>
            </w:r>
            <w:r>
              <w:rPr>
                <w:szCs w:val="16"/>
              </w:rPr>
              <w:t xml:space="preserve"> </w:t>
            </w:r>
            <w:r w:rsidRPr="00076CB4">
              <w:rPr>
                <w:szCs w:val="16"/>
              </w:rPr>
              <w:t>(&gt;9)</w:t>
            </w:r>
          </w:p>
          <w:p w:rsidR="00691289" w:rsidRPr="00076CB4" w:rsidRDefault="00691289" w:rsidP="00A0366B">
            <w:pPr>
              <w:pStyle w:val="Tabletext"/>
              <w:rPr>
                <w:szCs w:val="14"/>
              </w:rPr>
            </w:pPr>
            <w:r w:rsidRPr="00076CB4">
              <w:rPr>
                <w:szCs w:val="14"/>
              </w:rPr>
              <w:t>Firm owners</w:t>
            </w:r>
          </w:p>
          <w:p w:rsidR="00691289" w:rsidRPr="00076CB4" w:rsidRDefault="00691289" w:rsidP="00A0366B">
            <w:pPr>
              <w:pStyle w:val="Tabletext"/>
              <w:rPr>
                <w:szCs w:val="14"/>
              </w:rPr>
            </w:pPr>
            <w:r w:rsidRPr="00076CB4">
              <w:rPr>
                <w:szCs w:val="14"/>
              </w:rPr>
              <w:t>Hotel owners</w:t>
            </w:r>
          </w:p>
          <w:p w:rsidR="00691289" w:rsidRPr="00076CB4" w:rsidRDefault="00691289" w:rsidP="00A0366B">
            <w:pPr>
              <w:pStyle w:val="Tabletext"/>
              <w:rPr>
                <w:szCs w:val="16"/>
              </w:rPr>
            </w:pPr>
            <w:r w:rsidRPr="00076CB4">
              <w:rPr>
                <w:szCs w:val="14"/>
              </w:rPr>
              <w:t>Salesman</w:t>
            </w:r>
          </w:p>
        </w:tc>
        <w:tc>
          <w:tcPr>
            <w:tcW w:w="1171" w:type="dxa"/>
            <w:tcBorders>
              <w:top w:val="single" w:sz="4" w:space="0" w:color="auto"/>
              <w:left w:val="nil"/>
              <w:bottom w:val="nil"/>
              <w:right w:val="nil"/>
            </w:tcBorders>
            <w:tcMar>
              <w:right w:w="0" w:type="dxa"/>
            </w:tcMar>
          </w:tcPr>
          <w:p w:rsidR="00691289" w:rsidRPr="00076CB4" w:rsidRDefault="00691289" w:rsidP="00A0366B">
            <w:pPr>
              <w:pStyle w:val="Tabletext"/>
              <w:ind w:left="170" w:hanging="170"/>
              <w:rPr>
                <w:szCs w:val="16"/>
              </w:rPr>
            </w:pPr>
            <w:r w:rsidRPr="00076CB4">
              <w:rPr>
                <w:szCs w:val="16"/>
              </w:rPr>
              <w:t>2</w:t>
            </w:r>
            <w:r>
              <w:rPr>
                <w:szCs w:val="16"/>
              </w:rPr>
              <w:tab/>
            </w:r>
            <w:r w:rsidRPr="00076CB4">
              <w:rPr>
                <w:szCs w:val="16"/>
              </w:rPr>
              <w:t>Self-employed professionals</w:t>
            </w:r>
          </w:p>
          <w:p w:rsidR="00691289" w:rsidRPr="00076CB4" w:rsidRDefault="00691289" w:rsidP="00A0366B">
            <w:pPr>
              <w:pStyle w:val="Tabletext"/>
              <w:rPr>
                <w:szCs w:val="14"/>
              </w:rPr>
            </w:pPr>
            <w:r w:rsidRPr="00076CB4">
              <w:rPr>
                <w:szCs w:val="14"/>
              </w:rPr>
              <w:t>Lawyers</w:t>
            </w:r>
          </w:p>
          <w:p w:rsidR="00691289" w:rsidRPr="00076CB4" w:rsidRDefault="00691289" w:rsidP="00A0366B">
            <w:pPr>
              <w:pStyle w:val="Tabletext"/>
              <w:rPr>
                <w:szCs w:val="14"/>
              </w:rPr>
            </w:pPr>
            <w:r w:rsidRPr="00076CB4">
              <w:rPr>
                <w:szCs w:val="14"/>
              </w:rPr>
              <w:t>Accountants</w:t>
            </w:r>
          </w:p>
          <w:p w:rsidR="00691289" w:rsidRPr="00076CB4" w:rsidRDefault="00691289" w:rsidP="00A0366B">
            <w:pPr>
              <w:pStyle w:val="Tabletext"/>
              <w:rPr>
                <w:szCs w:val="16"/>
              </w:rPr>
            </w:pPr>
            <w:r w:rsidRPr="00076CB4">
              <w:rPr>
                <w:szCs w:val="14"/>
              </w:rPr>
              <w:t>Medical doctors</w:t>
            </w:r>
          </w:p>
        </w:tc>
        <w:tc>
          <w:tcPr>
            <w:tcW w:w="1757" w:type="dxa"/>
            <w:gridSpan w:val="2"/>
            <w:tcBorders>
              <w:top w:val="single" w:sz="4" w:space="0" w:color="auto"/>
              <w:left w:val="nil"/>
              <w:bottom w:val="nil"/>
              <w:right w:val="nil"/>
            </w:tcBorders>
          </w:tcPr>
          <w:p w:rsidR="00691289" w:rsidRPr="00076CB4" w:rsidRDefault="00691289" w:rsidP="00A0366B">
            <w:pPr>
              <w:pStyle w:val="Tabletext"/>
              <w:ind w:left="170" w:hanging="170"/>
              <w:rPr>
                <w:szCs w:val="16"/>
              </w:rPr>
            </w:pPr>
            <w:r w:rsidRPr="00076CB4">
              <w:rPr>
                <w:szCs w:val="16"/>
              </w:rPr>
              <w:t>5</w:t>
            </w:r>
            <w:r>
              <w:rPr>
                <w:szCs w:val="16"/>
              </w:rPr>
              <w:tab/>
            </w:r>
            <w:r w:rsidRPr="00076CB4">
              <w:rPr>
                <w:szCs w:val="16"/>
              </w:rPr>
              <w:t>Technical experts</w:t>
            </w:r>
          </w:p>
          <w:p w:rsidR="00691289" w:rsidRPr="00076CB4" w:rsidRDefault="00691289" w:rsidP="00A0366B">
            <w:pPr>
              <w:pStyle w:val="Tabletext"/>
              <w:rPr>
                <w:szCs w:val="14"/>
              </w:rPr>
            </w:pPr>
            <w:r>
              <w:rPr>
                <w:szCs w:val="16"/>
              </w:rPr>
              <w:br/>
            </w:r>
            <w:r>
              <w:rPr>
                <w:szCs w:val="14"/>
              </w:rPr>
              <w:br/>
            </w:r>
            <w:r w:rsidRPr="00076CB4">
              <w:rPr>
                <w:szCs w:val="14"/>
              </w:rPr>
              <w:t>Mechanical engineers</w:t>
            </w:r>
          </w:p>
          <w:p w:rsidR="00691289" w:rsidRPr="00076CB4" w:rsidRDefault="00691289" w:rsidP="00A0366B">
            <w:pPr>
              <w:pStyle w:val="Tabletext"/>
              <w:rPr>
                <w:szCs w:val="14"/>
              </w:rPr>
            </w:pPr>
            <w:r w:rsidRPr="00076CB4">
              <w:rPr>
                <w:szCs w:val="14"/>
              </w:rPr>
              <w:t>Computing professionals</w:t>
            </w:r>
          </w:p>
          <w:p w:rsidR="00691289" w:rsidRPr="00076CB4" w:rsidRDefault="00691289" w:rsidP="00A0366B">
            <w:pPr>
              <w:pStyle w:val="Tabletext"/>
              <w:rPr>
                <w:szCs w:val="16"/>
              </w:rPr>
            </w:pPr>
            <w:r w:rsidRPr="00076CB4">
              <w:rPr>
                <w:szCs w:val="14"/>
              </w:rPr>
              <w:t>Architects</w:t>
            </w:r>
          </w:p>
        </w:tc>
        <w:tc>
          <w:tcPr>
            <w:tcW w:w="1762" w:type="dxa"/>
            <w:gridSpan w:val="2"/>
            <w:tcBorders>
              <w:top w:val="single" w:sz="4" w:space="0" w:color="auto"/>
              <w:left w:val="nil"/>
              <w:bottom w:val="nil"/>
              <w:right w:val="nil"/>
            </w:tcBorders>
          </w:tcPr>
          <w:p w:rsidR="00691289" w:rsidRPr="00076CB4" w:rsidRDefault="00691289" w:rsidP="00A0366B">
            <w:pPr>
              <w:pStyle w:val="Tabletext"/>
              <w:ind w:left="227" w:hanging="227"/>
              <w:rPr>
                <w:szCs w:val="16"/>
              </w:rPr>
            </w:pPr>
            <w:r w:rsidRPr="00076CB4">
              <w:rPr>
                <w:szCs w:val="16"/>
              </w:rPr>
              <w:t>10</w:t>
            </w:r>
            <w:r>
              <w:rPr>
                <w:szCs w:val="16"/>
              </w:rPr>
              <w:tab/>
            </w:r>
            <w:r w:rsidRPr="00076CB4">
              <w:rPr>
                <w:szCs w:val="16"/>
              </w:rPr>
              <w:t>Higher-grade managers</w:t>
            </w:r>
          </w:p>
          <w:p w:rsidR="00691289" w:rsidRPr="00076CB4" w:rsidRDefault="00691289" w:rsidP="00A0366B">
            <w:pPr>
              <w:pStyle w:val="Tabletext"/>
              <w:rPr>
                <w:szCs w:val="14"/>
              </w:rPr>
            </w:pPr>
            <w:r>
              <w:rPr>
                <w:szCs w:val="16"/>
              </w:rPr>
              <w:br/>
            </w:r>
            <w:r w:rsidRPr="00076CB4">
              <w:rPr>
                <w:szCs w:val="14"/>
              </w:rPr>
              <w:t>Business administrators</w:t>
            </w:r>
          </w:p>
          <w:p w:rsidR="00691289" w:rsidRPr="00076CB4" w:rsidRDefault="00691289" w:rsidP="00A0366B">
            <w:pPr>
              <w:pStyle w:val="Tabletext"/>
              <w:rPr>
                <w:szCs w:val="14"/>
              </w:rPr>
            </w:pPr>
            <w:r w:rsidRPr="00076CB4">
              <w:rPr>
                <w:szCs w:val="14"/>
              </w:rPr>
              <w:t>Financial managers</w:t>
            </w:r>
          </w:p>
          <w:p w:rsidR="00691289" w:rsidRPr="00076CB4" w:rsidRDefault="00691289" w:rsidP="00A0366B">
            <w:pPr>
              <w:pStyle w:val="Tabletext"/>
              <w:rPr>
                <w:szCs w:val="16"/>
              </w:rPr>
            </w:pPr>
            <w:r w:rsidRPr="00076CB4">
              <w:rPr>
                <w:szCs w:val="14"/>
              </w:rPr>
              <w:t>Marketing managers</w:t>
            </w:r>
          </w:p>
        </w:tc>
        <w:tc>
          <w:tcPr>
            <w:tcW w:w="1757" w:type="dxa"/>
            <w:tcBorders>
              <w:top w:val="single" w:sz="4" w:space="0" w:color="auto"/>
              <w:left w:val="nil"/>
              <w:bottom w:val="nil"/>
              <w:right w:val="nil"/>
            </w:tcBorders>
          </w:tcPr>
          <w:p w:rsidR="00691289" w:rsidRPr="00076CB4" w:rsidRDefault="00691289" w:rsidP="00A0366B">
            <w:pPr>
              <w:pStyle w:val="Tabletext"/>
              <w:ind w:left="227" w:hanging="227"/>
              <w:rPr>
                <w:szCs w:val="16"/>
              </w:rPr>
            </w:pPr>
            <w:r w:rsidRPr="00076CB4">
              <w:rPr>
                <w:szCs w:val="16"/>
              </w:rPr>
              <w:t>14</w:t>
            </w:r>
            <w:r>
              <w:rPr>
                <w:szCs w:val="16"/>
              </w:rPr>
              <w:tab/>
            </w:r>
            <w:r w:rsidRPr="00076CB4">
              <w:rPr>
                <w:szCs w:val="16"/>
              </w:rPr>
              <w:t>Socio-cultural professionals</w:t>
            </w:r>
          </w:p>
          <w:p w:rsidR="00691289" w:rsidRPr="00076CB4" w:rsidRDefault="00691289" w:rsidP="00A0366B">
            <w:pPr>
              <w:pStyle w:val="Tabletext"/>
              <w:rPr>
                <w:szCs w:val="14"/>
              </w:rPr>
            </w:pPr>
            <w:r>
              <w:rPr>
                <w:szCs w:val="16"/>
              </w:rPr>
              <w:br/>
            </w:r>
            <w:r w:rsidRPr="00076CB4">
              <w:rPr>
                <w:szCs w:val="14"/>
              </w:rPr>
              <w:t>University teachers</w:t>
            </w:r>
          </w:p>
          <w:p w:rsidR="00691289" w:rsidRPr="00076CB4" w:rsidRDefault="00691289" w:rsidP="00A0366B">
            <w:pPr>
              <w:pStyle w:val="Tabletext"/>
              <w:rPr>
                <w:szCs w:val="14"/>
              </w:rPr>
            </w:pPr>
            <w:r w:rsidRPr="00076CB4">
              <w:rPr>
                <w:szCs w:val="14"/>
              </w:rPr>
              <w:t>Medical doctors</w:t>
            </w:r>
          </w:p>
          <w:p w:rsidR="00691289" w:rsidRPr="00076CB4" w:rsidRDefault="00691289" w:rsidP="00A0366B">
            <w:pPr>
              <w:pStyle w:val="Tabletext"/>
              <w:rPr>
                <w:szCs w:val="16"/>
              </w:rPr>
            </w:pPr>
            <w:r w:rsidRPr="00076CB4">
              <w:rPr>
                <w:szCs w:val="14"/>
              </w:rPr>
              <w:t>Journalists</w:t>
            </w:r>
          </w:p>
        </w:tc>
        <w:tc>
          <w:tcPr>
            <w:tcW w:w="1171" w:type="dxa"/>
            <w:tcBorders>
              <w:top w:val="single" w:sz="4" w:space="0" w:color="auto"/>
              <w:left w:val="nil"/>
              <w:bottom w:val="nil"/>
              <w:right w:val="nil"/>
            </w:tcBorders>
          </w:tcPr>
          <w:p w:rsidR="00691289" w:rsidRPr="00076CB4" w:rsidRDefault="00691289" w:rsidP="00A0366B">
            <w:pPr>
              <w:pStyle w:val="Tabletext"/>
              <w:rPr>
                <w:szCs w:val="16"/>
              </w:rPr>
            </w:pPr>
            <w:r w:rsidRPr="00076CB4">
              <w:rPr>
                <w:szCs w:val="16"/>
              </w:rPr>
              <w:t>Professional/ managerial</w:t>
            </w:r>
          </w:p>
        </w:tc>
      </w:tr>
      <w:tr w:rsidR="00691289" w:rsidRPr="00076CB4" w:rsidTr="00A21C59">
        <w:tc>
          <w:tcPr>
            <w:tcW w:w="2342" w:type="dxa"/>
            <w:gridSpan w:val="2"/>
            <w:tcBorders>
              <w:top w:val="nil"/>
              <w:left w:val="nil"/>
              <w:bottom w:val="nil"/>
              <w:right w:val="nil"/>
            </w:tcBorders>
          </w:tcPr>
          <w:p w:rsidR="00691289" w:rsidRPr="00076CB4" w:rsidRDefault="00691289" w:rsidP="00A0366B">
            <w:pPr>
              <w:pStyle w:val="Tabletext"/>
              <w:ind w:left="170" w:hanging="170"/>
              <w:rPr>
                <w:szCs w:val="16"/>
              </w:rPr>
            </w:pPr>
            <w:r w:rsidRPr="00076CB4">
              <w:rPr>
                <w:szCs w:val="16"/>
              </w:rPr>
              <w:t>3</w:t>
            </w:r>
            <w:r>
              <w:rPr>
                <w:szCs w:val="16"/>
              </w:rPr>
              <w:tab/>
            </w:r>
            <w:r w:rsidRPr="00076CB4">
              <w:rPr>
                <w:szCs w:val="16"/>
              </w:rPr>
              <w:t>Small proprietors, artisans, with employees (&lt;9)</w:t>
            </w:r>
          </w:p>
          <w:p w:rsidR="00691289" w:rsidRPr="00076CB4" w:rsidRDefault="00691289" w:rsidP="00A0366B">
            <w:pPr>
              <w:pStyle w:val="Tabletext"/>
              <w:rPr>
                <w:szCs w:val="14"/>
              </w:rPr>
            </w:pPr>
            <w:r>
              <w:rPr>
                <w:szCs w:val="14"/>
              </w:rPr>
              <w:br/>
            </w:r>
            <w:r w:rsidRPr="00076CB4">
              <w:rPr>
                <w:szCs w:val="14"/>
              </w:rPr>
              <w:t>Restaurant owners</w:t>
            </w:r>
          </w:p>
          <w:p w:rsidR="00691289" w:rsidRPr="00076CB4" w:rsidRDefault="00691289" w:rsidP="00A0366B">
            <w:pPr>
              <w:pStyle w:val="Tabletext"/>
              <w:rPr>
                <w:szCs w:val="14"/>
              </w:rPr>
            </w:pPr>
            <w:r w:rsidRPr="00076CB4">
              <w:rPr>
                <w:szCs w:val="14"/>
              </w:rPr>
              <w:t>Farmers</w:t>
            </w:r>
          </w:p>
          <w:p w:rsidR="00691289" w:rsidRPr="00076CB4" w:rsidRDefault="00691289" w:rsidP="00A0366B">
            <w:pPr>
              <w:pStyle w:val="Tabletext"/>
              <w:rPr>
                <w:szCs w:val="16"/>
              </w:rPr>
            </w:pPr>
            <w:r w:rsidRPr="00076CB4">
              <w:rPr>
                <w:szCs w:val="14"/>
              </w:rPr>
              <w:t>Garage owners</w:t>
            </w:r>
          </w:p>
        </w:tc>
        <w:tc>
          <w:tcPr>
            <w:tcW w:w="1757" w:type="dxa"/>
            <w:gridSpan w:val="2"/>
            <w:tcBorders>
              <w:top w:val="nil"/>
              <w:left w:val="nil"/>
              <w:bottom w:val="nil"/>
              <w:right w:val="nil"/>
            </w:tcBorders>
          </w:tcPr>
          <w:p w:rsidR="00691289" w:rsidRPr="00076CB4" w:rsidRDefault="00691289" w:rsidP="00A0366B">
            <w:pPr>
              <w:pStyle w:val="Tabletext"/>
              <w:ind w:left="170" w:hanging="170"/>
              <w:rPr>
                <w:szCs w:val="16"/>
              </w:rPr>
            </w:pPr>
            <w:r w:rsidRPr="00076CB4">
              <w:rPr>
                <w:szCs w:val="16"/>
              </w:rPr>
              <w:t>6</w:t>
            </w:r>
            <w:r>
              <w:rPr>
                <w:szCs w:val="16"/>
              </w:rPr>
              <w:tab/>
            </w:r>
            <w:r w:rsidRPr="00076CB4">
              <w:rPr>
                <w:szCs w:val="16"/>
              </w:rPr>
              <w:t>Technicians</w:t>
            </w:r>
          </w:p>
          <w:p w:rsidR="00691289" w:rsidRPr="00076CB4" w:rsidRDefault="00691289" w:rsidP="00A0366B">
            <w:pPr>
              <w:pStyle w:val="Tabletext"/>
              <w:rPr>
                <w:szCs w:val="14"/>
              </w:rPr>
            </w:pPr>
            <w:r>
              <w:rPr>
                <w:szCs w:val="16"/>
              </w:rPr>
              <w:br/>
            </w:r>
            <w:r>
              <w:rPr>
                <w:szCs w:val="16"/>
              </w:rPr>
              <w:br/>
            </w:r>
            <w:r w:rsidRPr="00076CB4">
              <w:rPr>
                <w:szCs w:val="14"/>
              </w:rPr>
              <w:t>Electrical technicians</w:t>
            </w:r>
          </w:p>
          <w:p w:rsidR="00691289" w:rsidRPr="00076CB4" w:rsidRDefault="00691289" w:rsidP="00A0366B">
            <w:pPr>
              <w:pStyle w:val="Tabletext"/>
              <w:rPr>
                <w:szCs w:val="14"/>
              </w:rPr>
            </w:pPr>
            <w:r>
              <w:rPr>
                <w:szCs w:val="14"/>
              </w:rPr>
              <w:t>Computer equipment</w:t>
            </w:r>
            <w:r w:rsidRPr="00076CB4">
              <w:rPr>
                <w:szCs w:val="14"/>
              </w:rPr>
              <w:t xml:space="preserve"> operators</w:t>
            </w:r>
          </w:p>
          <w:p w:rsidR="00691289" w:rsidRPr="00076CB4" w:rsidRDefault="00691289" w:rsidP="00A0366B">
            <w:pPr>
              <w:pStyle w:val="Tabletext"/>
              <w:rPr>
                <w:szCs w:val="16"/>
              </w:rPr>
            </w:pPr>
            <w:r w:rsidRPr="00076CB4">
              <w:rPr>
                <w:szCs w:val="14"/>
              </w:rPr>
              <w:t>Safety inspectors</w:t>
            </w:r>
          </w:p>
        </w:tc>
        <w:tc>
          <w:tcPr>
            <w:tcW w:w="1762" w:type="dxa"/>
            <w:gridSpan w:val="2"/>
            <w:tcBorders>
              <w:top w:val="nil"/>
              <w:left w:val="nil"/>
              <w:bottom w:val="nil"/>
              <w:right w:val="nil"/>
            </w:tcBorders>
          </w:tcPr>
          <w:p w:rsidR="00691289" w:rsidRPr="00076CB4" w:rsidRDefault="00691289" w:rsidP="00A0366B">
            <w:pPr>
              <w:pStyle w:val="Tabletext"/>
              <w:ind w:left="227" w:hanging="227"/>
              <w:rPr>
                <w:szCs w:val="16"/>
              </w:rPr>
            </w:pPr>
            <w:r w:rsidRPr="00076CB4">
              <w:rPr>
                <w:szCs w:val="16"/>
              </w:rPr>
              <w:t>11</w:t>
            </w:r>
            <w:r>
              <w:rPr>
                <w:szCs w:val="16"/>
              </w:rPr>
              <w:tab/>
            </w:r>
            <w:r w:rsidRPr="00076CB4">
              <w:rPr>
                <w:szCs w:val="16"/>
              </w:rPr>
              <w:t>Associate managers</w:t>
            </w:r>
          </w:p>
          <w:p w:rsidR="00691289" w:rsidRPr="00076CB4" w:rsidRDefault="00691289" w:rsidP="00A0366B">
            <w:pPr>
              <w:pStyle w:val="Tabletext"/>
              <w:rPr>
                <w:szCs w:val="14"/>
              </w:rPr>
            </w:pPr>
            <w:r>
              <w:rPr>
                <w:szCs w:val="14"/>
              </w:rPr>
              <w:br/>
            </w:r>
            <w:r w:rsidRPr="00076CB4">
              <w:rPr>
                <w:szCs w:val="14"/>
              </w:rPr>
              <w:t>Managers in small firms</w:t>
            </w:r>
          </w:p>
          <w:p w:rsidR="00691289" w:rsidRPr="00076CB4" w:rsidRDefault="00691289" w:rsidP="00A0366B">
            <w:pPr>
              <w:pStyle w:val="Tabletext"/>
              <w:rPr>
                <w:szCs w:val="14"/>
              </w:rPr>
            </w:pPr>
            <w:r w:rsidRPr="00076CB4">
              <w:rPr>
                <w:szCs w:val="14"/>
              </w:rPr>
              <w:t>Tax officials</w:t>
            </w:r>
          </w:p>
          <w:p w:rsidR="00691289" w:rsidRPr="00076CB4" w:rsidRDefault="00691289" w:rsidP="00A0366B">
            <w:pPr>
              <w:pStyle w:val="Tabletext"/>
              <w:rPr>
                <w:szCs w:val="16"/>
              </w:rPr>
            </w:pPr>
            <w:r w:rsidRPr="00076CB4">
              <w:rPr>
                <w:szCs w:val="14"/>
              </w:rPr>
              <w:t>Bookkeepers</w:t>
            </w:r>
          </w:p>
        </w:tc>
        <w:tc>
          <w:tcPr>
            <w:tcW w:w="1757" w:type="dxa"/>
            <w:tcBorders>
              <w:top w:val="nil"/>
              <w:left w:val="nil"/>
              <w:bottom w:val="nil"/>
              <w:right w:val="nil"/>
            </w:tcBorders>
          </w:tcPr>
          <w:p w:rsidR="00691289" w:rsidRPr="00076CB4" w:rsidRDefault="00691289" w:rsidP="00A0366B">
            <w:pPr>
              <w:pStyle w:val="Tabletext"/>
              <w:ind w:left="227" w:hanging="227"/>
              <w:rPr>
                <w:szCs w:val="16"/>
              </w:rPr>
            </w:pPr>
            <w:r w:rsidRPr="00076CB4">
              <w:rPr>
                <w:szCs w:val="16"/>
              </w:rPr>
              <w:t>15</w:t>
            </w:r>
            <w:r>
              <w:rPr>
                <w:szCs w:val="16"/>
              </w:rPr>
              <w:tab/>
            </w:r>
            <w:r w:rsidRPr="00076CB4">
              <w:rPr>
                <w:szCs w:val="16"/>
              </w:rPr>
              <w:t xml:space="preserve">Socio-cultural </w:t>
            </w:r>
            <w:r w:rsidR="00CE146C">
              <w:rPr>
                <w:szCs w:val="16"/>
              </w:rPr>
              <w:br/>
            </w:r>
            <w:r w:rsidRPr="00076CB4">
              <w:rPr>
                <w:szCs w:val="16"/>
              </w:rPr>
              <w:t>semi- professionals</w:t>
            </w:r>
          </w:p>
          <w:p w:rsidR="00691289" w:rsidRPr="00076CB4" w:rsidRDefault="00CE146C" w:rsidP="00A0366B">
            <w:pPr>
              <w:pStyle w:val="Tabletext"/>
              <w:rPr>
                <w:szCs w:val="14"/>
              </w:rPr>
            </w:pPr>
            <w:r>
              <w:rPr>
                <w:szCs w:val="14"/>
              </w:rPr>
              <w:br/>
            </w:r>
            <w:r w:rsidR="00691289" w:rsidRPr="00076CB4">
              <w:rPr>
                <w:szCs w:val="14"/>
              </w:rPr>
              <w:t>Primary school teachers</w:t>
            </w:r>
          </w:p>
          <w:p w:rsidR="00691289" w:rsidRPr="00076CB4" w:rsidRDefault="00691289" w:rsidP="00A0366B">
            <w:pPr>
              <w:pStyle w:val="Tabletext"/>
              <w:rPr>
                <w:szCs w:val="14"/>
              </w:rPr>
            </w:pPr>
            <w:r w:rsidRPr="00076CB4">
              <w:rPr>
                <w:szCs w:val="14"/>
              </w:rPr>
              <w:t>Registered nurses</w:t>
            </w:r>
          </w:p>
          <w:p w:rsidR="00691289" w:rsidRPr="00076CB4" w:rsidRDefault="00691289" w:rsidP="00A0366B">
            <w:pPr>
              <w:pStyle w:val="Tabletext"/>
              <w:rPr>
                <w:szCs w:val="16"/>
              </w:rPr>
            </w:pPr>
            <w:r w:rsidRPr="00076CB4">
              <w:rPr>
                <w:szCs w:val="14"/>
              </w:rPr>
              <w:t>Social workers</w:t>
            </w:r>
          </w:p>
        </w:tc>
        <w:tc>
          <w:tcPr>
            <w:tcW w:w="1171" w:type="dxa"/>
            <w:tcBorders>
              <w:top w:val="nil"/>
              <w:left w:val="nil"/>
              <w:bottom w:val="nil"/>
              <w:right w:val="nil"/>
            </w:tcBorders>
          </w:tcPr>
          <w:p w:rsidR="00691289" w:rsidRPr="00076CB4" w:rsidRDefault="00691289" w:rsidP="00A0366B">
            <w:pPr>
              <w:pStyle w:val="Tabletext"/>
              <w:rPr>
                <w:szCs w:val="16"/>
              </w:rPr>
            </w:pPr>
            <w:r w:rsidRPr="00076CB4">
              <w:rPr>
                <w:szCs w:val="16"/>
              </w:rPr>
              <w:t>Associate professional/ managerial</w:t>
            </w:r>
          </w:p>
        </w:tc>
      </w:tr>
      <w:tr w:rsidR="00691289" w:rsidRPr="00076CB4" w:rsidTr="00A21C59">
        <w:tc>
          <w:tcPr>
            <w:tcW w:w="2342" w:type="dxa"/>
            <w:gridSpan w:val="2"/>
            <w:tcBorders>
              <w:top w:val="nil"/>
              <w:left w:val="nil"/>
              <w:bottom w:val="nil"/>
              <w:right w:val="nil"/>
            </w:tcBorders>
          </w:tcPr>
          <w:p w:rsidR="00691289" w:rsidRPr="00076CB4" w:rsidRDefault="00691289" w:rsidP="00A0366B">
            <w:pPr>
              <w:pStyle w:val="Tabletext"/>
              <w:ind w:left="170" w:hanging="170"/>
              <w:rPr>
                <w:szCs w:val="16"/>
              </w:rPr>
            </w:pPr>
            <w:r w:rsidRPr="00076CB4">
              <w:rPr>
                <w:szCs w:val="16"/>
              </w:rPr>
              <w:t>4</w:t>
            </w:r>
            <w:r>
              <w:rPr>
                <w:szCs w:val="16"/>
              </w:rPr>
              <w:tab/>
            </w:r>
            <w:r w:rsidRPr="00076CB4">
              <w:rPr>
                <w:szCs w:val="16"/>
              </w:rPr>
              <w:t>Small proprietors, artisans, without employees</w:t>
            </w:r>
          </w:p>
          <w:p w:rsidR="00691289" w:rsidRPr="00076CB4" w:rsidRDefault="00691289" w:rsidP="00A0366B">
            <w:pPr>
              <w:pStyle w:val="Tabletext"/>
              <w:rPr>
                <w:szCs w:val="14"/>
              </w:rPr>
            </w:pPr>
            <w:r w:rsidRPr="00076CB4">
              <w:rPr>
                <w:szCs w:val="14"/>
              </w:rPr>
              <w:t>Shop keepers</w:t>
            </w:r>
          </w:p>
          <w:p w:rsidR="00691289" w:rsidRPr="00076CB4" w:rsidRDefault="00691289" w:rsidP="00A0366B">
            <w:pPr>
              <w:pStyle w:val="Tabletext"/>
              <w:rPr>
                <w:szCs w:val="14"/>
              </w:rPr>
            </w:pPr>
            <w:r w:rsidRPr="00076CB4">
              <w:rPr>
                <w:szCs w:val="14"/>
              </w:rPr>
              <w:t>Hairdressers</w:t>
            </w:r>
          </w:p>
          <w:p w:rsidR="00691289" w:rsidRPr="00076CB4" w:rsidRDefault="00691289" w:rsidP="00A0366B">
            <w:pPr>
              <w:pStyle w:val="Tabletext"/>
              <w:rPr>
                <w:szCs w:val="16"/>
              </w:rPr>
            </w:pPr>
            <w:r w:rsidRPr="00076CB4">
              <w:rPr>
                <w:szCs w:val="14"/>
              </w:rPr>
              <w:t>Lorry drivers</w:t>
            </w:r>
          </w:p>
        </w:tc>
        <w:tc>
          <w:tcPr>
            <w:tcW w:w="1757" w:type="dxa"/>
            <w:gridSpan w:val="2"/>
            <w:tcBorders>
              <w:top w:val="nil"/>
              <w:left w:val="nil"/>
              <w:bottom w:val="nil"/>
              <w:right w:val="nil"/>
            </w:tcBorders>
          </w:tcPr>
          <w:p w:rsidR="00691289" w:rsidRPr="00076CB4" w:rsidRDefault="00691289" w:rsidP="00A0366B">
            <w:pPr>
              <w:pStyle w:val="Tabletext"/>
              <w:ind w:left="170" w:hanging="170"/>
              <w:rPr>
                <w:szCs w:val="16"/>
              </w:rPr>
            </w:pPr>
            <w:r w:rsidRPr="00076CB4">
              <w:rPr>
                <w:szCs w:val="16"/>
              </w:rPr>
              <w:t>7</w:t>
            </w:r>
            <w:r>
              <w:rPr>
                <w:szCs w:val="16"/>
              </w:rPr>
              <w:tab/>
            </w:r>
            <w:r w:rsidRPr="00076CB4">
              <w:rPr>
                <w:szCs w:val="16"/>
              </w:rPr>
              <w:t>Skilled crafts</w:t>
            </w:r>
          </w:p>
          <w:p w:rsidR="00691289" w:rsidRPr="00076CB4" w:rsidRDefault="00691289" w:rsidP="00A0366B">
            <w:pPr>
              <w:pStyle w:val="Tabletext"/>
              <w:rPr>
                <w:szCs w:val="14"/>
              </w:rPr>
            </w:pPr>
            <w:r>
              <w:rPr>
                <w:szCs w:val="16"/>
              </w:rPr>
              <w:br/>
            </w:r>
            <w:r w:rsidRPr="00076CB4">
              <w:rPr>
                <w:szCs w:val="14"/>
              </w:rPr>
              <w:t>Machinery mechanics</w:t>
            </w:r>
          </w:p>
          <w:p w:rsidR="00691289" w:rsidRPr="00076CB4" w:rsidRDefault="00691289" w:rsidP="00A0366B">
            <w:pPr>
              <w:pStyle w:val="Tabletext"/>
              <w:rPr>
                <w:szCs w:val="14"/>
              </w:rPr>
            </w:pPr>
            <w:r w:rsidRPr="00076CB4">
              <w:rPr>
                <w:szCs w:val="14"/>
              </w:rPr>
              <w:t>Toolmakers</w:t>
            </w:r>
          </w:p>
          <w:p w:rsidR="00691289" w:rsidRPr="00076CB4" w:rsidRDefault="00691289" w:rsidP="00A0366B">
            <w:pPr>
              <w:pStyle w:val="Tabletext"/>
              <w:rPr>
                <w:szCs w:val="16"/>
              </w:rPr>
            </w:pPr>
            <w:r w:rsidRPr="00076CB4">
              <w:rPr>
                <w:szCs w:val="14"/>
              </w:rPr>
              <w:t>Electricians</w:t>
            </w:r>
          </w:p>
        </w:tc>
        <w:tc>
          <w:tcPr>
            <w:tcW w:w="1762" w:type="dxa"/>
            <w:gridSpan w:val="2"/>
            <w:tcBorders>
              <w:top w:val="nil"/>
              <w:left w:val="nil"/>
              <w:bottom w:val="nil"/>
              <w:right w:val="nil"/>
            </w:tcBorders>
          </w:tcPr>
          <w:p w:rsidR="00691289" w:rsidRPr="00076CB4" w:rsidRDefault="00691289" w:rsidP="00A0366B">
            <w:pPr>
              <w:pStyle w:val="Tabletext"/>
              <w:ind w:left="227" w:hanging="227"/>
              <w:rPr>
                <w:szCs w:val="16"/>
              </w:rPr>
            </w:pPr>
            <w:r w:rsidRPr="00076CB4">
              <w:rPr>
                <w:szCs w:val="16"/>
              </w:rPr>
              <w:t>12</w:t>
            </w:r>
            <w:r>
              <w:rPr>
                <w:szCs w:val="16"/>
              </w:rPr>
              <w:tab/>
            </w:r>
            <w:r w:rsidRPr="00076CB4">
              <w:rPr>
                <w:szCs w:val="16"/>
              </w:rPr>
              <w:t>Skilled office</w:t>
            </w:r>
          </w:p>
          <w:p w:rsidR="00691289" w:rsidRPr="00076CB4" w:rsidRDefault="00691289" w:rsidP="00A0366B">
            <w:pPr>
              <w:pStyle w:val="Tabletext"/>
              <w:rPr>
                <w:szCs w:val="14"/>
              </w:rPr>
            </w:pPr>
            <w:r>
              <w:rPr>
                <w:szCs w:val="16"/>
              </w:rPr>
              <w:br/>
            </w:r>
            <w:r w:rsidRPr="00076CB4">
              <w:rPr>
                <w:szCs w:val="14"/>
              </w:rPr>
              <w:t>Secretaries</w:t>
            </w:r>
          </w:p>
          <w:p w:rsidR="00691289" w:rsidRPr="00076CB4" w:rsidRDefault="00691289" w:rsidP="00A0366B">
            <w:pPr>
              <w:pStyle w:val="Tabletext"/>
              <w:rPr>
                <w:szCs w:val="14"/>
              </w:rPr>
            </w:pPr>
            <w:r w:rsidRPr="00076CB4">
              <w:rPr>
                <w:szCs w:val="14"/>
              </w:rPr>
              <w:t>Banking tellers</w:t>
            </w:r>
          </w:p>
          <w:p w:rsidR="00691289" w:rsidRPr="00076CB4" w:rsidRDefault="00691289" w:rsidP="00A0366B">
            <w:pPr>
              <w:pStyle w:val="Tabletext"/>
              <w:rPr>
                <w:szCs w:val="16"/>
              </w:rPr>
            </w:pPr>
            <w:r w:rsidRPr="00076CB4">
              <w:rPr>
                <w:szCs w:val="14"/>
              </w:rPr>
              <w:t>Stock clerks</w:t>
            </w:r>
          </w:p>
        </w:tc>
        <w:tc>
          <w:tcPr>
            <w:tcW w:w="1757" w:type="dxa"/>
            <w:tcBorders>
              <w:top w:val="nil"/>
              <w:left w:val="nil"/>
              <w:bottom w:val="nil"/>
              <w:right w:val="nil"/>
            </w:tcBorders>
          </w:tcPr>
          <w:p w:rsidR="00691289" w:rsidRPr="00076CB4" w:rsidRDefault="00691289" w:rsidP="00A0366B">
            <w:pPr>
              <w:pStyle w:val="Tabletext"/>
              <w:ind w:left="227" w:hanging="227"/>
              <w:rPr>
                <w:szCs w:val="16"/>
              </w:rPr>
            </w:pPr>
            <w:r w:rsidRPr="00076CB4">
              <w:rPr>
                <w:szCs w:val="16"/>
              </w:rPr>
              <w:t>16</w:t>
            </w:r>
            <w:r>
              <w:rPr>
                <w:szCs w:val="16"/>
              </w:rPr>
              <w:tab/>
            </w:r>
            <w:r w:rsidRPr="00076CB4">
              <w:rPr>
                <w:szCs w:val="16"/>
              </w:rPr>
              <w:t>Skilled service</w:t>
            </w:r>
          </w:p>
          <w:p w:rsidR="00691289" w:rsidRPr="00076CB4" w:rsidRDefault="00691289" w:rsidP="00A0366B">
            <w:pPr>
              <w:pStyle w:val="Tabletext"/>
              <w:rPr>
                <w:szCs w:val="14"/>
              </w:rPr>
            </w:pPr>
            <w:r>
              <w:rPr>
                <w:szCs w:val="16"/>
              </w:rPr>
              <w:br/>
            </w:r>
            <w:r w:rsidRPr="00076CB4">
              <w:rPr>
                <w:szCs w:val="14"/>
              </w:rPr>
              <w:t>Police</w:t>
            </w:r>
          </w:p>
          <w:p w:rsidR="00691289" w:rsidRPr="00076CB4" w:rsidRDefault="00691289" w:rsidP="00A0366B">
            <w:pPr>
              <w:pStyle w:val="Tabletext"/>
              <w:rPr>
                <w:szCs w:val="14"/>
              </w:rPr>
            </w:pPr>
            <w:r w:rsidRPr="00076CB4">
              <w:rPr>
                <w:szCs w:val="14"/>
              </w:rPr>
              <w:t>Cooks</w:t>
            </w:r>
          </w:p>
          <w:p w:rsidR="00691289" w:rsidRPr="00076CB4" w:rsidRDefault="00691289" w:rsidP="00A0366B">
            <w:pPr>
              <w:pStyle w:val="Tabletext"/>
              <w:rPr>
                <w:szCs w:val="16"/>
              </w:rPr>
            </w:pPr>
            <w:r w:rsidRPr="00076CB4">
              <w:rPr>
                <w:szCs w:val="14"/>
              </w:rPr>
              <w:t>Children’s nurses</w:t>
            </w:r>
          </w:p>
        </w:tc>
        <w:tc>
          <w:tcPr>
            <w:tcW w:w="1171" w:type="dxa"/>
            <w:tcBorders>
              <w:top w:val="nil"/>
              <w:left w:val="nil"/>
              <w:bottom w:val="nil"/>
              <w:right w:val="nil"/>
            </w:tcBorders>
          </w:tcPr>
          <w:p w:rsidR="00691289" w:rsidRPr="00076CB4" w:rsidRDefault="00691289" w:rsidP="00A0366B">
            <w:pPr>
              <w:pStyle w:val="Tabletext"/>
              <w:rPr>
                <w:szCs w:val="16"/>
              </w:rPr>
            </w:pPr>
            <w:r w:rsidRPr="00076CB4">
              <w:rPr>
                <w:szCs w:val="16"/>
              </w:rPr>
              <w:t>Generally/ vocationally skilled</w:t>
            </w:r>
          </w:p>
        </w:tc>
      </w:tr>
      <w:tr w:rsidR="00691289" w:rsidRPr="00076CB4" w:rsidTr="00A21C59">
        <w:tc>
          <w:tcPr>
            <w:tcW w:w="2342" w:type="dxa"/>
            <w:gridSpan w:val="2"/>
            <w:tcBorders>
              <w:top w:val="nil"/>
              <w:left w:val="nil"/>
              <w:bottom w:val="single" w:sz="4" w:space="0" w:color="auto"/>
              <w:right w:val="nil"/>
            </w:tcBorders>
          </w:tcPr>
          <w:p w:rsidR="00691289" w:rsidRPr="00076CB4" w:rsidRDefault="00691289" w:rsidP="00A0366B">
            <w:pPr>
              <w:pStyle w:val="Tabletext"/>
              <w:rPr>
                <w:szCs w:val="16"/>
              </w:rPr>
            </w:pPr>
          </w:p>
        </w:tc>
        <w:tc>
          <w:tcPr>
            <w:tcW w:w="919" w:type="dxa"/>
            <w:tcBorders>
              <w:top w:val="nil"/>
              <w:left w:val="nil"/>
              <w:bottom w:val="single" w:sz="4" w:space="0" w:color="auto"/>
              <w:right w:val="nil"/>
            </w:tcBorders>
            <w:tcMar>
              <w:right w:w="0" w:type="dxa"/>
            </w:tcMar>
          </w:tcPr>
          <w:p w:rsidR="00691289" w:rsidRPr="00076CB4" w:rsidRDefault="00691289" w:rsidP="00213E0E">
            <w:pPr>
              <w:pStyle w:val="Tabletext"/>
              <w:spacing w:before="80"/>
              <w:ind w:left="170" w:hanging="170"/>
              <w:rPr>
                <w:szCs w:val="16"/>
              </w:rPr>
            </w:pPr>
            <w:r w:rsidRPr="00076CB4">
              <w:rPr>
                <w:szCs w:val="16"/>
              </w:rPr>
              <w:t>8</w:t>
            </w:r>
            <w:r>
              <w:rPr>
                <w:szCs w:val="16"/>
              </w:rPr>
              <w:tab/>
            </w:r>
            <w:r w:rsidRPr="00076CB4">
              <w:rPr>
                <w:szCs w:val="16"/>
              </w:rPr>
              <w:t>Routine</w:t>
            </w:r>
            <w:r>
              <w:rPr>
                <w:szCs w:val="16"/>
              </w:rPr>
              <w:t xml:space="preserve"> </w:t>
            </w:r>
            <w:r w:rsidRPr="00076CB4">
              <w:rPr>
                <w:szCs w:val="16"/>
              </w:rPr>
              <w:t>operat</w:t>
            </w:r>
            <w:r w:rsidR="00C34DD8">
              <w:rPr>
                <w:szCs w:val="16"/>
              </w:rPr>
              <w:t>-</w:t>
            </w:r>
            <w:r w:rsidRPr="00076CB4">
              <w:rPr>
                <w:szCs w:val="16"/>
              </w:rPr>
              <w:t>ives</w:t>
            </w:r>
          </w:p>
          <w:p w:rsidR="00691289" w:rsidRPr="00076CB4" w:rsidRDefault="00691289" w:rsidP="00A0366B">
            <w:pPr>
              <w:pStyle w:val="Tabletext"/>
              <w:rPr>
                <w:szCs w:val="14"/>
              </w:rPr>
            </w:pPr>
            <w:r w:rsidRPr="00076CB4">
              <w:rPr>
                <w:szCs w:val="14"/>
              </w:rPr>
              <w:t>Assemblers</w:t>
            </w:r>
          </w:p>
          <w:p w:rsidR="00691289" w:rsidRPr="00076CB4" w:rsidRDefault="00691289" w:rsidP="00A0366B">
            <w:pPr>
              <w:pStyle w:val="Tabletext"/>
              <w:rPr>
                <w:szCs w:val="14"/>
              </w:rPr>
            </w:pPr>
            <w:r w:rsidRPr="00076CB4">
              <w:rPr>
                <w:szCs w:val="14"/>
              </w:rPr>
              <w:t>Machine operators</w:t>
            </w:r>
          </w:p>
          <w:p w:rsidR="00691289" w:rsidRPr="00076CB4" w:rsidRDefault="00691289" w:rsidP="00A0366B">
            <w:pPr>
              <w:pStyle w:val="Tabletext"/>
              <w:rPr>
                <w:szCs w:val="16"/>
              </w:rPr>
            </w:pPr>
            <w:r w:rsidRPr="00076CB4">
              <w:rPr>
                <w:szCs w:val="14"/>
              </w:rPr>
              <w:t>Freight handlers</w:t>
            </w:r>
          </w:p>
        </w:tc>
        <w:tc>
          <w:tcPr>
            <w:tcW w:w="848" w:type="dxa"/>
            <w:gridSpan w:val="2"/>
            <w:tcBorders>
              <w:top w:val="nil"/>
              <w:left w:val="nil"/>
              <w:bottom w:val="single" w:sz="4" w:space="0" w:color="auto"/>
              <w:right w:val="nil"/>
            </w:tcBorders>
            <w:tcMar>
              <w:right w:w="0" w:type="dxa"/>
            </w:tcMar>
          </w:tcPr>
          <w:p w:rsidR="00691289" w:rsidRPr="00076CB4" w:rsidRDefault="00691289" w:rsidP="00C34DD8">
            <w:pPr>
              <w:pStyle w:val="Tabletext"/>
              <w:spacing w:before="80"/>
              <w:ind w:left="170" w:hanging="170"/>
              <w:rPr>
                <w:szCs w:val="16"/>
              </w:rPr>
            </w:pPr>
            <w:r w:rsidRPr="00076CB4">
              <w:rPr>
                <w:szCs w:val="16"/>
              </w:rPr>
              <w:t>9</w:t>
            </w:r>
            <w:r>
              <w:rPr>
                <w:szCs w:val="16"/>
              </w:rPr>
              <w:tab/>
            </w:r>
            <w:r w:rsidRPr="00076CB4">
              <w:rPr>
                <w:szCs w:val="16"/>
              </w:rPr>
              <w:t>Routine agricul</w:t>
            </w:r>
            <w:r w:rsidR="00C34DD8">
              <w:rPr>
                <w:szCs w:val="16"/>
              </w:rPr>
              <w:t>-</w:t>
            </w:r>
            <w:r w:rsidRPr="00076CB4">
              <w:rPr>
                <w:szCs w:val="16"/>
              </w:rPr>
              <w:t>ture</w:t>
            </w:r>
          </w:p>
          <w:p w:rsidR="00691289" w:rsidRPr="00076CB4" w:rsidRDefault="00691289" w:rsidP="00C34DD8">
            <w:pPr>
              <w:pStyle w:val="Tabletext"/>
              <w:rPr>
                <w:szCs w:val="14"/>
              </w:rPr>
            </w:pPr>
            <w:r w:rsidRPr="00076CB4">
              <w:rPr>
                <w:szCs w:val="14"/>
              </w:rPr>
              <w:t>Farm</w:t>
            </w:r>
            <w:r w:rsidR="00C34DD8">
              <w:rPr>
                <w:szCs w:val="14"/>
              </w:rPr>
              <w:t xml:space="preserve"> </w:t>
            </w:r>
            <w:r w:rsidRPr="00076CB4">
              <w:rPr>
                <w:szCs w:val="14"/>
              </w:rPr>
              <w:t>hands</w:t>
            </w:r>
          </w:p>
          <w:p w:rsidR="00691289" w:rsidRPr="00076CB4" w:rsidRDefault="00691289" w:rsidP="00A0366B">
            <w:pPr>
              <w:pStyle w:val="Tabletext"/>
              <w:ind w:left="170" w:hanging="170"/>
              <w:rPr>
                <w:szCs w:val="14"/>
              </w:rPr>
            </w:pPr>
            <w:r w:rsidRPr="00076CB4">
              <w:rPr>
                <w:szCs w:val="14"/>
              </w:rPr>
              <w:t>Loggers</w:t>
            </w:r>
          </w:p>
          <w:p w:rsidR="00691289" w:rsidRPr="00076CB4" w:rsidRDefault="00691289" w:rsidP="00A0366B">
            <w:pPr>
              <w:pStyle w:val="Tabletext"/>
              <w:ind w:left="170" w:hanging="170"/>
              <w:rPr>
                <w:szCs w:val="16"/>
              </w:rPr>
            </w:pPr>
            <w:r w:rsidRPr="00076CB4">
              <w:rPr>
                <w:szCs w:val="14"/>
              </w:rPr>
              <w:t>Gardeners</w:t>
            </w:r>
          </w:p>
        </w:tc>
        <w:tc>
          <w:tcPr>
            <w:tcW w:w="1752" w:type="dxa"/>
            <w:tcBorders>
              <w:top w:val="nil"/>
              <w:left w:val="nil"/>
              <w:bottom w:val="single" w:sz="4" w:space="0" w:color="auto"/>
              <w:right w:val="nil"/>
            </w:tcBorders>
          </w:tcPr>
          <w:p w:rsidR="00691289" w:rsidRPr="00076CB4" w:rsidRDefault="00691289" w:rsidP="00C34DD8">
            <w:pPr>
              <w:pStyle w:val="Tabletext"/>
              <w:spacing w:before="80"/>
              <w:ind w:left="227" w:hanging="227"/>
              <w:rPr>
                <w:szCs w:val="16"/>
              </w:rPr>
            </w:pPr>
            <w:r w:rsidRPr="00076CB4">
              <w:rPr>
                <w:szCs w:val="16"/>
              </w:rPr>
              <w:t>13</w:t>
            </w:r>
            <w:r>
              <w:rPr>
                <w:szCs w:val="16"/>
              </w:rPr>
              <w:tab/>
            </w:r>
            <w:r w:rsidRPr="00076CB4">
              <w:rPr>
                <w:szCs w:val="16"/>
              </w:rPr>
              <w:t>Routine office</w:t>
            </w:r>
          </w:p>
          <w:p w:rsidR="00691289" w:rsidRPr="00076CB4" w:rsidRDefault="00691289" w:rsidP="00A0366B">
            <w:pPr>
              <w:pStyle w:val="Tabletext"/>
              <w:rPr>
                <w:szCs w:val="14"/>
              </w:rPr>
            </w:pPr>
            <w:r w:rsidRPr="00076CB4">
              <w:rPr>
                <w:szCs w:val="14"/>
              </w:rPr>
              <w:t>Mail sorting clerks</w:t>
            </w:r>
          </w:p>
          <w:p w:rsidR="00691289" w:rsidRPr="00076CB4" w:rsidRDefault="00691289" w:rsidP="00A0366B">
            <w:pPr>
              <w:pStyle w:val="Tabletext"/>
              <w:rPr>
                <w:szCs w:val="14"/>
              </w:rPr>
            </w:pPr>
            <w:r w:rsidRPr="00076CB4">
              <w:rPr>
                <w:szCs w:val="14"/>
              </w:rPr>
              <w:t>Receptionists</w:t>
            </w:r>
          </w:p>
          <w:p w:rsidR="00691289" w:rsidRPr="00076CB4" w:rsidRDefault="00691289" w:rsidP="00A0366B">
            <w:pPr>
              <w:pStyle w:val="Tabletext"/>
              <w:rPr>
                <w:szCs w:val="16"/>
              </w:rPr>
            </w:pPr>
            <w:r w:rsidRPr="00076CB4">
              <w:rPr>
                <w:szCs w:val="14"/>
              </w:rPr>
              <w:t>Messengers</w:t>
            </w:r>
          </w:p>
        </w:tc>
        <w:tc>
          <w:tcPr>
            <w:tcW w:w="1757" w:type="dxa"/>
            <w:tcBorders>
              <w:top w:val="nil"/>
              <w:left w:val="nil"/>
              <w:bottom w:val="single" w:sz="4" w:space="0" w:color="auto"/>
              <w:right w:val="nil"/>
            </w:tcBorders>
          </w:tcPr>
          <w:p w:rsidR="00691289" w:rsidRPr="00076CB4" w:rsidRDefault="00691289" w:rsidP="00C34DD8">
            <w:pPr>
              <w:pStyle w:val="Tabletext"/>
              <w:spacing w:before="80"/>
              <w:ind w:left="227" w:hanging="227"/>
              <w:rPr>
                <w:szCs w:val="16"/>
              </w:rPr>
            </w:pPr>
            <w:r w:rsidRPr="00076CB4">
              <w:rPr>
                <w:szCs w:val="16"/>
              </w:rPr>
              <w:t>17</w:t>
            </w:r>
            <w:r>
              <w:rPr>
                <w:szCs w:val="16"/>
              </w:rPr>
              <w:tab/>
            </w:r>
            <w:r w:rsidRPr="00076CB4">
              <w:rPr>
                <w:szCs w:val="16"/>
              </w:rPr>
              <w:t>Routine service</w:t>
            </w:r>
          </w:p>
          <w:p w:rsidR="00691289" w:rsidRPr="00076CB4" w:rsidRDefault="00691289" w:rsidP="00A0366B">
            <w:pPr>
              <w:pStyle w:val="Tabletext"/>
              <w:rPr>
                <w:szCs w:val="14"/>
              </w:rPr>
            </w:pPr>
            <w:r w:rsidRPr="00076CB4">
              <w:rPr>
                <w:szCs w:val="14"/>
              </w:rPr>
              <w:t>Shop assistants</w:t>
            </w:r>
          </w:p>
          <w:p w:rsidR="00691289" w:rsidRPr="00076CB4" w:rsidRDefault="00691289" w:rsidP="00A0366B">
            <w:pPr>
              <w:pStyle w:val="Tabletext"/>
              <w:rPr>
                <w:szCs w:val="14"/>
              </w:rPr>
            </w:pPr>
            <w:r w:rsidRPr="00076CB4">
              <w:rPr>
                <w:szCs w:val="14"/>
              </w:rPr>
              <w:t>Home helpers</w:t>
            </w:r>
          </w:p>
          <w:p w:rsidR="00691289" w:rsidRPr="00076CB4" w:rsidRDefault="00691289" w:rsidP="00A0366B">
            <w:pPr>
              <w:pStyle w:val="Tabletext"/>
              <w:rPr>
                <w:szCs w:val="16"/>
              </w:rPr>
            </w:pPr>
            <w:r w:rsidRPr="00076CB4">
              <w:rPr>
                <w:szCs w:val="14"/>
              </w:rPr>
              <w:t>Waiters</w:t>
            </w:r>
          </w:p>
        </w:tc>
        <w:tc>
          <w:tcPr>
            <w:tcW w:w="1171" w:type="dxa"/>
            <w:tcBorders>
              <w:top w:val="nil"/>
              <w:left w:val="nil"/>
              <w:bottom w:val="single" w:sz="4" w:space="0" w:color="auto"/>
              <w:right w:val="nil"/>
            </w:tcBorders>
          </w:tcPr>
          <w:p w:rsidR="00691289" w:rsidRPr="00076CB4" w:rsidRDefault="00691289" w:rsidP="00C34DD8">
            <w:pPr>
              <w:pStyle w:val="Tabletext"/>
              <w:spacing w:before="80"/>
              <w:rPr>
                <w:szCs w:val="16"/>
              </w:rPr>
            </w:pPr>
            <w:r w:rsidRPr="00076CB4">
              <w:rPr>
                <w:szCs w:val="16"/>
              </w:rPr>
              <w:t>Low/unskilled</w:t>
            </w:r>
          </w:p>
        </w:tc>
      </w:tr>
    </w:tbl>
    <w:p w:rsidR="00691289" w:rsidRDefault="00691289" w:rsidP="00691289">
      <w:pPr>
        <w:pStyle w:val="Source"/>
      </w:pPr>
      <w:r w:rsidRPr="00B71E29">
        <w:t>Note:</w:t>
      </w:r>
      <w:r>
        <w:tab/>
      </w:r>
      <w:r w:rsidRPr="00B71E29">
        <w:t>Continuous lines indicate how classes are to be collapsed into the 8-class version</w:t>
      </w:r>
      <w:r w:rsidRPr="00081175">
        <w:t>.</w:t>
      </w:r>
    </w:p>
    <w:p w:rsidR="00691289" w:rsidRPr="00B71E29" w:rsidRDefault="00691289" w:rsidP="00691289">
      <w:pPr>
        <w:pStyle w:val="Source"/>
      </w:pPr>
      <w:r w:rsidRPr="00B71E29">
        <w:t>Source:</w:t>
      </w:r>
      <w:r>
        <w:tab/>
      </w:r>
      <w:r w:rsidRPr="00B71E29">
        <w:t>Oesch, (2003)</w:t>
      </w:r>
    </w:p>
    <w:p w:rsidR="00691289" w:rsidRPr="00B71E29" w:rsidRDefault="00691289" w:rsidP="00CE146C">
      <w:pPr>
        <w:pStyle w:val="Textmorebefore"/>
      </w:pPr>
      <w:r>
        <w:t>The power of Oesch’s</w:t>
      </w:r>
      <w:r w:rsidRPr="00B71E29">
        <w:t xml:space="preserve"> approach is </w:t>
      </w:r>
      <w:r>
        <w:t>that it avoids the ‘blue collar–</w:t>
      </w:r>
      <w:r w:rsidRPr="00B71E29">
        <w:t>white</w:t>
      </w:r>
      <w:r>
        <w:t xml:space="preserve"> collar</w:t>
      </w:r>
      <w:r w:rsidRPr="00B71E29">
        <w:t xml:space="preserve"> divide’ at the core of the </w:t>
      </w:r>
      <w:r>
        <w:t xml:space="preserve">of the </w:t>
      </w:r>
      <w:r w:rsidRPr="00B71E29">
        <w:t xml:space="preserve">original </w:t>
      </w:r>
      <w:r>
        <w:t xml:space="preserve">Goldthorpe </w:t>
      </w:r>
      <w:r w:rsidRPr="00B71E29">
        <w:t>framework</w:t>
      </w:r>
      <w:r>
        <w:t xml:space="preserve">. </w:t>
      </w:r>
      <w:r w:rsidRPr="00B71E29">
        <w:t>Most importantly</w:t>
      </w:r>
      <w:r>
        <w:t>,</w:t>
      </w:r>
      <w:r w:rsidRPr="00B71E29">
        <w:t xml:space="preserve"> it provides a means of capturing more usefully the key ways labour is clustered about various </w:t>
      </w:r>
      <w:r>
        <w:t xml:space="preserve">vectors that </w:t>
      </w:r>
      <w:r w:rsidRPr="00B71E29">
        <w:t>other statistical systems</w:t>
      </w:r>
      <w:r>
        <w:t xml:space="preserve"> </w:t>
      </w:r>
      <w:r w:rsidRPr="00B71E29">
        <w:t>treat as mutually exclusive domains of ‘industry’, ‘occupation’ and ‘legal status of employment’</w:t>
      </w:r>
      <w:r>
        <w:t xml:space="preserve">. </w:t>
      </w:r>
      <w:r w:rsidRPr="00B71E29">
        <w:rPr>
          <w:rFonts w:cs="Arial"/>
        </w:rPr>
        <w:t xml:space="preserve">The </w:t>
      </w:r>
      <w:r>
        <w:rPr>
          <w:rFonts w:cs="Arial"/>
        </w:rPr>
        <w:t xml:space="preserve">fundamental contribution of the Goldthorpe style of industrial sociology and </w:t>
      </w:r>
      <w:r w:rsidRPr="00B71E29">
        <w:rPr>
          <w:rFonts w:cs="Arial"/>
        </w:rPr>
        <w:t xml:space="preserve">societal effects research </w:t>
      </w:r>
      <w:r>
        <w:rPr>
          <w:rFonts w:cs="Arial"/>
        </w:rPr>
        <w:t xml:space="preserve">traditions is that they </w:t>
      </w:r>
      <w:r w:rsidRPr="00B71E29">
        <w:rPr>
          <w:rFonts w:cs="Arial"/>
        </w:rPr>
        <w:t xml:space="preserve">establish </w:t>
      </w:r>
      <w:r>
        <w:rPr>
          <w:rFonts w:cs="Arial"/>
        </w:rPr>
        <w:t>that there is no</w:t>
      </w:r>
      <w:r w:rsidRPr="00B71E29">
        <w:rPr>
          <w:rFonts w:cs="Arial"/>
        </w:rPr>
        <w:t xml:space="preserve"> ‘standard’ labour mobility problem or solution</w:t>
      </w:r>
      <w:r>
        <w:rPr>
          <w:rFonts w:cs="Arial"/>
        </w:rPr>
        <w:t xml:space="preserve">. </w:t>
      </w:r>
    </w:p>
    <w:p w:rsidR="00691289" w:rsidRPr="00B71E29" w:rsidRDefault="00691289" w:rsidP="00691289">
      <w:pPr>
        <w:pStyle w:val="Heading3"/>
      </w:pPr>
      <w:r w:rsidRPr="00B71E29">
        <w:t>I</w:t>
      </w:r>
      <w:r>
        <w:t>mplications for research design</w:t>
      </w:r>
      <w:r w:rsidRPr="00B71E29">
        <w:t xml:space="preserve"> </w:t>
      </w:r>
    </w:p>
    <w:p w:rsidR="00691289" w:rsidRPr="00B71E29" w:rsidRDefault="00691289" w:rsidP="00CE146C">
      <w:pPr>
        <w:pStyle w:val="textlessb4"/>
      </w:pPr>
      <w:r w:rsidRPr="00B71E29">
        <w:t>The study of labour flows requires careful consideration of:</w:t>
      </w:r>
    </w:p>
    <w:p w:rsidR="00691289" w:rsidRPr="00CE146C" w:rsidRDefault="00691289" w:rsidP="00CE146C">
      <w:pPr>
        <w:pStyle w:val="Dotpoint1"/>
      </w:pPr>
      <w:r w:rsidRPr="00B71E29">
        <w:t xml:space="preserve">how employment situations are defined in </w:t>
      </w:r>
      <w:r w:rsidRPr="007A234D">
        <w:t xml:space="preserve">terms of different </w:t>
      </w:r>
      <w:r w:rsidRPr="00CE146C">
        <w:t>categories of work logic and marketable skills</w:t>
      </w:r>
    </w:p>
    <w:p w:rsidR="00691289" w:rsidRPr="00B71E29" w:rsidRDefault="00691289" w:rsidP="00CE146C">
      <w:pPr>
        <w:pStyle w:val="Dotpoint1"/>
      </w:pPr>
      <w:r w:rsidRPr="00CE146C">
        <w:t xml:space="preserve"> the employment systems which define how labour is develop</w:t>
      </w:r>
      <w:r w:rsidRPr="00B71E29">
        <w:t>ed and deployed.</w:t>
      </w:r>
    </w:p>
    <w:p w:rsidR="00691289" w:rsidRPr="00B71E29" w:rsidRDefault="00691289" w:rsidP="00691289">
      <w:pPr>
        <w:pStyle w:val="Heading2"/>
      </w:pPr>
      <w:bookmarkStart w:id="44" w:name="_Toc297558028"/>
      <w:bookmarkStart w:id="45" w:name="_Toc300838470"/>
      <w:r w:rsidRPr="00B71E29">
        <w:t xml:space="preserve">Insights from </w:t>
      </w:r>
      <w:r w:rsidRPr="007A234D">
        <w:t>contrasting</w:t>
      </w:r>
      <w:r w:rsidRPr="00B71E29">
        <w:t xml:space="preserve"> sector case studies</w:t>
      </w:r>
      <w:bookmarkStart w:id="46" w:name="_Toc265854398"/>
      <w:bookmarkEnd w:id="35"/>
      <w:r w:rsidRPr="00B71E29">
        <w:t xml:space="preserve"> of labour mobility dynamics</w:t>
      </w:r>
      <w:bookmarkEnd w:id="44"/>
      <w:bookmarkEnd w:id="46"/>
      <w:bookmarkEnd w:id="45"/>
    </w:p>
    <w:p w:rsidR="00691289" w:rsidRPr="00B71E29" w:rsidRDefault="00691289" w:rsidP="00CE146C">
      <w:pPr>
        <w:pStyle w:val="Text"/>
      </w:pPr>
      <w:r w:rsidRPr="00B71E29">
        <w:t xml:space="preserve">How can we gain </w:t>
      </w:r>
      <w:r>
        <w:t xml:space="preserve">a </w:t>
      </w:r>
      <w:r w:rsidRPr="00B71E29">
        <w:t>deeper understanding of the nature of the labour mobility challenges confronting</w:t>
      </w:r>
      <w:r>
        <w:t> </w:t>
      </w:r>
      <w:r w:rsidRPr="00B71E29">
        <w:t>Australian po</w:t>
      </w:r>
      <w:r>
        <w:t xml:space="preserve">licy-makers today? </w:t>
      </w:r>
      <w:r w:rsidRPr="00B71E29">
        <w:t xml:space="preserve">The literature highlights the importance of grasping complexity within particular labour market segments as well as </w:t>
      </w:r>
      <w:r>
        <w:t xml:space="preserve">the </w:t>
      </w:r>
      <w:r w:rsidRPr="00B71E29">
        <w:t>common dynamics shaping labour flows across the labour market</w:t>
      </w:r>
      <w:r>
        <w:t xml:space="preserve">. </w:t>
      </w:r>
      <w:r w:rsidRPr="00B71E29">
        <w:t xml:space="preserve">A powerful method for identifying what is both generalisable across a </w:t>
      </w:r>
      <w:r w:rsidRPr="00B71E29">
        <w:lastRenderedPageBreak/>
        <w:t>population of interest and irreducibly unique about a particular sub-population within it is the comparative case study method</w:t>
      </w:r>
      <w:r>
        <w:t xml:space="preserve">. </w:t>
      </w:r>
      <w:r w:rsidRPr="00B71E29">
        <w:t>Such a research design requires selecting cases that help map out the</w:t>
      </w:r>
      <w:r>
        <w:t> </w:t>
      </w:r>
      <w:r w:rsidRPr="00B71E29">
        <w:t>dimensions of diversity of the phenomenon as well as identify any underlying characteristics they share</w:t>
      </w:r>
      <w:r>
        <w:t xml:space="preserve">. </w:t>
      </w:r>
      <w:r w:rsidRPr="00B71E29">
        <w:t>In pursuing such a strategy we provide three contrasting case studies below</w:t>
      </w:r>
      <w:r>
        <w:t xml:space="preserve">. </w:t>
      </w:r>
      <w:r w:rsidRPr="00B71E29">
        <w:t xml:space="preserve">These summarise the dynamics surrounding labour mobility in the </w:t>
      </w:r>
      <w:r>
        <w:t>red meat-processing</w:t>
      </w:r>
      <w:r w:rsidRPr="00B71E29">
        <w:t>, early childhood services and mining sector</w:t>
      </w:r>
      <w:r>
        <w:t xml:space="preserve">s. </w:t>
      </w:r>
      <w:r w:rsidRPr="00B71E29">
        <w:t>These cases were selected not because they are ‘representative’ of the Australian workforce at large</w:t>
      </w:r>
      <w:r>
        <w:t>; r</w:t>
      </w:r>
      <w:r w:rsidRPr="00B71E29">
        <w:t>ather</w:t>
      </w:r>
      <w:r>
        <w:t>,</w:t>
      </w:r>
      <w:r w:rsidRPr="00B71E29">
        <w:t xml:space="preserve"> they were analysed to capture the dimension of diversity of the labour mobility problem in contemporary Australia</w:t>
      </w:r>
      <w:r>
        <w:t xml:space="preserve">. </w:t>
      </w:r>
      <w:r w:rsidRPr="00B71E29">
        <w:t>All rely primarily on workers with either basic or intermediate skills</w:t>
      </w:r>
      <w:r>
        <w:t>. One is predominantly female-</w:t>
      </w:r>
      <w:r w:rsidRPr="00B71E29">
        <w:t>based, one predominantly male and the other a mix</w:t>
      </w:r>
      <w:r>
        <w:t> </w:t>
      </w:r>
      <w:r w:rsidRPr="00B71E29">
        <w:t>of both</w:t>
      </w:r>
      <w:r>
        <w:t xml:space="preserve">. </w:t>
      </w:r>
      <w:r w:rsidRPr="00B71E29">
        <w:t>We also wanted to explore sectors with workplaces in both metropolitan and non-metropolitan settings</w:t>
      </w:r>
      <w:r>
        <w:t xml:space="preserve">. </w:t>
      </w:r>
      <w:r w:rsidRPr="00B71E29">
        <w:t>There has also been a degree of pragmatism in our case study choices</w:t>
      </w:r>
      <w:r>
        <w:t xml:space="preserve">. </w:t>
      </w:r>
      <w:r w:rsidRPr="00B71E29">
        <w:t>The first</w:t>
      </w:r>
      <w:r>
        <w:t> </w:t>
      </w:r>
      <w:r w:rsidRPr="00B71E29">
        <w:t xml:space="preserve">two were included because </w:t>
      </w:r>
      <w:r>
        <w:t>the Workplace Research</w:t>
      </w:r>
      <w:r w:rsidRPr="00B71E29">
        <w:t xml:space="preserve"> Centre has been studying the dynamics of workforce development in them f</w:t>
      </w:r>
      <w:r>
        <w:t>or two-and-a-</w:t>
      </w:r>
      <w:r w:rsidRPr="00B71E29">
        <w:t>half years</w:t>
      </w:r>
      <w:r>
        <w:t xml:space="preserve">. </w:t>
      </w:r>
      <w:r w:rsidRPr="00B71E29">
        <w:t xml:space="preserve">The third </w:t>
      </w:r>
      <w:r>
        <w:t xml:space="preserve">(mining) </w:t>
      </w:r>
      <w:r w:rsidRPr="00B71E29">
        <w:t>was included because of</w:t>
      </w:r>
      <w:r>
        <w:t> </w:t>
      </w:r>
      <w:r w:rsidRPr="00B71E29">
        <w:t>its strategic significance for policy in this area</w:t>
      </w:r>
      <w:r>
        <w:t xml:space="preserve">. </w:t>
      </w:r>
      <w:r w:rsidRPr="00B71E29">
        <w:t>Brief summaries of these synoptic cases are provided below</w:t>
      </w:r>
      <w:r>
        <w:t xml:space="preserve">. </w:t>
      </w:r>
      <w:r w:rsidRPr="00B71E29">
        <w:t>Thes</w:t>
      </w:r>
      <w:r>
        <w:t>e provide the basis for a cross-</w:t>
      </w:r>
      <w:r w:rsidRPr="00B71E29">
        <w:t xml:space="preserve">case analysis at the end of this section which identifies </w:t>
      </w:r>
      <w:r>
        <w:t xml:space="preserve">what is common across seemingly totally different experiences. This allows us to identify the </w:t>
      </w:r>
      <w:r w:rsidRPr="00B71E29">
        <w:t xml:space="preserve">matters of relevance for future research on this topic. </w:t>
      </w:r>
    </w:p>
    <w:p w:rsidR="00691289" w:rsidRPr="00B71E29" w:rsidRDefault="00691289" w:rsidP="00691289">
      <w:pPr>
        <w:pStyle w:val="Heading3"/>
      </w:pPr>
      <w:r w:rsidRPr="00B71E29">
        <w:t>Case study 1: Meat processing</w:t>
      </w:r>
    </w:p>
    <w:p w:rsidR="00691289" w:rsidRPr="00B71E29" w:rsidRDefault="00691289" w:rsidP="00CE146C">
      <w:pPr>
        <w:pStyle w:val="textlessb4"/>
      </w:pPr>
      <w:r w:rsidRPr="00B71E29">
        <w:t xml:space="preserve">Meat processing is one of </w:t>
      </w:r>
      <w:smartTag w:uri="urn:schemas-microsoft-com:office:smarttags" w:element="place">
        <w:smartTag w:uri="urn:schemas-microsoft-com:office:smarttags" w:element="country-region">
          <w:r w:rsidRPr="00B71E29">
            <w:t>Australia</w:t>
          </w:r>
        </w:smartTag>
      </w:smartTag>
      <w:r w:rsidRPr="00B71E29">
        <w:t xml:space="preserve">’s foremost agribusiness sectors and a long-standing source of regional employment, with most operations located near rural towns. Over the years, the industry has seen substantial shifts in the nature of labour supply and worker mobility. Chief among these are the </w:t>
      </w:r>
      <w:r>
        <w:t xml:space="preserve">decreasing seasonal and </w:t>
      </w:r>
      <w:r w:rsidRPr="00B71E29">
        <w:t>increasing permanence of the workforce as a whole, a growing diversity of target labour pools, and a trend towards high employee turnover.</w:t>
      </w:r>
    </w:p>
    <w:p w:rsidR="00691289" w:rsidRPr="00D33766" w:rsidRDefault="00691289" w:rsidP="00691289">
      <w:pPr>
        <w:pStyle w:val="Heading4"/>
      </w:pPr>
      <w:r w:rsidRPr="00D33766">
        <w:t>The nature of the workforce and working arrangements</w:t>
      </w:r>
    </w:p>
    <w:p w:rsidR="00691289" w:rsidRPr="00B71E29" w:rsidRDefault="00691289" w:rsidP="00691289">
      <w:pPr>
        <w:pStyle w:val="textlessb4"/>
      </w:pPr>
      <w:r w:rsidRPr="00B71E29">
        <w:t>H</w:t>
      </w:r>
      <w:r>
        <w:t>istorically, employment at meat-</w:t>
      </w:r>
      <w:r w:rsidRPr="00B71E29">
        <w:t>processing plants was seasonal and made use of ‘daily hire’ regimes to accommodate fluctuations in demand for labour. As such, the industry was reliant on an itinerant workforce</w:t>
      </w:r>
      <w:r>
        <w:t>, which</w:t>
      </w:r>
      <w:r w:rsidRPr="00B71E29">
        <w:t xml:space="preserve"> might typically rotate to other operations, such as sheep shearing, during the ‘low season’ (O’Leary 2008). Over time, advances in agriculture and transport increased the regularity of livestock provision and gave employers more security to move to weekly hire and permanent contracts (Productivity Commission 1998).</w:t>
      </w:r>
    </w:p>
    <w:p w:rsidR="00691289" w:rsidRPr="00B71E29" w:rsidRDefault="00691289" w:rsidP="00CE146C">
      <w:pPr>
        <w:pStyle w:val="Text"/>
      </w:pPr>
      <w:r w:rsidRPr="00B71E29">
        <w:t>With regard to wages, there has been a gradual changeover from the prescriptive ‘</w:t>
      </w:r>
      <w:r w:rsidRPr="00B71E29">
        <w:rPr>
          <w:bCs/>
        </w:rPr>
        <w:t xml:space="preserve">tally’ systems </w:t>
      </w:r>
      <w:r w:rsidRPr="00B71E29">
        <w:t>set down in federal and state industry awards, whereby workers are paid per unit of output, to a model of remuneration based on time worked and/or modified incentive payments. Some major meat processors have introduced guaranteed minimum wages for their employees.</w:t>
      </w:r>
    </w:p>
    <w:p w:rsidR="00691289" w:rsidRPr="00B71E29" w:rsidRDefault="00691289" w:rsidP="00CE146C">
      <w:pPr>
        <w:pStyle w:val="Text"/>
      </w:pPr>
      <w:r w:rsidRPr="00B71E29">
        <w:t xml:space="preserve">Another significant shift for the industry concerns the nature of skill sets and training within the workforce. Once a ‘trade’ to be learnt in its entirety, meat processing has evolved into a fragmented production chain system, with each worker performing a single operation along a moving disassembly line (Rafferty </w:t>
      </w:r>
      <w:r>
        <w:t>&amp; Norton</w:t>
      </w:r>
      <w:r w:rsidRPr="00B71E29">
        <w:t xml:space="preserve"> </w:t>
      </w:r>
      <w:r>
        <w:t>2010</w:t>
      </w:r>
      <w:r w:rsidRPr="00B71E29">
        <w:t>). This task specialisation allows for rapid training of new staff to perform specific roles.</w:t>
      </w:r>
    </w:p>
    <w:p w:rsidR="00691289" w:rsidRPr="00B71E29" w:rsidRDefault="00691289" w:rsidP="00691289">
      <w:pPr>
        <w:pStyle w:val="Heading4"/>
      </w:pPr>
      <w:r w:rsidRPr="00B71E29">
        <w:t>Labour supply</w:t>
      </w:r>
    </w:p>
    <w:p w:rsidR="00691289" w:rsidRPr="00B71E29" w:rsidRDefault="00691289" w:rsidP="000B7A89">
      <w:pPr>
        <w:pStyle w:val="textlessb4"/>
        <w:ind w:right="-143"/>
      </w:pPr>
      <w:r w:rsidRPr="00B71E29">
        <w:t>With</w:t>
      </w:r>
      <w:r>
        <w:t>in the rural regions, where meat-</w:t>
      </w:r>
      <w:r w:rsidRPr="00B71E29">
        <w:t>processing plants are typically located, labour pools in general are</w:t>
      </w:r>
      <w:r w:rsidR="000B7A89">
        <w:t> </w:t>
      </w:r>
      <w:r w:rsidRPr="00B71E29">
        <w:t xml:space="preserve">shrinking as migration to metropolitan centres intensifies. Conversely, town and city dwellers, accustomed to the diverse and readily accessible services and amenities afforded by urban living, tend </w:t>
      </w:r>
      <w:r w:rsidRPr="00B71E29">
        <w:lastRenderedPageBreak/>
        <w:t xml:space="preserve">to be reluctant to relocate to remote areas (Kandel &amp; Parrado 2005). Where in-migration to rural centres does occur, employment seekers may find themselves drawn to jobs in the mining sector, which has witnessed a recent growth in labour demand and can offer competitive pay rates. In contrast, wages in the </w:t>
      </w:r>
      <w:r>
        <w:t>meat-processing</w:t>
      </w:r>
      <w:r w:rsidRPr="00B71E29">
        <w:t xml:space="preserve"> industry have declined since the 1980s (</w:t>
      </w:r>
      <w:r>
        <w:t>Rafferty &amp; Norton</w:t>
      </w:r>
      <w:r w:rsidRPr="00B71E29">
        <w:t xml:space="preserve"> 20</w:t>
      </w:r>
      <w:r>
        <w:t>10</w:t>
      </w:r>
      <w:r w:rsidRPr="00B71E29">
        <w:t>).</w:t>
      </w:r>
    </w:p>
    <w:p w:rsidR="00691289" w:rsidRPr="00B71E29" w:rsidRDefault="00691289" w:rsidP="000B7A89">
      <w:pPr>
        <w:pStyle w:val="Text"/>
      </w:pPr>
      <w:r w:rsidRPr="00B71E29">
        <w:t xml:space="preserve">Unlike a majority of production line operations, the task of slaughtering and dismembering animal carcasses is physically intense and demands something of a ‘strong stomach’. There are many who would be naturally repelled by the idea of working at an abattoir and, as such, will automatically deselect themselves from the industry’s potential labour pools. Furthermore, the increasing specialisation of work roles within </w:t>
      </w:r>
      <w:r>
        <w:t>meat-processing</w:t>
      </w:r>
      <w:r w:rsidRPr="00B71E29">
        <w:t xml:space="preserve"> plants has rendered jobs more mundane and repetitive, making employment in the sector relatively less attractive than it might once have been.</w:t>
      </w:r>
    </w:p>
    <w:p w:rsidR="00691289" w:rsidRPr="00B71E29" w:rsidRDefault="00691289" w:rsidP="000B7A89">
      <w:pPr>
        <w:pStyle w:val="Text"/>
      </w:pPr>
      <w:r w:rsidRPr="00B71E29">
        <w:t>Whil</w:t>
      </w:r>
      <w:r>
        <w:t>e</w:t>
      </w:r>
      <w:r w:rsidRPr="00B71E29">
        <w:t xml:space="preserve"> meat processing is now effectively a year-round operation, labour demand and associated job security still have the potential to be </w:t>
      </w:r>
      <w:r>
        <w:t>affected</w:t>
      </w:r>
      <w:r w:rsidRPr="00B71E29">
        <w:t xml:space="preserve"> by variable climatic and agricultural factors, especially</w:t>
      </w:r>
      <w:r w:rsidR="000B7A89">
        <w:t> </w:t>
      </w:r>
      <w:r w:rsidRPr="00B71E29">
        <w:t>at smaller plants. In recent times, periods of drought have hampered livestock supply, leading to over-capacity and prompting an increasing casualisation of the workforce (</w:t>
      </w:r>
      <w:r>
        <w:t>Rafferty &amp; Norton</w:t>
      </w:r>
      <w:r w:rsidRPr="00B71E29">
        <w:t xml:space="preserve"> 20</w:t>
      </w:r>
      <w:r>
        <w:t>10</w:t>
      </w:r>
      <w:r w:rsidRPr="00B71E29">
        <w:t>). Precarious employment prospects are only likely to further deter workers from seeking jobs in the industry.</w:t>
      </w:r>
    </w:p>
    <w:p w:rsidR="00691289" w:rsidRPr="00B71E29" w:rsidRDefault="00691289" w:rsidP="000B7A89">
      <w:pPr>
        <w:pStyle w:val="Text"/>
      </w:pPr>
      <w:r w:rsidRPr="00B71E29">
        <w:t>In many countries, a common approach to addressing labour shortages in meat processing has been to recruit</w:t>
      </w:r>
      <w:r w:rsidR="00213E0E">
        <w:t xml:space="preserve"> — </w:t>
      </w:r>
      <w:r w:rsidRPr="00B71E29">
        <w:t>on a short-term basis</w:t>
      </w:r>
      <w:r w:rsidR="00213E0E">
        <w:t xml:space="preserve"> — </w:t>
      </w:r>
      <w:r w:rsidRPr="00B71E29">
        <w:t>foreign workers with little formal education and from non-English speaking background</w:t>
      </w:r>
      <w:r>
        <w:t>s</w:t>
      </w:r>
      <w:r w:rsidRPr="00B71E29">
        <w:t xml:space="preserve"> (MINTRAC 2006). In Australia, a number of employers have relied on temporary skilled migration (457) and working holiday (417) visa holders to fill staffing gaps. In this way, pools of what was once seen as temporary or top-up labour are now a significant part of the sector’s overall labour supply. </w:t>
      </w:r>
    </w:p>
    <w:p w:rsidR="00691289" w:rsidRPr="00B71E29" w:rsidRDefault="00691289" w:rsidP="000B7A89">
      <w:pPr>
        <w:pStyle w:val="Text"/>
      </w:pPr>
      <w:r w:rsidRPr="00B71E29">
        <w:t xml:space="preserve">As a result of the industry reaching into more diverse pools of labour, large </w:t>
      </w:r>
      <w:r>
        <w:t>meat-processing</w:t>
      </w:r>
      <w:r w:rsidRPr="00B71E29">
        <w:t xml:space="preserve"> plants are now a kaleidoscope of workers of different ages, genders and backgrounds. Indeed, meat processing has become one of the first ports of entry for individuals moving into (or ba</w:t>
      </w:r>
      <w:r>
        <w:t>ck into) the paid labour market</w:t>
      </w:r>
      <w:r w:rsidRPr="00B71E29">
        <w:t xml:space="preserve"> </w:t>
      </w:r>
      <w:r>
        <w:t xml:space="preserve">and </w:t>
      </w:r>
      <w:r w:rsidRPr="00B71E29">
        <w:t>who might struggle to find employment elsewhere due to their limited skills or low level of</w:t>
      </w:r>
      <w:r>
        <w:t xml:space="preserve"> English (Rafferty &amp; Norton 2010</w:t>
      </w:r>
      <w:r w:rsidRPr="00B71E29">
        <w:t>).</w:t>
      </w:r>
    </w:p>
    <w:p w:rsidR="00691289" w:rsidRPr="00B71E29" w:rsidRDefault="00691289" w:rsidP="000B7A89">
      <w:pPr>
        <w:pStyle w:val="Text"/>
      </w:pPr>
      <w:r w:rsidRPr="00B71E29">
        <w:t xml:space="preserve">With </w:t>
      </w:r>
      <w:r>
        <w:t xml:space="preserve">the </w:t>
      </w:r>
      <w:r w:rsidRPr="00B71E29">
        <w:t xml:space="preserve">recent tightening of immigration policy, however, there are suggestions that the availability of 457 visas may begin to decline, which could lead to further labour shortages in the Australian </w:t>
      </w:r>
      <w:r>
        <w:t>meat-processing</w:t>
      </w:r>
      <w:r w:rsidRPr="00B71E29">
        <w:t xml:space="preserve"> sector. How this risk is managed remains a significant issue for employers. Some larger operations are seeking to develop relations with local secondary education institutions and </w:t>
      </w:r>
      <w:r>
        <w:t xml:space="preserve">to </w:t>
      </w:r>
      <w:r w:rsidRPr="00B71E29">
        <w:t>provide outreach to people not in the paid workforce as a means of encouraging ongoing supplies of labour (</w:t>
      </w:r>
      <w:r>
        <w:t>Rafferty &amp; Norton</w:t>
      </w:r>
      <w:r w:rsidRPr="00B71E29">
        <w:t xml:space="preserve"> 20</w:t>
      </w:r>
      <w:r>
        <w:t>10</w:t>
      </w:r>
      <w:r w:rsidRPr="00B71E29">
        <w:t>). N</w:t>
      </w:r>
      <w:r>
        <w:t>ew target groups include local I</w:t>
      </w:r>
      <w:r w:rsidRPr="00B71E29">
        <w:t>ndigenous populations, young trainees, high school students, working mothers and travellers, including the so-called ‘grey nomads’.</w:t>
      </w:r>
    </w:p>
    <w:p w:rsidR="00691289" w:rsidRPr="00B71E29" w:rsidRDefault="00691289" w:rsidP="00691289">
      <w:pPr>
        <w:pStyle w:val="Heading4"/>
      </w:pPr>
      <w:r w:rsidRPr="00B71E29">
        <w:t>Turnover</w:t>
      </w:r>
    </w:p>
    <w:p w:rsidR="00691289" w:rsidRDefault="00691289" w:rsidP="000B7A89">
      <w:pPr>
        <w:pStyle w:val="textlessb4"/>
      </w:pPr>
      <w:r w:rsidRPr="00B71E29">
        <w:t xml:space="preserve">The </w:t>
      </w:r>
      <w:r>
        <w:t>meat-processing</w:t>
      </w:r>
      <w:r w:rsidRPr="00B71E29">
        <w:t xml:space="preserve"> sector is characterised by nominally high levels of labour turnover</w:t>
      </w:r>
      <w:r w:rsidR="00213E0E">
        <w:t xml:space="preserve"> — </w:t>
      </w:r>
      <w:r w:rsidRPr="00B71E29">
        <w:t>around 50</w:t>
      </w:r>
      <w:r>
        <w:t>%</w:t>
      </w:r>
      <w:r w:rsidRPr="00B71E29">
        <w:t xml:space="preserve"> per annum on average</w:t>
      </w:r>
      <w:r w:rsidR="00213E0E">
        <w:t xml:space="preserve"> — </w:t>
      </w:r>
      <w:r w:rsidRPr="00B71E29">
        <w:t>although there is considerable variability in this figure across enterprises (Productivity Commission 1998). This situation may be attributed to a number of factors, not least</w:t>
      </w:r>
      <w:r>
        <w:t>,</w:t>
      </w:r>
      <w:r w:rsidRPr="00B71E29">
        <w:t xml:space="preserve"> the residual seasonality of labour demands and the growing reliance on a transient migrant workforce</w:t>
      </w:r>
      <w:r>
        <w:t>,</w:t>
      </w:r>
      <w:r w:rsidRPr="00B71E29">
        <w:t xml:space="preserve"> as noted above. In addition, many of the aforementioned deterrents to individuals entering the </w:t>
      </w:r>
      <w:r>
        <w:t>meat-processing</w:t>
      </w:r>
      <w:r w:rsidRPr="00B71E29">
        <w:t xml:space="preserve"> industry in the first place</w:t>
      </w:r>
      <w:r w:rsidR="00213E0E">
        <w:t xml:space="preserve"> — </w:t>
      </w:r>
      <w:r w:rsidRPr="00B71E29">
        <w:t>the distasteful or mundane nature of jobs, the lure of higher wages elsewhere</w:t>
      </w:r>
      <w:r w:rsidR="00213E0E">
        <w:t xml:space="preserve"> — </w:t>
      </w:r>
      <w:r w:rsidRPr="00B71E29">
        <w:t>may equally serve to encourage quitting behaviour amongst workers once they have had</w:t>
      </w:r>
      <w:r>
        <w:t xml:space="preserve"> some experience of the sector and found their way into the labour market.</w:t>
      </w:r>
    </w:p>
    <w:p w:rsidR="00691289" w:rsidRPr="00B71E29" w:rsidRDefault="00691289" w:rsidP="000B7A89">
      <w:pPr>
        <w:pStyle w:val="Text"/>
      </w:pPr>
      <w:r w:rsidRPr="00B71E29">
        <w:lastRenderedPageBreak/>
        <w:t xml:space="preserve">Reporting case study research by the Workplace Research Centre, Evesson </w:t>
      </w:r>
      <w:r w:rsidRPr="00781999">
        <w:t>et al.</w:t>
      </w:r>
      <w:r w:rsidRPr="00B71E29">
        <w:t xml:space="preserve"> (2009) cite the instance of </w:t>
      </w:r>
      <w:r>
        <w:t>a</w:t>
      </w:r>
      <w:r w:rsidRPr="00B71E29">
        <w:t xml:space="preserve"> </w:t>
      </w:r>
      <w:r>
        <w:t>human resources</w:t>
      </w:r>
      <w:r w:rsidRPr="00B71E29">
        <w:t xml:space="preserve"> manager at an abattoir who noted that 80</w:t>
      </w:r>
      <w:r>
        <w:t>%</w:t>
      </w:r>
      <w:r w:rsidRPr="00B71E29">
        <w:t xml:space="preserve"> of exit surveys indicated </w:t>
      </w:r>
      <w:r>
        <w:t xml:space="preserve">that </w:t>
      </w:r>
      <w:r w:rsidRPr="00B71E29">
        <w:t>the worker was leaving because he or she had found a job at a mining company.</w:t>
      </w:r>
    </w:p>
    <w:p w:rsidR="00691289" w:rsidRPr="00B71E29" w:rsidRDefault="00691289" w:rsidP="000B7A89">
      <w:pPr>
        <w:pStyle w:val="Text"/>
      </w:pPr>
      <w:r w:rsidRPr="00B71E29">
        <w:t xml:space="preserve">At a broader level, the </w:t>
      </w:r>
      <w:r>
        <w:t>meat-processing</w:t>
      </w:r>
      <w:r w:rsidRPr="00B71E29">
        <w:t xml:space="preserve"> industry may be particularly appealing to those looking for short-term work only, as the pay prospects are good</w:t>
      </w:r>
      <w:r>
        <w:t>,</w:t>
      </w:r>
      <w:r w:rsidRPr="00B71E29">
        <w:t xml:space="preserve"> relative to other sectors offering seasonal employment, such as fast food an</w:t>
      </w:r>
      <w:r>
        <w:t>d retail (Rafferty &amp; Norton 2010</w:t>
      </w:r>
      <w:r w:rsidRPr="00B71E29">
        <w:t>). The mobility of the workforce may further be reflective of its relatively youthful profile, as the probability of job separation is known to decrease with age (Shah &amp; Burke 2004; Mitchell 2008).</w:t>
      </w:r>
    </w:p>
    <w:p w:rsidR="00691289" w:rsidRPr="00B71E29" w:rsidRDefault="00691289" w:rsidP="000B7A89">
      <w:pPr>
        <w:pStyle w:val="Text"/>
      </w:pPr>
      <w:r w:rsidRPr="00B71E29">
        <w:t xml:space="preserve">Further explanations for the industry’s high turnover rates may relate to specific aspects of </w:t>
      </w:r>
      <w:r>
        <w:t>meat-processing</w:t>
      </w:r>
      <w:r w:rsidRPr="00B71E29">
        <w:t xml:space="preserve"> work and </w:t>
      </w:r>
      <w:r>
        <w:t>to</w:t>
      </w:r>
      <w:r w:rsidRPr="00B71E29">
        <w:t xml:space="preserve"> the physical environments in which it takes place, together with the way in which work is organised and employees </w:t>
      </w:r>
      <w:r>
        <w:t xml:space="preserve">are </w:t>
      </w:r>
      <w:r w:rsidRPr="00B71E29">
        <w:t>managed at such operations. Two issues that appear particularly pertinent are health and safety concerns, and the nature of training and career pathways.</w:t>
      </w:r>
    </w:p>
    <w:p w:rsidR="00691289" w:rsidRPr="00B71E29" w:rsidRDefault="00691289" w:rsidP="000B7A89">
      <w:pPr>
        <w:pStyle w:val="Text"/>
      </w:pPr>
      <w:r w:rsidRPr="00B71E29">
        <w:t xml:space="preserve">Despite technological advances and significant improvements in occupational health and safety practices, </w:t>
      </w:r>
      <w:r>
        <w:t>meat-processing</w:t>
      </w:r>
      <w:r w:rsidRPr="00B71E29">
        <w:t xml:space="preserve"> work environments remain inherently hazardous. Among the most common risks faced by employees are manual handling injuries; collisions with moving objects; cuts and lacerations; and slips, trips and falls. It has</w:t>
      </w:r>
      <w:r>
        <w:t xml:space="preserve"> been reported that, in the 2007</w:t>
      </w:r>
      <w:r w:rsidR="00C34DD8">
        <w:t>—</w:t>
      </w:r>
      <w:r w:rsidRPr="00B71E29">
        <w:t>08 financial year, there were 632 major workplace injuries in the meat manufacturing, processing, wholesale and retail sector in N</w:t>
      </w:r>
      <w:r>
        <w:t xml:space="preserve">ew South Wales </w:t>
      </w:r>
      <w:r w:rsidRPr="00B71E29">
        <w:t>alone (Daley 2010). Whether injured workers choose to quit their jobs or are merely forced to take extended time off work, their absence will create gaps to be filled, and so the churn of labour is perpetuated.</w:t>
      </w:r>
    </w:p>
    <w:p w:rsidR="00691289" w:rsidRPr="00B71E29" w:rsidRDefault="00691289" w:rsidP="000B7A89">
      <w:pPr>
        <w:pStyle w:val="Text"/>
      </w:pPr>
      <w:r w:rsidRPr="00B71E29">
        <w:t xml:space="preserve">Although the </w:t>
      </w:r>
      <w:r>
        <w:t>meat-processing</w:t>
      </w:r>
      <w:r w:rsidRPr="00B71E29">
        <w:t xml:space="preserve"> industry incorporates skilled work at a number of levels, employers have traditionally invested little in long-term skills development or upgrading. The high rate of turnover in the workforce tends to limit the willingness of both employers and employees to commit</w:t>
      </w:r>
      <w:r>
        <w:t xml:space="preserve"> </w:t>
      </w:r>
      <w:r w:rsidRPr="00B71E29">
        <w:t>t</w:t>
      </w:r>
      <w:r>
        <w:t xml:space="preserve">o in-depth training programs. </w:t>
      </w:r>
      <w:r w:rsidRPr="00B71E29">
        <w:t xml:space="preserve">In addition, as the nature of </w:t>
      </w:r>
      <w:r>
        <w:t>meat-processing</w:t>
      </w:r>
      <w:r w:rsidRPr="00B71E29">
        <w:t xml:space="preserve"> work has become more fragmented and specialised, there </w:t>
      </w:r>
      <w:r>
        <w:t>has been a move away from skill-</w:t>
      </w:r>
      <w:r w:rsidRPr="00B71E29">
        <w:t>formation approaches that focus on ‘trade’ or ‘craft’ dev</w:t>
      </w:r>
      <w:r>
        <w:t>elopment (Rafferty &amp; Norton 2010</w:t>
      </w:r>
      <w:r w:rsidRPr="00B71E29">
        <w:t>). Employers are more likely to offer a short induction followed by on-the-job training for particular tasks as required.</w:t>
      </w:r>
    </w:p>
    <w:p w:rsidR="00691289" w:rsidRPr="00B71E29" w:rsidRDefault="00691289" w:rsidP="000B7A89">
      <w:pPr>
        <w:pStyle w:val="Text"/>
      </w:pPr>
      <w:r w:rsidRPr="00B71E29">
        <w:t xml:space="preserve">Certain other historical factors have been cited to explain the general lack of interest in training in the </w:t>
      </w:r>
      <w:r>
        <w:t>meat-processing</w:t>
      </w:r>
      <w:r w:rsidRPr="00B71E29">
        <w:t xml:space="preserve"> industry (Productivity Commission 1998). These include:</w:t>
      </w:r>
    </w:p>
    <w:p w:rsidR="00691289" w:rsidRPr="000B7A89" w:rsidRDefault="00691289" w:rsidP="000B7A89">
      <w:pPr>
        <w:pStyle w:val="Dotpoint1"/>
      </w:pPr>
      <w:r w:rsidRPr="00B71E29">
        <w:t>an emp</w:t>
      </w:r>
      <w:r>
        <w:t xml:space="preserve">hasis on learning by </w:t>
      </w:r>
      <w:r w:rsidRPr="000B7A89">
        <w:t>experience</w:t>
      </w:r>
    </w:p>
    <w:p w:rsidR="00691289" w:rsidRPr="000B7A89" w:rsidRDefault="00691289" w:rsidP="000B7A89">
      <w:pPr>
        <w:pStyle w:val="Dotpoint1"/>
      </w:pPr>
      <w:r w:rsidRPr="000B7A89">
        <w:t>a seniority system of promotion</w:t>
      </w:r>
    </w:p>
    <w:p w:rsidR="00691289" w:rsidRPr="00B71E29" w:rsidRDefault="00691289" w:rsidP="000B7A89">
      <w:pPr>
        <w:pStyle w:val="Dotpoint1"/>
      </w:pPr>
      <w:r w:rsidRPr="000B7A89">
        <w:t>a cultural ‘hangover’ from</w:t>
      </w:r>
      <w:r w:rsidRPr="00B71E29">
        <w:t xml:space="preserve"> the tally system, where quantity of output is more important than quality.</w:t>
      </w:r>
    </w:p>
    <w:p w:rsidR="00691289" w:rsidRPr="00B71E29" w:rsidRDefault="00691289" w:rsidP="000B7A89">
      <w:pPr>
        <w:pStyle w:val="Text"/>
      </w:pPr>
      <w:r>
        <w:t>Lately</w:t>
      </w:r>
      <w:r w:rsidRPr="00B71E29">
        <w:t>, however, training systems have become somewhat more formalised and extensive, with a revival of interest in the idea of developing careers or vocations in the sector; yet</w:t>
      </w:r>
      <w:r>
        <w:t>,</w:t>
      </w:r>
      <w:r w:rsidRPr="00B71E29">
        <w:t xml:space="preserve"> fewer than half of current traineeships are seen through to completion, and post-traineeship utilisation rates are low</w:t>
      </w:r>
      <w:r>
        <w:t>,</w:t>
      </w:r>
      <w:r w:rsidRPr="00B71E29">
        <w:t xml:space="preserve"> due to continuing high rates of workforce turnover (</w:t>
      </w:r>
      <w:r>
        <w:t>Rafferty &amp; Norton 2010</w:t>
      </w:r>
      <w:r w:rsidRPr="00B71E29">
        <w:t>). A vicious cycle may ensue</w:t>
      </w:r>
      <w:r>
        <w:t>,</w:t>
      </w:r>
      <w:r w:rsidRPr="00B71E29">
        <w:t xml:space="preserve"> in which enterprises become reluctant to put resources into training, and job holders take steps to leave their employing organisations because of a lack of development opportunities.</w:t>
      </w:r>
    </w:p>
    <w:p w:rsidR="00691289" w:rsidRPr="00B71E29" w:rsidRDefault="00691289" w:rsidP="000B7A89">
      <w:pPr>
        <w:pStyle w:val="Text"/>
        <w:rPr>
          <w:szCs w:val="24"/>
        </w:rPr>
      </w:pPr>
      <w:r w:rsidRPr="00B71E29">
        <w:rPr>
          <w:szCs w:val="24"/>
        </w:rPr>
        <w:t xml:space="preserve">Notwithstanding the issue of turnover, data pertaining to overall patterns of employment reveal that average tenure in the </w:t>
      </w:r>
      <w:r>
        <w:rPr>
          <w:szCs w:val="24"/>
        </w:rPr>
        <w:t>meat-processing</w:t>
      </w:r>
      <w:r w:rsidRPr="00B71E29">
        <w:rPr>
          <w:szCs w:val="24"/>
        </w:rPr>
        <w:t xml:space="preserve"> sector is similar to that recorded for manufacturing as a whole (Industry Commission 1994). This suggests that the industry consists, in crude terms, of a two-tier</w:t>
      </w:r>
      <w:r>
        <w:rPr>
          <w:szCs w:val="24"/>
        </w:rPr>
        <w:t>ed</w:t>
      </w:r>
      <w:r w:rsidRPr="00B71E29">
        <w:rPr>
          <w:szCs w:val="24"/>
        </w:rPr>
        <w:t xml:space="preserve"> </w:t>
      </w:r>
      <w:r w:rsidRPr="00B71E29">
        <w:rPr>
          <w:szCs w:val="24"/>
        </w:rPr>
        <w:lastRenderedPageBreak/>
        <w:t>workforce: those who are seeking temporary or short-term employme</w:t>
      </w:r>
      <w:r>
        <w:rPr>
          <w:szCs w:val="24"/>
        </w:rPr>
        <w:t xml:space="preserve">nt only (possibly as a stepping </w:t>
      </w:r>
      <w:r w:rsidRPr="00B71E29">
        <w:rPr>
          <w:szCs w:val="24"/>
        </w:rPr>
        <w:t>stone into or back into the paid labour market), and those who are there (and likely to remain) for an extended per</w:t>
      </w:r>
      <w:r>
        <w:rPr>
          <w:szCs w:val="24"/>
        </w:rPr>
        <w:t>iod. Rafferty and Norton (2010)</w:t>
      </w:r>
      <w:r w:rsidRPr="00B71E29">
        <w:rPr>
          <w:szCs w:val="24"/>
        </w:rPr>
        <w:t xml:space="preserve"> in their cas</w:t>
      </w:r>
      <w:r>
        <w:rPr>
          <w:szCs w:val="24"/>
        </w:rPr>
        <w:t>e studies across four abattoirs</w:t>
      </w:r>
      <w:r w:rsidRPr="00B71E29">
        <w:rPr>
          <w:szCs w:val="24"/>
        </w:rPr>
        <w:t xml:space="preserve"> identified at each site a ‘core’ of long-term workers who offered a range of insights into their choice of meat processing as a career. The ‘selling points’ of the industry were variously deemed to be:</w:t>
      </w:r>
    </w:p>
    <w:p w:rsidR="00691289" w:rsidRPr="000B7A89" w:rsidRDefault="00691289" w:rsidP="000B7A89">
      <w:pPr>
        <w:pStyle w:val="Dotpoint1"/>
      </w:pPr>
      <w:r w:rsidRPr="00B71E29">
        <w:t xml:space="preserve">good income </w:t>
      </w:r>
      <w:r w:rsidRPr="000B7A89">
        <w:t>relative to skills and qualifications</w:t>
      </w:r>
    </w:p>
    <w:p w:rsidR="00691289" w:rsidRPr="000B7A89" w:rsidRDefault="00691289" w:rsidP="000B7A89">
      <w:pPr>
        <w:pStyle w:val="Dotpoint1"/>
      </w:pPr>
      <w:r w:rsidRPr="000B7A89">
        <w:t>a convenient location</w:t>
      </w:r>
    </w:p>
    <w:p w:rsidR="00691289" w:rsidRPr="000B7A89" w:rsidRDefault="00691289" w:rsidP="000B7A89">
      <w:pPr>
        <w:pStyle w:val="Dotpoint1"/>
      </w:pPr>
      <w:r w:rsidRPr="000B7A89">
        <w:t>low-stress work</w:t>
      </w:r>
    </w:p>
    <w:p w:rsidR="00691289" w:rsidRPr="000B7A89" w:rsidRDefault="00691289" w:rsidP="000B7A89">
      <w:pPr>
        <w:pStyle w:val="Dotpoint1"/>
      </w:pPr>
      <w:r w:rsidRPr="000B7A89">
        <w:t>a family tradition of, or connection with, work in the industry</w:t>
      </w:r>
    </w:p>
    <w:p w:rsidR="00691289" w:rsidRPr="000B7A89" w:rsidRDefault="00691289" w:rsidP="000B7A89">
      <w:pPr>
        <w:pStyle w:val="Dotpoint1"/>
      </w:pPr>
      <w:r w:rsidRPr="000B7A89">
        <w:t>stable employment (in regional areas with high levels of casual work)</w:t>
      </w:r>
    </w:p>
    <w:p w:rsidR="00691289" w:rsidRPr="00B71E29" w:rsidRDefault="00691289" w:rsidP="000B7A89">
      <w:pPr>
        <w:pStyle w:val="Dotpoint1"/>
      </w:pPr>
      <w:r w:rsidRPr="000B7A89">
        <w:t>a friendly work environment</w:t>
      </w:r>
      <w:r w:rsidRPr="00B71E29">
        <w:t>.</w:t>
      </w:r>
    </w:p>
    <w:p w:rsidR="00691289" w:rsidRPr="00B71E29" w:rsidRDefault="00691289" w:rsidP="00691289">
      <w:pPr>
        <w:pStyle w:val="Heading3"/>
      </w:pPr>
      <w:bookmarkStart w:id="47" w:name="OLE_LINK3"/>
      <w:bookmarkStart w:id="48" w:name="OLE_LINK4"/>
      <w:r w:rsidRPr="00B71E29">
        <w:t>Case study 2: Mining</w:t>
      </w:r>
    </w:p>
    <w:p w:rsidR="00691289" w:rsidRPr="00B71E29" w:rsidRDefault="00691289" w:rsidP="00691289">
      <w:pPr>
        <w:pStyle w:val="Heading4"/>
        <w:spacing w:before="120"/>
      </w:pPr>
      <w:r w:rsidRPr="00B71E29">
        <w:t>From ‘mining communities’ to ‘FIFO’</w:t>
      </w:r>
    </w:p>
    <w:p w:rsidR="00691289" w:rsidRPr="00B71E29" w:rsidRDefault="00691289" w:rsidP="000B7A89">
      <w:pPr>
        <w:pStyle w:val="Text"/>
      </w:pPr>
      <w:r w:rsidRPr="00B71E29">
        <w:t xml:space="preserve">In the past, mining operations in Australia were traditionally accompanied by </w:t>
      </w:r>
      <w:r>
        <w:t>a</w:t>
      </w:r>
      <w:r w:rsidRPr="00B71E29">
        <w:t xml:space="preserve"> growth </w:t>
      </w:r>
      <w:r>
        <w:t>in</w:t>
      </w:r>
      <w:r w:rsidRPr="00B71E29">
        <w:t xml:space="preserve"> community settlements with permanent institutional and commercial infrastructure (A</w:t>
      </w:r>
      <w:r>
        <w:t>ustralian Council of Trade Unions</w:t>
      </w:r>
      <w:r w:rsidRPr="00B71E29">
        <w:t xml:space="preserve"> 2010). In return for their contributions to the costs of local development, mining companies received benefits from the government in the form of lower rates and taxes. The communities that grew up tended to be self-sufficient and insular, servi</w:t>
      </w:r>
      <w:r>
        <w:t>ced as they were by only narrow-</w:t>
      </w:r>
      <w:r w:rsidRPr="00B71E29">
        <w:t>gauge railway and very poor road networks (</w:t>
      </w:r>
      <w:r>
        <w:t>Chamber of Minerals and Industry, Western Australia</w:t>
      </w:r>
      <w:r w:rsidRPr="00B71E29">
        <w:t xml:space="preserve"> 2005).</w:t>
      </w:r>
    </w:p>
    <w:p w:rsidR="00691289" w:rsidRPr="00B71E29" w:rsidRDefault="00691289" w:rsidP="000B7A89">
      <w:pPr>
        <w:pStyle w:val="Text"/>
      </w:pPr>
      <w:r w:rsidRPr="00B71E29">
        <w:t xml:space="preserve">Over time, a range of social and economic factors </w:t>
      </w:r>
      <w:r>
        <w:t xml:space="preserve">have </w:t>
      </w:r>
      <w:r w:rsidRPr="00B71E29">
        <w:t>contributed to a rejection of the concept of the ‘mining town’ (Storey 2001; N</w:t>
      </w:r>
      <w:r>
        <w:t>ational Resources Sector Employment Taskforce</w:t>
      </w:r>
      <w:r w:rsidRPr="00B71E29">
        <w:t xml:space="preserve"> 2010). These included:</w:t>
      </w:r>
    </w:p>
    <w:p w:rsidR="00691289" w:rsidRPr="000B7A89" w:rsidRDefault="00691289" w:rsidP="000B7A89">
      <w:pPr>
        <w:pStyle w:val="Dotpoint1"/>
      </w:pPr>
      <w:r w:rsidRPr="00B71E29">
        <w:t xml:space="preserve">the higher costs </w:t>
      </w:r>
      <w:r w:rsidRPr="000B7A89">
        <w:t>and growing environmental implications of town construction and maintenance</w:t>
      </w:r>
    </w:p>
    <w:p w:rsidR="00691289" w:rsidRPr="000B7A89" w:rsidRDefault="00691289" w:rsidP="000B7A89">
      <w:pPr>
        <w:pStyle w:val="Dotpoint1"/>
      </w:pPr>
      <w:r w:rsidRPr="000B7A89">
        <w:t>longer lead time for planning permission</w:t>
      </w:r>
    </w:p>
    <w:p w:rsidR="00691289" w:rsidRPr="000B7A89" w:rsidRDefault="00691289" w:rsidP="000B7A89">
      <w:pPr>
        <w:pStyle w:val="Dotpoint1"/>
      </w:pPr>
      <w:r w:rsidRPr="000B7A89">
        <w:t>improved technology shortening project life spans</w:t>
      </w:r>
    </w:p>
    <w:p w:rsidR="00691289" w:rsidRPr="000B7A89" w:rsidRDefault="00691289" w:rsidP="000B7A89">
      <w:pPr>
        <w:pStyle w:val="Dotpoint1"/>
      </w:pPr>
      <w:r w:rsidRPr="000B7A89">
        <w:t>the costs associated with eventual town closure</w:t>
      </w:r>
    </w:p>
    <w:p w:rsidR="00691289" w:rsidRPr="000B7A89" w:rsidRDefault="00691289" w:rsidP="000B7A89">
      <w:pPr>
        <w:pStyle w:val="Dotpoint1"/>
      </w:pPr>
      <w:r w:rsidRPr="000B7A89">
        <w:t>worker preferences for urban lifestyles</w:t>
      </w:r>
    </w:p>
    <w:p w:rsidR="00691289" w:rsidRPr="00B71E29" w:rsidRDefault="00691289" w:rsidP="000B7A89">
      <w:pPr>
        <w:pStyle w:val="Dotpoint1"/>
      </w:pPr>
      <w:r w:rsidRPr="000B7A89">
        <w:t>changing taxation arrangements</w:t>
      </w:r>
      <w:r w:rsidRPr="00B71E29">
        <w:t>.</w:t>
      </w:r>
    </w:p>
    <w:p w:rsidR="00691289" w:rsidRPr="00B71E29" w:rsidRDefault="00691289" w:rsidP="000B7A89">
      <w:pPr>
        <w:pStyle w:val="Text"/>
        <w:rPr>
          <w:rFonts w:cs="Calibri"/>
        </w:rPr>
      </w:pPr>
      <w:r w:rsidRPr="00B71E29">
        <w:rPr>
          <w:rFonts w:cs="Calibri"/>
        </w:rPr>
        <w:t>In some senses, the situation may have been self-perpetuating. As mining companies became more reluctant to invest in the housing, roads and social infrastructure necessary to establish and maintain industrial communities, so workers became more disenchanted by the quality of local services and amenities, and shifted their preferences to commuting in from elsewhere (</w:t>
      </w:r>
      <w:r w:rsidRPr="00B71E29">
        <w:t>Construction, Forestry</w:t>
      </w:r>
      <w:r w:rsidR="00A40456">
        <w:t>,</w:t>
      </w:r>
      <w:r w:rsidRPr="00B71E29">
        <w:t xml:space="preserve"> </w:t>
      </w:r>
      <w:r w:rsidRPr="00A40456">
        <w:t>Mining</w:t>
      </w:r>
      <w:r w:rsidR="00A40456">
        <w:t xml:space="preserve"> and</w:t>
      </w:r>
      <w:r w:rsidRPr="00A40456">
        <w:t xml:space="preserve"> Energy Union</w:t>
      </w:r>
      <w:r w:rsidRPr="00B71E29">
        <w:rPr>
          <w:rFonts w:cs="Calibri"/>
        </w:rPr>
        <w:t xml:space="preserve"> 2010). </w:t>
      </w:r>
      <w:r w:rsidRPr="00B71E29">
        <w:t>These developments were accompanied by an ongoing expansion of the mining industry and</w:t>
      </w:r>
      <w:r>
        <w:t xml:space="preserve"> a</w:t>
      </w:r>
      <w:r w:rsidRPr="00B71E29">
        <w:t xml:space="preserve"> growing demand for labour, which placed pressure on housing supply within the immediate area.</w:t>
      </w:r>
    </w:p>
    <w:p w:rsidR="00691289" w:rsidRPr="00B71E29" w:rsidRDefault="00691289" w:rsidP="000B7A89">
      <w:pPr>
        <w:pStyle w:val="Text"/>
        <w:ind w:right="-143"/>
      </w:pPr>
      <w:r w:rsidRPr="00B71E29">
        <w:t>What then emerged in place of the ‘mining community’ was a commuter-based model of labour supply, in which employees live and work at the mine site for a period of time and return to their homes in between rosters. This is the arrangement known as fly-in/fly-out, or FIFO, and it has become the dominant approach to new mine developments in Australi</w:t>
      </w:r>
      <w:r>
        <w:t>a among other countries (Costa, Silva &amp; Hui</w:t>
      </w:r>
      <w:r w:rsidRPr="00B71E29">
        <w:t xml:space="preserve"> </w:t>
      </w:r>
      <w:r w:rsidRPr="00B71E29">
        <w:lastRenderedPageBreak/>
        <w:t xml:space="preserve">2006). In addition, some existing enterprises based in single-industry communities have </w:t>
      </w:r>
      <w:r>
        <w:t>lately</w:t>
      </w:r>
      <w:r w:rsidRPr="00B71E29">
        <w:t xml:space="preserve"> switched from a residential to a commuter basis (N</w:t>
      </w:r>
      <w:r>
        <w:t>ational Resources Sector Employment Taskforce</w:t>
      </w:r>
      <w:r w:rsidRPr="00B71E29">
        <w:t xml:space="preserve"> 2010).</w:t>
      </w:r>
    </w:p>
    <w:p w:rsidR="00691289" w:rsidRPr="00B71E29" w:rsidRDefault="00691289" w:rsidP="000B7A89">
      <w:pPr>
        <w:pStyle w:val="Text"/>
      </w:pPr>
      <w:r w:rsidRPr="00B71E29">
        <w:t>Under FIFO arrangements, food and accommodation is provided for employees (but not for their families) at the worksite. Schedules are established</w:t>
      </w:r>
      <w:r>
        <w:t>,</w:t>
      </w:r>
      <w:r w:rsidRPr="00B71E29">
        <w:t xml:space="preserve"> whereby workers spend a specified number of days performing duties on site, followed by a shorter number of free days back at home. Common patterns are two weeks on, one week off, or nine days on, five days off (N</w:t>
      </w:r>
      <w:r>
        <w:t>ational Resources Sector Employment Taskforce</w:t>
      </w:r>
      <w:r w:rsidRPr="00B71E29">
        <w:t xml:space="preserve"> 2010).</w:t>
      </w:r>
    </w:p>
    <w:p w:rsidR="00691289" w:rsidRPr="00B71E29" w:rsidRDefault="00691289" w:rsidP="000B7A89">
      <w:pPr>
        <w:pStyle w:val="Text"/>
        <w:ind w:right="-143"/>
      </w:pPr>
      <w:r w:rsidRPr="00B71E29">
        <w:t>The FIFO model is perceived to have a wide range of benefits at enterprise, financial and policy level</w:t>
      </w:r>
      <w:r>
        <w:t>s</w:t>
      </w:r>
      <w:r w:rsidRPr="00B71E29">
        <w:t>. Beyond representing a generally cost-effective way to mobilise the workforce (the price of air travel by</w:t>
      </w:r>
      <w:r w:rsidR="000B7A89">
        <w:t xml:space="preserve"> </w:t>
      </w:r>
      <w:r w:rsidRPr="00B71E29">
        <w:t>far undercutting that of building new houses in remote townships), the system provides more flexibility for peaks and troughs in labour demand and personnel for short-term mining projects. The latter have become more prevalent with the emergence of a market bias towards risk-aversive investment in precious metals, such as gold (</w:t>
      </w:r>
      <w:r>
        <w:t>Chamber of Minerals and Industry, Western Australia</w:t>
      </w:r>
      <w:r w:rsidRPr="00B71E29">
        <w:t xml:space="preserve"> 2005).</w:t>
      </w:r>
    </w:p>
    <w:p w:rsidR="00691289" w:rsidRPr="00B71E29" w:rsidRDefault="00691289" w:rsidP="000B7A89">
      <w:pPr>
        <w:pStyle w:val="Text"/>
      </w:pPr>
      <w:r w:rsidRPr="00B71E29">
        <w:t xml:space="preserve">From the standpoint of </w:t>
      </w:r>
      <w:r>
        <w:t xml:space="preserve">the </w:t>
      </w:r>
      <w:r w:rsidRPr="00B71E29">
        <w:t>mine</w:t>
      </w:r>
      <w:r>
        <w:t xml:space="preserve"> </w:t>
      </w:r>
      <w:r w:rsidRPr="00B71E29">
        <w:t>workers themselves, notwithstanding the extended absences from home, FIFO allows for greater preservation of existing lifestyles and social networks than would a wholesale relocation. This has been cited as a factor in improving attraction and retention rates (N</w:t>
      </w:r>
      <w:r>
        <w:t>ational Resources Sector Employment Taskforce</w:t>
      </w:r>
      <w:r w:rsidRPr="00B71E29">
        <w:t xml:space="preserve"> 2010).</w:t>
      </w:r>
    </w:p>
    <w:p w:rsidR="00691289" w:rsidRPr="00B71E29" w:rsidRDefault="00691289" w:rsidP="000B7A89">
      <w:pPr>
        <w:pStyle w:val="Text"/>
        <w:rPr>
          <w:rFonts w:cs="CICCFO+TimesNewRoman"/>
        </w:rPr>
      </w:pPr>
      <w:r w:rsidRPr="00B71E29">
        <w:t xml:space="preserve">On the flip side, some commentators have argued that </w:t>
      </w:r>
      <w:r w:rsidRPr="00B71E29">
        <w:rPr>
          <w:rFonts w:cs="Calibri"/>
        </w:rPr>
        <w:t xml:space="preserve">mining jobs and mining careers have become intrinsically less desirable with the advent of FIFO. </w:t>
      </w:r>
      <w:r>
        <w:rPr>
          <w:rFonts w:cs="CICCFO+TimesNewRoman"/>
        </w:rPr>
        <w:t xml:space="preserve">Costa, Silva and Hui </w:t>
      </w:r>
      <w:r w:rsidRPr="00B71E29">
        <w:rPr>
          <w:rFonts w:cs="CICCFO+TimesNewRoman"/>
        </w:rPr>
        <w:t>(2006), for example, cite case study research that suggests women, and mothers in particular, face significant disadvantages under the scheme. These include:</w:t>
      </w:r>
    </w:p>
    <w:p w:rsidR="00691289" w:rsidRPr="000B7A89" w:rsidRDefault="00691289" w:rsidP="000B7A89">
      <w:pPr>
        <w:pStyle w:val="Dotpoint1"/>
      </w:pPr>
      <w:r w:rsidRPr="00B71E29">
        <w:t>incompatibility wi</w:t>
      </w:r>
      <w:r>
        <w:t xml:space="preserve">th </w:t>
      </w:r>
      <w:r w:rsidRPr="000B7A89">
        <w:t>childbearing plans/pregnancy</w:t>
      </w:r>
    </w:p>
    <w:p w:rsidR="00691289" w:rsidRPr="000B7A89" w:rsidRDefault="00691289" w:rsidP="000B7A89">
      <w:pPr>
        <w:pStyle w:val="Dotpoint1"/>
      </w:pPr>
      <w:r w:rsidRPr="000B7A89">
        <w:t>necessary reliance on a supportive partner/extended family to provide child care</w:t>
      </w:r>
    </w:p>
    <w:p w:rsidR="00691289" w:rsidRPr="000B7A89" w:rsidRDefault="00691289" w:rsidP="000B7A89">
      <w:pPr>
        <w:pStyle w:val="Dotpoint1"/>
      </w:pPr>
      <w:r w:rsidRPr="000B7A89">
        <w:t>guilt and anxiety at separation from family</w:t>
      </w:r>
    </w:p>
    <w:p w:rsidR="00691289" w:rsidRPr="000B7A89" w:rsidRDefault="00691289" w:rsidP="000B7A89">
      <w:pPr>
        <w:pStyle w:val="Dotpoint1"/>
      </w:pPr>
      <w:r w:rsidRPr="000B7A89">
        <w:t>isolation, posing challenges to social and personal life and wellbeing</w:t>
      </w:r>
    </w:p>
    <w:p w:rsidR="00691289" w:rsidRPr="00B71E29" w:rsidRDefault="00691289" w:rsidP="000B7A89">
      <w:pPr>
        <w:pStyle w:val="Dotpoint1"/>
      </w:pPr>
      <w:r w:rsidRPr="000B7A89">
        <w:t>intimidation by a prevailing</w:t>
      </w:r>
      <w:r w:rsidRPr="00B71E29">
        <w:t xml:space="preserve"> masculine work culture, intensified by the ‘live-in’ arrangements.</w:t>
      </w:r>
    </w:p>
    <w:p w:rsidR="00691289" w:rsidRPr="00B71E29" w:rsidRDefault="00691289" w:rsidP="000B7A89">
      <w:pPr>
        <w:pStyle w:val="Text"/>
      </w:pPr>
      <w:r w:rsidRPr="00B71E29">
        <w:t xml:space="preserve">With regard to </w:t>
      </w:r>
      <w:r>
        <w:t>child care</w:t>
      </w:r>
      <w:r w:rsidRPr="00B71E29">
        <w:t xml:space="preserve"> matters, the Construction, Forestry, Mining and Energy Union (2010) makes the point that ‘</w:t>
      </w:r>
      <w:r w:rsidRPr="006E4321">
        <w:t>this is not just an issue for most women; it is an issue for men who want to participate meaningfully in the raising of their children’</w:t>
      </w:r>
      <w:r w:rsidRPr="00B71E29">
        <w:t>.</w:t>
      </w:r>
    </w:p>
    <w:p w:rsidR="00691289" w:rsidRPr="00B71E29" w:rsidRDefault="00691289" w:rsidP="000B7A89">
      <w:pPr>
        <w:pStyle w:val="Text"/>
      </w:pPr>
      <w:r w:rsidRPr="00B71E29">
        <w:t xml:space="preserve">In a review of current social research themes pertaining </w:t>
      </w:r>
      <w:r>
        <w:t xml:space="preserve">to the mining industry, Solomon, Katz and Lovel </w:t>
      </w:r>
      <w:r w:rsidRPr="00B71E29">
        <w:t>(2008) position FIFO as one of a range of measures being taken to increase the pace, scale and rate of production in response to a boom in demand for mineral resources. Extended shifts and round-the-clock rosters are likewise</w:t>
      </w:r>
      <w:r>
        <w:t xml:space="preserve"> now commonplace, enabling work</w:t>
      </w:r>
      <w:r w:rsidRPr="00B71E29">
        <w:t>sites to maintain 24-hour operations and maximise speed, efficiency and reliability.</w:t>
      </w:r>
    </w:p>
    <w:p w:rsidR="00691289" w:rsidRPr="00B71E29" w:rsidRDefault="00691289" w:rsidP="000B7A89">
      <w:pPr>
        <w:pStyle w:val="Text"/>
      </w:pPr>
      <w:r w:rsidRPr="00B71E29">
        <w:t xml:space="preserve">Intensified work patterns may, like FIFO (and for similar reasons), act as a deterrent to employment seekers joining, </w:t>
      </w:r>
      <w:r>
        <w:t>or remaining with, the industry,</w:t>
      </w:r>
      <w:r w:rsidRPr="00B71E29">
        <w:t xml:space="preserve"> but at a global level these effects are likely to be countered in part by the competitive salaries on offer within the sector</w:t>
      </w:r>
      <w:r w:rsidR="00213E0E">
        <w:t xml:space="preserve"> — </w:t>
      </w:r>
      <w:r w:rsidRPr="00B71E29">
        <w:t>the highest of all industry groups in the Australian economy (ABS 2010). In addition, many c</w:t>
      </w:r>
      <w:r w:rsidRPr="00B71E29">
        <w:rPr>
          <w:rFonts w:cs="FrutigerCE-Roman"/>
        </w:rPr>
        <w:t>ompanies offer additional financial incentives such as sign-on bonus</w:t>
      </w:r>
      <w:r>
        <w:rPr>
          <w:rFonts w:cs="FrutigerCE-Roman"/>
        </w:rPr>
        <w:t>es and share ownership program</w:t>
      </w:r>
      <w:r w:rsidRPr="00B71E29">
        <w:rPr>
          <w:rFonts w:cs="FrutigerCE-Roman"/>
        </w:rPr>
        <w:t>s (</w:t>
      </w:r>
      <w:r w:rsidRPr="00B71E29">
        <w:t>N</w:t>
      </w:r>
      <w:r>
        <w:t>ational Resources Sector Employment Taskforce</w:t>
      </w:r>
      <w:r w:rsidRPr="00B71E29">
        <w:rPr>
          <w:rFonts w:cs="FrutigerCE-Roman"/>
        </w:rPr>
        <w:t xml:space="preserve"> 2010).</w:t>
      </w:r>
    </w:p>
    <w:p w:rsidR="00691289" w:rsidRPr="000B7A89" w:rsidRDefault="00691289" w:rsidP="000B7A89">
      <w:pPr>
        <w:pStyle w:val="Heading4"/>
      </w:pPr>
      <w:r w:rsidRPr="00B71E29">
        <w:lastRenderedPageBreak/>
        <w:t>Other issues in labour supply</w:t>
      </w:r>
    </w:p>
    <w:p w:rsidR="00691289" w:rsidRPr="00B71E29" w:rsidRDefault="00691289" w:rsidP="000B7A89">
      <w:pPr>
        <w:pStyle w:val="textlessb4"/>
        <w:ind w:right="-143"/>
      </w:pPr>
      <w:r w:rsidRPr="00B71E29">
        <w:t xml:space="preserve">The transition from home-grown mining communities to commuter-based operations is undoubtedly an overarching theme in the study of mobility within this industrial context. However, there are other factors that should be taken into account when constructing a picture of the ebbs and flows of labour through the mining sector, both in times past and </w:t>
      </w:r>
      <w:r>
        <w:t>in</w:t>
      </w:r>
      <w:r w:rsidRPr="00B71E29">
        <w:t xml:space="preserve"> the present day. These more complex and systemic issues are less easily addressed with a straightforward philosophy of flying in workers to fill jobs.</w:t>
      </w:r>
    </w:p>
    <w:p w:rsidR="00691289" w:rsidRPr="00B71E29" w:rsidRDefault="00691289" w:rsidP="000B7A89">
      <w:pPr>
        <w:pStyle w:val="Text"/>
      </w:pPr>
      <w:r w:rsidRPr="00B71E29">
        <w:t xml:space="preserve">One area of consideration is the readiness (or otherwise) of mining organisations to capitalise on, and invest in, potential pools of labour. This issue is discussed at some length by the Construction, Forestry, </w:t>
      </w:r>
      <w:r>
        <w:t>Mining</w:t>
      </w:r>
      <w:r w:rsidRPr="00B71E29">
        <w:t xml:space="preserve"> Energy Union (2010). Their analysis contains some back-looking criticism, but </w:t>
      </w:r>
      <w:r>
        <w:t xml:space="preserve">it </w:t>
      </w:r>
      <w:r w:rsidRPr="00B71E29">
        <w:t>is also relevant to the projected future growth of the mining sector, which will see demand for both labour and skills increase and diversify (</w:t>
      </w:r>
      <w:r>
        <w:t>for example,</w:t>
      </w:r>
      <w:r w:rsidRPr="00B71E29">
        <w:rPr>
          <w:i/>
        </w:rPr>
        <w:t xml:space="preserve"> </w:t>
      </w:r>
      <w:r>
        <w:t>Lowry, Molloy &amp; Tan</w:t>
      </w:r>
      <w:r w:rsidRPr="00B71E29">
        <w:t xml:space="preserve"> 2006).</w:t>
      </w:r>
    </w:p>
    <w:p w:rsidR="00691289" w:rsidRPr="00B71E29" w:rsidRDefault="00691289" w:rsidP="000B7A89">
      <w:pPr>
        <w:pStyle w:val="Text"/>
      </w:pPr>
      <w:r w:rsidRPr="00B71E29">
        <w:t>The Construction, Forestry, Mining Energy Union</w:t>
      </w:r>
      <w:r>
        <w:t>’s</w:t>
      </w:r>
      <w:r w:rsidRPr="00B71E29">
        <w:t xml:space="preserve"> overall contention is that significant numbers of willing and able employment seekers are being excluded from the mining industry by virtue of their abilities, aptitude</w:t>
      </w:r>
      <w:r>
        <w:t>, OHS</w:t>
      </w:r>
      <w:r w:rsidRPr="00B71E29">
        <w:t xml:space="preserve"> or family situation, and that some fundamental redesigning of jobs is necessary in order to cater to a more inclusive labour market. Key to these changes will be new approaches to recruitment and training that widen the scope of eligibility for employment</w:t>
      </w:r>
      <w:r w:rsidR="00213E0E">
        <w:t xml:space="preserve"> — </w:t>
      </w:r>
      <w:r w:rsidRPr="00B71E29">
        <w:t>in particular, to include school leavers and those without formal qualifications</w:t>
      </w:r>
      <w:r w:rsidR="00213E0E">
        <w:t xml:space="preserve"> — </w:t>
      </w:r>
      <w:r w:rsidRPr="00B71E29">
        <w:t>and enable staff to develop skills on the job. The Construction, Forestry, Mining Energy Union maintain</w:t>
      </w:r>
      <w:r>
        <w:t>s</w:t>
      </w:r>
      <w:r w:rsidRPr="00B71E29">
        <w:t xml:space="preserve"> that mining companies have for too long relied on ‘poaching’ skilled labour from other industries and overseas markets, espe</w:t>
      </w:r>
      <w:r>
        <w:t>cially via the 457 visa program</w:t>
      </w:r>
      <w:r w:rsidRPr="00B71E29">
        <w:t>. Their report also refers to ‘</w:t>
      </w:r>
      <w:r w:rsidRPr="006F30C7">
        <w:t>an entrenched culture of entitlement by senior management’</w:t>
      </w:r>
      <w:r>
        <w:t>,</w:t>
      </w:r>
      <w:r w:rsidRPr="00B71E29">
        <w:t xml:space="preserve"> limiting progression opportunities, together with expectations on workers to pay for their own training prior to taking up jobs in the industry.</w:t>
      </w:r>
    </w:p>
    <w:p w:rsidR="00691289" w:rsidRPr="00B71E29" w:rsidRDefault="00691289" w:rsidP="000B7A89">
      <w:pPr>
        <w:pStyle w:val="Text"/>
      </w:pPr>
      <w:r w:rsidRPr="00B71E29">
        <w:t xml:space="preserve">Partially underlying the </w:t>
      </w:r>
      <w:r>
        <w:t>union</w:t>
      </w:r>
      <w:r w:rsidRPr="00B71E29">
        <w:t>’s concerns is the reality that what was once seen as an inexhaustible supply of young, male, blue-collar labour is drying up with the rise of a more ambitious and assertive ‘Generation Y’. This predicament is compounded by the impending mass retirement of the ‘baby boomer’ generation, with which the mining industry is currently top heavy (Fuller 2009).</w:t>
      </w:r>
    </w:p>
    <w:p w:rsidR="00691289" w:rsidRPr="00B71E29" w:rsidRDefault="00691289" w:rsidP="000B7A89">
      <w:pPr>
        <w:pStyle w:val="Text"/>
      </w:pPr>
      <w:r w:rsidRPr="00B71E29">
        <w:t>Jobs in mining are by a</w:t>
      </w:r>
      <w:r>
        <w:t>ll accounts keenly sought after;</w:t>
      </w:r>
      <w:r w:rsidRPr="00B71E29">
        <w:t xml:space="preserve"> for example, in March</w:t>
      </w:r>
      <w:r>
        <w:t xml:space="preserve"> 2010, more than 10 </w:t>
      </w:r>
      <w:r w:rsidRPr="00B71E29">
        <w:t xml:space="preserve">000 applications were received for just 52 positions at Rio Tinto’s new Clermont site in Queensland (Caruana 2010). Clearly the challenge for the industry is not so much to maintain an adequate supply of labour, as to reconfigure its skill demands in congruence with the shifting nature of available labour pools. </w:t>
      </w:r>
    </w:p>
    <w:p w:rsidR="00691289" w:rsidRPr="00B71E29" w:rsidRDefault="00691289" w:rsidP="000B7A89">
      <w:pPr>
        <w:pStyle w:val="Text"/>
      </w:pPr>
      <w:r w:rsidRPr="00B71E29">
        <w:t>In a similar vein, mining companies are being forced to think creatively about how working time arrangements can be adapted to encourage wider workforce participation</w:t>
      </w:r>
      <w:r>
        <w:t xml:space="preserve">, </w:t>
      </w:r>
      <w:r w:rsidRPr="00B71E29">
        <w:t>long hours having been identified as a key driver of employee turnover in the sector (</w:t>
      </w:r>
      <w:r>
        <w:t xml:space="preserve">for example, Beach, Brereton &amp; Cliff </w:t>
      </w:r>
      <w:r w:rsidRPr="00B71E29">
        <w:t xml:space="preserve">2003). Organisations have begun to respond to this issue by, for example, providing part-time jobs and shortened daytime shifts that better meet the needs of women and men with </w:t>
      </w:r>
      <w:r>
        <w:t>child care</w:t>
      </w:r>
      <w:r w:rsidRPr="00B71E29">
        <w:t xml:space="preserve"> responsibilities (Construction, Forestry, Mining Energy Union 2010).</w:t>
      </w:r>
    </w:p>
    <w:p w:rsidR="00691289" w:rsidRPr="00B71E29" w:rsidRDefault="00691289" w:rsidP="00691289">
      <w:pPr>
        <w:pStyle w:val="Heading4"/>
      </w:pPr>
      <w:r w:rsidRPr="00B71E29">
        <w:t>Turnover</w:t>
      </w:r>
    </w:p>
    <w:p w:rsidR="00691289" w:rsidRPr="00B71E29" w:rsidRDefault="00691289" w:rsidP="000B7A89">
      <w:pPr>
        <w:pStyle w:val="textlessb4"/>
        <w:ind w:right="-1"/>
      </w:pPr>
      <w:r w:rsidRPr="00B71E29">
        <w:t>Whil</w:t>
      </w:r>
      <w:r>
        <w:t>e</w:t>
      </w:r>
      <w:r w:rsidRPr="00B71E29">
        <w:t xml:space="preserve"> the long hours and potentially disruptive lifestyle associated with FIFO do not appear to be having a detrimental impact on overall labour supply to the industry, indications are that these working arrangements are, in many individual cases, unsustainable and contributing to high rates of turnover within the mining workforce. The Beach</w:t>
      </w:r>
      <w:r>
        <w:t>,</w:t>
      </w:r>
      <w:r w:rsidRPr="00B71E29">
        <w:t xml:space="preserve"> </w:t>
      </w:r>
      <w:r>
        <w:t>Brereton and Cliff</w:t>
      </w:r>
      <w:r w:rsidRPr="00B71E29">
        <w:t xml:space="preserve"> (2003) study revealed that</w:t>
      </w:r>
      <w:r>
        <w:t>,</w:t>
      </w:r>
      <w:r w:rsidRPr="00B71E29">
        <w:t xml:space="preserve"> even </w:t>
      </w:r>
      <w:r w:rsidRPr="00B71E29">
        <w:lastRenderedPageBreak/>
        <w:t>though staff at FIFO-based operations often spoke positively of the scheme, the regular churn of workers through such sites suggested that the system is less than conducive to long-term employment.</w:t>
      </w:r>
    </w:p>
    <w:p w:rsidR="00691289" w:rsidRPr="00B71E29" w:rsidRDefault="00691289" w:rsidP="000B7A89">
      <w:pPr>
        <w:pStyle w:val="Text"/>
      </w:pPr>
      <w:r w:rsidRPr="00B71E29">
        <w:t>It is interesting to note, however, that the increasingly fluid nature of the mining workforce, rather than being regarded as a ‘problem’, is starting to be used as something of a selling point for the industry, particularly in relation to targeting the ‘Gen Y’ labour pool (Fuller 2009). Short</w:t>
      </w:r>
      <w:r>
        <w:t>-term employment, extended time-</w:t>
      </w:r>
      <w:r w:rsidRPr="00B71E29">
        <w:t>off periods, and the opportunity to move between jobs and locations (even whil</w:t>
      </w:r>
      <w:r>
        <w:t>e</w:t>
      </w:r>
      <w:r w:rsidRPr="00B71E29">
        <w:t xml:space="preserve"> remaining with a single employer) may be appealing to a new generation of workers</w:t>
      </w:r>
      <w:r>
        <w:t>,</w:t>
      </w:r>
      <w:r w:rsidRPr="00B71E29">
        <w:t xml:space="preserve"> for whom flexibility, variety and independence are key to job satisfaction.</w:t>
      </w:r>
    </w:p>
    <w:p w:rsidR="00691289" w:rsidRPr="00B71E29" w:rsidRDefault="00691289" w:rsidP="000B7A89">
      <w:pPr>
        <w:pStyle w:val="Text"/>
      </w:pPr>
      <w:r w:rsidRPr="00B71E29">
        <w:rPr>
          <w:rFonts w:cs="FrutigerCE-Roman"/>
        </w:rPr>
        <w:t xml:space="preserve">In sum, the transition to FIFO arrangements, in conjunction with the financial benefits </w:t>
      </w:r>
      <w:r>
        <w:rPr>
          <w:rFonts w:cs="FrutigerCE-Roman"/>
        </w:rPr>
        <w:t>realised by</w:t>
      </w:r>
      <w:r w:rsidRPr="00B71E29">
        <w:rPr>
          <w:rFonts w:cs="FrutigerCE-Roman"/>
        </w:rPr>
        <w:t xml:space="preserve"> working in the mining sector, has generated a more mobile and in some senses more willing supply of labour to the industry. At the same time, the difficulties associated with a commuter-based model </w:t>
      </w:r>
      <w:r>
        <w:rPr>
          <w:rFonts w:cs="FrutigerCE-Roman"/>
        </w:rPr>
        <w:t>appeared</w:t>
      </w:r>
      <w:r w:rsidRPr="00B71E29">
        <w:rPr>
          <w:rFonts w:cs="FrutigerCE-Roman"/>
        </w:rPr>
        <w:t xml:space="preserve"> to have rendered the workforce more transient and fickle, as well as serving to exclude or deter particular groups from entering the profession altogether.</w:t>
      </w:r>
      <w:bookmarkEnd w:id="47"/>
      <w:bookmarkEnd w:id="48"/>
    </w:p>
    <w:p w:rsidR="00691289" w:rsidRPr="00B71E29" w:rsidRDefault="00691289" w:rsidP="00691289">
      <w:pPr>
        <w:pStyle w:val="Heading3"/>
      </w:pPr>
      <w:r w:rsidRPr="00B71E29">
        <w:t>Case study 3: Early childhood services</w:t>
      </w:r>
    </w:p>
    <w:p w:rsidR="00691289" w:rsidRPr="00B71E29" w:rsidRDefault="00691289" w:rsidP="00691289">
      <w:pPr>
        <w:pStyle w:val="textlessb4"/>
        <w:rPr>
          <w:lang w:val="en-GB"/>
        </w:rPr>
      </w:pPr>
      <w:r w:rsidRPr="00B71E29">
        <w:t xml:space="preserve">Research on the early childhood education and care (ECEC) workforce tends to be framed around the issues of quality and stability, rather than the movements of workers between jobs or locations </w:t>
      </w:r>
      <w:r w:rsidRPr="003C71ED">
        <w:t>per se.</w:t>
      </w:r>
      <w:r w:rsidRPr="00B71E29">
        <w:t xml:space="preserve"> </w:t>
      </w:r>
      <w:r w:rsidRPr="00B71E29">
        <w:rPr>
          <w:lang w:val="en-GB"/>
        </w:rPr>
        <w:t xml:space="preserve">Reporting on the first wave of consultations for a new National Quality Framework for </w:t>
      </w:r>
      <w:r>
        <w:rPr>
          <w:lang w:val="en-GB"/>
        </w:rPr>
        <w:t>Early Childhood Education and Care</w:t>
      </w:r>
      <w:r w:rsidRPr="00B71E29">
        <w:rPr>
          <w:lang w:val="en-GB"/>
        </w:rPr>
        <w:t xml:space="preserve">, </w:t>
      </w:r>
      <w:r>
        <w:rPr>
          <w:lang w:val="en-GB"/>
        </w:rPr>
        <w:t>the Department of Education, Employment and Workplace Relations</w:t>
      </w:r>
      <w:r w:rsidRPr="00B71E29">
        <w:rPr>
          <w:lang w:val="en-GB"/>
        </w:rPr>
        <w:t xml:space="preserve"> (2009) note</w:t>
      </w:r>
      <w:r>
        <w:rPr>
          <w:lang w:val="en-GB"/>
        </w:rPr>
        <w:t>s</w:t>
      </w:r>
      <w:r w:rsidRPr="00B71E29">
        <w:rPr>
          <w:lang w:val="en-GB"/>
        </w:rPr>
        <w:t xml:space="preserve"> that ‘</w:t>
      </w:r>
      <w:r w:rsidRPr="003C71ED">
        <w:t>workforce issues were consistently raised in all consultation formats, and are widely seen as a key constraint to the successful implementation of the reform proposals’.</w:t>
      </w:r>
    </w:p>
    <w:p w:rsidR="00691289" w:rsidRPr="00B71E29" w:rsidRDefault="00691289" w:rsidP="000B7A89">
      <w:pPr>
        <w:pStyle w:val="Text"/>
      </w:pPr>
      <w:r w:rsidRPr="00B71E29">
        <w:t xml:space="preserve">Both recruitment and retention represent serious problems for the </w:t>
      </w:r>
      <w:r>
        <w:t xml:space="preserve">early childhood education and care </w:t>
      </w:r>
      <w:r w:rsidRPr="00B71E29">
        <w:t>industry. Inferior wages, low qualification levels, poor working conditions, and negative perceptions of child</w:t>
      </w:r>
      <w:r>
        <w:t xml:space="preserve"> </w:t>
      </w:r>
      <w:r w:rsidRPr="00B71E29">
        <w:t>care as a prospective career path all serve to create and perpetuate labour and skill shortages within the sector (Evesson et al. 2009). Vacancy rates are high, with both qualified and unqualified job roles becoming harder to fill (Sumison 2007), and annual turnover rates of up to 60</w:t>
      </w:r>
      <w:r>
        <w:t>%</w:t>
      </w:r>
      <w:r w:rsidRPr="00B71E29">
        <w:t xml:space="preserve"> have been reported (</w:t>
      </w:r>
      <w:r>
        <w:t xml:space="preserve">Liquor, Hospitality and Miscellaneous Workers Union </w:t>
      </w:r>
      <w:r w:rsidRPr="00B71E29">
        <w:t>2008).</w:t>
      </w:r>
    </w:p>
    <w:p w:rsidR="00691289" w:rsidRPr="00B71E29" w:rsidRDefault="00691289" w:rsidP="000B7A89">
      <w:pPr>
        <w:pStyle w:val="Text"/>
      </w:pPr>
      <w:r w:rsidRPr="00B71E29">
        <w:t xml:space="preserve">The difficulties of attracting and retaining </w:t>
      </w:r>
      <w:r>
        <w:t xml:space="preserve">early childhood education and care </w:t>
      </w:r>
      <w:r w:rsidRPr="00B71E29">
        <w:t xml:space="preserve">workers have led to an increasing reliance on part-time and casual staff, as well as </w:t>
      </w:r>
      <w:r>
        <w:t xml:space="preserve">a </w:t>
      </w:r>
      <w:r w:rsidRPr="00B71E29">
        <w:t xml:space="preserve">growing use of labour hire. Workers sourced via these means may be relatively less well suited to </w:t>
      </w:r>
      <w:r>
        <w:t>child care</w:t>
      </w:r>
      <w:r w:rsidRPr="00B71E29">
        <w:t xml:space="preserve"> roles and have little intention of staying in the sector long-term. This instability within the workforce contributes to work intensification for permanent employees (Evesson et al. 2009).</w:t>
      </w:r>
    </w:p>
    <w:p w:rsidR="00691289" w:rsidRPr="00B71E29" w:rsidRDefault="00691289" w:rsidP="00691289">
      <w:pPr>
        <w:pStyle w:val="Heading4"/>
      </w:pPr>
      <w:r w:rsidRPr="00B71E29">
        <w:t>Wages</w:t>
      </w:r>
    </w:p>
    <w:p w:rsidR="00691289" w:rsidRPr="00B71E29" w:rsidRDefault="00691289" w:rsidP="00691289">
      <w:pPr>
        <w:pStyle w:val="textlessb4"/>
        <w:rPr>
          <w:lang w:val="en-GB"/>
        </w:rPr>
      </w:pPr>
      <w:r w:rsidRPr="00B71E29">
        <w:t xml:space="preserve">Low wages are a key driver of turnover in the </w:t>
      </w:r>
      <w:r>
        <w:t xml:space="preserve">early childhood education and care </w:t>
      </w:r>
      <w:r w:rsidRPr="00B71E29">
        <w:t xml:space="preserve">sector, as well as representing a deterrent to job seekers entering the profession and a barrier to workers </w:t>
      </w:r>
      <w:r w:rsidRPr="00B71E29">
        <w:rPr>
          <w:lang w:val="en-GB"/>
        </w:rPr>
        <w:t xml:space="preserve">improving their qualifications. The </w:t>
      </w:r>
      <w:r>
        <w:t xml:space="preserve">Liquor, Hospitality and Miscellaneous Workers Union </w:t>
      </w:r>
      <w:r w:rsidRPr="00B71E29">
        <w:rPr>
          <w:lang w:val="en-GB"/>
        </w:rPr>
        <w:t>reported in 200</w:t>
      </w:r>
      <w:r>
        <w:rPr>
          <w:lang w:val="en-GB"/>
        </w:rPr>
        <w:t>8</w:t>
      </w:r>
      <w:r w:rsidRPr="00B71E29">
        <w:rPr>
          <w:lang w:val="en-GB"/>
        </w:rPr>
        <w:t xml:space="preserve"> that </w:t>
      </w:r>
      <w:r>
        <w:rPr>
          <w:lang w:val="en-GB"/>
        </w:rPr>
        <w:t xml:space="preserve">early childhood education and care </w:t>
      </w:r>
      <w:r w:rsidRPr="00B71E29">
        <w:rPr>
          <w:lang w:val="en-GB"/>
        </w:rPr>
        <w:t>staff were generally earning between $15 and $19 per hour</w:t>
      </w:r>
      <w:r w:rsidR="00213E0E">
        <w:rPr>
          <w:lang w:val="en-GB"/>
        </w:rPr>
        <w:t xml:space="preserve"> — </w:t>
      </w:r>
      <w:r w:rsidRPr="00B71E29">
        <w:rPr>
          <w:lang w:val="en-GB"/>
        </w:rPr>
        <w:t>approximately $10 per hour behind the established key classifications for similarly qualified workers.</w:t>
      </w:r>
    </w:p>
    <w:p w:rsidR="00691289" w:rsidRPr="00B71E29" w:rsidRDefault="00691289" w:rsidP="000B7A89">
      <w:pPr>
        <w:pStyle w:val="Text"/>
      </w:pPr>
      <w:r w:rsidRPr="00B71E29">
        <w:t xml:space="preserve">For qualified teachers, schools may represent a much more attractive employment proposition than </w:t>
      </w:r>
      <w:r>
        <w:t xml:space="preserve">early childhood education and care </w:t>
      </w:r>
      <w:r w:rsidRPr="00B71E29">
        <w:t>establishments, offering up to 25</w:t>
      </w:r>
      <w:r>
        <w:t>%</w:t>
      </w:r>
      <w:r w:rsidRPr="00B71E29">
        <w:t xml:space="preserve"> higher wages, longer holidays and more t</w:t>
      </w:r>
      <w:r>
        <w:t>ime to develop teaching program</w:t>
      </w:r>
      <w:r w:rsidRPr="00B71E29">
        <w:t>s (Evesson et al. 2009).</w:t>
      </w:r>
    </w:p>
    <w:p w:rsidR="00691289" w:rsidRPr="00B71E29" w:rsidRDefault="00691289" w:rsidP="00691289">
      <w:pPr>
        <w:pStyle w:val="Heading4"/>
      </w:pPr>
      <w:r w:rsidRPr="00B71E29">
        <w:lastRenderedPageBreak/>
        <w:t>Qualifications and training</w:t>
      </w:r>
    </w:p>
    <w:p w:rsidR="00691289" w:rsidRPr="00B71E29" w:rsidRDefault="00691289" w:rsidP="00691289">
      <w:pPr>
        <w:pStyle w:val="textlessb4"/>
      </w:pPr>
      <w:r w:rsidRPr="00B71E29">
        <w:t xml:space="preserve">Poor qualification levels among </w:t>
      </w:r>
      <w:r>
        <w:t>child care</w:t>
      </w:r>
      <w:r w:rsidRPr="00B71E29">
        <w:t xml:space="preserve"> workers may be regarded as both a cause and an outcome of high labour churn within the industry.</w:t>
      </w:r>
      <w:r w:rsidRPr="00B71E29">
        <w:rPr>
          <w:lang w:val="en-GB"/>
        </w:rPr>
        <w:t xml:space="preserve"> Recent figures from the </w:t>
      </w:r>
      <w:r>
        <w:t xml:space="preserve">Liquor, Hospitality and Miscellaneous Workers Union </w:t>
      </w:r>
      <w:r w:rsidRPr="00B71E29">
        <w:rPr>
          <w:lang w:val="en-GB"/>
        </w:rPr>
        <w:t xml:space="preserve">(2008) indicate that just </w:t>
      </w:r>
      <w:r>
        <w:rPr>
          <w:lang w:val="en-GB"/>
        </w:rPr>
        <w:t>10%</w:t>
      </w:r>
      <w:r w:rsidRPr="00B71E29">
        <w:rPr>
          <w:lang w:val="en-GB"/>
        </w:rPr>
        <w:t xml:space="preserve"> of </w:t>
      </w:r>
      <w:r>
        <w:rPr>
          <w:lang w:val="en-GB"/>
        </w:rPr>
        <w:t xml:space="preserve">early childhood education and care </w:t>
      </w:r>
      <w:r w:rsidRPr="00B71E29">
        <w:rPr>
          <w:lang w:val="en-GB"/>
        </w:rPr>
        <w:t>employees are qualified to university degree level, while between 30 and 45</w:t>
      </w:r>
      <w:r>
        <w:rPr>
          <w:lang w:val="en-GB"/>
        </w:rPr>
        <w:t>%</w:t>
      </w:r>
      <w:r w:rsidRPr="00B71E29">
        <w:rPr>
          <w:lang w:val="en-GB"/>
        </w:rPr>
        <w:t xml:space="preserve"> have no relevant formal qualifications. However, around one-third of the </w:t>
      </w:r>
      <w:r>
        <w:rPr>
          <w:lang w:val="en-GB"/>
        </w:rPr>
        <w:t>child care</w:t>
      </w:r>
      <w:r w:rsidRPr="00B71E29">
        <w:rPr>
          <w:lang w:val="en-GB"/>
        </w:rPr>
        <w:t xml:space="preserve"> workforce holds an </w:t>
      </w:r>
      <w:r>
        <w:rPr>
          <w:lang w:val="en-GB"/>
        </w:rPr>
        <w:t>Australian Qualifications (AQF)</w:t>
      </w:r>
      <w:r w:rsidRPr="00B71E29">
        <w:rPr>
          <w:lang w:val="en-GB"/>
        </w:rPr>
        <w:t xml:space="preserve"> certificate or diploma.</w:t>
      </w:r>
    </w:p>
    <w:p w:rsidR="00691289" w:rsidRPr="00B71E29" w:rsidRDefault="00691289" w:rsidP="000B7A89">
      <w:pPr>
        <w:pStyle w:val="Text"/>
      </w:pPr>
      <w:r w:rsidRPr="00B71E29">
        <w:t>A number of interrelated factors contribute to and compound this situation:</w:t>
      </w:r>
    </w:p>
    <w:p w:rsidR="00691289" w:rsidRPr="000B7A89" w:rsidRDefault="00691289" w:rsidP="000B7A89">
      <w:pPr>
        <w:pStyle w:val="Dotpoint1"/>
      </w:pPr>
      <w:r>
        <w:t>S</w:t>
      </w:r>
      <w:r w:rsidRPr="00B71E29">
        <w:t xml:space="preserve">ervice providers may lack the resources (time, money and teaching cover) to facilitate </w:t>
      </w:r>
      <w:r>
        <w:t xml:space="preserve">the </w:t>
      </w:r>
      <w:r w:rsidRPr="00B71E29">
        <w:t>upskilling of their workforce</w:t>
      </w:r>
      <w:r w:rsidRPr="00B71E29">
        <w:rPr>
          <w:lang w:val="en-GB"/>
        </w:rPr>
        <w:t xml:space="preserve"> (</w:t>
      </w:r>
      <w:r w:rsidRPr="000B7A89">
        <w:t>Department of Education, Employment and Workplace Relations 2009).</w:t>
      </w:r>
    </w:p>
    <w:p w:rsidR="00691289" w:rsidRPr="000B7A89" w:rsidRDefault="00691289" w:rsidP="000B7A89">
      <w:pPr>
        <w:pStyle w:val="Dotpoint1"/>
      </w:pPr>
      <w:r w:rsidRPr="000B7A89">
        <w:t>Employers are less likely to invest in training and development if it is unlikely that workers will stay with them long-term.</w:t>
      </w:r>
    </w:p>
    <w:p w:rsidR="00691289" w:rsidRPr="000B7A89" w:rsidRDefault="00691289" w:rsidP="000B7A89">
      <w:pPr>
        <w:pStyle w:val="Dotpoint1"/>
      </w:pPr>
      <w:r w:rsidRPr="000B7A89">
        <w:t>The monetary incentives to workers for upgrading from certificates to diplomas are minimal, despite significant associated increases in regulatory responsibilities.</w:t>
      </w:r>
    </w:p>
    <w:p w:rsidR="00691289" w:rsidRPr="00B71E29" w:rsidRDefault="00691289" w:rsidP="000B7A89">
      <w:pPr>
        <w:pStyle w:val="Dotpoint1"/>
      </w:pPr>
      <w:r w:rsidRPr="000B7A89">
        <w:t>As noted above, higher-qualified teachers</w:t>
      </w:r>
      <w:r w:rsidRPr="00B71E29">
        <w:t xml:space="preserve"> are more likely to choose to work in schools</w:t>
      </w:r>
      <w:r>
        <w:t>,</w:t>
      </w:r>
      <w:r w:rsidRPr="00B71E29">
        <w:t xml:space="preserve"> where the pay and conditions are better.</w:t>
      </w:r>
    </w:p>
    <w:p w:rsidR="00691289" w:rsidRPr="00B71E29" w:rsidRDefault="00691289" w:rsidP="00691289">
      <w:pPr>
        <w:pStyle w:val="Heading4"/>
      </w:pPr>
      <w:r w:rsidRPr="00B71E29">
        <w:t>Employment conditions and perceptions of the sector</w:t>
      </w:r>
    </w:p>
    <w:p w:rsidR="00691289" w:rsidRPr="00B71E29" w:rsidRDefault="00691289" w:rsidP="00691289">
      <w:pPr>
        <w:pStyle w:val="textlessb4"/>
      </w:pPr>
      <w:r>
        <w:t xml:space="preserve">Fenech, Waniganayake and Fleet </w:t>
      </w:r>
      <w:r w:rsidRPr="00B71E29">
        <w:t>(2009), along with other commentators, argue strongly that early childhood education and care is a marginalised profession. This assertion is in part self-evidenced by the long</w:t>
      </w:r>
      <w:r>
        <w:t>-</w:t>
      </w:r>
      <w:r w:rsidRPr="00B71E29">
        <w:t xml:space="preserve">standing differentiations in pay and status between </w:t>
      </w:r>
      <w:r>
        <w:t xml:space="preserve">early childhood education and care </w:t>
      </w:r>
      <w:r w:rsidRPr="00B71E29">
        <w:t xml:space="preserve">workers and their primary and </w:t>
      </w:r>
      <w:r>
        <w:t>secondary teaching counterparts. However,</w:t>
      </w:r>
      <w:r w:rsidRPr="00B71E29">
        <w:t xml:space="preserve"> the authors a</w:t>
      </w:r>
      <w:r>
        <w:t>lso</w:t>
      </w:r>
      <w:r w:rsidRPr="00B71E29">
        <w:t xml:space="preserve"> note that </w:t>
      </w:r>
      <w:r w:rsidRPr="002230C0">
        <w:t>‘poor work conditions, heavy workloads, a lack of time to fulfil multiple responsibilities</w:t>
      </w:r>
      <w:r>
        <w:t xml:space="preserve"> </w:t>
      </w:r>
      <w:r w:rsidRPr="002230C0">
        <w:t>…</w:t>
      </w:r>
      <w:r>
        <w:t xml:space="preserve"> </w:t>
      </w:r>
      <w:r w:rsidRPr="002230C0">
        <w:t xml:space="preserve">and onerous administrative duties’ </w:t>
      </w:r>
      <w:r w:rsidRPr="00B71E29">
        <w:t xml:space="preserve">are contributing to burnout, staff turnover and job dissatisfaction amongst staff in </w:t>
      </w:r>
      <w:r>
        <w:t xml:space="preserve">early childhood education and care </w:t>
      </w:r>
      <w:r w:rsidRPr="00B71E29">
        <w:t>services.</w:t>
      </w:r>
    </w:p>
    <w:p w:rsidR="00691289" w:rsidRPr="00B71E29" w:rsidRDefault="00691289" w:rsidP="00832BEE">
      <w:pPr>
        <w:pStyle w:val="Text"/>
      </w:pPr>
      <w:r>
        <w:t xml:space="preserve">Fenech, Waniganayake and Fleet </w:t>
      </w:r>
      <w:r w:rsidRPr="00B71E29">
        <w:t>(2009) further contend that both state and national policy directives undermine the status of early childhood teachers. They cite the examples that:</w:t>
      </w:r>
    </w:p>
    <w:p w:rsidR="00691289" w:rsidRPr="00832BEE" w:rsidRDefault="00691289" w:rsidP="00832BEE">
      <w:pPr>
        <w:pStyle w:val="Dotpoint1"/>
      </w:pPr>
      <w:r>
        <w:t>S</w:t>
      </w:r>
      <w:r w:rsidRPr="00B71E29">
        <w:t xml:space="preserve">ome state-based teacher registration agencies (such as the NSW Institute of Teachers) do not include </w:t>
      </w:r>
      <w:r>
        <w:t xml:space="preserve">early childhood education and care </w:t>
      </w:r>
      <w:r w:rsidRPr="00B71E29">
        <w:t xml:space="preserve">teachers who work with </w:t>
      </w:r>
      <w:r w:rsidRPr="00832BEE">
        <w:t>children from birth to five years in preschools or similar settings.</w:t>
      </w:r>
    </w:p>
    <w:p w:rsidR="00691289" w:rsidRPr="00B71E29" w:rsidRDefault="00691289" w:rsidP="00832BEE">
      <w:pPr>
        <w:pStyle w:val="Dotpoint1"/>
      </w:pPr>
      <w:r w:rsidRPr="00832BEE">
        <w:t>Australian Government inquiries into teacher education have not, to</w:t>
      </w:r>
      <w:r w:rsidRPr="00B71E29">
        <w:t xml:space="preserve"> date, encompassed the early childhood sector.</w:t>
      </w:r>
    </w:p>
    <w:p w:rsidR="00691289" w:rsidRPr="00B71E29" w:rsidRDefault="00691289" w:rsidP="00691289">
      <w:pPr>
        <w:pStyle w:val="Heading3"/>
      </w:pPr>
      <w:r>
        <w:t>Cross-</w:t>
      </w:r>
      <w:r w:rsidRPr="00B71E29">
        <w:t xml:space="preserve">case analysis and implications for research design </w:t>
      </w:r>
    </w:p>
    <w:p w:rsidR="00691289" w:rsidRPr="00B71E29" w:rsidRDefault="00691289" w:rsidP="00691289">
      <w:pPr>
        <w:pStyle w:val="textlessb4"/>
      </w:pPr>
      <w:r w:rsidRPr="00B71E29">
        <w:t>The key insights arising from this stage of the research are:</w:t>
      </w:r>
    </w:p>
    <w:p w:rsidR="00691289" w:rsidRPr="00B71E29" w:rsidRDefault="00691289" w:rsidP="00832BEE">
      <w:pPr>
        <w:pStyle w:val="Dotpoint1"/>
      </w:pPr>
      <w:r>
        <w:t>T</w:t>
      </w:r>
      <w:r w:rsidRPr="00B71E29">
        <w:t xml:space="preserve">here is not one, standard labour </w:t>
      </w:r>
      <w:r w:rsidRPr="00832BEE">
        <w:t>mobility</w:t>
      </w:r>
      <w:r w:rsidRPr="00B71E29">
        <w:t xml:space="preserve"> ‘problem’</w:t>
      </w:r>
      <w:r>
        <w:t>:</w:t>
      </w:r>
    </w:p>
    <w:p w:rsidR="00691289" w:rsidRPr="00832BEE" w:rsidRDefault="00691289" w:rsidP="00832BEE">
      <w:pPr>
        <w:pStyle w:val="Dotpoint2"/>
      </w:pPr>
      <w:r>
        <w:t>I</w:t>
      </w:r>
      <w:r w:rsidRPr="00B71E29">
        <w:t xml:space="preserve">n mining there is allegedly insufficient flow of </w:t>
      </w:r>
      <w:r w:rsidRPr="00832BEE">
        <w:t>labour into the sector.</w:t>
      </w:r>
    </w:p>
    <w:p w:rsidR="00691289" w:rsidRPr="00B71E29" w:rsidRDefault="00691289" w:rsidP="00832BEE">
      <w:pPr>
        <w:pStyle w:val="Dotpoint2"/>
      </w:pPr>
      <w:r w:rsidRPr="00832BEE">
        <w:t>In meat-processing and child care there is too much</w:t>
      </w:r>
      <w:r w:rsidRPr="00B71E29">
        <w:t xml:space="preserve"> flow in and out (</w:t>
      </w:r>
      <w:r>
        <w:t>that is,</w:t>
      </w:r>
      <w:r w:rsidRPr="00B71E29">
        <w:t xml:space="preserve"> excessive churn)</w:t>
      </w:r>
      <w:r>
        <w:t>.</w:t>
      </w:r>
    </w:p>
    <w:p w:rsidR="00691289" w:rsidRPr="00832BEE" w:rsidRDefault="00691289" w:rsidP="00832BEE">
      <w:pPr>
        <w:pStyle w:val="Dotpoint1"/>
      </w:pPr>
      <w:r>
        <w:t>T</w:t>
      </w:r>
      <w:r w:rsidRPr="00B71E29">
        <w:t xml:space="preserve">he changing nature of labour supply </w:t>
      </w:r>
      <w:r w:rsidRPr="00832BEE">
        <w:t>does, however, have common effects.</w:t>
      </w:r>
    </w:p>
    <w:p w:rsidR="00691289" w:rsidRPr="00832BEE" w:rsidRDefault="00691289" w:rsidP="00832BEE">
      <w:pPr>
        <w:pStyle w:val="Dotpoint1"/>
      </w:pPr>
      <w:r w:rsidRPr="00832BEE">
        <w:lastRenderedPageBreak/>
        <w:t>The root of many mobility problems is related to the structure of jobs, not necessarily excessively ‘immobile’ labour.</w:t>
      </w:r>
    </w:p>
    <w:p w:rsidR="00691289" w:rsidRPr="00B71E29" w:rsidRDefault="00691289" w:rsidP="00832BEE">
      <w:pPr>
        <w:pStyle w:val="Dotpoint1"/>
      </w:pPr>
      <w:r w:rsidRPr="00832BEE">
        <w:t>The nature of mobility dynamics can</w:t>
      </w:r>
      <w:r w:rsidRPr="00B71E29">
        <w:t xml:space="preserve"> change dramatically over time</w:t>
      </w:r>
      <w:r>
        <w:t xml:space="preserve">. </w:t>
      </w:r>
      <w:r w:rsidRPr="00B71E29">
        <w:t xml:space="preserve">They are best understood as occurring in the context of particular </w:t>
      </w:r>
      <w:r>
        <w:t>employment regimes or skill eco</w:t>
      </w:r>
      <w:r w:rsidRPr="00B71E29">
        <w:t>systems.</w:t>
      </w:r>
    </w:p>
    <w:p w:rsidR="00691289" w:rsidRPr="00832BEE" w:rsidRDefault="00691289" w:rsidP="00832BEE">
      <w:pPr>
        <w:pStyle w:val="Dotpoint2"/>
      </w:pPr>
      <w:r w:rsidRPr="00B71E29">
        <w:t>The clearest case of this is the mining sector</w:t>
      </w:r>
      <w:r>
        <w:t xml:space="preserve">. </w:t>
      </w:r>
      <w:r w:rsidRPr="00B71E29">
        <w:t xml:space="preserve">Previously this sector had been characterised by a fairly predictable set of labour </w:t>
      </w:r>
      <w:r w:rsidRPr="0018415F">
        <w:t>flows</w:t>
      </w:r>
      <w:r w:rsidRPr="00B71E29">
        <w:t xml:space="preserve"> built around ‘mining districts’ and ‘mining </w:t>
      </w:r>
      <w:r w:rsidRPr="00D33766">
        <w:t>towns’</w:t>
      </w:r>
      <w:r>
        <w:t xml:space="preserve">. </w:t>
      </w:r>
      <w:r w:rsidRPr="00B71E29">
        <w:t>Much of the growth today is based on ‘fly-in, fly</w:t>
      </w:r>
      <w:r w:rsidRPr="00832BEE">
        <w:t>-out’ operations</w:t>
      </w:r>
      <w:r w:rsidR="00213E0E">
        <w:t xml:space="preserve"> — </w:t>
      </w:r>
      <w:r w:rsidRPr="00832BEE">
        <w:t>the polar opposite in terms of the reality of ‘journey to work’ dynamics.</w:t>
      </w:r>
    </w:p>
    <w:p w:rsidR="00691289" w:rsidRPr="00832BEE" w:rsidRDefault="00691289" w:rsidP="00832BEE">
      <w:pPr>
        <w:pStyle w:val="Dotpoint2"/>
      </w:pPr>
      <w:r w:rsidRPr="00832BEE">
        <w:t xml:space="preserve">An equally dramatic transformation has occurred in meat processing. As recently as 20 years ago this sector was built upon highly skilled day labour that moved from abattoir to abattoir and was paid based on the tally system. The tally system has now been replaced altogether, production has been rationalised into a smaller number of larger abattoirs that rely on a more geographically stable, but lower-skilled workforce with more entry-level workers. </w:t>
      </w:r>
    </w:p>
    <w:p w:rsidR="00691289" w:rsidRPr="00B71E29" w:rsidRDefault="00691289" w:rsidP="00832BEE">
      <w:pPr>
        <w:pStyle w:val="Dotpoint2"/>
      </w:pPr>
      <w:r w:rsidRPr="00832BEE">
        <w:t>Early childhood education and care is different again. Within the early childhood education sector there is relatively stable employment with limited turnover. This is built around the teaching profession. In long day care and before and after school care the core activity is built around a lower skill level, wages are very</w:t>
      </w:r>
      <w:r w:rsidRPr="00B71E29">
        <w:t xml:space="preserve"> low and t</w:t>
      </w:r>
      <w:r>
        <w:t>he workforce is part of the low-</w:t>
      </w:r>
      <w:r w:rsidRPr="00B71E29">
        <w:t>paid sector</w:t>
      </w:r>
      <w:r w:rsidR="00213E0E">
        <w:t xml:space="preserve"> — </w:t>
      </w:r>
      <w:r w:rsidRPr="00B71E29">
        <w:t>with all its associated churning. This reflects, in part, the historic role of comm</w:t>
      </w:r>
      <w:r>
        <w:t>unity services work being under</w:t>
      </w:r>
      <w:r w:rsidRPr="00B71E29">
        <w:t>valued work as it was previously performed by women on an unpaid basis</w:t>
      </w:r>
      <w:r>
        <w:t xml:space="preserve">. </w:t>
      </w:r>
      <w:r w:rsidRPr="00B71E29">
        <w:t>Moves to integrate early childhood education and care, along with the current community worker pay equity case</w:t>
      </w:r>
      <w:r>
        <w:t>,</w:t>
      </w:r>
      <w:r w:rsidRPr="00B71E29">
        <w:t xml:space="preserve"> have the potential to change the nature of the work and associated pay</w:t>
      </w:r>
      <w:r>
        <w:t xml:space="preserve">. </w:t>
      </w:r>
      <w:r w:rsidRPr="00B71E29">
        <w:t>If this occurs</w:t>
      </w:r>
      <w:r>
        <w:t>,</w:t>
      </w:r>
      <w:r w:rsidRPr="00B71E29">
        <w:t xml:space="preserve"> </w:t>
      </w:r>
      <w:r>
        <w:t xml:space="preserve">the </w:t>
      </w:r>
      <w:r w:rsidRPr="00B71E29">
        <w:t>mobility associated with the sector will change as part of broader change in the sector employment regime (or skill eco-system)</w:t>
      </w:r>
      <w:r>
        <w:t>.</w:t>
      </w:r>
    </w:p>
    <w:p w:rsidR="00691289" w:rsidRPr="00B71E29" w:rsidRDefault="00691289" w:rsidP="00691289">
      <w:pPr>
        <w:pStyle w:val="Heading2"/>
      </w:pPr>
      <w:bookmarkStart w:id="49" w:name="_Toc297558029"/>
      <w:bookmarkStart w:id="50" w:name="_Toc300838471"/>
      <w:r w:rsidRPr="00B71E29">
        <w:t>Insights from Australia at Work</w:t>
      </w:r>
      <w:bookmarkEnd w:id="49"/>
      <w:bookmarkEnd w:id="50"/>
    </w:p>
    <w:p w:rsidR="00691289" w:rsidRPr="00B71E29" w:rsidRDefault="00691289" w:rsidP="00832BEE">
      <w:pPr>
        <w:pStyle w:val="Text"/>
      </w:pPr>
      <w:r w:rsidRPr="00B71E29">
        <w:t xml:space="preserve">Rich as the findings are from case study work, questions remain </w:t>
      </w:r>
      <w:r>
        <w:t>about</w:t>
      </w:r>
      <w:r w:rsidRPr="00B71E29">
        <w:t xml:space="preserve"> </w:t>
      </w:r>
      <w:r>
        <w:t xml:space="preserve">the prevalence of the </w:t>
      </w:r>
      <w:r w:rsidRPr="00B71E29">
        <w:t xml:space="preserve">arrangements and dynamics identified in </w:t>
      </w:r>
      <w:r>
        <w:t xml:space="preserve">such </w:t>
      </w:r>
      <w:r w:rsidRPr="00B71E29">
        <w:t>research</w:t>
      </w:r>
      <w:r>
        <w:t xml:space="preserve">. </w:t>
      </w:r>
      <w:r w:rsidRPr="00B71E29">
        <w:t>To help assess this matter</w:t>
      </w:r>
      <w:r>
        <w:t>,</w:t>
      </w:r>
      <w:r w:rsidRPr="00B71E29">
        <w:t xml:space="preserve"> we consider </w:t>
      </w:r>
      <w:r>
        <w:t>insights available from a recent large-</w:t>
      </w:r>
      <w:r w:rsidRPr="00B71E29">
        <w:t xml:space="preserve">scale </w:t>
      </w:r>
      <w:r>
        <w:t xml:space="preserve">longitudinal </w:t>
      </w:r>
      <w:r w:rsidRPr="00B71E29">
        <w:t xml:space="preserve">survey: the </w:t>
      </w:r>
      <w:r w:rsidRPr="000A457C">
        <w:rPr>
          <w:i/>
        </w:rPr>
        <w:t>Australia at work</w:t>
      </w:r>
      <w:r>
        <w:t xml:space="preserve"> data</w:t>
      </w:r>
      <w:r w:rsidRPr="00B71E29">
        <w:t>set</w:t>
      </w:r>
      <w:r>
        <w:t xml:space="preserve">. </w:t>
      </w:r>
      <w:r w:rsidRPr="00B71E29">
        <w:t>First we use this source to examine the dynamics of job-to-job mobility in aggregate before and after the recent economic downturn</w:t>
      </w:r>
      <w:r>
        <w:t xml:space="preserve">. </w:t>
      </w:r>
      <w:r w:rsidRPr="00B71E29">
        <w:t>We then ‘drill down’ and use the data to understand what happened in the three case sector</w:t>
      </w:r>
      <w:r>
        <w:t>s</w:t>
      </w:r>
      <w:r w:rsidRPr="00B71E29">
        <w:t xml:space="preserve"> analysed in the previous section during the </w:t>
      </w:r>
      <w:r>
        <w:t>Global Financial Crisis</w:t>
      </w:r>
      <w:r w:rsidRPr="00B71E29">
        <w:t>.</w:t>
      </w:r>
      <w:r w:rsidRPr="00B71E29">
        <w:rPr>
          <w:rStyle w:val="FootnoteReference"/>
        </w:rPr>
        <w:footnoteReference w:id="1"/>
      </w:r>
      <w:r>
        <w:t xml:space="preserve"> </w:t>
      </w:r>
    </w:p>
    <w:p w:rsidR="00691289" w:rsidRPr="00B71E29" w:rsidRDefault="00691289" w:rsidP="00832BEE">
      <w:pPr>
        <w:pStyle w:val="Text"/>
      </w:pPr>
      <w:r w:rsidRPr="00B71E29">
        <w:t xml:space="preserve">The </w:t>
      </w:r>
      <w:r>
        <w:rPr>
          <w:i/>
        </w:rPr>
        <w:t>Australia at w</w:t>
      </w:r>
      <w:r w:rsidRPr="00A04299">
        <w:rPr>
          <w:i/>
        </w:rPr>
        <w:t>ork</w:t>
      </w:r>
      <w:r>
        <w:t xml:space="preserve"> study is tracking 8</w:t>
      </w:r>
      <w:r w:rsidRPr="00B71E29">
        <w:t>300 workers</w:t>
      </w:r>
      <w:r>
        <w:t>’</w:t>
      </w:r>
      <w:r w:rsidRPr="00B71E29">
        <w:t xml:space="preserve"> </w:t>
      </w:r>
      <w:r>
        <w:t xml:space="preserve">experience of work and working life between </w:t>
      </w:r>
      <w:r w:rsidRPr="00B71E29">
        <w:t xml:space="preserve">2006 </w:t>
      </w:r>
      <w:r>
        <w:t>and</w:t>
      </w:r>
      <w:r w:rsidRPr="00B71E29">
        <w:t xml:space="preserve"> 2011</w:t>
      </w:r>
      <w:r>
        <w:t xml:space="preserve">. </w:t>
      </w:r>
      <w:r w:rsidRPr="00B71E29">
        <w:t xml:space="preserve">Data on the final wave </w:t>
      </w:r>
      <w:r>
        <w:t>are</w:t>
      </w:r>
      <w:r w:rsidRPr="00B71E29">
        <w:t xml:space="preserve"> currently being collected</w:t>
      </w:r>
      <w:r>
        <w:t xml:space="preserve"> (as at May 2011). </w:t>
      </w:r>
      <w:r w:rsidRPr="00B71E29">
        <w:t>Material from the first three waves was examined to yield basic insights into how labour flows have changed over the latest phase of the business cycle</w:t>
      </w:r>
      <w:r>
        <w:t xml:space="preserve">. </w:t>
      </w:r>
      <w:r w:rsidRPr="00B71E29">
        <w:t>Further deta</w:t>
      </w:r>
      <w:r>
        <w:t>ils can be found in a</w:t>
      </w:r>
      <w:r w:rsidRPr="00B71E29">
        <w:t>ppendix 1</w:t>
      </w:r>
      <w:r>
        <w:t xml:space="preserve">. </w:t>
      </w:r>
      <w:r w:rsidRPr="00B71E29">
        <w:t xml:space="preserve">In short it reveals: </w:t>
      </w:r>
    </w:p>
    <w:p w:rsidR="00691289" w:rsidRPr="00832BEE" w:rsidRDefault="00691289" w:rsidP="00832BEE">
      <w:pPr>
        <w:pStyle w:val="Dotpoint1"/>
      </w:pPr>
      <w:r w:rsidRPr="00B71E29">
        <w:t xml:space="preserve">As with previous business cycles labour </w:t>
      </w:r>
      <w:r w:rsidRPr="00832BEE">
        <w:t>mobility rose during the up-swing and fell during the downturn.</w:t>
      </w:r>
    </w:p>
    <w:p w:rsidR="00691289" w:rsidRPr="00832BEE" w:rsidRDefault="00691289" w:rsidP="00832BEE">
      <w:pPr>
        <w:pStyle w:val="Dotpoint1"/>
      </w:pPr>
      <w:r w:rsidRPr="00832BEE">
        <w:lastRenderedPageBreak/>
        <w:t>There were qualitative as well as quantitative changes in these labour flows. In particular, those changing jobs were less likely to move to jobs with paid leave than overall.</w:t>
      </w:r>
    </w:p>
    <w:p w:rsidR="00691289" w:rsidRPr="00B71E29" w:rsidRDefault="00691289" w:rsidP="00832BEE">
      <w:pPr>
        <w:pStyle w:val="Dotpoint1"/>
      </w:pPr>
      <w:r w:rsidRPr="00832BEE">
        <w:t>Those who changed jobs were more likely to</w:t>
      </w:r>
      <w:r w:rsidRPr="00B71E29">
        <w:t xml:space="preserve"> experience a drop in earnings and hours of work.</w:t>
      </w:r>
    </w:p>
    <w:p w:rsidR="00691289" w:rsidRPr="00B71E29" w:rsidRDefault="00691289" w:rsidP="00832BEE">
      <w:pPr>
        <w:pStyle w:val="Text"/>
      </w:pPr>
      <w:r w:rsidRPr="00B71E29">
        <w:t>This last finding is very important</w:t>
      </w:r>
      <w:r>
        <w:t xml:space="preserve">. </w:t>
      </w:r>
      <w:r w:rsidRPr="00B71E29">
        <w:t>It</w:t>
      </w:r>
      <w:r>
        <w:t xml:space="preserve"> is well known that during the </w:t>
      </w:r>
      <w:r w:rsidRPr="00B71E29">
        <w:t>Glo</w:t>
      </w:r>
      <w:r>
        <w:t>bal Financial Crisis</w:t>
      </w:r>
      <w:r w:rsidRPr="00B71E29">
        <w:t xml:space="preserve"> aggregate hours fell by more than aggregate employment. A number of commentators asserted that th</w:t>
      </w:r>
      <w:r>
        <w:t>is was evidence of ‘job sharing’, that is,</w:t>
      </w:r>
      <w:r w:rsidRPr="00B71E29">
        <w:t xml:space="preserve"> hours instead of jobs were cut to keep people in work</w:t>
      </w:r>
      <w:r>
        <w:t xml:space="preserve">. </w:t>
      </w:r>
      <w:r w:rsidRPr="00B71E29">
        <w:t xml:space="preserve">In terms </w:t>
      </w:r>
      <w:r>
        <w:t>of relevance to this project,</w:t>
      </w:r>
      <w:r w:rsidRPr="00B71E29">
        <w:t xml:space="preserve"> mobility out of the labour market was reduced by rationing hours</w:t>
      </w:r>
      <w:r>
        <w:t>. The data reported in a</w:t>
      </w:r>
      <w:r w:rsidRPr="00B71E29">
        <w:t xml:space="preserve">ppendix 1 </w:t>
      </w:r>
      <w:r>
        <w:t>reveal</w:t>
      </w:r>
      <w:r w:rsidRPr="00B71E29">
        <w:t xml:space="preserve">, however, that the only group of workers who, as a group, reported </w:t>
      </w:r>
      <w:r>
        <w:t xml:space="preserve">that </w:t>
      </w:r>
      <w:r w:rsidRPr="00B71E29">
        <w:t>more of them reduced their hours after the downturn than before, were those without leave entitlements who changed jobs</w:t>
      </w:r>
      <w:r>
        <w:t xml:space="preserve">. </w:t>
      </w:r>
      <w:r w:rsidRPr="00B71E29">
        <w:t xml:space="preserve">Indeed, the proportion of workers reducing their hours amongst those who stayed on in the same job or moved to a ‘permanent’ job </w:t>
      </w:r>
      <w:r>
        <w:t>actually decreased during the depths of the down</w:t>
      </w:r>
      <w:r w:rsidRPr="00B71E29">
        <w:t>turn</w:t>
      </w:r>
      <w:r>
        <w:t xml:space="preserve">. </w:t>
      </w:r>
      <w:r w:rsidRPr="00B71E29">
        <w:t>(See appendix table 1.4 for details.)</w:t>
      </w:r>
    </w:p>
    <w:p w:rsidR="00691289" w:rsidRDefault="00691289" w:rsidP="00832BEE">
      <w:pPr>
        <w:pStyle w:val="Text"/>
      </w:pPr>
      <w:r w:rsidRPr="00210DDC">
        <w:t>To take the analysis further</w:t>
      </w:r>
      <w:r>
        <w:t>,</w:t>
      </w:r>
      <w:r w:rsidRPr="00210DDC">
        <w:t xml:space="preserve"> we explored labour flows in the three case study industries</w:t>
      </w:r>
      <w:r>
        <w:t>. Our initial findings are summarised in table 4. The sample sizes</w:t>
      </w:r>
      <w:r w:rsidRPr="00210DDC">
        <w:t xml:space="preserve"> here are very small </w:t>
      </w:r>
      <w:r>
        <w:t>and the attrition rates have reduced them even further. Consequently, the data should be regarded as at best</w:t>
      </w:r>
      <w:r w:rsidRPr="00210DDC">
        <w:t xml:space="preserve"> indicative</w:t>
      </w:r>
      <w:r>
        <w:t xml:space="preserve"> and are in no way demonstrating an authoritative trend in these sectors at this time. </w:t>
      </w:r>
      <w:r w:rsidRPr="00210DDC">
        <w:t xml:space="preserve">They do provide, however, the basis for </w:t>
      </w:r>
      <w:r>
        <w:t xml:space="preserve">informed </w:t>
      </w:r>
      <w:r w:rsidRPr="00210DDC">
        <w:t>hypotheses that can be explored in further research</w:t>
      </w:r>
      <w:r>
        <w:t xml:space="preserve">. </w:t>
      </w:r>
      <w:bookmarkStart w:id="51" w:name="_Toc265854404"/>
    </w:p>
    <w:p w:rsidR="00691289" w:rsidRPr="00DC0262" w:rsidRDefault="00691289" w:rsidP="00832BEE">
      <w:pPr>
        <w:pStyle w:val="Text"/>
      </w:pPr>
      <w:r>
        <w:t xml:space="preserve">This material provides </w:t>
      </w:r>
      <w:r w:rsidRPr="00663BB7">
        <w:rPr>
          <w:i/>
        </w:rPr>
        <w:t>prima facie</w:t>
      </w:r>
      <w:r>
        <w:t xml:space="preserve"> evidence that the impact of the latest</w:t>
      </w:r>
      <w:r w:rsidRPr="00DC0262">
        <w:t xml:space="preserve"> cycl</w:t>
      </w:r>
      <w:r>
        <w:t>ical downturn on labour flows was</w:t>
      </w:r>
      <w:r w:rsidRPr="00DC0262">
        <w:t xml:space="preserve"> very different between sectors.</w:t>
      </w:r>
      <w:r>
        <w:t xml:space="preserve"> </w:t>
      </w:r>
      <w:r w:rsidRPr="00DC0262">
        <w:t>The classical change in flows was clearly evident in mining, with intakes outweighing departures before and after the downturn and the opposite prevailing during the downturn</w:t>
      </w:r>
      <w:r>
        <w:t xml:space="preserve">. </w:t>
      </w:r>
      <w:r w:rsidRPr="00DC0262">
        <w:t>In early childhood education and care a very different dynamic prevailed</w:t>
      </w:r>
      <w:r>
        <w:t xml:space="preserve">. </w:t>
      </w:r>
      <w:r w:rsidRPr="00DC0262">
        <w:t>Among respondents</w:t>
      </w:r>
      <w:r>
        <w:t>,</w:t>
      </w:r>
      <w:r w:rsidRPr="00DC0262">
        <w:t xml:space="preserve"> flows into and out of the sector were </w:t>
      </w:r>
      <w:r>
        <w:t xml:space="preserve">pretty </w:t>
      </w:r>
      <w:r w:rsidRPr="00DC0262">
        <w:t>evenly matched in all years, with a slight excess of inflow in the downturn and indeed great tur</w:t>
      </w:r>
      <w:r>
        <w:t>nover during this period. This</w:t>
      </w:r>
      <w:r w:rsidRPr="00DC0262">
        <w:t xml:space="preserve"> development</w:t>
      </w:r>
      <w:r>
        <w:t xml:space="preserve"> was </w:t>
      </w:r>
      <w:r w:rsidRPr="00DC0262">
        <w:t xml:space="preserve">quite different </w:t>
      </w:r>
      <w:r>
        <w:t>from</w:t>
      </w:r>
      <w:r w:rsidRPr="00DC0262">
        <w:t xml:space="preserve"> aggregate trends</w:t>
      </w:r>
      <w:r>
        <w:t xml:space="preserve">. </w:t>
      </w:r>
      <w:r w:rsidRPr="00DC0262">
        <w:t>The numbers from meat processing are too small to draw any major inferences</w:t>
      </w:r>
      <w:r>
        <w:t xml:space="preserve">. </w:t>
      </w:r>
    </w:p>
    <w:p w:rsidR="00691289" w:rsidRDefault="00691289" w:rsidP="00691289">
      <w:pPr>
        <w:spacing w:before="0"/>
        <w:rPr>
          <w:rFonts w:ascii="Arial" w:hAnsi="Arial"/>
          <w:b/>
          <w:sz w:val="17"/>
        </w:rPr>
      </w:pPr>
      <w:r>
        <w:br w:type="page"/>
      </w:r>
    </w:p>
    <w:p w:rsidR="00691289" w:rsidRPr="00B71E29" w:rsidRDefault="00691289" w:rsidP="00691289">
      <w:pPr>
        <w:pStyle w:val="tabletitle"/>
      </w:pPr>
      <w:bookmarkStart w:id="52" w:name="_Toc297558136"/>
      <w:bookmarkStart w:id="53" w:name="_Toc300838521"/>
      <w:r w:rsidRPr="00B71E29">
        <w:lastRenderedPageBreak/>
        <w:t xml:space="preserve">Table </w:t>
      </w:r>
      <w:r>
        <w:t>4</w:t>
      </w:r>
      <w:r w:rsidRPr="00B71E29">
        <w:tab/>
        <w:t xml:space="preserve">Labour stability and flows in the mining, </w:t>
      </w:r>
      <w:r>
        <w:t>meat-processing</w:t>
      </w:r>
      <w:r w:rsidRPr="00B71E29">
        <w:t xml:space="preserve"> and early childhood education </w:t>
      </w:r>
      <w:r>
        <w:t>and care sectors, Australia at W</w:t>
      </w:r>
      <w:r w:rsidRPr="00B71E29">
        <w:t>ork sa</w:t>
      </w:r>
      <w:r>
        <w:t>mple counts, Australia 2006–</w:t>
      </w:r>
      <w:r w:rsidRPr="00B71E29">
        <w:t>09</w:t>
      </w:r>
      <w:bookmarkEnd w:id="51"/>
      <w:bookmarkEnd w:id="52"/>
      <w:bookmarkEnd w:id="53"/>
    </w:p>
    <w:tbl>
      <w:tblPr>
        <w:tblW w:w="8789" w:type="dxa"/>
        <w:tblInd w:w="108" w:type="dxa"/>
        <w:tblBorders>
          <w:top w:val="single" w:sz="4" w:space="0" w:color="auto"/>
          <w:bottom w:val="single" w:sz="4" w:space="0" w:color="auto"/>
        </w:tblBorders>
        <w:tblLayout w:type="fixed"/>
        <w:tblLook w:val="0000"/>
      </w:tblPr>
      <w:tblGrid>
        <w:gridCol w:w="2342"/>
        <w:gridCol w:w="1289"/>
        <w:gridCol w:w="1290"/>
        <w:gridCol w:w="1288"/>
        <w:gridCol w:w="1290"/>
        <w:gridCol w:w="1290"/>
      </w:tblGrid>
      <w:tr w:rsidR="00691289" w:rsidRPr="00B71E29" w:rsidTr="00832BEE">
        <w:tc>
          <w:tcPr>
            <w:tcW w:w="1332" w:type="pct"/>
            <w:tcBorders>
              <w:bottom w:val="nil"/>
            </w:tcBorders>
            <w:shd w:val="clear" w:color="auto" w:fill="auto"/>
            <w:noWrap/>
          </w:tcPr>
          <w:p w:rsidR="00691289" w:rsidRPr="00FF116E" w:rsidRDefault="00691289" w:rsidP="00A0366B">
            <w:pPr>
              <w:pStyle w:val="Tablehead1"/>
              <w:rPr>
                <w:rFonts w:ascii="Garamond" w:hAnsi="Garamond"/>
              </w:rPr>
            </w:pPr>
          </w:p>
        </w:tc>
        <w:tc>
          <w:tcPr>
            <w:tcW w:w="3668" w:type="pct"/>
            <w:gridSpan w:val="5"/>
            <w:tcBorders>
              <w:bottom w:val="nil"/>
            </w:tcBorders>
            <w:shd w:val="clear" w:color="auto" w:fill="auto"/>
            <w:noWrap/>
          </w:tcPr>
          <w:p w:rsidR="00691289" w:rsidRPr="00B71E29" w:rsidRDefault="00691289" w:rsidP="00A0366B">
            <w:pPr>
              <w:pStyle w:val="Tablehead1"/>
              <w:jc w:val="center"/>
              <w:rPr>
                <w:rFonts w:ascii="Garamond" w:hAnsi="Garamond"/>
                <w:iCs/>
                <w:sz w:val="16"/>
                <w:szCs w:val="16"/>
              </w:rPr>
            </w:pPr>
            <w:r w:rsidRPr="00B71E29">
              <w:t>Mining</w:t>
            </w:r>
          </w:p>
        </w:tc>
      </w:tr>
      <w:tr w:rsidR="00691289" w:rsidRPr="00B71E29" w:rsidTr="00832BEE">
        <w:tc>
          <w:tcPr>
            <w:tcW w:w="1332" w:type="pct"/>
            <w:tcBorders>
              <w:top w:val="nil"/>
              <w:bottom w:val="single" w:sz="4" w:space="0" w:color="auto"/>
            </w:tcBorders>
            <w:shd w:val="clear" w:color="auto" w:fill="auto"/>
            <w:noWrap/>
          </w:tcPr>
          <w:p w:rsidR="00691289" w:rsidRPr="00B71E29" w:rsidRDefault="00691289" w:rsidP="00A0366B">
            <w:pPr>
              <w:pStyle w:val="Tablehead2"/>
            </w:pPr>
          </w:p>
        </w:tc>
        <w:tc>
          <w:tcPr>
            <w:tcW w:w="733" w:type="pct"/>
            <w:tcBorders>
              <w:top w:val="nil"/>
              <w:bottom w:val="single" w:sz="4" w:space="0" w:color="auto"/>
            </w:tcBorders>
            <w:shd w:val="clear" w:color="auto" w:fill="auto"/>
            <w:noWrap/>
          </w:tcPr>
          <w:p w:rsidR="00691289" w:rsidRPr="00B71E29" w:rsidRDefault="00691289" w:rsidP="00A0366B">
            <w:pPr>
              <w:pStyle w:val="Tablehead2"/>
              <w:jc w:val="center"/>
              <w:rPr>
                <w:iCs/>
              </w:rPr>
            </w:pPr>
            <w:r w:rsidRPr="00B71E29">
              <w:rPr>
                <w:iCs/>
              </w:rPr>
              <w:t>2006</w:t>
            </w:r>
          </w:p>
        </w:tc>
        <w:tc>
          <w:tcPr>
            <w:tcW w:w="734" w:type="pct"/>
            <w:tcBorders>
              <w:top w:val="nil"/>
              <w:bottom w:val="single" w:sz="4" w:space="0" w:color="auto"/>
            </w:tcBorders>
          </w:tcPr>
          <w:p w:rsidR="00691289" w:rsidRPr="00B71E29" w:rsidRDefault="00691289" w:rsidP="00A0366B">
            <w:pPr>
              <w:pStyle w:val="Tablehead2"/>
              <w:jc w:val="center"/>
              <w:rPr>
                <w:iCs/>
              </w:rPr>
            </w:pPr>
            <w:r w:rsidRPr="00B71E29">
              <w:rPr>
                <w:iCs/>
              </w:rPr>
              <w:t>2007</w:t>
            </w:r>
          </w:p>
        </w:tc>
        <w:tc>
          <w:tcPr>
            <w:tcW w:w="733" w:type="pct"/>
            <w:tcBorders>
              <w:top w:val="nil"/>
              <w:bottom w:val="single" w:sz="4" w:space="0" w:color="auto"/>
            </w:tcBorders>
          </w:tcPr>
          <w:p w:rsidR="00691289" w:rsidRPr="00B71E29" w:rsidRDefault="00691289" w:rsidP="00A0366B">
            <w:pPr>
              <w:pStyle w:val="Tablehead2"/>
              <w:jc w:val="center"/>
              <w:rPr>
                <w:iCs/>
              </w:rPr>
            </w:pPr>
            <w:r w:rsidRPr="00B71E29">
              <w:rPr>
                <w:iCs/>
              </w:rPr>
              <w:t>2008</w:t>
            </w:r>
          </w:p>
        </w:tc>
        <w:tc>
          <w:tcPr>
            <w:tcW w:w="734" w:type="pct"/>
            <w:tcBorders>
              <w:top w:val="nil"/>
              <w:bottom w:val="single" w:sz="4" w:space="0" w:color="auto"/>
            </w:tcBorders>
          </w:tcPr>
          <w:p w:rsidR="00691289" w:rsidRPr="00B71E29" w:rsidRDefault="00691289" w:rsidP="00A0366B">
            <w:pPr>
              <w:pStyle w:val="Tablehead2"/>
              <w:jc w:val="center"/>
              <w:rPr>
                <w:iCs/>
              </w:rPr>
            </w:pPr>
            <w:r w:rsidRPr="00B71E29">
              <w:rPr>
                <w:iCs/>
              </w:rPr>
              <w:t>2009</w:t>
            </w:r>
          </w:p>
        </w:tc>
        <w:tc>
          <w:tcPr>
            <w:tcW w:w="733" w:type="pct"/>
            <w:tcBorders>
              <w:top w:val="nil"/>
              <w:bottom w:val="single" w:sz="4" w:space="0" w:color="auto"/>
            </w:tcBorders>
          </w:tcPr>
          <w:p w:rsidR="00691289" w:rsidRPr="00B71E29" w:rsidRDefault="00691289" w:rsidP="00A0366B">
            <w:pPr>
              <w:pStyle w:val="Tablehead2"/>
              <w:jc w:val="center"/>
              <w:rPr>
                <w:iCs/>
              </w:rPr>
            </w:pPr>
            <w:r w:rsidRPr="00B71E29">
              <w:rPr>
                <w:iCs/>
              </w:rPr>
              <w:t>Total</w:t>
            </w:r>
          </w:p>
        </w:tc>
      </w:tr>
      <w:tr w:rsidR="00691289" w:rsidRPr="00B71E29" w:rsidTr="00832BEE">
        <w:tc>
          <w:tcPr>
            <w:tcW w:w="1332" w:type="pct"/>
            <w:tcBorders>
              <w:top w:val="single" w:sz="4" w:space="0" w:color="auto"/>
            </w:tcBorders>
            <w:shd w:val="clear" w:color="auto" w:fill="auto"/>
            <w:noWrap/>
          </w:tcPr>
          <w:p w:rsidR="00691289" w:rsidRPr="00B71E29" w:rsidRDefault="00691289" w:rsidP="00A0366B">
            <w:pPr>
              <w:pStyle w:val="Tabletext"/>
            </w:pPr>
            <w:r w:rsidRPr="00B71E29">
              <w:t>Remained (</w:t>
            </w:r>
            <w:r w:rsidRPr="00B71E29">
              <w:rPr>
                <w:i/>
              </w:rPr>
              <w:t>n</w:t>
            </w:r>
            <w:r w:rsidRPr="00B71E29">
              <w:t>)</w:t>
            </w:r>
          </w:p>
        </w:tc>
        <w:tc>
          <w:tcPr>
            <w:tcW w:w="733" w:type="pct"/>
            <w:tcBorders>
              <w:top w:val="single" w:sz="4" w:space="0" w:color="auto"/>
            </w:tcBorders>
            <w:shd w:val="clear" w:color="auto" w:fill="auto"/>
            <w:noWrap/>
          </w:tcPr>
          <w:p w:rsidR="00691289" w:rsidRPr="00B71E29" w:rsidRDefault="00691289" w:rsidP="00832BEE">
            <w:pPr>
              <w:pStyle w:val="Tabletext"/>
              <w:tabs>
                <w:tab w:val="decimal" w:pos="680"/>
              </w:tabs>
            </w:pPr>
            <w:r w:rsidRPr="00B71E29">
              <w:t>104</w:t>
            </w:r>
          </w:p>
        </w:tc>
        <w:tc>
          <w:tcPr>
            <w:tcW w:w="734" w:type="pct"/>
            <w:tcBorders>
              <w:top w:val="single" w:sz="4" w:space="0" w:color="auto"/>
            </w:tcBorders>
            <w:shd w:val="clear" w:color="auto" w:fill="auto"/>
          </w:tcPr>
          <w:p w:rsidR="00691289" w:rsidRPr="00B71E29" w:rsidRDefault="00691289" w:rsidP="00832BEE">
            <w:pPr>
              <w:pStyle w:val="Tabletext"/>
              <w:tabs>
                <w:tab w:val="decimal" w:pos="624"/>
              </w:tabs>
            </w:pPr>
            <w:r w:rsidRPr="00B71E29">
              <w:t>98</w:t>
            </w:r>
          </w:p>
        </w:tc>
        <w:tc>
          <w:tcPr>
            <w:tcW w:w="733" w:type="pct"/>
            <w:tcBorders>
              <w:top w:val="single" w:sz="4" w:space="0" w:color="auto"/>
            </w:tcBorders>
          </w:tcPr>
          <w:p w:rsidR="00691289" w:rsidRPr="00B71E29" w:rsidRDefault="00691289" w:rsidP="00832BEE">
            <w:pPr>
              <w:pStyle w:val="Tabletext"/>
              <w:tabs>
                <w:tab w:val="decimal" w:pos="624"/>
              </w:tabs>
            </w:pPr>
            <w:r w:rsidRPr="00B71E29">
              <w:t>81</w:t>
            </w:r>
          </w:p>
        </w:tc>
        <w:tc>
          <w:tcPr>
            <w:tcW w:w="734" w:type="pct"/>
            <w:tcBorders>
              <w:top w:val="single" w:sz="4" w:space="0" w:color="auto"/>
            </w:tcBorders>
            <w:shd w:val="clear" w:color="auto" w:fill="auto"/>
          </w:tcPr>
          <w:p w:rsidR="00691289" w:rsidRPr="00B71E29" w:rsidRDefault="00691289" w:rsidP="00832BEE">
            <w:pPr>
              <w:pStyle w:val="Tabletext"/>
              <w:tabs>
                <w:tab w:val="decimal" w:pos="624"/>
              </w:tabs>
            </w:pPr>
            <w:r w:rsidRPr="00B71E29">
              <w:t>70</w:t>
            </w:r>
          </w:p>
        </w:tc>
        <w:tc>
          <w:tcPr>
            <w:tcW w:w="733" w:type="pct"/>
            <w:tcBorders>
              <w:top w:val="single" w:sz="4" w:space="0" w:color="auto"/>
            </w:tcBorders>
          </w:tcPr>
          <w:p w:rsidR="00691289" w:rsidRPr="00B71E29" w:rsidRDefault="00691289" w:rsidP="00832BEE">
            <w:pPr>
              <w:pStyle w:val="Tabletext"/>
              <w:tabs>
                <w:tab w:val="decimal" w:pos="624"/>
              </w:tabs>
              <w:rPr>
                <w:b/>
              </w:rPr>
            </w:pPr>
          </w:p>
        </w:tc>
      </w:tr>
      <w:tr w:rsidR="00691289" w:rsidRPr="00B71E29" w:rsidTr="00832BEE">
        <w:tc>
          <w:tcPr>
            <w:tcW w:w="1332" w:type="pct"/>
            <w:shd w:val="clear" w:color="auto" w:fill="auto"/>
            <w:noWrap/>
          </w:tcPr>
          <w:p w:rsidR="00691289" w:rsidRPr="00B71E29" w:rsidRDefault="00691289" w:rsidP="00A0366B">
            <w:pPr>
              <w:pStyle w:val="Tabletext"/>
            </w:pPr>
            <w:r w:rsidRPr="00B71E29">
              <w:t>Left industry (</w:t>
            </w:r>
            <w:r w:rsidRPr="00B71E29">
              <w:rPr>
                <w:i/>
              </w:rPr>
              <w:t>n</w:t>
            </w:r>
            <w:r w:rsidRPr="00B71E29">
              <w:t>)</w:t>
            </w:r>
          </w:p>
        </w:tc>
        <w:tc>
          <w:tcPr>
            <w:tcW w:w="733" w:type="pct"/>
            <w:shd w:val="clear" w:color="auto" w:fill="auto"/>
            <w:noWrap/>
          </w:tcPr>
          <w:p w:rsidR="00691289" w:rsidRPr="00B71E29" w:rsidRDefault="00691289" w:rsidP="00832BEE">
            <w:pPr>
              <w:pStyle w:val="Tabletext"/>
              <w:tabs>
                <w:tab w:val="decimal" w:pos="680"/>
              </w:tabs>
            </w:pPr>
            <w:r w:rsidRPr="00B71E29">
              <w:t>-</w:t>
            </w:r>
            <w:r>
              <w:t xml:space="preserve"> </w:t>
            </w:r>
          </w:p>
        </w:tc>
        <w:tc>
          <w:tcPr>
            <w:tcW w:w="734" w:type="pct"/>
            <w:shd w:val="clear" w:color="auto" w:fill="auto"/>
          </w:tcPr>
          <w:p w:rsidR="00691289" w:rsidRPr="00B71E29" w:rsidRDefault="00691289" w:rsidP="00832BEE">
            <w:pPr>
              <w:pStyle w:val="Tabletext"/>
              <w:tabs>
                <w:tab w:val="decimal" w:pos="624"/>
              </w:tabs>
            </w:pPr>
            <w:r w:rsidRPr="00B71E29">
              <w:t>6</w:t>
            </w:r>
          </w:p>
        </w:tc>
        <w:tc>
          <w:tcPr>
            <w:tcW w:w="733" w:type="pct"/>
          </w:tcPr>
          <w:p w:rsidR="00691289" w:rsidRPr="00B71E29" w:rsidRDefault="00691289" w:rsidP="00832BEE">
            <w:pPr>
              <w:pStyle w:val="Tabletext"/>
              <w:tabs>
                <w:tab w:val="decimal" w:pos="624"/>
              </w:tabs>
            </w:pPr>
            <w:r w:rsidRPr="00B71E29">
              <w:t>10</w:t>
            </w:r>
          </w:p>
        </w:tc>
        <w:tc>
          <w:tcPr>
            <w:tcW w:w="734" w:type="pct"/>
            <w:shd w:val="clear" w:color="auto" w:fill="auto"/>
          </w:tcPr>
          <w:p w:rsidR="00691289" w:rsidRPr="00B71E29" w:rsidRDefault="00691289" w:rsidP="00832BEE">
            <w:pPr>
              <w:pStyle w:val="Tabletext"/>
              <w:tabs>
                <w:tab w:val="decimal" w:pos="624"/>
              </w:tabs>
            </w:pPr>
            <w:r w:rsidRPr="00B71E29">
              <w:t>5</w:t>
            </w:r>
          </w:p>
        </w:tc>
        <w:tc>
          <w:tcPr>
            <w:tcW w:w="733" w:type="pct"/>
          </w:tcPr>
          <w:p w:rsidR="00691289" w:rsidRPr="00B71E29" w:rsidRDefault="00691289" w:rsidP="00832BEE">
            <w:pPr>
              <w:pStyle w:val="Tabletext"/>
              <w:tabs>
                <w:tab w:val="decimal" w:pos="624"/>
              </w:tabs>
              <w:rPr>
                <w:b/>
              </w:rPr>
            </w:pPr>
            <w:r w:rsidRPr="00B71E29">
              <w:rPr>
                <w:b/>
              </w:rPr>
              <w:t>21</w:t>
            </w:r>
          </w:p>
        </w:tc>
      </w:tr>
      <w:tr w:rsidR="00691289" w:rsidRPr="00B71E29" w:rsidTr="00832BEE">
        <w:tc>
          <w:tcPr>
            <w:tcW w:w="1332" w:type="pct"/>
            <w:tcBorders>
              <w:bottom w:val="nil"/>
            </w:tcBorders>
            <w:shd w:val="clear" w:color="auto" w:fill="auto"/>
            <w:noWrap/>
          </w:tcPr>
          <w:p w:rsidR="00691289" w:rsidRPr="00B71E29" w:rsidRDefault="00691289" w:rsidP="00A0366B">
            <w:pPr>
              <w:pStyle w:val="Tabletext"/>
            </w:pPr>
            <w:r w:rsidRPr="00B71E29">
              <w:t>Joined industry (</w:t>
            </w:r>
            <w:r w:rsidRPr="00B71E29">
              <w:rPr>
                <w:i/>
              </w:rPr>
              <w:t>n</w:t>
            </w:r>
            <w:r w:rsidRPr="00B71E29">
              <w:t>)</w:t>
            </w:r>
          </w:p>
        </w:tc>
        <w:tc>
          <w:tcPr>
            <w:tcW w:w="733" w:type="pct"/>
            <w:tcBorders>
              <w:bottom w:val="nil"/>
            </w:tcBorders>
            <w:shd w:val="clear" w:color="auto" w:fill="auto"/>
            <w:noWrap/>
          </w:tcPr>
          <w:p w:rsidR="00691289" w:rsidRPr="00B71E29" w:rsidRDefault="00691289" w:rsidP="00832BEE">
            <w:pPr>
              <w:pStyle w:val="Tabletext"/>
              <w:tabs>
                <w:tab w:val="decimal" w:pos="680"/>
              </w:tabs>
            </w:pPr>
            <w:r w:rsidRPr="00B71E29">
              <w:t>-</w:t>
            </w:r>
            <w:r>
              <w:t xml:space="preserve"> </w:t>
            </w:r>
          </w:p>
        </w:tc>
        <w:tc>
          <w:tcPr>
            <w:tcW w:w="734" w:type="pct"/>
            <w:tcBorders>
              <w:bottom w:val="nil"/>
            </w:tcBorders>
            <w:shd w:val="clear" w:color="auto" w:fill="auto"/>
          </w:tcPr>
          <w:p w:rsidR="00691289" w:rsidRPr="00B71E29" w:rsidRDefault="00691289" w:rsidP="00832BEE">
            <w:pPr>
              <w:pStyle w:val="Tabletext"/>
              <w:tabs>
                <w:tab w:val="decimal" w:pos="624"/>
              </w:tabs>
            </w:pPr>
            <w:r w:rsidRPr="00B71E29">
              <w:t>19</w:t>
            </w:r>
          </w:p>
        </w:tc>
        <w:tc>
          <w:tcPr>
            <w:tcW w:w="733" w:type="pct"/>
            <w:tcBorders>
              <w:bottom w:val="nil"/>
            </w:tcBorders>
            <w:shd w:val="clear" w:color="auto" w:fill="auto"/>
          </w:tcPr>
          <w:p w:rsidR="00691289" w:rsidRPr="00B71E29" w:rsidRDefault="00691289" w:rsidP="00832BEE">
            <w:pPr>
              <w:pStyle w:val="Tabletext"/>
              <w:tabs>
                <w:tab w:val="decimal" w:pos="624"/>
              </w:tabs>
            </w:pPr>
            <w:r w:rsidRPr="00B71E29">
              <w:t>9</w:t>
            </w:r>
          </w:p>
        </w:tc>
        <w:tc>
          <w:tcPr>
            <w:tcW w:w="734" w:type="pct"/>
            <w:tcBorders>
              <w:bottom w:val="nil"/>
            </w:tcBorders>
            <w:shd w:val="clear" w:color="auto" w:fill="auto"/>
          </w:tcPr>
          <w:p w:rsidR="00691289" w:rsidRPr="00B71E29" w:rsidRDefault="00691289" w:rsidP="00832BEE">
            <w:pPr>
              <w:pStyle w:val="Tabletext"/>
              <w:tabs>
                <w:tab w:val="decimal" w:pos="624"/>
              </w:tabs>
            </w:pPr>
            <w:r w:rsidRPr="00B71E29">
              <w:t>16</w:t>
            </w:r>
          </w:p>
        </w:tc>
        <w:tc>
          <w:tcPr>
            <w:tcW w:w="733" w:type="pct"/>
            <w:tcBorders>
              <w:bottom w:val="nil"/>
            </w:tcBorders>
          </w:tcPr>
          <w:p w:rsidR="00691289" w:rsidRPr="00B71E29" w:rsidRDefault="00691289" w:rsidP="00832BEE">
            <w:pPr>
              <w:pStyle w:val="Tabletext"/>
              <w:tabs>
                <w:tab w:val="decimal" w:pos="624"/>
              </w:tabs>
              <w:rPr>
                <w:b/>
              </w:rPr>
            </w:pPr>
            <w:r w:rsidRPr="00B71E29">
              <w:rPr>
                <w:b/>
              </w:rPr>
              <w:t>44</w:t>
            </w:r>
          </w:p>
        </w:tc>
      </w:tr>
      <w:tr w:rsidR="00691289" w:rsidRPr="00B71E29" w:rsidTr="00832BEE">
        <w:tc>
          <w:tcPr>
            <w:tcW w:w="1332" w:type="pct"/>
            <w:tcBorders>
              <w:top w:val="nil"/>
              <w:bottom w:val="single" w:sz="4" w:space="0" w:color="auto"/>
            </w:tcBorders>
            <w:shd w:val="clear" w:color="auto" w:fill="auto"/>
            <w:noWrap/>
          </w:tcPr>
          <w:p w:rsidR="00691289" w:rsidRPr="00B71E29" w:rsidRDefault="00691289" w:rsidP="00A0366B">
            <w:pPr>
              <w:pStyle w:val="Tabletext"/>
            </w:pPr>
            <w:r w:rsidRPr="00B71E29">
              <w:t>Left study (</w:t>
            </w:r>
            <w:r w:rsidRPr="00B71E29">
              <w:rPr>
                <w:i/>
              </w:rPr>
              <w:t>n</w:t>
            </w:r>
            <w:r w:rsidRPr="00B71E29">
              <w:t>)</w:t>
            </w:r>
          </w:p>
        </w:tc>
        <w:tc>
          <w:tcPr>
            <w:tcW w:w="733" w:type="pct"/>
            <w:tcBorders>
              <w:top w:val="nil"/>
              <w:bottom w:val="single" w:sz="4" w:space="0" w:color="auto"/>
            </w:tcBorders>
            <w:shd w:val="clear" w:color="auto" w:fill="auto"/>
            <w:noWrap/>
          </w:tcPr>
          <w:p w:rsidR="00691289" w:rsidRPr="00B71E29" w:rsidRDefault="00691289" w:rsidP="00832BEE">
            <w:pPr>
              <w:pStyle w:val="Tabletext"/>
              <w:tabs>
                <w:tab w:val="decimal" w:pos="680"/>
              </w:tabs>
            </w:pPr>
          </w:p>
        </w:tc>
        <w:tc>
          <w:tcPr>
            <w:tcW w:w="734" w:type="pct"/>
            <w:tcBorders>
              <w:top w:val="nil"/>
              <w:bottom w:val="single" w:sz="4" w:space="0" w:color="auto"/>
            </w:tcBorders>
            <w:shd w:val="clear" w:color="auto" w:fill="auto"/>
          </w:tcPr>
          <w:p w:rsidR="00691289" w:rsidRPr="00B71E29" w:rsidRDefault="00691289" w:rsidP="00832BEE">
            <w:pPr>
              <w:pStyle w:val="Tabletext"/>
              <w:tabs>
                <w:tab w:val="decimal" w:pos="624"/>
              </w:tabs>
            </w:pPr>
            <w:r w:rsidRPr="00B71E29">
              <w:t>-</w:t>
            </w:r>
            <w:r>
              <w:t xml:space="preserve"> </w:t>
            </w:r>
          </w:p>
        </w:tc>
        <w:tc>
          <w:tcPr>
            <w:tcW w:w="733" w:type="pct"/>
            <w:tcBorders>
              <w:top w:val="nil"/>
              <w:bottom w:val="single" w:sz="4" w:space="0" w:color="auto"/>
            </w:tcBorders>
            <w:shd w:val="clear" w:color="auto" w:fill="auto"/>
          </w:tcPr>
          <w:p w:rsidR="00691289" w:rsidRPr="00B71E29" w:rsidRDefault="00691289" w:rsidP="00832BEE">
            <w:pPr>
              <w:pStyle w:val="Tabletext"/>
              <w:tabs>
                <w:tab w:val="decimal" w:pos="624"/>
              </w:tabs>
            </w:pPr>
            <w:r w:rsidRPr="00B71E29">
              <w:t>26</w:t>
            </w:r>
          </w:p>
        </w:tc>
        <w:tc>
          <w:tcPr>
            <w:tcW w:w="734" w:type="pct"/>
            <w:tcBorders>
              <w:top w:val="nil"/>
              <w:bottom w:val="single" w:sz="4" w:space="0" w:color="auto"/>
            </w:tcBorders>
            <w:shd w:val="clear" w:color="auto" w:fill="auto"/>
          </w:tcPr>
          <w:p w:rsidR="00691289" w:rsidRPr="00B71E29" w:rsidRDefault="00691289" w:rsidP="00832BEE">
            <w:pPr>
              <w:pStyle w:val="Tabletext"/>
              <w:tabs>
                <w:tab w:val="decimal" w:pos="624"/>
              </w:tabs>
            </w:pPr>
            <w:r w:rsidRPr="00B71E29">
              <w:t>15</w:t>
            </w:r>
          </w:p>
        </w:tc>
        <w:tc>
          <w:tcPr>
            <w:tcW w:w="733" w:type="pct"/>
            <w:tcBorders>
              <w:top w:val="nil"/>
              <w:bottom w:val="single" w:sz="4" w:space="0" w:color="auto"/>
            </w:tcBorders>
          </w:tcPr>
          <w:p w:rsidR="00691289" w:rsidRPr="00B71E29" w:rsidRDefault="00691289" w:rsidP="00832BEE">
            <w:pPr>
              <w:pStyle w:val="Tabletext"/>
              <w:tabs>
                <w:tab w:val="decimal" w:pos="624"/>
              </w:tabs>
              <w:rPr>
                <w:b/>
              </w:rPr>
            </w:pPr>
            <w:r w:rsidRPr="00B71E29">
              <w:rPr>
                <w:b/>
              </w:rPr>
              <w:t>41</w:t>
            </w:r>
          </w:p>
        </w:tc>
      </w:tr>
      <w:tr w:rsidR="00691289" w:rsidRPr="00B71E29" w:rsidTr="00832BEE">
        <w:tc>
          <w:tcPr>
            <w:tcW w:w="1332" w:type="pct"/>
            <w:tcBorders>
              <w:top w:val="single" w:sz="4" w:space="0" w:color="auto"/>
              <w:bottom w:val="nil"/>
            </w:tcBorders>
            <w:shd w:val="clear" w:color="auto" w:fill="auto"/>
            <w:noWrap/>
          </w:tcPr>
          <w:p w:rsidR="00691289" w:rsidRPr="00FF116E" w:rsidRDefault="00691289" w:rsidP="00A0366B">
            <w:pPr>
              <w:pStyle w:val="Tablehead1"/>
              <w:rPr>
                <w:rFonts w:ascii="Garamond" w:hAnsi="Garamond"/>
              </w:rPr>
            </w:pPr>
          </w:p>
        </w:tc>
        <w:tc>
          <w:tcPr>
            <w:tcW w:w="3668" w:type="pct"/>
            <w:gridSpan w:val="5"/>
            <w:tcBorders>
              <w:top w:val="single" w:sz="4" w:space="0" w:color="auto"/>
              <w:bottom w:val="nil"/>
            </w:tcBorders>
            <w:shd w:val="clear" w:color="auto" w:fill="auto"/>
            <w:noWrap/>
          </w:tcPr>
          <w:p w:rsidR="00691289" w:rsidRPr="00B71E29" w:rsidRDefault="00691289" w:rsidP="00A0366B">
            <w:pPr>
              <w:pStyle w:val="Tablehead1"/>
              <w:jc w:val="center"/>
              <w:rPr>
                <w:rFonts w:ascii="Garamond" w:hAnsi="Garamond"/>
                <w:iCs/>
                <w:sz w:val="16"/>
                <w:szCs w:val="16"/>
              </w:rPr>
            </w:pPr>
            <w:r w:rsidRPr="00B71E29">
              <w:t>Meat processing</w:t>
            </w:r>
          </w:p>
        </w:tc>
      </w:tr>
      <w:tr w:rsidR="00691289" w:rsidRPr="00B71E29" w:rsidTr="00832BEE">
        <w:tc>
          <w:tcPr>
            <w:tcW w:w="1332" w:type="pct"/>
            <w:tcBorders>
              <w:top w:val="nil"/>
              <w:bottom w:val="single" w:sz="4" w:space="0" w:color="auto"/>
            </w:tcBorders>
            <w:shd w:val="clear" w:color="auto" w:fill="auto"/>
            <w:noWrap/>
          </w:tcPr>
          <w:p w:rsidR="00691289" w:rsidRPr="00B71E29" w:rsidRDefault="00691289" w:rsidP="00A0366B">
            <w:pPr>
              <w:pStyle w:val="Tablehead2"/>
            </w:pPr>
          </w:p>
        </w:tc>
        <w:tc>
          <w:tcPr>
            <w:tcW w:w="733" w:type="pct"/>
            <w:tcBorders>
              <w:top w:val="nil"/>
              <w:bottom w:val="single" w:sz="4" w:space="0" w:color="auto"/>
            </w:tcBorders>
            <w:shd w:val="clear" w:color="auto" w:fill="auto"/>
            <w:noWrap/>
          </w:tcPr>
          <w:p w:rsidR="00691289" w:rsidRPr="00B71E29" w:rsidRDefault="00691289" w:rsidP="00A0366B">
            <w:pPr>
              <w:pStyle w:val="Tablehead2"/>
              <w:jc w:val="center"/>
              <w:rPr>
                <w:iCs/>
              </w:rPr>
            </w:pPr>
            <w:r w:rsidRPr="00B71E29">
              <w:rPr>
                <w:iCs/>
              </w:rPr>
              <w:t>2006</w:t>
            </w:r>
          </w:p>
        </w:tc>
        <w:tc>
          <w:tcPr>
            <w:tcW w:w="734" w:type="pct"/>
            <w:tcBorders>
              <w:top w:val="nil"/>
              <w:bottom w:val="single" w:sz="4" w:space="0" w:color="auto"/>
            </w:tcBorders>
          </w:tcPr>
          <w:p w:rsidR="00691289" w:rsidRPr="00B71E29" w:rsidRDefault="00691289" w:rsidP="00A0366B">
            <w:pPr>
              <w:pStyle w:val="Tablehead2"/>
              <w:jc w:val="center"/>
              <w:rPr>
                <w:iCs/>
              </w:rPr>
            </w:pPr>
            <w:r w:rsidRPr="00B71E29">
              <w:rPr>
                <w:iCs/>
              </w:rPr>
              <w:t>2007</w:t>
            </w:r>
          </w:p>
        </w:tc>
        <w:tc>
          <w:tcPr>
            <w:tcW w:w="733" w:type="pct"/>
            <w:tcBorders>
              <w:top w:val="nil"/>
              <w:bottom w:val="single" w:sz="4" w:space="0" w:color="auto"/>
            </w:tcBorders>
          </w:tcPr>
          <w:p w:rsidR="00691289" w:rsidRPr="00B71E29" w:rsidRDefault="00691289" w:rsidP="00A0366B">
            <w:pPr>
              <w:pStyle w:val="Tablehead2"/>
              <w:jc w:val="center"/>
              <w:rPr>
                <w:iCs/>
              </w:rPr>
            </w:pPr>
            <w:r w:rsidRPr="00B71E29">
              <w:rPr>
                <w:iCs/>
              </w:rPr>
              <w:t>2008</w:t>
            </w:r>
          </w:p>
        </w:tc>
        <w:tc>
          <w:tcPr>
            <w:tcW w:w="734" w:type="pct"/>
            <w:tcBorders>
              <w:top w:val="nil"/>
              <w:bottom w:val="single" w:sz="4" w:space="0" w:color="auto"/>
            </w:tcBorders>
          </w:tcPr>
          <w:p w:rsidR="00691289" w:rsidRPr="00B71E29" w:rsidRDefault="00691289" w:rsidP="00A0366B">
            <w:pPr>
              <w:pStyle w:val="Tablehead2"/>
              <w:jc w:val="center"/>
              <w:rPr>
                <w:iCs/>
              </w:rPr>
            </w:pPr>
            <w:r w:rsidRPr="00B71E29">
              <w:rPr>
                <w:iCs/>
              </w:rPr>
              <w:t>2009</w:t>
            </w:r>
          </w:p>
        </w:tc>
        <w:tc>
          <w:tcPr>
            <w:tcW w:w="733" w:type="pct"/>
            <w:tcBorders>
              <w:top w:val="nil"/>
              <w:bottom w:val="single" w:sz="4" w:space="0" w:color="auto"/>
            </w:tcBorders>
          </w:tcPr>
          <w:p w:rsidR="00691289" w:rsidRPr="00B71E29" w:rsidRDefault="00691289" w:rsidP="00A0366B">
            <w:pPr>
              <w:pStyle w:val="Tablehead2"/>
              <w:jc w:val="center"/>
              <w:rPr>
                <w:iCs/>
              </w:rPr>
            </w:pPr>
            <w:r w:rsidRPr="00B71E29">
              <w:rPr>
                <w:iCs/>
              </w:rPr>
              <w:t>Total</w:t>
            </w:r>
          </w:p>
        </w:tc>
      </w:tr>
      <w:tr w:rsidR="00691289" w:rsidRPr="00B71E29" w:rsidTr="00832BEE">
        <w:tc>
          <w:tcPr>
            <w:tcW w:w="1332" w:type="pct"/>
            <w:tcBorders>
              <w:top w:val="single" w:sz="4" w:space="0" w:color="auto"/>
            </w:tcBorders>
            <w:shd w:val="clear" w:color="auto" w:fill="auto"/>
            <w:noWrap/>
          </w:tcPr>
          <w:p w:rsidR="00691289" w:rsidRPr="00B71E29" w:rsidRDefault="00691289" w:rsidP="00A0366B">
            <w:pPr>
              <w:pStyle w:val="Tabletext"/>
            </w:pPr>
            <w:r w:rsidRPr="00B71E29">
              <w:t>Remained (</w:t>
            </w:r>
            <w:r w:rsidRPr="00B71E29">
              <w:rPr>
                <w:i/>
              </w:rPr>
              <w:t>n</w:t>
            </w:r>
            <w:r w:rsidRPr="00B71E29">
              <w:t>)</w:t>
            </w:r>
          </w:p>
        </w:tc>
        <w:tc>
          <w:tcPr>
            <w:tcW w:w="733" w:type="pct"/>
            <w:tcBorders>
              <w:top w:val="single" w:sz="4" w:space="0" w:color="auto"/>
            </w:tcBorders>
            <w:shd w:val="clear" w:color="auto" w:fill="auto"/>
            <w:noWrap/>
          </w:tcPr>
          <w:p w:rsidR="00691289" w:rsidRPr="00B71E29" w:rsidRDefault="00691289" w:rsidP="00832BEE">
            <w:pPr>
              <w:pStyle w:val="Tabletext"/>
              <w:tabs>
                <w:tab w:val="decimal" w:pos="680"/>
              </w:tabs>
            </w:pPr>
            <w:r w:rsidRPr="00B71E29">
              <w:t>33</w:t>
            </w:r>
          </w:p>
        </w:tc>
        <w:tc>
          <w:tcPr>
            <w:tcW w:w="734" w:type="pct"/>
            <w:tcBorders>
              <w:top w:val="single" w:sz="4" w:space="0" w:color="auto"/>
            </w:tcBorders>
            <w:shd w:val="clear" w:color="auto" w:fill="auto"/>
          </w:tcPr>
          <w:p w:rsidR="00691289" w:rsidRPr="00B71E29" w:rsidRDefault="00691289" w:rsidP="00832BEE">
            <w:pPr>
              <w:pStyle w:val="Tabletext"/>
              <w:tabs>
                <w:tab w:val="decimal" w:pos="624"/>
              </w:tabs>
            </w:pPr>
            <w:r w:rsidRPr="00B71E29">
              <w:t>27</w:t>
            </w:r>
          </w:p>
        </w:tc>
        <w:tc>
          <w:tcPr>
            <w:tcW w:w="733" w:type="pct"/>
            <w:tcBorders>
              <w:top w:val="single" w:sz="4" w:space="0" w:color="auto"/>
            </w:tcBorders>
          </w:tcPr>
          <w:p w:rsidR="00691289" w:rsidRPr="00B71E29" w:rsidRDefault="00691289" w:rsidP="00832BEE">
            <w:pPr>
              <w:pStyle w:val="Tabletext"/>
              <w:tabs>
                <w:tab w:val="decimal" w:pos="624"/>
              </w:tabs>
            </w:pPr>
            <w:r w:rsidRPr="00B71E29">
              <w:t>19</w:t>
            </w:r>
          </w:p>
        </w:tc>
        <w:tc>
          <w:tcPr>
            <w:tcW w:w="734" w:type="pct"/>
            <w:tcBorders>
              <w:top w:val="single" w:sz="4" w:space="0" w:color="auto"/>
            </w:tcBorders>
            <w:shd w:val="clear" w:color="auto" w:fill="auto"/>
          </w:tcPr>
          <w:p w:rsidR="00691289" w:rsidRPr="00B71E29" w:rsidRDefault="00691289" w:rsidP="00832BEE">
            <w:pPr>
              <w:pStyle w:val="Tabletext"/>
              <w:tabs>
                <w:tab w:val="decimal" w:pos="624"/>
              </w:tabs>
            </w:pPr>
            <w:r w:rsidRPr="00B71E29">
              <w:t>17</w:t>
            </w:r>
          </w:p>
        </w:tc>
        <w:tc>
          <w:tcPr>
            <w:tcW w:w="733" w:type="pct"/>
            <w:tcBorders>
              <w:top w:val="single" w:sz="4" w:space="0" w:color="auto"/>
            </w:tcBorders>
          </w:tcPr>
          <w:p w:rsidR="00691289" w:rsidRPr="00B71E29" w:rsidRDefault="00691289" w:rsidP="00832BEE">
            <w:pPr>
              <w:pStyle w:val="Tabletext"/>
              <w:tabs>
                <w:tab w:val="decimal" w:pos="624"/>
              </w:tabs>
              <w:rPr>
                <w:b/>
              </w:rPr>
            </w:pPr>
          </w:p>
        </w:tc>
      </w:tr>
      <w:tr w:rsidR="00691289" w:rsidRPr="00B71E29" w:rsidTr="00832BEE">
        <w:tc>
          <w:tcPr>
            <w:tcW w:w="1332" w:type="pct"/>
            <w:shd w:val="clear" w:color="auto" w:fill="auto"/>
            <w:noWrap/>
          </w:tcPr>
          <w:p w:rsidR="00691289" w:rsidRPr="00B71E29" w:rsidRDefault="00691289" w:rsidP="00A0366B">
            <w:pPr>
              <w:pStyle w:val="Tabletext"/>
            </w:pPr>
            <w:r w:rsidRPr="00B71E29">
              <w:t>Left industry (</w:t>
            </w:r>
            <w:r w:rsidRPr="00B71E29">
              <w:rPr>
                <w:i/>
              </w:rPr>
              <w:t>n</w:t>
            </w:r>
            <w:r w:rsidRPr="00B71E29">
              <w:t>)</w:t>
            </w:r>
          </w:p>
        </w:tc>
        <w:tc>
          <w:tcPr>
            <w:tcW w:w="733" w:type="pct"/>
            <w:shd w:val="clear" w:color="auto" w:fill="auto"/>
            <w:noWrap/>
          </w:tcPr>
          <w:p w:rsidR="00691289" w:rsidRPr="00B71E29" w:rsidRDefault="00691289" w:rsidP="00832BEE">
            <w:pPr>
              <w:pStyle w:val="Tabletext"/>
              <w:tabs>
                <w:tab w:val="decimal" w:pos="680"/>
              </w:tabs>
            </w:pPr>
            <w:r w:rsidRPr="00B71E29">
              <w:t>-</w:t>
            </w:r>
            <w:r>
              <w:t xml:space="preserve"> </w:t>
            </w:r>
          </w:p>
        </w:tc>
        <w:tc>
          <w:tcPr>
            <w:tcW w:w="734" w:type="pct"/>
            <w:shd w:val="clear" w:color="auto" w:fill="auto"/>
          </w:tcPr>
          <w:p w:rsidR="00691289" w:rsidRPr="00B71E29" w:rsidRDefault="00691289" w:rsidP="00832BEE">
            <w:pPr>
              <w:pStyle w:val="Tabletext"/>
              <w:tabs>
                <w:tab w:val="decimal" w:pos="624"/>
              </w:tabs>
            </w:pPr>
            <w:r w:rsidRPr="00B71E29">
              <w:t>6</w:t>
            </w:r>
          </w:p>
        </w:tc>
        <w:tc>
          <w:tcPr>
            <w:tcW w:w="733" w:type="pct"/>
          </w:tcPr>
          <w:p w:rsidR="00691289" w:rsidRPr="00B71E29" w:rsidRDefault="00691289" w:rsidP="00832BEE">
            <w:pPr>
              <w:pStyle w:val="Tabletext"/>
              <w:tabs>
                <w:tab w:val="decimal" w:pos="624"/>
              </w:tabs>
            </w:pPr>
            <w:r w:rsidRPr="00B71E29">
              <w:t>6</w:t>
            </w:r>
          </w:p>
        </w:tc>
        <w:tc>
          <w:tcPr>
            <w:tcW w:w="734" w:type="pct"/>
            <w:shd w:val="clear" w:color="auto" w:fill="auto"/>
          </w:tcPr>
          <w:p w:rsidR="00691289" w:rsidRPr="00B71E29" w:rsidRDefault="00691289" w:rsidP="00832BEE">
            <w:pPr>
              <w:pStyle w:val="Tabletext"/>
              <w:tabs>
                <w:tab w:val="decimal" w:pos="624"/>
              </w:tabs>
            </w:pPr>
            <w:r w:rsidRPr="00B71E29">
              <w:t>1</w:t>
            </w:r>
          </w:p>
        </w:tc>
        <w:tc>
          <w:tcPr>
            <w:tcW w:w="733" w:type="pct"/>
          </w:tcPr>
          <w:p w:rsidR="00691289" w:rsidRPr="00B71E29" w:rsidRDefault="00691289" w:rsidP="00832BEE">
            <w:pPr>
              <w:pStyle w:val="Tabletext"/>
              <w:tabs>
                <w:tab w:val="decimal" w:pos="624"/>
              </w:tabs>
              <w:rPr>
                <w:b/>
              </w:rPr>
            </w:pPr>
            <w:r w:rsidRPr="00B71E29">
              <w:rPr>
                <w:b/>
              </w:rPr>
              <w:t>13</w:t>
            </w:r>
          </w:p>
        </w:tc>
      </w:tr>
      <w:tr w:rsidR="00691289" w:rsidRPr="00B71E29" w:rsidTr="00832BEE">
        <w:tc>
          <w:tcPr>
            <w:tcW w:w="1332" w:type="pct"/>
            <w:tcBorders>
              <w:bottom w:val="nil"/>
            </w:tcBorders>
            <w:shd w:val="clear" w:color="auto" w:fill="auto"/>
            <w:noWrap/>
          </w:tcPr>
          <w:p w:rsidR="00691289" w:rsidRPr="00B71E29" w:rsidRDefault="00691289" w:rsidP="00A0366B">
            <w:pPr>
              <w:pStyle w:val="Tabletext"/>
            </w:pPr>
            <w:r w:rsidRPr="00B71E29">
              <w:t>Joined industry (</w:t>
            </w:r>
            <w:r w:rsidRPr="00B71E29">
              <w:rPr>
                <w:i/>
              </w:rPr>
              <w:t>n</w:t>
            </w:r>
            <w:r w:rsidRPr="00B71E29">
              <w:t>)</w:t>
            </w:r>
          </w:p>
        </w:tc>
        <w:tc>
          <w:tcPr>
            <w:tcW w:w="733" w:type="pct"/>
            <w:tcBorders>
              <w:bottom w:val="nil"/>
            </w:tcBorders>
            <w:shd w:val="clear" w:color="auto" w:fill="auto"/>
            <w:noWrap/>
          </w:tcPr>
          <w:p w:rsidR="00691289" w:rsidRPr="00B71E29" w:rsidRDefault="00691289" w:rsidP="00832BEE">
            <w:pPr>
              <w:pStyle w:val="Tabletext"/>
              <w:tabs>
                <w:tab w:val="decimal" w:pos="680"/>
              </w:tabs>
            </w:pPr>
            <w:r w:rsidRPr="00B71E29">
              <w:t>-</w:t>
            </w:r>
            <w:r>
              <w:t xml:space="preserve"> </w:t>
            </w:r>
          </w:p>
        </w:tc>
        <w:tc>
          <w:tcPr>
            <w:tcW w:w="734" w:type="pct"/>
            <w:tcBorders>
              <w:bottom w:val="nil"/>
            </w:tcBorders>
            <w:shd w:val="clear" w:color="auto" w:fill="auto"/>
          </w:tcPr>
          <w:p w:rsidR="00691289" w:rsidRPr="00B71E29" w:rsidRDefault="00691289" w:rsidP="00832BEE">
            <w:pPr>
              <w:pStyle w:val="Tabletext"/>
              <w:tabs>
                <w:tab w:val="decimal" w:pos="624"/>
              </w:tabs>
            </w:pPr>
            <w:r w:rsidRPr="00B71E29">
              <w:t>2</w:t>
            </w:r>
          </w:p>
        </w:tc>
        <w:tc>
          <w:tcPr>
            <w:tcW w:w="733" w:type="pct"/>
            <w:tcBorders>
              <w:bottom w:val="nil"/>
            </w:tcBorders>
            <w:shd w:val="clear" w:color="auto" w:fill="auto"/>
          </w:tcPr>
          <w:p w:rsidR="00691289" w:rsidRPr="00B71E29" w:rsidRDefault="00691289" w:rsidP="00832BEE">
            <w:pPr>
              <w:pStyle w:val="Tabletext"/>
              <w:tabs>
                <w:tab w:val="decimal" w:pos="624"/>
              </w:tabs>
            </w:pPr>
            <w:r w:rsidRPr="00B71E29">
              <w:t>-</w:t>
            </w:r>
            <w:r>
              <w:t xml:space="preserve"> </w:t>
            </w:r>
          </w:p>
        </w:tc>
        <w:tc>
          <w:tcPr>
            <w:tcW w:w="734" w:type="pct"/>
            <w:tcBorders>
              <w:bottom w:val="nil"/>
            </w:tcBorders>
            <w:shd w:val="clear" w:color="auto" w:fill="auto"/>
          </w:tcPr>
          <w:p w:rsidR="00691289" w:rsidRPr="00B71E29" w:rsidRDefault="00691289" w:rsidP="00832BEE">
            <w:pPr>
              <w:pStyle w:val="Tabletext"/>
              <w:tabs>
                <w:tab w:val="decimal" w:pos="624"/>
              </w:tabs>
            </w:pPr>
            <w:r w:rsidRPr="00B71E29">
              <w:t>1</w:t>
            </w:r>
          </w:p>
        </w:tc>
        <w:tc>
          <w:tcPr>
            <w:tcW w:w="733" w:type="pct"/>
            <w:tcBorders>
              <w:bottom w:val="nil"/>
            </w:tcBorders>
          </w:tcPr>
          <w:p w:rsidR="00691289" w:rsidRPr="00B71E29" w:rsidRDefault="00691289" w:rsidP="00832BEE">
            <w:pPr>
              <w:pStyle w:val="Tabletext"/>
              <w:tabs>
                <w:tab w:val="decimal" w:pos="624"/>
              </w:tabs>
              <w:rPr>
                <w:b/>
              </w:rPr>
            </w:pPr>
            <w:r w:rsidRPr="00B71E29">
              <w:rPr>
                <w:b/>
              </w:rPr>
              <w:t>3</w:t>
            </w:r>
          </w:p>
        </w:tc>
      </w:tr>
      <w:tr w:rsidR="00691289" w:rsidRPr="00B71E29" w:rsidTr="00832BEE">
        <w:tc>
          <w:tcPr>
            <w:tcW w:w="1332" w:type="pct"/>
            <w:tcBorders>
              <w:top w:val="nil"/>
              <w:bottom w:val="single" w:sz="4" w:space="0" w:color="auto"/>
            </w:tcBorders>
            <w:shd w:val="clear" w:color="auto" w:fill="auto"/>
            <w:noWrap/>
          </w:tcPr>
          <w:p w:rsidR="00691289" w:rsidRPr="00B71E29" w:rsidRDefault="00691289" w:rsidP="00A0366B">
            <w:pPr>
              <w:pStyle w:val="Tabletext"/>
            </w:pPr>
            <w:r w:rsidRPr="00B71E29">
              <w:t>Left study (</w:t>
            </w:r>
            <w:r w:rsidRPr="00B71E29">
              <w:rPr>
                <w:i/>
              </w:rPr>
              <w:t>n</w:t>
            </w:r>
            <w:r w:rsidRPr="00B71E29">
              <w:t>)</w:t>
            </w:r>
          </w:p>
        </w:tc>
        <w:tc>
          <w:tcPr>
            <w:tcW w:w="733" w:type="pct"/>
            <w:tcBorders>
              <w:top w:val="nil"/>
              <w:bottom w:val="single" w:sz="4" w:space="0" w:color="auto"/>
            </w:tcBorders>
            <w:shd w:val="clear" w:color="auto" w:fill="auto"/>
            <w:noWrap/>
          </w:tcPr>
          <w:p w:rsidR="00691289" w:rsidRPr="00B71E29" w:rsidRDefault="00691289" w:rsidP="00832BEE">
            <w:pPr>
              <w:pStyle w:val="Tabletext"/>
              <w:tabs>
                <w:tab w:val="decimal" w:pos="680"/>
              </w:tabs>
            </w:pPr>
          </w:p>
        </w:tc>
        <w:tc>
          <w:tcPr>
            <w:tcW w:w="734" w:type="pct"/>
            <w:tcBorders>
              <w:top w:val="nil"/>
              <w:bottom w:val="single" w:sz="4" w:space="0" w:color="auto"/>
            </w:tcBorders>
            <w:shd w:val="clear" w:color="auto" w:fill="auto"/>
          </w:tcPr>
          <w:p w:rsidR="00691289" w:rsidRPr="00B71E29" w:rsidRDefault="00691289" w:rsidP="00832BEE">
            <w:pPr>
              <w:pStyle w:val="Tabletext"/>
              <w:tabs>
                <w:tab w:val="decimal" w:pos="624"/>
              </w:tabs>
            </w:pPr>
            <w:r w:rsidRPr="00B71E29">
              <w:t>-</w:t>
            </w:r>
            <w:r>
              <w:t xml:space="preserve"> </w:t>
            </w:r>
          </w:p>
        </w:tc>
        <w:tc>
          <w:tcPr>
            <w:tcW w:w="733" w:type="pct"/>
            <w:tcBorders>
              <w:top w:val="nil"/>
              <w:bottom w:val="single" w:sz="4" w:space="0" w:color="auto"/>
            </w:tcBorders>
            <w:shd w:val="clear" w:color="auto" w:fill="auto"/>
          </w:tcPr>
          <w:p w:rsidR="00691289" w:rsidRPr="00B71E29" w:rsidRDefault="00691289" w:rsidP="00832BEE">
            <w:pPr>
              <w:pStyle w:val="Tabletext"/>
              <w:tabs>
                <w:tab w:val="decimal" w:pos="624"/>
              </w:tabs>
            </w:pPr>
            <w:r w:rsidRPr="00B71E29">
              <w:t>10</w:t>
            </w:r>
          </w:p>
        </w:tc>
        <w:tc>
          <w:tcPr>
            <w:tcW w:w="734" w:type="pct"/>
            <w:tcBorders>
              <w:top w:val="nil"/>
              <w:bottom w:val="single" w:sz="4" w:space="0" w:color="auto"/>
            </w:tcBorders>
            <w:shd w:val="clear" w:color="auto" w:fill="auto"/>
          </w:tcPr>
          <w:p w:rsidR="00691289" w:rsidRPr="00B71E29" w:rsidRDefault="00691289" w:rsidP="00832BEE">
            <w:pPr>
              <w:pStyle w:val="Tabletext"/>
              <w:tabs>
                <w:tab w:val="decimal" w:pos="624"/>
              </w:tabs>
            </w:pPr>
            <w:r w:rsidRPr="00B71E29">
              <w:t>2</w:t>
            </w:r>
          </w:p>
        </w:tc>
        <w:tc>
          <w:tcPr>
            <w:tcW w:w="733" w:type="pct"/>
            <w:tcBorders>
              <w:top w:val="nil"/>
              <w:bottom w:val="single" w:sz="4" w:space="0" w:color="auto"/>
            </w:tcBorders>
          </w:tcPr>
          <w:p w:rsidR="00691289" w:rsidRPr="00B71E29" w:rsidRDefault="00691289" w:rsidP="00832BEE">
            <w:pPr>
              <w:pStyle w:val="Tabletext"/>
              <w:tabs>
                <w:tab w:val="decimal" w:pos="624"/>
              </w:tabs>
              <w:rPr>
                <w:b/>
              </w:rPr>
            </w:pPr>
            <w:r w:rsidRPr="00B71E29">
              <w:rPr>
                <w:b/>
              </w:rPr>
              <w:t>12</w:t>
            </w:r>
          </w:p>
        </w:tc>
      </w:tr>
      <w:tr w:rsidR="00691289" w:rsidRPr="00B71E29" w:rsidTr="00832BEE">
        <w:tc>
          <w:tcPr>
            <w:tcW w:w="1332" w:type="pct"/>
            <w:tcBorders>
              <w:top w:val="single" w:sz="4" w:space="0" w:color="auto"/>
              <w:bottom w:val="nil"/>
            </w:tcBorders>
            <w:shd w:val="clear" w:color="auto" w:fill="auto"/>
            <w:noWrap/>
          </w:tcPr>
          <w:p w:rsidR="00691289" w:rsidRPr="00B71E29" w:rsidRDefault="00691289" w:rsidP="00A0366B">
            <w:pPr>
              <w:pStyle w:val="Tablehead1"/>
              <w:rPr>
                <w:rFonts w:ascii="Garamond" w:hAnsi="Garamond"/>
                <w:iCs/>
                <w:sz w:val="16"/>
                <w:szCs w:val="16"/>
              </w:rPr>
            </w:pPr>
          </w:p>
        </w:tc>
        <w:tc>
          <w:tcPr>
            <w:tcW w:w="3668" w:type="pct"/>
            <w:gridSpan w:val="5"/>
            <w:tcBorders>
              <w:top w:val="single" w:sz="4" w:space="0" w:color="auto"/>
              <w:bottom w:val="nil"/>
            </w:tcBorders>
            <w:shd w:val="clear" w:color="auto" w:fill="auto"/>
          </w:tcPr>
          <w:p w:rsidR="00691289" w:rsidRPr="00B71E29" w:rsidRDefault="00691289" w:rsidP="00A0366B">
            <w:pPr>
              <w:pStyle w:val="Tablehead1"/>
              <w:jc w:val="center"/>
              <w:rPr>
                <w:rFonts w:ascii="Garamond" w:hAnsi="Garamond"/>
                <w:iCs/>
                <w:sz w:val="16"/>
                <w:szCs w:val="16"/>
              </w:rPr>
            </w:pPr>
            <w:r>
              <w:t>Child care/pre</w:t>
            </w:r>
            <w:r w:rsidRPr="00B71E29">
              <w:t>school workers</w:t>
            </w:r>
          </w:p>
        </w:tc>
      </w:tr>
      <w:tr w:rsidR="00691289" w:rsidRPr="00B71E29" w:rsidTr="00832BEE">
        <w:tc>
          <w:tcPr>
            <w:tcW w:w="1332" w:type="pct"/>
            <w:tcBorders>
              <w:top w:val="nil"/>
              <w:bottom w:val="single" w:sz="4" w:space="0" w:color="auto"/>
            </w:tcBorders>
            <w:shd w:val="clear" w:color="auto" w:fill="auto"/>
            <w:noWrap/>
          </w:tcPr>
          <w:p w:rsidR="00691289" w:rsidRPr="00B71E29" w:rsidRDefault="00691289" w:rsidP="00A0366B">
            <w:pPr>
              <w:pStyle w:val="Tablehead2"/>
            </w:pPr>
          </w:p>
        </w:tc>
        <w:tc>
          <w:tcPr>
            <w:tcW w:w="733" w:type="pct"/>
            <w:tcBorders>
              <w:top w:val="nil"/>
              <w:bottom w:val="single" w:sz="4" w:space="0" w:color="auto"/>
            </w:tcBorders>
            <w:shd w:val="clear" w:color="auto" w:fill="auto"/>
            <w:noWrap/>
          </w:tcPr>
          <w:p w:rsidR="00691289" w:rsidRPr="00B71E29" w:rsidRDefault="00691289" w:rsidP="00A0366B">
            <w:pPr>
              <w:pStyle w:val="Tablehead2"/>
              <w:jc w:val="center"/>
              <w:rPr>
                <w:iCs/>
              </w:rPr>
            </w:pPr>
            <w:r w:rsidRPr="00B71E29">
              <w:rPr>
                <w:iCs/>
              </w:rPr>
              <w:t>2006</w:t>
            </w:r>
          </w:p>
        </w:tc>
        <w:tc>
          <w:tcPr>
            <w:tcW w:w="734" w:type="pct"/>
            <w:tcBorders>
              <w:top w:val="nil"/>
              <w:bottom w:val="single" w:sz="4" w:space="0" w:color="auto"/>
            </w:tcBorders>
          </w:tcPr>
          <w:p w:rsidR="00691289" w:rsidRPr="00B71E29" w:rsidRDefault="00691289" w:rsidP="00A0366B">
            <w:pPr>
              <w:pStyle w:val="Tablehead2"/>
              <w:jc w:val="center"/>
              <w:rPr>
                <w:iCs/>
              </w:rPr>
            </w:pPr>
            <w:r w:rsidRPr="00B71E29">
              <w:rPr>
                <w:iCs/>
              </w:rPr>
              <w:t>2007</w:t>
            </w:r>
          </w:p>
        </w:tc>
        <w:tc>
          <w:tcPr>
            <w:tcW w:w="733" w:type="pct"/>
            <w:tcBorders>
              <w:top w:val="nil"/>
              <w:bottom w:val="single" w:sz="4" w:space="0" w:color="auto"/>
            </w:tcBorders>
          </w:tcPr>
          <w:p w:rsidR="00691289" w:rsidRPr="00B71E29" w:rsidRDefault="00691289" w:rsidP="00A0366B">
            <w:pPr>
              <w:pStyle w:val="Tablehead2"/>
              <w:jc w:val="center"/>
              <w:rPr>
                <w:iCs/>
              </w:rPr>
            </w:pPr>
            <w:r w:rsidRPr="00B71E29">
              <w:rPr>
                <w:iCs/>
              </w:rPr>
              <w:t>2008</w:t>
            </w:r>
          </w:p>
        </w:tc>
        <w:tc>
          <w:tcPr>
            <w:tcW w:w="734" w:type="pct"/>
            <w:tcBorders>
              <w:top w:val="nil"/>
              <w:bottom w:val="single" w:sz="4" w:space="0" w:color="auto"/>
            </w:tcBorders>
          </w:tcPr>
          <w:p w:rsidR="00691289" w:rsidRPr="00B71E29" w:rsidRDefault="00691289" w:rsidP="00A0366B">
            <w:pPr>
              <w:pStyle w:val="Tablehead2"/>
              <w:jc w:val="center"/>
              <w:rPr>
                <w:iCs/>
              </w:rPr>
            </w:pPr>
            <w:r w:rsidRPr="00B71E29">
              <w:rPr>
                <w:iCs/>
              </w:rPr>
              <w:t>2009</w:t>
            </w:r>
          </w:p>
        </w:tc>
        <w:tc>
          <w:tcPr>
            <w:tcW w:w="733" w:type="pct"/>
            <w:tcBorders>
              <w:top w:val="nil"/>
              <w:bottom w:val="single" w:sz="4" w:space="0" w:color="auto"/>
            </w:tcBorders>
          </w:tcPr>
          <w:p w:rsidR="00691289" w:rsidRPr="00B71E29" w:rsidRDefault="00691289" w:rsidP="00A0366B">
            <w:pPr>
              <w:pStyle w:val="Tablehead2"/>
              <w:jc w:val="center"/>
              <w:rPr>
                <w:iCs/>
              </w:rPr>
            </w:pPr>
            <w:r w:rsidRPr="00B71E29">
              <w:rPr>
                <w:iCs/>
              </w:rPr>
              <w:t>Total</w:t>
            </w:r>
          </w:p>
        </w:tc>
      </w:tr>
      <w:tr w:rsidR="00691289" w:rsidRPr="00B71E29" w:rsidTr="00832BEE">
        <w:tc>
          <w:tcPr>
            <w:tcW w:w="1332" w:type="pct"/>
            <w:tcBorders>
              <w:top w:val="single" w:sz="4" w:space="0" w:color="auto"/>
            </w:tcBorders>
            <w:shd w:val="clear" w:color="auto" w:fill="auto"/>
            <w:noWrap/>
          </w:tcPr>
          <w:p w:rsidR="00691289" w:rsidRPr="00B71E29" w:rsidRDefault="00691289" w:rsidP="00A0366B">
            <w:pPr>
              <w:pStyle w:val="Tabletext"/>
            </w:pPr>
            <w:r w:rsidRPr="00B71E29">
              <w:t>Remained (</w:t>
            </w:r>
            <w:r w:rsidRPr="00B71E29">
              <w:rPr>
                <w:i/>
              </w:rPr>
              <w:t>n</w:t>
            </w:r>
            <w:r w:rsidRPr="00B71E29">
              <w:t>)</w:t>
            </w:r>
          </w:p>
        </w:tc>
        <w:tc>
          <w:tcPr>
            <w:tcW w:w="733" w:type="pct"/>
            <w:tcBorders>
              <w:top w:val="single" w:sz="4" w:space="0" w:color="auto"/>
            </w:tcBorders>
            <w:shd w:val="clear" w:color="auto" w:fill="auto"/>
            <w:noWrap/>
          </w:tcPr>
          <w:p w:rsidR="00691289" w:rsidRPr="00B71E29" w:rsidRDefault="00691289" w:rsidP="00832BEE">
            <w:pPr>
              <w:pStyle w:val="Tabletext"/>
              <w:tabs>
                <w:tab w:val="decimal" w:pos="680"/>
              </w:tabs>
            </w:pPr>
            <w:r w:rsidRPr="00B71E29">
              <w:t>110</w:t>
            </w:r>
          </w:p>
        </w:tc>
        <w:tc>
          <w:tcPr>
            <w:tcW w:w="734" w:type="pct"/>
            <w:tcBorders>
              <w:top w:val="single" w:sz="4" w:space="0" w:color="auto"/>
            </w:tcBorders>
            <w:shd w:val="clear" w:color="auto" w:fill="auto"/>
          </w:tcPr>
          <w:p w:rsidR="00691289" w:rsidRPr="00B71E29" w:rsidRDefault="00691289" w:rsidP="00832BEE">
            <w:pPr>
              <w:pStyle w:val="Tabletext"/>
              <w:tabs>
                <w:tab w:val="decimal" w:pos="624"/>
              </w:tabs>
            </w:pPr>
            <w:r w:rsidRPr="00B71E29">
              <w:t>94</w:t>
            </w:r>
          </w:p>
        </w:tc>
        <w:tc>
          <w:tcPr>
            <w:tcW w:w="733" w:type="pct"/>
            <w:tcBorders>
              <w:top w:val="single" w:sz="4" w:space="0" w:color="auto"/>
            </w:tcBorders>
          </w:tcPr>
          <w:p w:rsidR="00691289" w:rsidRPr="00B71E29" w:rsidRDefault="00691289" w:rsidP="00832BEE">
            <w:pPr>
              <w:pStyle w:val="Tabletext"/>
              <w:tabs>
                <w:tab w:val="decimal" w:pos="624"/>
              </w:tabs>
            </w:pPr>
            <w:r w:rsidRPr="00B71E29">
              <w:t>67</w:t>
            </w:r>
          </w:p>
        </w:tc>
        <w:tc>
          <w:tcPr>
            <w:tcW w:w="734" w:type="pct"/>
            <w:tcBorders>
              <w:top w:val="single" w:sz="4" w:space="0" w:color="auto"/>
            </w:tcBorders>
            <w:shd w:val="clear" w:color="auto" w:fill="auto"/>
          </w:tcPr>
          <w:p w:rsidR="00691289" w:rsidRPr="00B71E29" w:rsidRDefault="00691289" w:rsidP="00832BEE">
            <w:pPr>
              <w:pStyle w:val="Tabletext"/>
              <w:tabs>
                <w:tab w:val="decimal" w:pos="624"/>
              </w:tabs>
            </w:pPr>
            <w:r w:rsidRPr="00B71E29">
              <w:t>71</w:t>
            </w:r>
          </w:p>
        </w:tc>
        <w:tc>
          <w:tcPr>
            <w:tcW w:w="733" w:type="pct"/>
            <w:tcBorders>
              <w:top w:val="single" w:sz="4" w:space="0" w:color="auto"/>
            </w:tcBorders>
          </w:tcPr>
          <w:p w:rsidR="00691289" w:rsidRPr="00B71E29" w:rsidRDefault="00691289" w:rsidP="00832BEE">
            <w:pPr>
              <w:pStyle w:val="Tabletext"/>
              <w:tabs>
                <w:tab w:val="decimal" w:pos="624"/>
              </w:tabs>
              <w:rPr>
                <w:b/>
              </w:rPr>
            </w:pPr>
          </w:p>
        </w:tc>
      </w:tr>
      <w:tr w:rsidR="00691289" w:rsidRPr="00B71E29" w:rsidTr="00832BEE">
        <w:tc>
          <w:tcPr>
            <w:tcW w:w="1332" w:type="pct"/>
            <w:shd w:val="clear" w:color="auto" w:fill="auto"/>
            <w:noWrap/>
          </w:tcPr>
          <w:p w:rsidR="00691289" w:rsidRPr="00B71E29" w:rsidRDefault="00691289" w:rsidP="00A0366B">
            <w:pPr>
              <w:pStyle w:val="Tabletext"/>
            </w:pPr>
            <w:r w:rsidRPr="00B71E29">
              <w:t>Left industry (</w:t>
            </w:r>
            <w:r w:rsidRPr="00B71E29">
              <w:rPr>
                <w:i/>
              </w:rPr>
              <w:t>n</w:t>
            </w:r>
            <w:r w:rsidRPr="00B71E29">
              <w:t>)</w:t>
            </w:r>
          </w:p>
        </w:tc>
        <w:tc>
          <w:tcPr>
            <w:tcW w:w="733" w:type="pct"/>
            <w:shd w:val="clear" w:color="auto" w:fill="auto"/>
            <w:noWrap/>
          </w:tcPr>
          <w:p w:rsidR="00691289" w:rsidRPr="00B71E29" w:rsidRDefault="00691289" w:rsidP="00832BEE">
            <w:pPr>
              <w:pStyle w:val="Tabletext"/>
              <w:tabs>
                <w:tab w:val="decimal" w:pos="680"/>
              </w:tabs>
            </w:pPr>
          </w:p>
        </w:tc>
        <w:tc>
          <w:tcPr>
            <w:tcW w:w="734" w:type="pct"/>
            <w:shd w:val="clear" w:color="auto" w:fill="auto"/>
          </w:tcPr>
          <w:p w:rsidR="00691289" w:rsidRPr="00B71E29" w:rsidRDefault="00691289" w:rsidP="00832BEE">
            <w:pPr>
              <w:pStyle w:val="Tabletext"/>
              <w:tabs>
                <w:tab w:val="decimal" w:pos="624"/>
              </w:tabs>
            </w:pPr>
            <w:r w:rsidRPr="00B71E29">
              <w:t>16</w:t>
            </w:r>
          </w:p>
        </w:tc>
        <w:tc>
          <w:tcPr>
            <w:tcW w:w="733" w:type="pct"/>
          </w:tcPr>
          <w:p w:rsidR="00691289" w:rsidRPr="00B71E29" w:rsidRDefault="00691289" w:rsidP="00832BEE">
            <w:pPr>
              <w:pStyle w:val="Tabletext"/>
              <w:tabs>
                <w:tab w:val="decimal" w:pos="624"/>
              </w:tabs>
            </w:pPr>
            <w:r w:rsidRPr="00B71E29">
              <w:t>19</w:t>
            </w:r>
          </w:p>
        </w:tc>
        <w:tc>
          <w:tcPr>
            <w:tcW w:w="734" w:type="pct"/>
            <w:shd w:val="clear" w:color="auto" w:fill="auto"/>
          </w:tcPr>
          <w:p w:rsidR="00691289" w:rsidRPr="00B71E29" w:rsidRDefault="00691289" w:rsidP="00832BEE">
            <w:pPr>
              <w:pStyle w:val="Tabletext"/>
              <w:tabs>
                <w:tab w:val="decimal" w:pos="624"/>
              </w:tabs>
            </w:pPr>
            <w:r w:rsidRPr="00B71E29">
              <w:t>8</w:t>
            </w:r>
          </w:p>
        </w:tc>
        <w:tc>
          <w:tcPr>
            <w:tcW w:w="733" w:type="pct"/>
          </w:tcPr>
          <w:p w:rsidR="00691289" w:rsidRPr="00B71E29" w:rsidRDefault="00691289" w:rsidP="00832BEE">
            <w:pPr>
              <w:pStyle w:val="Tabletext"/>
              <w:tabs>
                <w:tab w:val="decimal" w:pos="624"/>
              </w:tabs>
              <w:rPr>
                <w:b/>
              </w:rPr>
            </w:pPr>
            <w:r w:rsidRPr="00B71E29">
              <w:rPr>
                <w:b/>
              </w:rPr>
              <w:t>33</w:t>
            </w:r>
          </w:p>
        </w:tc>
      </w:tr>
      <w:tr w:rsidR="00691289" w:rsidRPr="00B71E29" w:rsidTr="00832BEE">
        <w:tc>
          <w:tcPr>
            <w:tcW w:w="1332" w:type="pct"/>
            <w:shd w:val="clear" w:color="auto" w:fill="auto"/>
            <w:noWrap/>
          </w:tcPr>
          <w:p w:rsidR="00691289" w:rsidRPr="00B71E29" w:rsidRDefault="00691289" w:rsidP="00A0366B">
            <w:pPr>
              <w:pStyle w:val="Tabletext"/>
              <w:rPr>
                <w:b/>
              </w:rPr>
            </w:pPr>
            <w:r w:rsidRPr="00B71E29">
              <w:t>Joined industry (</w:t>
            </w:r>
            <w:r w:rsidRPr="00B71E29">
              <w:rPr>
                <w:i/>
              </w:rPr>
              <w:t>n</w:t>
            </w:r>
            <w:r w:rsidRPr="00B71E29">
              <w:t>)</w:t>
            </w:r>
          </w:p>
        </w:tc>
        <w:tc>
          <w:tcPr>
            <w:tcW w:w="733" w:type="pct"/>
            <w:shd w:val="clear" w:color="auto" w:fill="auto"/>
            <w:noWrap/>
          </w:tcPr>
          <w:p w:rsidR="00691289" w:rsidRPr="00B71E29" w:rsidRDefault="00691289" w:rsidP="00832BEE">
            <w:pPr>
              <w:pStyle w:val="Tabletext"/>
              <w:tabs>
                <w:tab w:val="decimal" w:pos="680"/>
              </w:tabs>
            </w:pPr>
          </w:p>
        </w:tc>
        <w:tc>
          <w:tcPr>
            <w:tcW w:w="734" w:type="pct"/>
            <w:shd w:val="clear" w:color="auto" w:fill="auto"/>
          </w:tcPr>
          <w:p w:rsidR="00691289" w:rsidRPr="00B71E29" w:rsidRDefault="00691289" w:rsidP="00832BEE">
            <w:pPr>
              <w:pStyle w:val="Tabletext"/>
              <w:tabs>
                <w:tab w:val="decimal" w:pos="624"/>
              </w:tabs>
            </w:pPr>
            <w:r w:rsidRPr="00B71E29">
              <w:t>14</w:t>
            </w:r>
          </w:p>
        </w:tc>
        <w:tc>
          <w:tcPr>
            <w:tcW w:w="733" w:type="pct"/>
            <w:shd w:val="clear" w:color="auto" w:fill="auto"/>
          </w:tcPr>
          <w:p w:rsidR="00691289" w:rsidRPr="00B71E29" w:rsidRDefault="00691289" w:rsidP="00832BEE">
            <w:pPr>
              <w:pStyle w:val="Tabletext"/>
              <w:tabs>
                <w:tab w:val="decimal" w:pos="624"/>
              </w:tabs>
            </w:pPr>
            <w:r w:rsidRPr="00B71E29">
              <w:t>23</w:t>
            </w:r>
          </w:p>
        </w:tc>
        <w:tc>
          <w:tcPr>
            <w:tcW w:w="734" w:type="pct"/>
            <w:shd w:val="clear" w:color="auto" w:fill="auto"/>
          </w:tcPr>
          <w:p w:rsidR="00691289" w:rsidRPr="00B71E29" w:rsidRDefault="00691289" w:rsidP="00832BEE">
            <w:pPr>
              <w:pStyle w:val="Tabletext"/>
              <w:tabs>
                <w:tab w:val="decimal" w:pos="624"/>
              </w:tabs>
            </w:pPr>
            <w:r w:rsidRPr="00B71E29">
              <w:t>7</w:t>
            </w:r>
          </w:p>
        </w:tc>
        <w:tc>
          <w:tcPr>
            <w:tcW w:w="733" w:type="pct"/>
          </w:tcPr>
          <w:p w:rsidR="00691289" w:rsidRPr="00B71E29" w:rsidRDefault="00691289" w:rsidP="00832BEE">
            <w:pPr>
              <w:pStyle w:val="Tabletext"/>
              <w:tabs>
                <w:tab w:val="decimal" w:pos="624"/>
              </w:tabs>
              <w:rPr>
                <w:b/>
              </w:rPr>
            </w:pPr>
            <w:r w:rsidRPr="00B71E29">
              <w:rPr>
                <w:b/>
              </w:rPr>
              <w:t>44</w:t>
            </w:r>
          </w:p>
        </w:tc>
      </w:tr>
      <w:tr w:rsidR="00691289" w:rsidRPr="00B71E29" w:rsidTr="00832BEE">
        <w:tc>
          <w:tcPr>
            <w:tcW w:w="1332" w:type="pct"/>
            <w:shd w:val="clear" w:color="auto" w:fill="auto"/>
            <w:noWrap/>
          </w:tcPr>
          <w:p w:rsidR="00691289" w:rsidRPr="00B71E29" w:rsidRDefault="00691289" w:rsidP="00A0366B">
            <w:pPr>
              <w:pStyle w:val="Tabletext"/>
            </w:pPr>
            <w:r w:rsidRPr="00B71E29">
              <w:t>Left study (</w:t>
            </w:r>
            <w:r w:rsidRPr="00B71E29">
              <w:rPr>
                <w:i/>
              </w:rPr>
              <w:t>n</w:t>
            </w:r>
            <w:r w:rsidRPr="00B71E29">
              <w:t>)</w:t>
            </w:r>
          </w:p>
        </w:tc>
        <w:tc>
          <w:tcPr>
            <w:tcW w:w="733" w:type="pct"/>
            <w:shd w:val="clear" w:color="auto" w:fill="auto"/>
            <w:noWrap/>
          </w:tcPr>
          <w:p w:rsidR="00691289" w:rsidRPr="00B71E29" w:rsidRDefault="00691289" w:rsidP="00832BEE">
            <w:pPr>
              <w:pStyle w:val="Tabletext"/>
              <w:tabs>
                <w:tab w:val="decimal" w:pos="680"/>
              </w:tabs>
            </w:pPr>
          </w:p>
        </w:tc>
        <w:tc>
          <w:tcPr>
            <w:tcW w:w="734" w:type="pct"/>
            <w:shd w:val="clear" w:color="auto" w:fill="auto"/>
          </w:tcPr>
          <w:p w:rsidR="00691289" w:rsidRPr="00B71E29" w:rsidRDefault="00691289" w:rsidP="00832BEE">
            <w:pPr>
              <w:pStyle w:val="Tabletext"/>
              <w:tabs>
                <w:tab w:val="decimal" w:pos="624"/>
              </w:tabs>
            </w:pPr>
            <w:r w:rsidRPr="00B71E29">
              <w:t>-</w:t>
            </w:r>
            <w:r>
              <w:t xml:space="preserve"> </w:t>
            </w:r>
          </w:p>
        </w:tc>
        <w:tc>
          <w:tcPr>
            <w:tcW w:w="733" w:type="pct"/>
            <w:shd w:val="clear" w:color="auto" w:fill="auto"/>
          </w:tcPr>
          <w:p w:rsidR="00691289" w:rsidRPr="00B71E29" w:rsidRDefault="00691289" w:rsidP="00832BEE">
            <w:pPr>
              <w:pStyle w:val="Tabletext"/>
              <w:tabs>
                <w:tab w:val="decimal" w:pos="624"/>
              </w:tabs>
            </w:pPr>
            <w:r w:rsidRPr="00B71E29">
              <w:t>22</w:t>
            </w:r>
          </w:p>
        </w:tc>
        <w:tc>
          <w:tcPr>
            <w:tcW w:w="734" w:type="pct"/>
            <w:shd w:val="clear" w:color="auto" w:fill="auto"/>
          </w:tcPr>
          <w:p w:rsidR="00691289" w:rsidRPr="00B71E29" w:rsidRDefault="00691289" w:rsidP="00832BEE">
            <w:pPr>
              <w:pStyle w:val="Tabletext"/>
              <w:tabs>
                <w:tab w:val="decimal" w:pos="624"/>
              </w:tabs>
            </w:pPr>
            <w:r w:rsidRPr="00B71E29">
              <w:t>11</w:t>
            </w:r>
          </w:p>
        </w:tc>
        <w:tc>
          <w:tcPr>
            <w:tcW w:w="733" w:type="pct"/>
          </w:tcPr>
          <w:p w:rsidR="00691289" w:rsidRPr="00B71E29" w:rsidRDefault="00691289" w:rsidP="00832BEE">
            <w:pPr>
              <w:pStyle w:val="Tabletext"/>
              <w:tabs>
                <w:tab w:val="decimal" w:pos="624"/>
              </w:tabs>
              <w:rPr>
                <w:b/>
              </w:rPr>
            </w:pPr>
            <w:r w:rsidRPr="00B71E29">
              <w:rPr>
                <w:b/>
              </w:rPr>
              <w:t>33</w:t>
            </w:r>
          </w:p>
        </w:tc>
      </w:tr>
    </w:tbl>
    <w:p w:rsidR="00691289" w:rsidRPr="00FF116E" w:rsidRDefault="00691289" w:rsidP="00691289">
      <w:pPr>
        <w:pStyle w:val="Source"/>
      </w:pPr>
      <w:r w:rsidRPr="00B71E29">
        <w:t>Notes:</w:t>
      </w:r>
      <w:r>
        <w:tab/>
      </w:r>
      <w:r w:rsidRPr="00B71E29">
        <w:t>Sample sizes are very small and should be regarded as at best indicative</w:t>
      </w:r>
      <w:r>
        <w:t xml:space="preserve">. </w:t>
      </w:r>
      <w:r w:rsidRPr="00B71E29">
        <w:t xml:space="preserve">They are reported here to help formulate hypotheses and not to provide robust estimates </w:t>
      </w:r>
      <w:r w:rsidRPr="00FF116E">
        <w:t>of trends over time.</w:t>
      </w:r>
    </w:p>
    <w:p w:rsidR="00691289" w:rsidRPr="00B71E29" w:rsidRDefault="00691289" w:rsidP="00691289">
      <w:pPr>
        <w:pStyle w:val="Source"/>
      </w:pPr>
      <w:r>
        <w:t>Source:</w:t>
      </w:r>
      <w:r>
        <w:tab/>
        <w:t>Australia at W</w:t>
      </w:r>
      <w:r w:rsidRPr="00FF116E">
        <w:t>ork. Sample</w:t>
      </w:r>
      <w:r w:rsidRPr="00B71E29">
        <w:t xml:space="preserve"> counts for reported industries.</w:t>
      </w:r>
    </w:p>
    <w:p w:rsidR="00691289" w:rsidRPr="00B71E29" w:rsidRDefault="00691289" w:rsidP="00832BEE">
      <w:pPr>
        <w:pStyle w:val="Textmorebefore"/>
      </w:pPr>
      <w:r w:rsidRPr="00B71E29">
        <w:t xml:space="preserve">To help sharpen our research questions further we conducted a very preliminary assessment of particular work histories reported in the data </w:t>
      </w:r>
      <w:r>
        <w:t xml:space="preserve">to help generate further </w:t>
      </w:r>
      <w:r w:rsidRPr="00663BB7">
        <w:rPr>
          <w:i/>
        </w:rPr>
        <w:t>prima facie</w:t>
      </w:r>
      <w:r>
        <w:t xml:space="preserve"> findings worthy of further investigation. </w:t>
      </w:r>
      <w:r w:rsidRPr="00B71E29">
        <w:t>This material is report</w:t>
      </w:r>
      <w:r>
        <w:t>ed in t</w:t>
      </w:r>
      <w:r w:rsidRPr="00B71E29">
        <w:t xml:space="preserve">able </w:t>
      </w:r>
      <w:r>
        <w:t xml:space="preserve">5. </w:t>
      </w:r>
    </w:p>
    <w:p w:rsidR="00691289" w:rsidRPr="00B71E29" w:rsidRDefault="00691289" w:rsidP="00832BEE">
      <w:pPr>
        <w:pStyle w:val="Text"/>
      </w:pPr>
      <w:r>
        <w:t>A p</w:t>
      </w:r>
      <w:r w:rsidRPr="00B71E29">
        <w:t>reliminary scrutiny of this material indicates that workers probably move in distinct</w:t>
      </w:r>
      <w:r>
        <w:t xml:space="preserve"> occupational or vocational</w:t>
      </w:r>
      <w:r w:rsidRPr="00B71E29">
        <w:t xml:space="preserve"> ‘streams’</w:t>
      </w:r>
      <w:r>
        <w:t xml:space="preserve">. </w:t>
      </w:r>
      <w:r w:rsidRPr="00B71E29">
        <w:t>Particular hypotheses worth exploring are:</w:t>
      </w:r>
    </w:p>
    <w:p w:rsidR="00691289" w:rsidRPr="00832BEE" w:rsidRDefault="00691289" w:rsidP="00832BEE">
      <w:pPr>
        <w:pStyle w:val="Dotpoint1"/>
      </w:pPr>
      <w:r>
        <w:t>S</w:t>
      </w:r>
      <w:r w:rsidRPr="00B71E29">
        <w:t>killed and semi-skilled manual workers move within and between related sectors like mining, construction and logistics</w:t>
      </w:r>
      <w:r>
        <w:t xml:space="preserve"> (corresponding to </w:t>
      </w:r>
      <w:r w:rsidRPr="00832BEE">
        <w:t>classes 7 and 8 in the Oesch schema depicted in table</w:t>
      </w:r>
      <w:r w:rsidR="00832BEE">
        <w:t> </w:t>
      </w:r>
      <w:r w:rsidRPr="00832BEE">
        <w:t>3).</w:t>
      </w:r>
    </w:p>
    <w:p w:rsidR="00691289" w:rsidRPr="00832BEE" w:rsidRDefault="00691289" w:rsidP="00832BEE">
      <w:pPr>
        <w:pStyle w:val="Dotpoint1"/>
      </w:pPr>
      <w:r w:rsidRPr="00832BEE">
        <w:t>Those undertaking less skilled manual work flow between low-skill, low-pay sectors like food processing and other parts of process manufacturing and forestry and agriculture (classes 8 and 9 in the Oesch schema).</w:t>
      </w:r>
    </w:p>
    <w:p w:rsidR="00691289" w:rsidRDefault="00691289" w:rsidP="00832BEE">
      <w:pPr>
        <w:pStyle w:val="Dotpoint1"/>
      </w:pPr>
      <w:r w:rsidRPr="00832BEE">
        <w:t>Those undertaking undervalued ‘care work’ m</w:t>
      </w:r>
      <w:r w:rsidRPr="00B71E29">
        <w:t>ove betwe</w:t>
      </w:r>
      <w:r>
        <w:t>en low-</w:t>
      </w:r>
      <w:r w:rsidRPr="00B71E29">
        <w:t>pay services work</w:t>
      </w:r>
      <w:r w:rsidR="00213E0E">
        <w:t xml:space="preserve"> — </w:t>
      </w:r>
      <w:r w:rsidRPr="00B71E29">
        <w:t xml:space="preserve">but not necessarily community </w:t>
      </w:r>
      <w:r>
        <w:t xml:space="preserve">services (class 17 in the Oesch schema, for example, </w:t>
      </w:r>
      <w:r w:rsidRPr="00B71E29">
        <w:t>cleaning</w:t>
      </w:r>
      <w:r>
        <w:t>)</w:t>
      </w:r>
      <w:r w:rsidRPr="00B71E29">
        <w:t>.</w:t>
      </w:r>
    </w:p>
    <w:p w:rsidR="00691289" w:rsidRPr="000128FE" w:rsidRDefault="00691289" w:rsidP="00691289">
      <w:pPr>
        <w:pStyle w:val="Heading3"/>
      </w:pPr>
      <w:r w:rsidRPr="000128FE">
        <w:t>Implications for research</w:t>
      </w:r>
    </w:p>
    <w:p w:rsidR="00691289" w:rsidRDefault="00691289" w:rsidP="00832BEE">
      <w:pPr>
        <w:pStyle w:val="textlessb4"/>
        <w:sectPr w:rsidR="00691289" w:rsidSect="007170C2">
          <w:footerReference w:type="even" r:id="rId12"/>
          <w:footerReference w:type="default" r:id="rId13"/>
          <w:pgSz w:w="11907" w:h="16840" w:code="9"/>
          <w:pgMar w:top="1276" w:right="1701" w:bottom="1276" w:left="1418" w:header="720" w:footer="720" w:gutter="0"/>
          <w:cols w:space="720"/>
          <w:docGrid w:linePitch="360"/>
        </w:sectPr>
      </w:pPr>
      <w:r w:rsidRPr="004133CC">
        <w:t>This preliminary consideration of longitudinal data highlights the potential power of statistics for</w:t>
      </w:r>
      <w:r>
        <w:t xml:space="preserve"> </w:t>
      </w:r>
      <w:r w:rsidRPr="004133CC">
        <w:t xml:space="preserve">deepening </w:t>
      </w:r>
      <w:r>
        <w:t xml:space="preserve">the </w:t>
      </w:r>
      <w:r w:rsidRPr="00832BEE">
        <w:t>understandings</w:t>
      </w:r>
      <w:r w:rsidRPr="004133CC">
        <w:t xml:space="preserve"> generated by qualitative research</w:t>
      </w:r>
      <w:r>
        <w:t xml:space="preserve">. </w:t>
      </w:r>
      <w:r w:rsidRPr="004133CC">
        <w:t>In particular they highlight the distinctiveness of labour flows by sector, even during a period of macroeconomic turbulence</w:t>
      </w:r>
      <w:r>
        <w:t xml:space="preserve">. </w:t>
      </w:r>
      <w:r w:rsidRPr="004133CC">
        <w:t>The consideration of unit records also highlights the potential value of investigating the possibility that the labour market is comprised of a number of distinct occupational or vocational streams</w:t>
      </w:r>
      <w:r>
        <w:t xml:space="preserve">. </w:t>
      </w:r>
      <w:r w:rsidRPr="002B0C5F">
        <w:rPr>
          <w:i/>
        </w:rPr>
        <w:t>Prima facie</w:t>
      </w:r>
      <w:r>
        <w:rPr>
          <w:i/>
        </w:rPr>
        <w:t>,</w:t>
      </w:r>
      <w:r w:rsidRPr="004133CC">
        <w:t xml:space="preserve"> the modernised Goldthorpe framework</w:t>
      </w:r>
      <w:r>
        <w:t xml:space="preserve"> of the kind devised by Oesch</w:t>
      </w:r>
      <w:r w:rsidRPr="004133CC">
        <w:t xml:space="preserve"> appears to provide a useful starting point for ascertaining </w:t>
      </w:r>
      <w:r>
        <w:t xml:space="preserve">whether </w:t>
      </w:r>
      <w:r w:rsidRPr="004133CC">
        <w:t>this schema (or something like it) helps makes sense of job-to-job labour flows</w:t>
      </w:r>
      <w:r>
        <w:t>.</w:t>
      </w:r>
      <w:r w:rsidRPr="00B71E29">
        <w:br w:type="page"/>
      </w:r>
    </w:p>
    <w:p w:rsidR="00691289" w:rsidRPr="00C50187" w:rsidRDefault="00691289" w:rsidP="00691289">
      <w:pPr>
        <w:pStyle w:val="tabletitle"/>
      </w:pPr>
      <w:bookmarkStart w:id="54" w:name="_Toc265854405"/>
      <w:bookmarkStart w:id="55" w:name="_Toc297558137"/>
      <w:bookmarkStart w:id="56" w:name="_Toc300838522"/>
      <w:r w:rsidRPr="00C50187">
        <w:lastRenderedPageBreak/>
        <w:t xml:space="preserve">Table </w:t>
      </w:r>
      <w:r>
        <w:t>5</w:t>
      </w:r>
      <w:r w:rsidRPr="00C50187">
        <w:tab/>
        <w:t>Select work histories of Australia at Work respondents from mining, meat processing and early childhood education and care</w:t>
      </w:r>
      <w:bookmarkEnd w:id="54"/>
      <w:bookmarkEnd w:id="55"/>
      <w:bookmarkEnd w:id="56"/>
    </w:p>
    <w:tbl>
      <w:tblPr>
        <w:tblW w:w="14572" w:type="dxa"/>
        <w:tblInd w:w="57" w:type="dxa"/>
        <w:tblLayout w:type="fixed"/>
        <w:tblCellMar>
          <w:left w:w="57" w:type="dxa"/>
          <w:right w:w="57" w:type="dxa"/>
        </w:tblCellMar>
        <w:tblLook w:val="04A0"/>
      </w:tblPr>
      <w:tblGrid>
        <w:gridCol w:w="1946"/>
        <w:gridCol w:w="1984"/>
        <w:gridCol w:w="2660"/>
        <w:gridCol w:w="2661"/>
        <w:gridCol w:w="2660"/>
        <w:gridCol w:w="2661"/>
      </w:tblGrid>
      <w:tr w:rsidR="00691289" w:rsidTr="00A0366B">
        <w:tc>
          <w:tcPr>
            <w:tcW w:w="1946" w:type="dxa"/>
            <w:tcBorders>
              <w:top w:val="single" w:sz="4" w:space="0" w:color="auto"/>
              <w:left w:val="nil"/>
              <w:bottom w:val="single" w:sz="4" w:space="0" w:color="auto"/>
              <w:right w:val="nil"/>
            </w:tcBorders>
            <w:shd w:val="clear" w:color="000000" w:fill="FFFFFF"/>
            <w:noWrap/>
            <w:tcMar>
              <w:top w:w="0" w:type="dxa"/>
              <w:left w:w="57" w:type="dxa"/>
              <w:bottom w:w="0" w:type="dxa"/>
              <w:right w:w="57" w:type="dxa"/>
            </w:tcMar>
            <w:hideMark/>
          </w:tcPr>
          <w:p w:rsidR="00691289" w:rsidRDefault="00691289" w:rsidP="00A0366B">
            <w:pPr>
              <w:pStyle w:val="Tablehead1"/>
            </w:pPr>
            <w:r>
              <w:t>In 2007</w:t>
            </w:r>
          </w:p>
        </w:tc>
        <w:tc>
          <w:tcPr>
            <w:tcW w:w="1984" w:type="dxa"/>
            <w:tcBorders>
              <w:top w:val="single" w:sz="4" w:space="0" w:color="auto"/>
              <w:left w:val="nil"/>
              <w:bottom w:val="single" w:sz="4" w:space="0" w:color="auto"/>
              <w:right w:val="nil"/>
            </w:tcBorders>
            <w:shd w:val="clear" w:color="000000" w:fill="FFFFFF"/>
            <w:noWrap/>
            <w:tcMar>
              <w:top w:w="0" w:type="dxa"/>
              <w:left w:w="57" w:type="dxa"/>
              <w:bottom w:w="0" w:type="dxa"/>
              <w:right w:w="57" w:type="dxa"/>
            </w:tcMar>
            <w:hideMark/>
          </w:tcPr>
          <w:p w:rsidR="00691289" w:rsidRDefault="00691289" w:rsidP="00A0366B">
            <w:pPr>
              <w:pStyle w:val="Tablehead1"/>
            </w:pPr>
            <w:r>
              <w:t> </w:t>
            </w:r>
          </w:p>
        </w:tc>
        <w:tc>
          <w:tcPr>
            <w:tcW w:w="2660" w:type="dxa"/>
            <w:tcBorders>
              <w:top w:val="single" w:sz="4" w:space="0" w:color="auto"/>
              <w:left w:val="nil"/>
              <w:bottom w:val="single" w:sz="4" w:space="0" w:color="auto"/>
              <w:right w:val="nil"/>
            </w:tcBorders>
            <w:shd w:val="clear" w:color="000000" w:fill="FFFFFF"/>
            <w:noWrap/>
            <w:tcMar>
              <w:top w:w="0" w:type="dxa"/>
              <w:left w:w="57" w:type="dxa"/>
              <w:bottom w:w="0" w:type="dxa"/>
              <w:right w:w="57" w:type="dxa"/>
            </w:tcMar>
            <w:hideMark/>
          </w:tcPr>
          <w:p w:rsidR="00691289" w:rsidRDefault="00691289" w:rsidP="00A0366B">
            <w:pPr>
              <w:pStyle w:val="Tablehead1"/>
            </w:pPr>
            <w:r>
              <w:t>2006</w:t>
            </w:r>
          </w:p>
        </w:tc>
        <w:tc>
          <w:tcPr>
            <w:tcW w:w="2661" w:type="dxa"/>
            <w:tcBorders>
              <w:top w:val="single" w:sz="4" w:space="0" w:color="auto"/>
              <w:left w:val="nil"/>
              <w:bottom w:val="single" w:sz="4" w:space="0" w:color="auto"/>
              <w:right w:val="nil"/>
            </w:tcBorders>
            <w:shd w:val="clear" w:color="000000" w:fill="FFFFFF"/>
            <w:noWrap/>
            <w:tcMar>
              <w:top w:w="0" w:type="dxa"/>
              <w:left w:w="57" w:type="dxa"/>
              <w:bottom w:w="0" w:type="dxa"/>
              <w:right w:w="57" w:type="dxa"/>
            </w:tcMar>
            <w:hideMark/>
          </w:tcPr>
          <w:p w:rsidR="00691289" w:rsidRDefault="00691289" w:rsidP="00A0366B">
            <w:pPr>
              <w:pStyle w:val="Tablehead1"/>
            </w:pPr>
            <w:r>
              <w:t>2007</w:t>
            </w:r>
          </w:p>
        </w:tc>
        <w:tc>
          <w:tcPr>
            <w:tcW w:w="2660" w:type="dxa"/>
            <w:tcBorders>
              <w:top w:val="single" w:sz="4" w:space="0" w:color="auto"/>
              <w:left w:val="nil"/>
              <w:bottom w:val="single" w:sz="4" w:space="0" w:color="auto"/>
              <w:right w:val="nil"/>
            </w:tcBorders>
            <w:shd w:val="clear" w:color="000000" w:fill="FFFFFF"/>
            <w:noWrap/>
            <w:tcMar>
              <w:top w:w="0" w:type="dxa"/>
              <w:left w:w="57" w:type="dxa"/>
              <w:bottom w:w="0" w:type="dxa"/>
              <w:right w:w="57" w:type="dxa"/>
            </w:tcMar>
            <w:hideMark/>
          </w:tcPr>
          <w:p w:rsidR="00691289" w:rsidRDefault="00691289" w:rsidP="00A0366B">
            <w:pPr>
              <w:pStyle w:val="Tablehead1"/>
            </w:pPr>
            <w:r>
              <w:t>2008</w:t>
            </w:r>
          </w:p>
        </w:tc>
        <w:tc>
          <w:tcPr>
            <w:tcW w:w="2661" w:type="dxa"/>
            <w:tcBorders>
              <w:top w:val="single" w:sz="4" w:space="0" w:color="auto"/>
              <w:left w:val="nil"/>
              <w:bottom w:val="single" w:sz="4" w:space="0" w:color="auto"/>
              <w:right w:val="nil"/>
            </w:tcBorders>
            <w:shd w:val="clear" w:color="000000" w:fill="FFFFFF"/>
            <w:noWrap/>
            <w:tcMar>
              <w:top w:w="0" w:type="dxa"/>
              <w:left w:w="57" w:type="dxa"/>
              <w:bottom w:w="0" w:type="dxa"/>
              <w:right w:w="57" w:type="dxa"/>
            </w:tcMar>
            <w:hideMark/>
          </w:tcPr>
          <w:p w:rsidR="00691289" w:rsidRDefault="00691289" w:rsidP="00A0366B">
            <w:pPr>
              <w:pStyle w:val="Tablehead1"/>
            </w:pPr>
            <w:r>
              <w:t>2009</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Left mining in 2007</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Male, educated to </w:t>
            </w:r>
            <w:r>
              <w:br/>
              <w:t>Year 10 or below</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Plant operator, mining company</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Earthmoving construction</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Same job (earthmoving construction)</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No longer in study</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Joined mining in 2007</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Male, educated to </w:t>
            </w:r>
            <w:r>
              <w:br/>
              <w:t>Year 12</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Diesel mechanic, construction company</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Diesel mechanic, mining company</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Same job (diesel mechanic, </w:t>
            </w:r>
            <w:r>
              <w:br/>
              <w:t>mining company)</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New job (leading hand fitter, mechanical/hydraulic repairs)</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Stayed in mining</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Male, trade qualified</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Diesel fitter, coal mining company</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Diesel mechanic, mining company</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Not in paid job</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New job diesel fitter (contractor)</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Meat processing</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Female, educated to </w:t>
            </w:r>
            <w:r>
              <w:br/>
              <w:t>Year 12</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Meat-processing worker, abattoir</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Meat-processing worker, abattoir</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New position in same employer, despatch clerk</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Same job </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Left meat processing</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Male, educated to </w:t>
            </w:r>
            <w:r>
              <w:br/>
              <w:t>Year 10 or below</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Meat processor, slaughterhouse</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Firewood cutter, sawmill</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Same job (firewood cutter, </w:t>
            </w:r>
            <w:r>
              <w:br/>
              <w:t>sawmill)</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Same job (firewood cutter, </w:t>
            </w:r>
            <w:r>
              <w:br/>
              <w:t>sawmill)</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Joined meat processing</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Female, educated to </w:t>
            </w:r>
            <w:r>
              <w:br/>
              <w:t>Year 10 or below</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Cleaner/receptionist, motel</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Meat processing, abattoir</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Same job (meat processing, abattoir)</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Same job (meat processing, abattoir)</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Stayed in child care</w:t>
            </w:r>
          </w:p>
        </w:tc>
        <w:tc>
          <w:tcPr>
            <w:tcW w:w="1984" w:type="dxa"/>
            <w:tcBorders>
              <w:top w:val="nil"/>
              <w:left w:val="nil"/>
              <w:bottom w:val="nil"/>
              <w:right w:val="nil"/>
            </w:tcBorders>
            <w:shd w:val="clear" w:color="FFFFFF" w:fill="FFFFFF"/>
            <w:tcMar>
              <w:top w:w="0" w:type="dxa"/>
              <w:left w:w="57" w:type="dxa"/>
              <w:bottom w:w="0" w:type="dxa"/>
              <w:right w:w="57" w:type="dxa"/>
            </w:tcMar>
            <w:hideMark/>
          </w:tcPr>
          <w:p w:rsidR="00691289" w:rsidRDefault="00691289" w:rsidP="00A0366B">
            <w:pPr>
              <w:pStyle w:val="Tabletext"/>
              <w:rPr>
                <w:color w:val="000000"/>
              </w:rPr>
            </w:pPr>
            <w:r>
              <w:rPr>
                <w:color w:val="000000"/>
              </w:rPr>
              <w:t xml:space="preserve">Female, educated to </w:t>
            </w:r>
            <w:r>
              <w:rPr>
                <w:color w:val="000000"/>
              </w:rPr>
              <w:br/>
              <w:t>Year 10 or below</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Child carer, preschool</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Same job (child carer, preschool)</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Same job (child carer, preschool)</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No longer in study</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Left child care</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Female, degree qualified</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Teacher’s aide, preschool</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Trainee solicitor (traineeship legal services)</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New position in same organisation</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New job, legal role with Queensland public sector agency</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Left child care</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Female, educated to </w:t>
            </w:r>
            <w:r>
              <w:br/>
              <w:t>Year 12</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Child care worker, child care </w:t>
            </w:r>
            <w:r>
              <w:br/>
              <w:t>centre</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Barista, café</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No longer in study</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No longer in study</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Left child care</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Female, educated to </w:t>
            </w:r>
            <w:r>
              <w:br/>
              <w:t xml:space="preserve">Year 12 </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After school care, primary school</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Food server, takeaway food shop</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New job (food server, takeaway food shop)</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New position with same employer</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Left child care</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Male, diploma/certificate</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Director, child care centre</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Director, child care centre</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New job (receptionist, law firm)</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Same job (receptionist)</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Stayed in child care</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Female, diploma/ certificate</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Preschool teacher, preschool</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Same job (preschool teacher, preschool)</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Same job (preschool teacher, preschool)</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Same job (preschool teacher, preschool)</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Joined child care</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Female, educated to </w:t>
            </w:r>
            <w:r>
              <w:br/>
              <w:t xml:space="preserve">Year 12 </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Waitress, café</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Child care worker, early learning centre</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No longer in study</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No longer in study</w:t>
            </w:r>
          </w:p>
        </w:tc>
      </w:tr>
      <w:tr w:rsidR="00691289" w:rsidTr="00A0366B">
        <w:tc>
          <w:tcPr>
            <w:tcW w:w="1946"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Left child care</w:t>
            </w:r>
          </w:p>
        </w:tc>
        <w:tc>
          <w:tcPr>
            <w:tcW w:w="1984"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Female, diploma/ certificate</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Food preparation, mobile food </w:t>
            </w:r>
            <w:r>
              <w:br/>
              <w:t>kiosk</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After school care assistant, after school care</w:t>
            </w:r>
          </w:p>
        </w:tc>
        <w:tc>
          <w:tcPr>
            <w:tcW w:w="2660"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New job (food preparation, </w:t>
            </w:r>
            <w:r>
              <w:br/>
              <w:t>mobile food kiosk)</w:t>
            </w:r>
          </w:p>
        </w:tc>
        <w:tc>
          <w:tcPr>
            <w:tcW w:w="2661" w:type="dxa"/>
            <w:tcBorders>
              <w:top w:val="nil"/>
              <w:left w:val="nil"/>
              <w:bottom w:val="nil"/>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New job (program officer, sport </w:t>
            </w:r>
            <w:r>
              <w:br/>
              <w:t>&amp; rec.)</w:t>
            </w:r>
          </w:p>
        </w:tc>
      </w:tr>
      <w:tr w:rsidR="00691289" w:rsidTr="00A0366B">
        <w:tc>
          <w:tcPr>
            <w:tcW w:w="1946" w:type="dxa"/>
            <w:tcBorders>
              <w:top w:val="nil"/>
              <w:left w:val="nil"/>
              <w:bottom w:val="single" w:sz="4" w:space="0" w:color="auto"/>
              <w:right w:val="nil"/>
            </w:tcBorders>
            <w:shd w:val="clear" w:color="000000" w:fill="FFFFFF"/>
            <w:noWrap/>
            <w:tcMar>
              <w:top w:w="0" w:type="dxa"/>
              <w:left w:w="57" w:type="dxa"/>
              <w:bottom w:w="0" w:type="dxa"/>
              <w:right w:w="57" w:type="dxa"/>
            </w:tcMar>
            <w:hideMark/>
          </w:tcPr>
          <w:p w:rsidR="00691289" w:rsidRDefault="00691289" w:rsidP="00A0366B">
            <w:pPr>
              <w:pStyle w:val="Tabletext"/>
            </w:pPr>
            <w:r>
              <w:t>Joined child care</w:t>
            </w:r>
          </w:p>
        </w:tc>
        <w:tc>
          <w:tcPr>
            <w:tcW w:w="1984" w:type="dxa"/>
            <w:tcBorders>
              <w:top w:val="nil"/>
              <w:left w:val="nil"/>
              <w:bottom w:val="single" w:sz="4" w:space="0" w:color="auto"/>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Female, educated to </w:t>
            </w:r>
            <w:r>
              <w:br/>
              <w:t>Year 11</w:t>
            </w:r>
          </w:p>
        </w:tc>
        <w:tc>
          <w:tcPr>
            <w:tcW w:w="2660" w:type="dxa"/>
            <w:tcBorders>
              <w:top w:val="nil"/>
              <w:left w:val="nil"/>
              <w:bottom w:val="single" w:sz="4" w:space="0" w:color="auto"/>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Bookkeeper, farm cleaning </w:t>
            </w:r>
            <w:r>
              <w:br/>
              <w:t>service (self-employed)</w:t>
            </w:r>
          </w:p>
        </w:tc>
        <w:tc>
          <w:tcPr>
            <w:tcW w:w="2661" w:type="dxa"/>
            <w:tcBorders>
              <w:top w:val="nil"/>
              <w:left w:val="nil"/>
              <w:bottom w:val="single" w:sz="4" w:space="0" w:color="auto"/>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Child care worker, child care on </w:t>
            </w:r>
            <w:r>
              <w:br/>
              <w:t>the go</w:t>
            </w:r>
          </w:p>
        </w:tc>
        <w:tc>
          <w:tcPr>
            <w:tcW w:w="2660" w:type="dxa"/>
            <w:tcBorders>
              <w:top w:val="nil"/>
              <w:left w:val="nil"/>
              <w:bottom w:val="single" w:sz="4" w:space="0" w:color="auto"/>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Same job (child care worker, </w:t>
            </w:r>
            <w:r>
              <w:br/>
              <w:t>child care on the go)</w:t>
            </w:r>
          </w:p>
        </w:tc>
        <w:tc>
          <w:tcPr>
            <w:tcW w:w="2661" w:type="dxa"/>
            <w:tcBorders>
              <w:top w:val="nil"/>
              <w:left w:val="nil"/>
              <w:bottom w:val="single" w:sz="4" w:space="0" w:color="auto"/>
              <w:right w:val="nil"/>
            </w:tcBorders>
            <w:shd w:val="clear" w:color="000000" w:fill="FFFFFF"/>
            <w:noWrap/>
            <w:tcMar>
              <w:top w:w="0" w:type="dxa"/>
              <w:left w:w="57" w:type="dxa"/>
              <w:bottom w:w="0" w:type="dxa"/>
              <w:right w:w="57" w:type="dxa"/>
            </w:tcMar>
            <w:hideMark/>
          </w:tcPr>
          <w:p w:rsidR="00691289" w:rsidRDefault="00691289" w:rsidP="00A0366B">
            <w:pPr>
              <w:pStyle w:val="Tabletext"/>
            </w:pPr>
            <w:r>
              <w:t xml:space="preserve">Same job (child care worker, </w:t>
            </w:r>
            <w:r>
              <w:br/>
              <w:t>child care on the go)</w:t>
            </w:r>
          </w:p>
        </w:tc>
      </w:tr>
    </w:tbl>
    <w:p w:rsidR="00691289" w:rsidRPr="00B71E29" w:rsidRDefault="00691289" w:rsidP="00691289">
      <w:pPr>
        <w:pStyle w:val="Source"/>
      </w:pPr>
      <w:r w:rsidRPr="00F960D2">
        <w:t>Source</w:t>
      </w:r>
      <w:r w:rsidRPr="00B71E29">
        <w:t>:</w:t>
      </w:r>
      <w:r>
        <w:tab/>
      </w:r>
      <w:r w:rsidRPr="00B71E29">
        <w:rPr>
          <w:i/>
        </w:rPr>
        <w:t>Australia at Work</w:t>
      </w:r>
      <w:r w:rsidRPr="00B71E29">
        <w:t xml:space="preserve"> Unit Records.</w:t>
      </w:r>
    </w:p>
    <w:p w:rsidR="00691289" w:rsidRPr="00B71E29" w:rsidRDefault="00691289" w:rsidP="00691289">
      <w:pPr>
        <w:pStyle w:val="Text"/>
      </w:pPr>
    </w:p>
    <w:p w:rsidR="00691289" w:rsidRDefault="00691289" w:rsidP="00691289">
      <w:pPr>
        <w:pStyle w:val="Source"/>
        <w:rPr>
          <w:rFonts w:ascii="Garamond" w:hAnsi="Garamond"/>
        </w:rPr>
        <w:sectPr w:rsidR="00691289" w:rsidSect="00571AFA">
          <w:footerReference w:type="even" r:id="rId14"/>
          <w:footerReference w:type="default" r:id="rId15"/>
          <w:pgSz w:w="16840" w:h="11907" w:orient="landscape" w:code="9"/>
          <w:pgMar w:top="1276" w:right="1134" w:bottom="1276" w:left="1134" w:header="720" w:footer="720" w:gutter="0"/>
          <w:cols w:space="720"/>
          <w:docGrid w:linePitch="360"/>
        </w:sectPr>
      </w:pPr>
      <w:r w:rsidRPr="00B71E29">
        <w:rPr>
          <w:rFonts w:ascii="Garamond" w:hAnsi="Garamond"/>
        </w:rPr>
        <w:br w:type="page"/>
      </w:r>
    </w:p>
    <w:p w:rsidR="00691289" w:rsidRPr="00B71E29" w:rsidRDefault="00691289" w:rsidP="00F16E0C">
      <w:pPr>
        <w:pStyle w:val="Heading1"/>
      </w:pPr>
      <w:bookmarkStart w:id="57" w:name="_Toc297558030"/>
      <w:bookmarkStart w:id="58" w:name="_Toc300838472"/>
      <w:r>
        <w:lastRenderedPageBreak/>
        <w:t>Suggestions</w:t>
      </w:r>
      <w:r w:rsidRPr="00B71E29">
        <w:t xml:space="preserve"> for further work</w:t>
      </w:r>
      <w:bookmarkEnd w:id="57"/>
      <w:bookmarkEnd w:id="58"/>
    </w:p>
    <w:p w:rsidR="00691289" w:rsidRPr="00B71E29" w:rsidRDefault="00691289" w:rsidP="00691289">
      <w:pPr>
        <w:spacing w:before="440"/>
      </w:pPr>
      <w:r w:rsidRPr="00B71E29">
        <w:t>Research can assist in devising improved approaches to managing labour mobility by providing three kinds of information:</w:t>
      </w:r>
    </w:p>
    <w:p w:rsidR="00691289" w:rsidRPr="00F16E0C" w:rsidRDefault="00691289" w:rsidP="00F16E0C">
      <w:pPr>
        <w:pStyle w:val="Dotpoint1"/>
      </w:pPr>
      <w:r>
        <w:rPr>
          <w:i/>
        </w:rPr>
        <w:t xml:space="preserve">Foundational, </w:t>
      </w:r>
      <w:r w:rsidRPr="00B71E29">
        <w:t xml:space="preserve">that which generates robust, new ways of understanding the challenges and opportunities </w:t>
      </w:r>
      <w:r>
        <w:t xml:space="preserve">associated </w:t>
      </w:r>
      <w:r w:rsidRPr="00F16E0C">
        <w:t>with labour flows. Greater clarity of this issue will ensure that any new initiative engages with reality rather than impressionistic or intuitive understandings of it.</w:t>
      </w:r>
    </w:p>
    <w:p w:rsidR="00691289" w:rsidRPr="00F16E0C" w:rsidRDefault="00691289" w:rsidP="00F16E0C">
      <w:pPr>
        <w:pStyle w:val="Dotpoint1"/>
      </w:pPr>
      <w:r w:rsidRPr="00F16E0C">
        <w:rPr>
          <w:i/>
        </w:rPr>
        <w:t>Strategic</w:t>
      </w:r>
      <w:r w:rsidRPr="00F16E0C">
        <w:t>, that which helps public officials to ascertain whether the wider policy mix is appropriate or indeed amenable to specialist interventions in this space.</w:t>
      </w:r>
    </w:p>
    <w:p w:rsidR="00691289" w:rsidRPr="00B71E29" w:rsidRDefault="00691289" w:rsidP="00F16E0C">
      <w:pPr>
        <w:pStyle w:val="Dotpoint1"/>
      </w:pPr>
      <w:r w:rsidRPr="00F16E0C">
        <w:rPr>
          <w:i/>
        </w:rPr>
        <w:t>Operational</w:t>
      </w:r>
      <w:r w:rsidRPr="00F16E0C">
        <w:t>, that which generates</w:t>
      </w:r>
      <w:r w:rsidRPr="00B71E29">
        <w:t xml:space="preserve"> specific insights which could contribute to the design of labour market programs or the content of workforce development and deployment agreements</w:t>
      </w:r>
      <w:r>
        <w:t xml:space="preserve">. </w:t>
      </w:r>
    </w:p>
    <w:p w:rsidR="00691289" w:rsidRPr="00B71E29" w:rsidRDefault="00691289" w:rsidP="00F16E0C">
      <w:pPr>
        <w:pStyle w:val="Text"/>
      </w:pPr>
      <w:r w:rsidRPr="00B71E29">
        <w:t>It is important that the power of each type of research is appreciated</w:t>
      </w:r>
      <w:r>
        <w:t xml:space="preserve">. </w:t>
      </w:r>
      <w:r w:rsidRPr="00B71E29">
        <w:t xml:space="preserve">People impatient for ‘outcomes’ will be attracted to </w:t>
      </w:r>
      <w:r>
        <w:t>the idea of acquiring</w:t>
      </w:r>
      <w:r w:rsidRPr="00B71E29">
        <w:t xml:space="preserve"> operational insights</w:t>
      </w:r>
      <w:r>
        <w:t xml:space="preserve">. </w:t>
      </w:r>
      <w:r w:rsidRPr="00B71E29">
        <w:t>If the underlying definition of the issues is poor, however, endeavours of this nature will potentially miss the mark</w:t>
      </w:r>
      <w:r>
        <w:t xml:space="preserve">. </w:t>
      </w:r>
      <w:r w:rsidRPr="00B71E29">
        <w:t xml:space="preserve">Equally, </w:t>
      </w:r>
      <w:r>
        <w:t xml:space="preserve">even if the dynamics are better understood, it is simply not possible to </w:t>
      </w:r>
      <w:r w:rsidRPr="00B71E29">
        <w:t>run off and design specific interventions</w:t>
      </w:r>
      <w:r>
        <w:t xml:space="preserve">. </w:t>
      </w:r>
      <w:r w:rsidRPr="00B71E29">
        <w:t>If the broader policy mix is not supportive or deficient</w:t>
      </w:r>
      <w:r>
        <w:t xml:space="preserve">, </w:t>
      </w:r>
      <w:r w:rsidRPr="00B71E29">
        <w:t>specific interventions in the mobility space are likely to flounder</w:t>
      </w:r>
      <w:r>
        <w:t xml:space="preserve">. </w:t>
      </w:r>
    </w:p>
    <w:p w:rsidR="00691289" w:rsidRPr="00B71E29" w:rsidRDefault="00691289" w:rsidP="00F16E0C">
      <w:pPr>
        <w:pStyle w:val="Text"/>
      </w:pPr>
      <w:r w:rsidRPr="00B71E29">
        <w:t xml:space="preserve">Our assessment is that much of the current literature has not grappled with the changing nature of </w:t>
      </w:r>
      <w:r>
        <w:t>today’s job-to-job mobility. A l</w:t>
      </w:r>
      <w:r w:rsidRPr="00B71E29">
        <w:t>ack of understanding here is partly the legacy of a policy regime which has not acknowledged the dynamics of labour mobility as something which is complex and in need of careful attention</w:t>
      </w:r>
      <w:r>
        <w:t xml:space="preserve">. </w:t>
      </w:r>
      <w:r w:rsidRPr="00B71E29">
        <w:t>Our suggestions of what should be done next are, therefore, in order of importance.</w:t>
      </w:r>
    </w:p>
    <w:p w:rsidR="00691289" w:rsidRPr="00B71E29" w:rsidRDefault="00691289" w:rsidP="00F16E0C">
      <w:pPr>
        <w:pStyle w:val="Heading2"/>
      </w:pPr>
      <w:bookmarkStart w:id="59" w:name="_Toc297558031"/>
      <w:bookmarkStart w:id="60" w:name="_Toc300838473"/>
      <w:r w:rsidRPr="00B71E29">
        <w:t xml:space="preserve">Clarifying what needs to </w:t>
      </w:r>
      <w:r w:rsidRPr="00F16E0C">
        <w:t>change</w:t>
      </w:r>
      <w:r w:rsidRPr="00B71E29">
        <w:t>: mapping labour flows</w:t>
      </w:r>
      <w:bookmarkEnd w:id="59"/>
      <w:bookmarkEnd w:id="60"/>
      <w:r>
        <w:t xml:space="preserve"> </w:t>
      </w:r>
    </w:p>
    <w:p w:rsidR="00691289" w:rsidRPr="00B71E29" w:rsidRDefault="00691289" w:rsidP="00F16E0C">
      <w:pPr>
        <w:pStyle w:val="Heading3"/>
        <w:spacing w:before="120"/>
      </w:pPr>
      <w:r w:rsidRPr="00F16E0C">
        <w:t>Overview</w:t>
      </w:r>
    </w:p>
    <w:p w:rsidR="00691289" w:rsidRPr="00B71E29" w:rsidRDefault="00691289" w:rsidP="00691289">
      <w:pPr>
        <w:pStyle w:val="textlessb4"/>
      </w:pPr>
      <w:r w:rsidRPr="00B71E29">
        <w:t>Currently we lack a coherent map of how labour actually flows through the economy</w:t>
      </w:r>
      <w:r>
        <w:t xml:space="preserve">. </w:t>
      </w:r>
      <w:r w:rsidRPr="00B71E29">
        <w:t>Without such a map</w:t>
      </w:r>
      <w:r>
        <w:t>,</w:t>
      </w:r>
      <w:r w:rsidRPr="00B71E29">
        <w:t xml:space="preserve"> understandings and interventions are partial at best, and at worst ad hoc and intuitive. Such a map needs to be empirically based and not simply derived by reassembling categories developed for other purposes (</w:t>
      </w:r>
      <w:r>
        <w:t xml:space="preserve">for example, </w:t>
      </w:r>
      <w:r w:rsidRPr="00B71E29">
        <w:t>standard industry and occupational categorical systems)</w:t>
      </w:r>
      <w:r>
        <w:t xml:space="preserve">. </w:t>
      </w:r>
    </w:p>
    <w:p w:rsidR="00691289" w:rsidRPr="00B71E29" w:rsidRDefault="00691289" w:rsidP="00F16E0C">
      <w:pPr>
        <w:pStyle w:val="Text"/>
      </w:pPr>
      <w:r w:rsidRPr="00B71E29">
        <w:t>Given the time and resources available for this project</w:t>
      </w:r>
      <w:r>
        <w:t>,</w:t>
      </w:r>
      <w:r w:rsidRPr="00B71E29">
        <w:t xml:space="preserve"> we cannot produce a comprehensive map for the entire economy</w:t>
      </w:r>
      <w:r>
        <w:t xml:space="preserve">. </w:t>
      </w:r>
      <w:r w:rsidRPr="00B71E29">
        <w:t xml:space="preserve">We could, however, using unit record data from the </w:t>
      </w:r>
      <w:r>
        <w:rPr>
          <w:i/>
        </w:rPr>
        <w:t>Australia at w</w:t>
      </w:r>
      <w:r w:rsidRPr="00C567F4">
        <w:rPr>
          <w:i/>
        </w:rPr>
        <w:t>ork</w:t>
      </w:r>
      <w:r>
        <w:t xml:space="preserve"> data</w:t>
      </w:r>
      <w:r w:rsidRPr="00B71E29">
        <w:t>set:</w:t>
      </w:r>
    </w:p>
    <w:p w:rsidR="00691289" w:rsidRPr="00F16E0C" w:rsidRDefault="00691289" w:rsidP="00F16E0C">
      <w:pPr>
        <w:pStyle w:val="Dotpoint1"/>
      </w:pPr>
      <w:r w:rsidRPr="00B71E29">
        <w:t>provide a carefully derived map of labour flows in key areas of interest (</w:t>
      </w:r>
      <w:r>
        <w:t>for example,</w:t>
      </w:r>
      <w:r w:rsidRPr="00B71E29">
        <w:t xml:space="preserve"> the three case sectors</w:t>
      </w:r>
      <w:r w:rsidRPr="00F16E0C">
        <w:t>, plus that which is of most importance for labour market entry: the customer service, that is, retail/hospitality sector)</w:t>
      </w:r>
    </w:p>
    <w:p w:rsidR="00691289" w:rsidRPr="00B71E29" w:rsidRDefault="00691289" w:rsidP="00F16E0C">
      <w:pPr>
        <w:pStyle w:val="Dotpoint1"/>
      </w:pPr>
      <w:r w:rsidRPr="00F16E0C">
        <w:t>having completed</w:t>
      </w:r>
      <w:r w:rsidRPr="00B71E29">
        <w:t xml:space="preserve"> an initial documentation, provide a framework for a more comprehensive, economy-wide mapping of labour flows.</w:t>
      </w:r>
    </w:p>
    <w:p w:rsidR="00691289" w:rsidRPr="00B71E29" w:rsidRDefault="00691289" w:rsidP="00691289">
      <w:pPr>
        <w:pStyle w:val="Heading3"/>
      </w:pPr>
      <w:r w:rsidRPr="00B71E29">
        <w:t>Key objective:</w:t>
      </w:r>
      <w:r>
        <w:t xml:space="preserve"> i</w:t>
      </w:r>
      <w:r w:rsidRPr="00B71E29">
        <w:t>dentify new categories for understanding flows of labour</w:t>
      </w:r>
    </w:p>
    <w:p w:rsidR="00691289" w:rsidRPr="001D0195" w:rsidRDefault="00691289" w:rsidP="00691289">
      <w:pPr>
        <w:pStyle w:val="textlessb4"/>
      </w:pPr>
      <w:r w:rsidRPr="001D0195">
        <w:t>An example of the type of distinctive categorical system we have in mind is provided by Dunlop’s account</w:t>
      </w:r>
      <w:r>
        <w:t>,</w:t>
      </w:r>
      <w:r w:rsidRPr="001D0195">
        <w:t xml:space="preserve"> cited earlier</w:t>
      </w:r>
      <w:r>
        <w:t>,</w:t>
      </w:r>
      <w:r w:rsidRPr="001D0195">
        <w:t xml:space="preserve"> of what non-competing groups in the labour market looked like in the 1950s and 1960s </w:t>
      </w:r>
      <w:r>
        <w:t xml:space="preserve">in the United States. </w:t>
      </w:r>
      <w:r w:rsidRPr="001D0195">
        <w:t>It will be remembered this was an untidy set of categories</w:t>
      </w:r>
      <w:r w:rsidR="00213E0E">
        <w:t xml:space="preserve"> — </w:t>
      </w:r>
      <w:r w:rsidRPr="001D0195">
        <w:t xml:space="preserve">but that </w:t>
      </w:r>
      <w:r w:rsidRPr="001D0195">
        <w:lastRenderedPageBreak/>
        <w:t>is what labour markets are like</w:t>
      </w:r>
      <w:r>
        <w:t xml:space="preserve">. </w:t>
      </w:r>
      <w:r w:rsidRPr="001D0195">
        <w:t xml:space="preserve">The aim would be </w:t>
      </w:r>
      <w:r>
        <w:t xml:space="preserve">to </w:t>
      </w:r>
      <w:r w:rsidRPr="001D0195">
        <w:t>get categories that capture the key realities of flow instead of rely</w:t>
      </w:r>
      <w:r>
        <w:t>ing</w:t>
      </w:r>
      <w:r w:rsidRPr="001D0195">
        <w:t xml:space="preserve"> on categories devised for other purposes and which consequently provide </w:t>
      </w:r>
      <w:r>
        <w:t>only a partial way of understanding</w:t>
      </w:r>
      <w:r w:rsidRPr="001D0195">
        <w:t xml:space="preserve"> what labour flows </w:t>
      </w:r>
      <w:r>
        <w:t>today</w:t>
      </w:r>
      <w:r w:rsidRPr="001D0195">
        <w:t xml:space="preserve"> actually look like</w:t>
      </w:r>
      <w:r>
        <w:t xml:space="preserve">. </w:t>
      </w:r>
      <w:r w:rsidRPr="001D0195">
        <w:t xml:space="preserve">The debates and insights </w:t>
      </w:r>
      <w:r>
        <w:t>concerning schemas like those of Goldthorpe,</w:t>
      </w:r>
      <w:r w:rsidRPr="001D0195">
        <w:t xml:space="preserve"> </w:t>
      </w:r>
      <w:r>
        <w:t xml:space="preserve">complemented by Marsden’s powerful (but minimalist) categories for understanding employment systems, </w:t>
      </w:r>
      <w:r w:rsidRPr="001D0195">
        <w:t>could provide a very powerful point of departure for such an analysis</w:t>
      </w:r>
      <w:r>
        <w:t xml:space="preserve">. </w:t>
      </w:r>
    </w:p>
    <w:p w:rsidR="00691289" w:rsidRPr="00B71E29" w:rsidRDefault="00691289" w:rsidP="00691289">
      <w:pPr>
        <w:pStyle w:val="Heading3"/>
      </w:pPr>
      <w:r w:rsidRPr="00B71E29">
        <w:t>Approach: intimate engagement with unit records to identify patterns</w:t>
      </w:r>
    </w:p>
    <w:p w:rsidR="00691289" w:rsidRPr="00B71E29" w:rsidRDefault="00691289" w:rsidP="00691289">
      <w:pPr>
        <w:pStyle w:val="textlessb4"/>
      </w:pPr>
      <w:r w:rsidRPr="00B71E29">
        <w:t xml:space="preserve">In essence this approach would involve researchers working with unit records from the </w:t>
      </w:r>
      <w:r w:rsidRPr="00C567F4">
        <w:rPr>
          <w:i/>
        </w:rPr>
        <w:t>Australia at work</w:t>
      </w:r>
      <w:r w:rsidRPr="00B71E29">
        <w:t xml:space="preserve"> data</w:t>
      </w:r>
      <w:r>
        <w:t>. Beginning</w:t>
      </w:r>
      <w:r w:rsidRPr="00B71E29">
        <w:t xml:space="preserve"> with the case study industries</w:t>
      </w:r>
      <w:r>
        <w:t>,</w:t>
      </w:r>
      <w:r w:rsidRPr="00B71E29">
        <w:t xml:space="preserve"> they would test to see whether labour moves into and out of these sector</w:t>
      </w:r>
      <w:r>
        <w:t>s</w:t>
      </w:r>
      <w:r w:rsidRPr="00B71E29">
        <w:t xml:space="preserve"> along the lines hypothesised </w:t>
      </w:r>
      <w:r>
        <w:t xml:space="preserve">at the end of the previous section. </w:t>
      </w:r>
      <w:r w:rsidRPr="00B71E29">
        <w:t xml:space="preserve">For example, respondents </w:t>
      </w:r>
      <w:r>
        <w:t>beginning</w:t>
      </w:r>
      <w:r w:rsidRPr="00B71E29">
        <w:t xml:space="preserve"> in mining would be tracked </w:t>
      </w:r>
      <w:r>
        <w:t xml:space="preserve">to see where they end up. </w:t>
      </w:r>
      <w:r w:rsidRPr="00B71E29">
        <w:t xml:space="preserve">Equally, respondents joining mining </w:t>
      </w:r>
      <w:r>
        <w:t xml:space="preserve">in later waves of the study </w:t>
      </w:r>
      <w:r w:rsidRPr="00B71E29">
        <w:t>would be tracked to</w:t>
      </w:r>
      <w:r>
        <w:t xml:space="preserve"> identify</w:t>
      </w:r>
      <w:r w:rsidRPr="00B71E29">
        <w:t xml:space="preserve"> their origins</w:t>
      </w:r>
      <w:r>
        <w:t xml:space="preserve">. </w:t>
      </w:r>
      <w:r w:rsidRPr="00B71E29">
        <w:t>To help order the process, we would initially ‘match’ sectors and test whether the flows were there</w:t>
      </w:r>
      <w:r>
        <w:t xml:space="preserve">. </w:t>
      </w:r>
      <w:r w:rsidRPr="00B71E29">
        <w:t xml:space="preserve">The </w:t>
      </w:r>
      <w:r>
        <w:t xml:space="preserve">following sectors would be matched: </w:t>
      </w:r>
    </w:p>
    <w:p w:rsidR="00691289" w:rsidRPr="00F16E0C" w:rsidRDefault="00691289" w:rsidP="00F16E0C">
      <w:pPr>
        <w:pStyle w:val="Dotpoint1"/>
      </w:pPr>
      <w:r>
        <w:t xml:space="preserve">Mining would be matched </w:t>
      </w:r>
      <w:r w:rsidRPr="00B71E29">
        <w:t xml:space="preserve">with </w:t>
      </w:r>
      <w:r w:rsidRPr="00F16E0C">
        <w:t>construction (and if resources permit: manufacturing and logistics).</w:t>
      </w:r>
    </w:p>
    <w:p w:rsidR="00691289" w:rsidRPr="00F16E0C" w:rsidRDefault="00691289" w:rsidP="00F16E0C">
      <w:pPr>
        <w:pStyle w:val="Dotpoint1"/>
      </w:pPr>
      <w:r w:rsidRPr="00F16E0C">
        <w:t>Children’s services would be matched with community services and business services (especially support work like cleaning).</w:t>
      </w:r>
    </w:p>
    <w:p w:rsidR="00691289" w:rsidRPr="00F16E0C" w:rsidRDefault="00691289" w:rsidP="00F16E0C">
      <w:pPr>
        <w:pStyle w:val="Dotpoint1"/>
      </w:pPr>
      <w:r w:rsidRPr="00F16E0C">
        <w:t>Because of its small numbers, our analysis of meat processing would centre on food manufacturing more broadly and seek out differences in flows between workers moving in metropolitan and regional labour markets.</w:t>
      </w:r>
    </w:p>
    <w:p w:rsidR="00691289" w:rsidRPr="00B71E29" w:rsidRDefault="00691289" w:rsidP="00F16E0C">
      <w:pPr>
        <w:pStyle w:val="Dotpoint1"/>
      </w:pPr>
      <w:r w:rsidRPr="00F16E0C">
        <w:t>Given that nearly all labour mobility research</w:t>
      </w:r>
      <w:r w:rsidRPr="00B71E29">
        <w:t xml:space="preserve"> identifies age as a key variable and notes </w:t>
      </w:r>
      <w:r>
        <w:t xml:space="preserve">that </w:t>
      </w:r>
      <w:r w:rsidRPr="00B71E29">
        <w:t>the young in particular are mobile</w:t>
      </w:r>
      <w:r>
        <w:t>,</w:t>
      </w:r>
      <w:r w:rsidRPr="00B71E29">
        <w:t xml:space="preserve"> it would important to study flows in and around the customer service sectors </w:t>
      </w:r>
      <w:r>
        <w:t xml:space="preserve">of </w:t>
      </w:r>
      <w:r w:rsidRPr="00B71E29">
        <w:t>retail and hospitality.</w:t>
      </w:r>
    </w:p>
    <w:p w:rsidR="00691289" w:rsidRPr="00B71E29" w:rsidRDefault="00691289" w:rsidP="00F16E0C">
      <w:pPr>
        <w:pStyle w:val="Text"/>
      </w:pPr>
      <w:r w:rsidRPr="00B71E29">
        <w:t>The variables that would be examined in seeking out patterns would be:</w:t>
      </w:r>
    </w:p>
    <w:p w:rsidR="00691289" w:rsidRPr="00F16E0C" w:rsidRDefault="00691289" w:rsidP="00F16E0C">
      <w:pPr>
        <w:pStyle w:val="Dotpoint1"/>
      </w:pPr>
      <w:r w:rsidRPr="00B71E29">
        <w:t xml:space="preserve">activity of </w:t>
      </w:r>
      <w:r w:rsidRPr="00F16E0C">
        <w:t>the employer (that is, industry)</w:t>
      </w:r>
    </w:p>
    <w:p w:rsidR="00691289" w:rsidRPr="00F16E0C" w:rsidRDefault="00691289" w:rsidP="00F16E0C">
      <w:pPr>
        <w:pStyle w:val="Dotpoint1"/>
      </w:pPr>
      <w:r w:rsidRPr="00F16E0C">
        <w:t>highest educational attainment</w:t>
      </w:r>
    </w:p>
    <w:p w:rsidR="00691289" w:rsidRPr="00F16E0C" w:rsidRDefault="00691289" w:rsidP="00F16E0C">
      <w:pPr>
        <w:pStyle w:val="Dotpoint1"/>
      </w:pPr>
      <w:r w:rsidRPr="00F16E0C">
        <w:t>size of the workplace</w:t>
      </w:r>
    </w:p>
    <w:p w:rsidR="00691289" w:rsidRPr="00F16E0C" w:rsidRDefault="00691289" w:rsidP="00F16E0C">
      <w:pPr>
        <w:pStyle w:val="Dotpoint1"/>
      </w:pPr>
      <w:r w:rsidRPr="00F16E0C">
        <w:t>size of the enterprise</w:t>
      </w:r>
    </w:p>
    <w:p w:rsidR="00691289" w:rsidRPr="00F16E0C" w:rsidRDefault="00691289" w:rsidP="00F16E0C">
      <w:pPr>
        <w:pStyle w:val="Dotpoint1"/>
      </w:pPr>
      <w:r w:rsidRPr="00F16E0C">
        <w:t>worker’s skills level</w:t>
      </w:r>
    </w:p>
    <w:p w:rsidR="00691289" w:rsidRPr="00F16E0C" w:rsidRDefault="00691289" w:rsidP="00F16E0C">
      <w:pPr>
        <w:pStyle w:val="Dotpoint1"/>
      </w:pPr>
      <w:r w:rsidRPr="00F16E0C">
        <w:t>worker’s job description/occupation</w:t>
      </w:r>
    </w:p>
    <w:p w:rsidR="00691289" w:rsidRPr="00F16E0C" w:rsidRDefault="00691289" w:rsidP="00F16E0C">
      <w:pPr>
        <w:pStyle w:val="Dotpoint1"/>
      </w:pPr>
      <w:r w:rsidRPr="00F16E0C">
        <w:t>age</w:t>
      </w:r>
    </w:p>
    <w:p w:rsidR="00691289" w:rsidRPr="00F16E0C" w:rsidRDefault="00691289" w:rsidP="00F16E0C">
      <w:pPr>
        <w:pStyle w:val="Dotpoint1"/>
      </w:pPr>
      <w:r w:rsidRPr="00F16E0C">
        <w:t>sex</w:t>
      </w:r>
    </w:p>
    <w:p w:rsidR="00691289" w:rsidRPr="00F16E0C" w:rsidRDefault="00691289" w:rsidP="00F16E0C">
      <w:pPr>
        <w:pStyle w:val="Dotpoint1"/>
      </w:pPr>
      <w:r w:rsidRPr="00F16E0C">
        <w:t>supervisory status</w:t>
      </w:r>
    </w:p>
    <w:p w:rsidR="00691289" w:rsidRPr="00F16E0C" w:rsidRDefault="00691289" w:rsidP="00F16E0C">
      <w:pPr>
        <w:pStyle w:val="Dotpoint1"/>
      </w:pPr>
      <w:r w:rsidRPr="00F16E0C">
        <w:t>tenure in job</w:t>
      </w:r>
    </w:p>
    <w:p w:rsidR="00691289" w:rsidRPr="00F16E0C" w:rsidRDefault="00691289" w:rsidP="00F16E0C">
      <w:pPr>
        <w:pStyle w:val="Dotpoint1"/>
      </w:pPr>
      <w:r w:rsidRPr="00F16E0C">
        <w:t>form of employment</w:t>
      </w:r>
    </w:p>
    <w:p w:rsidR="00691289" w:rsidRPr="00F16E0C" w:rsidRDefault="00691289" w:rsidP="00F16E0C">
      <w:pPr>
        <w:pStyle w:val="Dotpoint1"/>
      </w:pPr>
      <w:r w:rsidRPr="00F16E0C">
        <w:t>marital status and care obligations</w:t>
      </w:r>
    </w:p>
    <w:p w:rsidR="00691289" w:rsidRPr="00B71E29" w:rsidRDefault="00691289" w:rsidP="00F16E0C">
      <w:pPr>
        <w:pStyle w:val="Dotpoint1"/>
      </w:pPr>
      <w:r w:rsidRPr="00F16E0C">
        <w:t>local labour</w:t>
      </w:r>
      <w:r w:rsidRPr="00B71E29">
        <w:t xml:space="preserve"> market setting (</w:t>
      </w:r>
      <w:r>
        <w:t>that is,</w:t>
      </w:r>
      <w:r w:rsidRPr="00B71E29">
        <w:t xml:space="preserve"> metro or non-metro)</w:t>
      </w:r>
      <w:r>
        <w:t>.</w:t>
      </w:r>
    </w:p>
    <w:p w:rsidR="00691289" w:rsidRPr="00B71E29" w:rsidRDefault="00691289" w:rsidP="00F16E0C">
      <w:pPr>
        <w:pStyle w:val="Text"/>
        <w:keepNext/>
        <w:ind w:right="0"/>
      </w:pPr>
      <w:r w:rsidRPr="00B71E29">
        <w:lastRenderedPageBreak/>
        <w:t>The process would be an iterative one:</w:t>
      </w:r>
    </w:p>
    <w:p w:rsidR="00691289" w:rsidRPr="00F16E0C" w:rsidRDefault="00691289" w:rsidP="00F16E0C">
      <w:pPr>
        <w:pStyle w:val="Dotpoint1"/>
      </w:pPr>
      <w:r>
        <w:t>R</w:t>
      </w:r>
      <w:r w:rsidRPr="00B71E29">
        <w:t xml:space="preserve">esearchers </w:t>
      </w:r>
      <w:r>
        <w:t xml:space="preserve">would </w:t>
      </w:r>
      <w:r w:rsidRPr="00B71E29">
        <w:t xml:space="preserve">acquaint </w:t>
      </w:r>
      <w:r w:rsidRPr="00F16E0C">
        <w:t>themselves with the unit records of the matched sectors.</w:t>
      </w:r>
    </w:p>
    <w:p w:rsidR="00691289" w:rsidRPr="00F16E0C" w:rsidRDefault="00691289" w:rsidP="00F16E0C">
      <w:pPr>
        <w:pStyle w:val="Dotpoint1"/>
      </w:pPr>
      <w:r w:rsidRPr="00F16E0C">
        <w:rPr>
          <w:i/>
        </w:rPr>
        <w:t>Prima facie</w:t>
      </w:r>
      <w:r w:rsidRPr="00F16E0C">
        <w:t xml:space="preserve"> patterns would be identified.</w:t>
      </w:r>
    </w:p>
    <w:p w:rsidR="00691289" w:rsidRPr="00F16E0C" w:rsidRDefault="00691289" w:rsidP="00F16E0C">
      <w:pPr>
        <w:pStyle w:val="Dotpoint1"/>
      </w:pPr>
      <w:r w:rsidRPr="00F16E0C">
        <w:t>Data would be coded with derived variables according to these patterns.</w:t>
      </w:r>
    </w:p>
    <w:p w:rsidR="00691289" w:rsidRPr="00B71E29" w:rsidRDefault="00691289" w:rsidP="00F16E0C">
      <w:pPr>
        <w:pStyle w:val="Dotpoint1"/>
      </w:pPr>
      <w:r w:rsidRPr="00F16E0C">
        <w:t>Data could be reassembled to report on</w:t>
      </w:r>
      <w:r w:rsidRPr="00B71E29">
        <w:t xml:space="preserve"> the distribution of workers</w:t>
      </w:r>
      <w:r>
        <w:t>,</w:t>
      </w:r>
      <w:r w:rsidRPr="00B71E29">
        <w:t xml:space="preserve"> based on clusters of common characteristics</w:t>
      </w:r>
      <w:r>
        <w:t xml:space="preserve">. </w:t>
      </w:r>
    </w:p>
    <w:p w:rsidR="00691289" w:rsidRPr="00B71E29" w:rsidRDefault="00691289" w:rsidP="00691289">
      <w:pPr>
        <w:pStyle w:val="Heading3"/>
      </w:pPr>
      <w:r w:rsidRPr="00B71E29">
        <w:t>Outcome</w:t>
      </w:r>
    </w:p>
    <w:p w:rsidR="00691289" w:rsidRPr="00B71E29" w:rsidRDefault="00691289" w:rsidP="00691289">
      <w:pPr>
        <w:pStyle w:val="textlessb4"/>
        <w:ind w:right="-143"/>
      </w:pPr>
      <w:r w:rsidRPr="00B71E29">
        <w:t>Instead of relying on intuitive assessment of how flows represent ensembles of particular variables, we could reach a more robust empirically derived assessme</w:t>
      </w:r>
      <w:r>
        <w:t>nt of what the features are that</w:t>
      </w:r>
      <w:r w:rsidRPr="00B71E29">
        <w:t xml:space="preserve"> shape movements over time through distinct labour markets</w:t>
      </w:r>
      <w:r>
        <w:t xml:space="preserve">. </w:t>
      </w:r>
      <w:r w:rsidRPr="00B71E29">
        <w:t>We are also realistic</w:t>
      </w:r>
      <w:r>
        <w:t xml:space="preserve">. </w:t>
      </w:r>
      <w:r w:rsidRPr="00B71E29">
        <w:t xml:space="preserve">We do not expect the entire population within the sectors of interest to all be </w:t>
      </w:r>
      <w:r>
        <w:t xml:space="preserve">so </w:t>
      </w:r>
      <w:r w:rsidRPr="00B71E29">
        <w:t>classified</w:t>
      </w:r>
      <w:r>
        <w:t xml:space="preserve">. </w:t>
      </w:r>
      <w:r w:rsidRPr="00B71E29">
        <w:t xml:space="preserve">The aim would be </w:t>
      </w:r>
      <w:r>
        <w:t xml:space="preserve">to </w:t>
      </w:r>
      <w:r w:rsidRPr="00B71E29">
        <w:t>identify the key ‘streams’ of labour flowing through the labour market</w:t>
      </w:r>
      <w:r>
        <w:t xml:space="preserve">. </w:t>
      </w:r>
      <w:r w:rsidRPr="00B71E29">
        <w:t>Having identified these, an assessment could then be made on how best to manage them</w:t>
      </w:r>
      <w:r>
        <w:t xml:space="preserve">. </w:t>
      </w:r>
      <w:r w:rsidRPr="00B71E29">
        <w:t>The key outcome will</w:t>
      </w:r>
      <w:r>
        <w:t xml:space="preserve"> be that we will not have a one-size-fits-</w:t>
      </w:r>
      <w:r w:rsidRPr="00B71E29">
        <w:t>all approach to supporting mobility</w:t>
      </w:r>
      <w:r>
        <w:t>; i</w:t>
      </w:r>
      <w:r w:rsidRPr="00B71E29">
        <w:t>nstead</w:t>
      </w:r>
      <w:r>
        <w:t>,</w:t>
      </w:r>
      <w:r w:rsidRPr="00B71E29">
        <w:t xml:space="preserve"> we can have an empirically informed debate</w:t>
      </w:r>
      <w:r>
        <w:t> </w:t>
      </w:r>
      <w:r w:rsidRPr="00B71E29">
        <w:t>on whether streams are amenable to reform</w:t>
      </w:r>
      <w:r>
        <w:t>, a</w:t>
      </w:r>
      <w:r w:rsidRPr="00B71E29">
        <w:t>nd</w:t>
      </w:r>
      <w:r>
        <w:t>,</w:t>
      </w:r>
      <w:r w:rsidRPr="00B71E29">
        <w:t xml:space="preserve"> if they are, how best to modify them</w:t>
      </w:r>
      <w:r>
        <w:t xml:space="preserve">. </w:t>
      </w:r>
    </w:p>
    <w:p w:rsidR="00691289" w:rsidRPr="00B71E29" w:rsidRDefault="00691289" w:rsidP="00691289">
      <w:pPr>
        <w:pStyle w:val="Heading2"/>
      </w:pPr>
      <w:bookmarkStart w:id="61" w:name="_Toc297558032"/>
      <w:bookmarkStart w:id="62" w:name="_Toc300838474"/>
      <w:r w:rsidRPr="00B71E29">
        <w:t>Identify the pre-conditions for successful interventions</w:t>
      </w:r>
      <w:bookmarkEnd w:id="61"/>
      <w:bookmarkEnd w:id="62"/>
    </w:p>
    <w:p w:rsidR="00691289" w:rsidRPr="00B71E29" w:rsidRDefault="00691289" w:rsidP="00691289">
      <w:pPr>
        <w:pStyle w:val="Heading3"/>
        <w:spacing w:before="120"/>
      </w:pPr>
      <w:r w:rsidRPr="00B71E29">
        <w:t>Overview</w:t>
      </w:r>
    </w:p>
    <w:p w:rsidR="00691289" w:rsidRPr="00B71E29" w:rsidRDefault="00691289" w:rsidP="00691289">
      <w:pPr>
        <w:pStyle w:val="textlessb4"/>
      </w:pPr>
      <w:r w:rsidRPr="00B71E29">
        <w:t>As the best of the recent literature reveals, levels of mobility are institutionally specific</w:t>
      </w:r>
      <w:r>
        <w:t xml:space="preserve">. </w:t>
      </w:r>
      <w:r w:rsidRPr="00B71E29">
        <w:t>But the institutional differences are not simply a matter of a particular program or isolated policy initiative</w:t>
      </w:r>
      <w:r>
        <w:t>. Careful cross-</w:t>
      </w:r>
      <w:r w:rsidRPr="00B71E29">
        <w:t xml:space="preserve">country analysis would help </w:t>
      </w:r>
      <w:r>
        <w:t xml:space="preserve">to </w:t>
      </w:r>
      <w:r w:rsidRPr="00B71E29">
        <w:t>reveal what clusters of policy or ‘workforce mobility and development models’ are necessary for making a difference</w:t>
      </w:r>
      <w:r>
        <w:t xml:space="preserve">. </w:t>
      </w:r>
      <w:r w:rsidRPr="00B71E29">
        <w:t>The most useful to compare in this regard would be:</w:t>
      </w:r>
    </w:p>
    <w:p w:rsidR="00691289" w:rsidRPr="00FE4D5A" w:rsidRDefault="00691289" w:rsidP="00FE4D5A">
      <w:pPr>
        <w:pStyle w:val="Dotpoint1"/>
      </w:pPr>
      <w:r w:rsidRPr="00B71E29">
        <w:t>Sweden</w:t>
      </w:r>
      <w:r>
        <w:t xml:space="preserve"> (t</w:t>
      </w:r>
      <w:r w:rsidRPr="00B71E29">
        <w:t>his country was initially the world leader on mobility policy</w:t>
      </w:r>
      <w:r>
        <w:t xml:space="preserve">. </w:t>
      </w:r>
      <w:r w:rsidRPr="00B71E29">
        <w:t xml:space="preserve">Today, it has a very average labour market </w:t>
      </w:r>
      <w:r w:rsidRPr="00FE4D5A">
        <w:t>performance. Analysis of this experience would identify the limits of policy innovation in this area if it is not matched with supportive policies elsewhere.)</w:t>
      </w:r>
    </w:p>
    <w:p w:rsidR="00691289" w:rsidRPr="00FE4D5A" w:rsidRDefault="00691289" w:rsidP="00FE4D5A">
      <w:pPr>
        <w:pStyle w:val="Dotpoint1"/>
      </w:pPr>
      <w:r w:rsidRPr="00FE4D5A">
        <w:t>Norway (one of the few countries to have successfully managed a resources boom over two decades)</w:t>
      </w:r>
    </w:p>
    <w:p w:rsidR="00691289" w:rsidRPr="00B71E29" w:rsidRDefault="00691289" w:rsidP="00FE4D5A">
      <w:pPr>
        <w:pStyle w:val="Dotpoint1"/>
      </w:pPr>
      <w:r w:rsidRPr="00FE4D5A">
        <w:t>Select states or sec</w:t>
      </w:r>
      <w:r>
        <w:t xml:space="preserve">tors in the US. (It is not possible to study the whole country, </w:t>
      </w:r>
      <w:r w:rsidRPr="00B71E29">
        <w:t>but given our interest in job-to-job mobility and regional dynamics</w:t>
      </w:r>
      <w:r>
        <w:t>,</w:t>
      </w:r>
      <w:r w:rsidRPr="00B71E29">
        <w:t xml:space="preserve"> it is worth learning from localised initiatives in that country to </w:t>
      </w:r>
      <w:r>
        <w:t>enable an understanding of</w:t>
      </w:r>
      <w:r w:rsidRPr="00B71E29">
        <w:t xml:space="preserve"> both what is possible and impossible in </w:t>
      </w:r>
      <w:r>
        <w:t xml:space="preserve">a </w:t>
      </w:r>
      <w:r w:rsidRPr="00B71E29">
        <w:t>liberal market economy</w:t>
      </w:r>
      <w:r>
        <w:t>.)</w:t>
      </w:r>
    </w:p>
    <w:p w:rsidR="00691289" w:rsidRPr="00B71E29" w:rsidRDefault="00691289" w:rsidP="00691289">
      <w:pPr>
        <w:pStyle w:val="Heading3"/>
      </w:pPr>
      <w:r w:rsidRPr="00B71E29">
        <w:t>Key objective</w:t>
      </w:r>
    </w:p>
    <w:p w:rsidR="00691289" w:rsidRPr="00B71E29" w:rsidRDefault="00691289" w:rsidP="00691289">
      <w:pPr>
        <w:pStyle w:val="textlessb4"/>
        <w:ind w:right="-143"/>
      </w:pPr>
      <w:r w:rsidRPr="00B71E29">
        <w:t xml:space="preserve">To understand how different ensembles of policy shape the flows of </w:t>
      </w:r>
      <w:r w:rsidRPr="00EA6BB9">
        <w:t>labour</w:t>
      </w:r>
      <w:r w:rsidRPr="00B71E29">
        <w:t xml:space="preserve"> in particular economies.</w:t>
      </w:r>
    </w:p>
    <w:p w:rsidR="00691289" w:rsidRPr="00B71E29" w:rsidRDefault="00691289" w:rsidP="00691289">
      <w:pPr>
        <w:pStyle w:val="Heading3"/>
      </w:pPr>
      <w:r w:rsidRPr="00B71E29">
        <w:t>Approach</w:t>
      </w:r>
    </w:p>
    <w:p w:rsidR="00691289" w:rsidRPr="00B71E29" w:rsidRDefault="00691289" w:rsidP="00691289">
      <w:pPr>
        <w:pStyle w:val="textlessb4"/>
      </w:pPr>
      <w:r>
        <w:t xml:space="preserve">Undertake a </w:t>
      </w:r>
      <w:r w:rsidRPr="00B71E29">
        <w:t>comparative analysis of the three countries noted</w:t>
      </w:r>
      <w:r>
        <w:t xml:space="preserve">. </w:t>
      </w:r>
      <w:r w:rsidRPr="00B71E29">
        <w:t>Sources would primarily come from published academic and policy research</w:t>
      </w:r>
      <w:r>
        <w:t xml:space="preserve">. </w:t>
      </w:r>
      <w:r w:rsidRPr="00B71E29">
        <w:t>Having exhausted these sources</w:t>
      </w:r>
      <w:r>
        <w:t>,</w:t>
      </w:r>
      <w:r w:rsidRPr="00B71E29">
        <w:t xml:space="preserve"> key informants in the countries of interest</w:t>
      </w:r>
      <w:r w:rsidR="00213E0E">
        <w:t xml:space="preserve"> — </w:t>
      </w:r>
      <w:r w:rsidRPr="00B71E29">
        <w:t>usually recognised policy researchers</w:t>
      </w:r>
      <w:r w:rsidR="00213E0E">
        <w:t xml:space="preserve"> — </w:t>
      </w:r>
      <w:r w:rsidRPr="00B71E29">
        <w:t>would be interviewed to get the latest information</w:t>
      </w:r>
      <w:r>
        <w:t xml:space="preserve">. </w:t>
      </w:r>
      <w:r w:rsidRPr="00B71E29">
        <w:t>They would also be encouraged to critique our analysis based on published sources.</w:t>
      </w:r>
    </w:p>
    <w:p w:rsidR="00691289" w:rsidRPr="00B71E29" w:rsidRDefault="00691289" w:rsidP="00691289">
      <w:pPr>
        <w:pStyle w:val="Heading3"/>
      </w:pPr>
      <w:r w:rsidRPr="00B71E29">
        <w:lastRenderedPageBreak/>
        <w:t>Outcome</w:t>
      </w:r>
    </w:p>
    <w:p w:rsidR="00691289" w:rsidRPr="00B71E29" w:rsidRDefault="00691289" w:rsidP="00691289">
      <w:pPr>
        <w:pStyle w:val="textlessb4"/>
      </w:pPr>
      <w:r w:rsidRPr="00B71E29">
        <w:t>Clear understandin</w:t>
      </w:r>
      <w:r>
        <w:t>g of how the wider mix of policies influences</w:t>
      </w:r>
      <w:r w:rsidRPr="00B71E29">
        <w:t xml:space="preserve"> labour mobility</w:t>
      </w:r>
      <w:r>
        <w:t xml:space="preserve">. </w:t>
      </w:r>
      <w:r w:rsidRPr="00B71E29">
        <w:t xml:space="preserve">Special attention </w:t>
      </w:r>
      <w:r>
        <w:t xml:space="preserve">would be </w:t>
      </w:r>
      <w:r w:rsidRPr="00B71E29">
        <w:t>devote</w:t>
      </w:r>
      <w:r>
        <w:t>d</w:t>
      </w:r>
      <w:r w:rsidRPr="00B71E29">
        <w:t xml:space="preserve"> to the Swedish experience given:</w:t>
      </w:r>
    </w:p>
    <w:p w:rsidR="00691289" w:rsidRPr="00FE4D5A" w:rsidRDefault="00691289" w:rsidP="00FE4D5A">
      <w:pPr>
        <w:pStyle w:val="Dotpoint1"/>
      </w:pPr>
      <w:r>
        <w:t>H</w:t>
      </w:r>
      <w:r w:rsidRPr="00B71E29">
        <w:t xml:space="preserve">istorically its </w:t>
      </w:r>
      <w:r w:rsidRPr="00FE4D5A">
        <w:t>policies were the most advanced in the world and very successful in nurturing widespread mobility.</w:t>
      </w:r>
    </w:p>
    <w:p w:rsidR="00691289" w:rsidRPr="00FE4D5A" w:rsidRDefault="00691289" w:rsidP="00FE4D5A">
      <w:pPr>
        <w:pStyle w:val="Dotpoint1"/>
      </w:pPr>
      <w:r w:rsidRPr="00FE4D5A">
        <w:t>As a result of ‘excessive’ mobility’, that country then embarked on extensive work ‘humanisation’ in the 1970s and 1980s.</w:t>
      </w:r>
    </w:p>
    <w:p w:rsidR="00691289" w:rsidRPr="00B71E29" w:rsidRDefault="00691289" w:rsidP="00FE4D5A">
      <w:pPr>
        <w:pStyle w:val="Dotpoint1"/>
      </w:pPr>
      <w:r w:rsidRPr="00FE4D5A">
        <w:t>Policy has subsequently</w:t>
      </w:r>
      <w:r w:rsidRPr="00B71E29">
        <w:t xml:space="preserve"> evolved</w:t>
      </w:r>
      <w:r>
        <w:t xml:space="preserve">, </w:t>
      </w:r>
      <w:r w:rsidRPr="00B71E29">
        <w:t xml:space="preserve">but still actively supports rapid redeployment of its labour force to where economic need is greatest. </w:t>
      </w:r>
    </w:p>
    <w:p w:rsidR="00691289" w:rsidRPr="00B71E29" w:rsidRDefault="00691289" w:rsidP="00691289">
      <w:pPr>
        <w:pStyle w:val="Heading2"/>
      </w:pPr>
      <w:bookmarkStart w:id="63" w:name="_Toc297558033"/>
      <w:bookmarkStart w:id="64" w:name="_Toc300838475"/>
      <w:r w:rsidRPr="00B71E29">
        <w:t>Learn from local failures as well as nascent successes</w:t>
      </w:r>
      <w:bookmarkEnd w:id="63"/>
      <w:bookmarkEnd w:id="64"/>
      <w:r w:rsidRPr="00B71E29">
        <w:t xml:space="preserve"> </w:t>
      </w:r>
    </w:p>
    <w:p w:rsidR="00691289" w:rsidRPr="00B71E29" w:rsidRDefault="00691289" w:rsidP="00691289">
      <w:pPr>
        <w:pStyle w:val="Heading3"/>
        <w:spacing w:before="120"/>
      </w:pPr>
      <w:r w:rsidRPr="00B71E29">
        <w:t>Overview</w:t>
      </w:r>
    </w:p>
    <w:p w:rsidR="00691289" w:rsidRPr="00B71E29" w:rsidRDefault="00691289" w:rsidP="00691289">
      <w:pPr>
        <w:pStyle w:val="textlessb4"/>
      </w:pPr>
      <w:r w:rsidRPr="00B71E29">
        <w:t xml:space="preserve">For this scoping paper we </w:t>
      </w:r>
      <w:r>
        <w:t>conducted</w:t>
      </w:r>
      <w:r w:rsidRPr="00B71E29">
        <w:t xml:space="preserve"> initial</w:t>
      </w:r>
      <w:r>
        <w:t xml:space="preserve"> analyses of two local </w:t>
      </w:r>
      <w:r w:rsidRPr="00B71E29">
        <w:t>attempts to manage labour mobility more effectively.</w:t>
      </w:r>
      <w:r>
        <w:rPr>
          <w:rStyle w:val="FootnoteReference"/>
        </w:rPr>
        <w:footnoteReference w:id="2"/>
      </w:r>
      <w:r>
        <w:t xml:space="preserve"> </w:t>
      </w:r>
      <w:r w:rsidRPr="00B71E29">
        <w:t>These experiences and others like them deserve deeper analysis</w:t>
      </w:r>
      <w:r>
        <w:t xml:space="preserve">. </w:t>
      </w:r>
      <w:r w:rsidRPr="00B71E29">
        <w:t>While studying success and ‘best practice’ has an obvious appeal, reflections on failure or limited success can be just as, if not more, instructive</w:t>
      </w:r>
      <w:r>
        <w:t xml:space="preserve">. </w:t>
      </w:r>
      <w:r w:rsidRPr="00B71E29">
        <w:t xml:space="preserve">Greater </w:t>
      </w:r>
      <w:r w:rsidRPr="00EA6BB9">
        <w:t>understanding</w:t>
      </w:r>
      <w:r w:rsidRPr="00B71E29">
        <w:t xml:space="preserve"> of constraints helps evidence </w:t>
      </w:r>
      <w:r>
        <w:t xml:space="preserve">to </w:t>
      </w:r>
      <w:r w:rsidRPr="00B71E29">
        <w:t>determine the limits of the possible. Such research need not be purely ‘analytical’</w:t>
      </w:r>
      <w:r>
        <w:t xml:space="preserve">. </w:t>
      </w:r>
      <w:r w:rsidRPr="00B71E29">
        <w:t>If focused on the case study sectors</w:t>
      </w:r>
      <w:r>
        <w:t>,</w:t>
      </w:r>
      <w:r w:rsidRPr="00B71E29">
        <w:t xml:space="preserve"> it could gather data to help a very specific policy question</w:t>
      </w:r>
      <w:r>
        <w:t>; for example,</w:t>
      </w:r>
      <w:r w:rsidRPr="00B71E29">
        <w:t xml:space="preserve"> how viable is it to have ‘mobility agreements’ between employers in different sectors to</w:t>
      </w:r>
      <w:r>
        <w:t xml:space="preserve"> nurture more </w:t>
      </w:r>
      <w:r w:rsidRPr="00B71E29">
        <w:t>orderly approaches to workforce development and deployment?</w:t>
      </w:r>
      <w:r>
        <w:t xml:space="preserve"> New data and analysis on </w:t>
      </w:r>
      <w:r w:rsidRPr="00B71E29">
        <w:t xml:space="preserve">this question could help </w:t>
      </w:r>
      <w:r>
        <w:t xml:space="preserve">to </w:t>
      </w:r>
      <w:r w:rsidRPr="00B71E29">
        <w:t xml:space="preserve">ensure </w:t>
      </w:r>
      <w:r>
        <w:t xml:space="preserve">that </w:t>
      </w:r>
      <w:r w:rsidRPr="00B71E29">
        <w:t>policy moves forward with a solid evidence base</w:t>
      </w:r>
      <w:r>
        <w:t xml:space="preserve">. </w:t>
      </w:r>
      <w:r w:rsidRPr="00B71E29">
        <w:t>Just as importantly</w:t>
      </w:r>
      <w:r>
        <w:t>,</w:t>
      </w:r>
      <w:r w:rsidRPr="00B71E29">
        <w:t xml:space="preserve"> it could mean </w:t>
      </w:r>
      <w:r>
        <w:t xml:space="preserve">that </w:t>
      </w:r>
      <w:r w:rsidRPr="00B71E29">
        <w:t>valuable resources are not wasted on initiatives that are based on expecting employers to show collective self-reliance in this domain of labour market operations</w:t>
      </w:r>
      <w:r>
        <w:t xml:space="preserve">. </w:t>
      </w:r>
      <w:r w:rsidRPr="00B71E29">
        <w:t>If they cannot be expected to be self-reliant</w:t>
      </w:r>
      <w:r>
        <w:t>,</w:t>
      </w:r>
      <w:r w:rsidRPr="00B71E29">
        <w:t xml:space="preserve"> the need for other policy interventions would then be more clearly established.</w:t>
      </w:r>
    </w:p>
    <w:p w:rsidR="00691289" w:rsidRPr="00B71E29" w:rsidRDefault="00691289" w:rsidP="00691289">
      <w:pPr>
        <w:pStyle w:val="Heading3"/>
      </w:pPr>
      <w:r w:rsidRPr="00B71E29">
        <w:t>Objectives</w:t>
      </w:r>
    </w:p>
    <w:p w:rsidR="00691289" w:rsidRPr="00FE4D5A" w:rsidRDefault="00691289" w:rsidP="00FE4D5A">
      <w:pPr>
        <w:pStyle w:val="Dotpoint1"/>
      </w:pPr>
      <w:r>
        <w:t>t</w:t>
      </w:r>
      <w:r w:rsidRPr="00B71E29">
        <w:t xml:space="preserve">o identify how best to design new </w:t>
      </w:r>
      <w:r w:rsidRPr="00FE4D5A">
        <w:t xml:space="preserve">labour market programs to improve mobility </w:t>
      </w:r>
    </w:p>
    <w:p w:rsidR="00691289" w:rsidRPr="00B71E29" w:rsidRDefault="00691289" w:rsidP="00FE4D5A">
      <w:pPr>
        <w:pStyle w:val="Dotpoint1"/>
      </w:pPr>
      <w:r w:rsidRPr="00FE4D5A">
        <w:t>to ascertain the viability of the feder</w:t>
      </w:r>
      <w:r w:rsidRPr="00B71E29">
        <w:t>al government</w:t>
      </w:r>
      <w:r>
        <w:t>’s</w:t>
      </w:r>
      <w:r w:rsidRPr="00B71E29">
        <w:t xml:space="preserve"> playing a brokerage role in settling multi-employer agreements on the fair and efficient development and use of labour amongst employers drawing on the same streams of labour.</w:t>
      </w:r>
    </w:p>
    <w:p w:rsidR="00691289" w:rsidRPr="00B71E29" w:rsidRDefault="00691289" w:rsidP="00691289">
      <w:pPr>
        <w:pStyle w:val="Heading3"/>
      </w:pPr>
      <w:r w:rsidRPr="00B71E29">
        <w:t>Approach</w:t>
      </w:r>
    </w:p>
    <w:p w:rsidR="00691289" w:rsidRPr="00B71E29" w:rsidRDefault="00691289" w:rsidP="00691289">
      <w:pPr>
        <w:pStyle w:val="textlessb4"/>
      </w:pPr>
      <w:r w:rsidRPr="001D0195">
        <w:rPr>
          <w:i/>
        </w:rPr>
        <w:t>Labour market program design study</w:t>
      </w:r>
      <w:r w:rsidRPr="00635052">
        <w:t xml:space="preserve">: </w:t>
      </w:r>
      <w:r>
        <w:t>c</w:t>
      </w:r>
      <w:r w:rsidRPr="00B71E29">
        <w:t xml:space="preserve">onduct studies of </w:t>
      </w:r>
      <w:r>
        <w:t>recent interventions directed at</w:t>
      </w:r>
      <w:r w:rsidRPr="00B71E29">
        <w:t xml:space="preserve"> improving labour mobility in Australia</w:t>
      </w:r>
      <w:r>
        <w:t xml:space="preserve">. </w:t>
      </w:r>
      <w:r w:rsidRPr="00B71E29">
        <w:t>These studies would be based on direct interviews with all relevant key players, along with a number of employers and workers directly involved in the intervention</w:t>
      </w:r>
      <w:r>
        <w:t xml:space="preserve">. </w:t>
      </w:r>
      <w:r w:rsidRPr="00B71E29">
        <w:t>Ideally</w:t>
      </w:r>
      <w:r>
        <w:t>,</w:t>
      </w:r>
      <w:r w:rsidRPr="00B71E29">
        <w:t xml:space="preserve"> interviews would be face to face, but phone interviewing would also be possible</w:t>
      </w:r>
      <w:r>
        <w:t xml:space="preserve">. </w:t>
      </w:r>
    </w:p>
    <w:p w:rsidR="00691289" w:rsidRPr="00B71E29" w:rsidRDefault="00691289" w:rsidP="00FE4D5A">
      <w:pPr>
        <w:pStyle w:val="Text"/>
      </w:pPr>
      <w:r w:rsidRPr="001D0195">
        <w:rPr>
          <w:i/>
        </w:rPr>
        <w:lastRenderedPageBreak/>
        <w:t>Workforce development and deployment agreement study</w:t>
      </w:r>
      <w:r>
        <w:t>:</w:t>
      </w:r>
      <w:r>
        <w:rPr>
          <w:i/>
        </w:rPr>
        <w:t xml:space="preserve"> </w:t>
      </w:r>
      <w:r>
        <w:t>t</w:t>
      </w:r>
      <w:r w:rsidRPr="00B71E29">
        <w:t>his would take the form of a potential draft agreement being generated by the research team</w:t>
      </w:r>
      <w:r>
        <w:t xml:space="preserve">, which would </w:t>
      </w:r>
      <w:r w:rsidRPr="00B71E29">
        <w:t>be ‘road tested’ and modified in light of comments provided by key stakeholders</w:t>
      </w:r>
      <w:r>
        <w:t xml:space="preserve">. </w:t>
      </w:r>
      <w:r w:rsidRPr="00B71E29">
        <w:t>An assessment of the viability of the agreement being taken forward by the parties would be provided.</w:t>
      </w:r>
    </w:p>
    <w:p w:rsidR="00691289" w:rsidRPr="00B71E29" w:rsidRDefault="00691289" w:rsidP="00691289">
      <w:pPr>
        <w:pStyle w:val="Heading3"/>
      </w:pPr>
      <w:r w:rsidRPr="00B71E29">
        <w:t>Outcomes</w:t>
      </w:r>
    </w:p>
    <w:p w:rsidR="00691289" w:rsidRPr="00B71E29" w:rsidRDefault="00691289" w:rsidP="00691289">
      <w:pPr>
        <w:pStyle w:val="textlessb4"/>
      </w:pPr>
      <w:r w:rsidRPr="001D0195">
        <w:rPr>
          <w:i/>
        </w:rPr>
        <w:t>Labour market program study</w:t>
      </w:r>
      <w:r w:rsidRPr="0067011E">
        <w:t>: specific</w:t>
      </w:r>
      <w:r w:rsidRPr="00B71E29">
        <w:t xml:space="preserve"> findings about what is likely to work and not work in light of recent experience would be provided</w:t>
      </w:r>
      <w:r>
        <w:t xml:space="preserve">. </w:t>
      </w:r>
      <w:r w:rsidRPr="00B71E29">
        <w:t>Recommendation</w:t>
      </w:r>
      <w:r>
        <w:t>s</w:t>
      </w:r>
      <w:r w:rsidRPr="00B71E29">
        <w:t xml:space="preserve"> on how government support could overcome potential flaws in program design would be outlined.</w:t>
      </w:r>
    </w:p>
    <w:p w:rsidR="00691289" w:rsidRPr="00B71E29" w:rsidRDefault="00691289" w:rsidP="00FE4D5A">
      <w:pPr>
        <w:pStyle w:val="Text"/>
      </w:pPr>
      <w:r w:rsidRPr="001D0195">
        <w:rPr>
          <w:i/>
        </w:rPr>
        <w:t>Workforce development and deployment agreement study</w:t>
      </w:r>
      <w:r>
        <w:t>:</w:t>
      </w:r>
      <w:r>
        <w:rPr>
          <w:i/>
        </w:rPr>
        <w:t xml:space="preserve"> </w:t>
      </w:r>
      <w:r>
        <w:t>compile a</w:t>
      </w:r>
      <w:r w:rsidRPr="00B71E29">
        <w:t>n account of the ability and interest of employers in the sectors studied to assume responsibility for developing and deploying their workforce responsibly</w:t>
      </w:r>
      <w:r>
        <w:t>. P</w:t>
      </w:r>
      <w:r w:rsidRPr="00B71E29">
        <w:t xml:space="preserve">ossible options </w:t>
      </w:r>
      <w:r>
        <w:t>would be identified in relation to</w:t>
      </w:r>
      <w:r w:rsidRPr="00B71E29">
        <w:t xml:space="preserve"> </w:t>
      </w:r>
      <w:r>
        <w:t>the course to take</w:t>
      </w:r>
      <w:r w:rsidRPr="00B71E29">
        <w:t xml:space="preserve"> if this interest or capability is lacking</w:t>
      </w:r>
      <w:r>
        <w:t xml:space="preserve">. </w:t>
      </w:r>
      <w:r w:rsidRPr="00B71E29">
        <w:t>This latter aspect will require completion of the other proposals noted above</w:t>
      </w:r>
      <w:r>
        <w:t xml:space="preserve">. </w:t>
      </w:r>
    </w:p>
    <w:p w:rsidR="00691289" w:rsidRPr="00B71E29" w:rsidRDefault="00691289" w:rsidP="00691289">
      <w:pPr>
        <w:spacing w:before="0"/>
        <w:rPr>
          <w:rFonts w:ascii="Garamond" w:hAnsi="Garamond"/>
          <w:sz w:val="22"/>
        </w:rPr>
      </w:pPr>
      <w:r w:rsidRPr="00B71E29">
        <w:rPr>
          <w:rFonts w:ascii="Garamond" w:hAnsi="Garamond"/>
        </w:rPr>
        <w:br w:type="page"/>
      </w:r>
    </w:p>
    <w:p w:rsidR="00691289" w:rsidRPr="00B71E29" w:rsidRDefault="00691289" w:rsidP="00691289">
      <w:pPr>
        <w:pStyle w:val="Heading1"/>
      </w:pPr>
      <w:bookmarkStart w:id="65" w:name="_Toc297558034"/>
      <w:bookmarkStart w:id="66" w:name="_Toc300838476"/>
      <w:r w:rsidRPr="00B71E29">
        <w:lastRenderedPageBreak/>
        <w:t>Conclusion</w:t>
      </w:r>
      <w:bookmarkEnd w:id="65"/>
      <w:bookmarkEnd w:id="66"/>
    </w:p>
    <w:p w:rsidR="00691289" w:rsidRPr="00B71E29" w:rsidRDefault="00691289" w:rsidP="00FE4D5A">
      <w:pPr>
        <w:pStyle w:val="Text"/>
      </w:pPr>
      <w:r w:rsidRPr="0067011E">
        <w:rPr>
          <w:i/>
        </w:rPr>
        <w:t>Prima facie</w:t>
      </w:r>
      <w:r w:rsidRPr="00B71E29">
        <w:t xml:space="preserve"> problems of labour mobility appear relatively straightforward: how do we move people who need work to employers with jobs needing to be done</w:t>
      </w:r>
      <w:r>
        <w:t xml:space="preserve">? </w:t>
      </w:r>
      <w:r w:rsidRPr="00B71E29">
        <w:t>But appearances can be deceptive</w:t>
      </w:r>
      <w:r>
        <w:t xml:space="preserve">. </w:t>
      </w:r>
      <w:r w:rsidRPr="00B71E29">
        <w:t xml:space="preserve">As is well known, the people needing work rarely have the skills </w:t>
      </w:r>
      <w:r>
        <w:t xml:space="preserve">that </w:t>
      </w:r>
      <w:r w:rsidRPr="00B71E29">
        <w:t>employers with excess demand requi</w:t>
      </w:r>
      <w:r>
        <w:t xml:space="preserve">re. </w:t>
      </w:r>
      <w:r w:rsidRPr="00B71E29">
        <w:t>Just as importantly, redeploying workers with the necessary skills from a current position in the labour market to another is also difficult</w:t>
      </w:r>
      <w:r>
        <w:t xml:space="preserve">. </w:t>
      </w:r>
    </w:p>
    <w:p w:rsidR="00691289" w:rsidRDefault="00691289" w:rsidP="00FE4D5A">
      <w:pPr>
        <w:pStyle w:val="Text"/>
      </w:pPr>
      <w:r w:rsidRPr="00B71E29">
        <w:t>Any lasting improvement in the flow of workers within the labour market requires a better understanding of the nature of current labour flows and the types of interventions that can improve them</w:t>
      </w:r>
      <w:r>
        <w:t xml:space="preserve">. </w:t>
      </w:r>
      <w:r w:rsidRPr="00B71E29">
        <w:t xml:space="preserve">This paper has identified the critical issues that must inform such an analysis and the types of material that can ensure </w:t>
      </w:r>
      <w:r>
        <w:t xml:space="preserve">that </w:t>
      </w:r>
      <w:r w:rsidRPr="00B71E29">
        <w:t>future interventions a</w:t>
      </w:r>
      <w:r>
        <w:t>re more evidence-</w:t>
      </w:r>
      <w:r w:rsidRPr="00B71E29">
        <w:t>based</w:t>
      </w:r>
      <w:r>
        <w:t xml:space="preserve">. </w:t>
      </w:r>
      <w:r w:rsidRPr="00B71E29">
        <w:t>But research alone is never enough</w:t>
      </w:r>
      <w:r>
        <w:t xml:space="preserve">. </w:t>
      </w:r>
      <w:r w:rsidRPr="00B71E29">
        <w:t>There is a need for all key stakeholders concerned to contribute to making the changes required to deliver enduring improvements to the way labour is deployed (as well as developed)</w:t>
      </w:r>
      <w:r>
        <w:t xml:space="preserve">. </w:t>
      </w:r>
      <w:r w:rsidRPr="00B71E29">
        <w:t>Without such a change, any interventions are likely to be, at best of limited efficacy, or at worst ‘solve’ problems in one sector by merely shifting the problems elsewhere.</w:t>
      </w:r>
    </w:p>
    <w:p w:rsidR="00691289" w:rsidRDefault="00691289" w:rsidP="00691289">
      <w:pPr>
        <w:spacing w:before="0"/>
        <w:rPr>
          <w:rFonts w:ascii="Garamond" w:hAnsi="Garamond"/>
          <w:sz w:val="22"/>
        </w:rPr>
      </w:pPr>
      <w:r>
        <w:br w:type="page"/>
      </w:r>
    </w:p>
    <w:p w:rsidR="00691289" w:rsidRPr="00B71E29" w:rsidRDefault="00691289" w:rsidP="00691289">
      <w:pPr>
        <w:pStyle w:val="Heading1"/>
      </w:pPr>
      <w:bookmarkStart w:id="67" w:name="_Toc297558035"/>
      <w:bookmarkStart w:id="68" w:name="_Toc300838477"/>
      <w:r w:rsidRPr="00B71E29">
        <w:lastRenderedPageBreak/>
        <w:t>References</w:t>
      </w:r>
      <w:bookmarkEnd w:id="67"/>
      <w:bookmarkEnd w:id="68"/>
    </w:p>
    <w:p w:rsidR="00691289" w:rsidRPr="00B71E29" w:rsidRDefault="00691289" w:rsidP="00B8358D">
      <w:pPr>
        <w:pStyle w:val="References"/>
        <w:ind w:right="0"/>
      </w:pPr>
      <w:r>
        <w:t>ABS (</w:t>
      </w:r>
      <w:r w:rsidRPr="00B71E29">
        <w:t xml:space="preserve">Australian Bureau of </w:t>
      </w:r>
      <w:r w:rsidRPr="00FE4D5A">
        <w:t>Statistics</w:t>
      </w:r>
      <w:r>
        <w:t xml:space="preserve">) 2010, </w:t>
      </w:r>
      <w:r w:rsidRPr="000B56EF">
        <w:rPr>
          <w:i/>
        </w:rPr>
        <w:t>Average weekly earnings, Australia</w:t>
      </w:r>
      <w:r w:rsidRPr="00B71E29">
        <w:t xml:space="preserve">, February, </w:t>
      </w:r>
      <w:r>
        <w:t xml:space="preserve">cat.no.6302.0, </w:t>
      </w:r>
      <w:r w:rsidRPr="00B71E29">
        <w:t>ABS, Canberra.</w:t>
      </w:r>
    </w:p>
    <w:p w:rsidR="00691289" w:rsidRPr="00B71E29" w:rsidRDefault="00691289" w:rsidP="00B8358D">
      <w:pPr>
        <w:pStyle w:val="References"/>
        <w:ind w:right="0"/>
      </w:pPr>
      <w:r w:rsidRPr="00B71E29">
        <w:t xml:space="preserve">Andrienko, Y 2010, </w:t>
      </w:r>
      <w:r>
        <w:t>‘</w:t>
      </w:r>
      <w:r w:rsidRPr="00824CF5">
        <w:t>Essays on</w:t>
      </w:r>
      <w:r w:rsidRPr="00B71E29">
        <w:rPr>
          <w:i/>
        </w:rPr>
        <w:t xml:space="preserve"> </w:t>
      </w:r>
      <w:r w:rsidRPr="00824CF5">
        <w:t>economic causes and consequences of migration</w:t>
      </w:r>
      <w:r>
        <w:t>’, PhD d</w:t>
      </w:r>
      <w:r w:rsidRPr="00B71E29">
        <w:t>issertation, School of Economics, Faculty of Arts and Social Sciences, University of Sydney</w:t>
      </w:r>
      <w:r>
        <w:t>.</w:t>
      </w:r>
    </w:p>
    <w:p w:rsidR="00691289" w:rsidRPr="00B71E29" w:rsidRDefault="00691289" w:rsidP="00B8358D">
      <w:pPr>
        <w:pStyle w:val="References"/>
        <w:ind w:right="0"/>
      </w:pPr>
      <w:r w:rsidRPr="00B71E29">
        <w:t xml:space="preserve">Auer, P 2005, </w:t>
      </w:r>
      <w:r>
        <w:t>‘</w:t>
      </w:r>
      <w:r w:rsidRPr="00B71E29">
        <w:t xml:space="preserve">Protected mobility for employment and decent work: labour market security in a globalised world’, </w:t>
      </w:r>
      <w:r w:rsidRPr="000B56EF">
        <w:rPr>
          <w:i/>
        </w:rPr>
        <w:t>Employment strategy papers</w:t>
      </w:r>
      <w:r w:rsidRPr="00B71E29">
        <w:t>, International Labour Office</w:t>
      </w:r>
      <w:r>
        <w:t>, Geneva</w:t>
      </w:r>
      <w:r w:rsidRPr="00B71E29">
        <w:t>.</w:t>
      </w:r>
    </w:p>
    <w:p w:rsidR="00691289" w:rsidRPr="00B71E29" w:rsidRDefault="00691289" w:rsidP="00B8358D">
      <w:pPr>
        <w:pStyle w:val="References"/>
        <w:ind w:right="0"/>
      </w:pPr>
      <w:r w:rsidRPr="00B71E29">
        <w:t>Australian Counc</w:t>
      </w:r>
      <w:r>
        <w:t>il of Trade Unions 2010, ‘ACTU s</w:t>
      </w:r>
      <w:r w:rsidRPr="00B71E29">
        <w:t>ubmission to the National Resources Sector Employment Taskforce’, ACTU, Melbourne.</w:t>
      </w:r>
    </w:p>
    <w:p w:rsidR="00691289" w:rsidRPr="00B71E29" w:rsidRDefault="00691289" w:rsidP="00B8358D">
      <w:pPr>
        <w:pStyle w:val="References"/>
        <w:ind w:right="0"/>
      </w:pPr>
      <w:r>
        <w:t>Baruah, N &amp;</w:t>
      </w:r>
      <w:r w:rsidRPr="00B71E29">
        <w:t xml:space="preserve"> Cholewinski, R 2006, ‘Handbook on establishing effective labour migration polici</w:t>
      </w:r>
      <w:r>
        <w:t>es in countries of origin and de</w:t>
      </w:r>
      <w:r w:rsidRPr="00B71E29">
        <w:t>stinatio</w:t>
      </w:r>
      <w:r>
        <w:t>n’, OSCE, Vienna</w:t>
      </w:r>
      <w:r w:rsidRPr="00B71E29">
        <w:t>.</w:t>
      </w:r>
    </w:p>
    <w:p w:rsidR="00691289" w:rsidRPr="00B71E29" w:rsidRDefault="00691289" w:rsidP="00B8358D">
      <w:pPr>
        <w:pStyle w:val="References"/>
        <w:ind w:right="0"/>
      </w:pPr>
      <w:r w:rsidRPr="00B71E29">
        <w:t>Beach, R, Brereton,</w:t>
      </w:r>
      <w:r>
        <w:t xml:space="preserve"> D &amp; Cliff, D 2003, </w:t>
      </w:r>
      <w:r w:rsidRPr="000B56EF">
        <w:rPr>
          <w:i/>
        </w:rPr>
        <w:t>Workforce turnover in FIFO mining operations in Australia: an exploratory study</w:t>
      </w:r>
      <w:r w:rsidRPr="00B71E29">
        <w:t xml:space="preserve">, </w:t>
      </w:r>
      <w:r w:rsidRPr="00260422">
        <w:rPr>
          <w:rStyle w:val="Emphasis"/>
        </w:rPr>
        <w:t>Centre for Social Responsibility in Mining</w:t>
      </w:r>
      <w:r w:rsidRPr="00260422">
        <w:rPr>
          <w:i/>
        </w:rPr>
        <w:t xml:space="preserve"> </w:t>
      </w:r>
      <w:r w:rsidRPr="00B71E29">
        <w:t xml:space="preserve">and </w:t>
      </w:r>
      <w:r>
        <w:t>Minerals Industry Safety and Health Centre</w:t>
      </w:r>
      <w:r w:rsidRPr="00B71E29">
        <w:t>, Brisbane.</w:t>
      </w:r>
    </w:p>
    <w:p w:rsidR="00691289" w:rsidRPr="00B71E29" w:rsidRDefault="00691289" w:rsidP="00B8358D">
      <w:pPr>
        <w:pStyle w:val="References"/>
        <w:ind w:right="0"/>
      </w:pPr>
      <w:r w:rsidRPr="00B71E29">
        <w:t>Berndt, C 2010, ‘Methodological nationalism and territorial capitalism: mobile la</w:t>
      </w:r>
      <w:r>
        <w:t>bour and the challenges to the “</w:t>
      </w:r>
      <w:r w:rsidRPr="00B71E29">
        <w:t>German Model</w:t>
      </w:r>
      <w:r>
        <w:t>”</w:t>
      </w:r>
      <w:r w:rsidRPr="00B71E29">
        <w:t xml:space="preserve">’, in </w:t>
      </w:r>
      <w:r w:rsidRPr="00B71E29">
        <w:rPr>
          <w:i/>
        </w:rPr>
        <w:t>Handbook of employment and society: working space</w:t>
      </w:r>
      <w:r w:rsidRPr="00B71E29">
        <w:t xml:space="preserve">, </w:t>
      </w:r>
      <w:r>
        <w:t>eds S McGrath-Champ, A</w:t>
      </w:r>
      <w:r w:rsidR="00B8358D">
        <w:t> </w:t>
      </w:r>
      <w:r>
        <w:t>Herod &amp;</w:t>
      </w:r>
      <w:r w:rsidRPr="00B71E29">
        <w:t xml:space="preserve"> A Rainnie, Edward Elgar, Cheltenham, UK.</w:t>
      </w:r>
    </w:p>
    <w:p w:rsidR="00691289" w:rsidRPr="00B71E29" w:rsidRDefault="00691289" w:rsidP="00B8358D">
      <w:pPr>
        <w:pStyle w:val="References"/>
        <w:ind w:right="0"/>
      </w:pPr>
      <w:r>
        <w:t xml:space="preserve">Brezzi, M &amp; Piacentini, M </w:t>
      </w:r>
      <w:r w:rsidRPr="00B71E29">
        <w:t>20</w:t>
      </w:r>
      <w:r>
        <w:t xml:space="preserve">08, </w:t>
      </w:r>
      <w:r w:rsidRPr="000B56EF">
        <w:rPr>
          <w:i/>
        </w:rPr>
        <w:t>Labor mobility and development dynamics in OECD regions</w:t>
      </w:r>
      <w:r w:rsidRPr="00B71E29">
        <w:t xml:space="preserve">, </w:t>
      </w:r>
      <w:r>
        <w:t>OECD, Paris.</w:t>
      </w:r>
    </w:p>
    <w:p w:rsidR="00691289" w:rsidRPr="003A634C" w:rsidRDefault="00691289" w:rsidP="00B8358D">
      <w:pPr>
        <w:pStyle w:val="References"/>
        <w:ind w:right="0"/>
        <w:rPr>
          <w:rFonts w:cs="Arial"/>
        </w:rPr>
      </w:pPr>
      <w:r w:rsidRPr="003A634C">
        <w:rPr>
          <w:rFonts w:cs="Arial"/>
        </w:rPr>
        <w:t xml:space="preserve">Cairnes, J E 1874, </w:t>
      </w:r>
      <w:r w:rsidRPr="003A634C">
        <w:rPr>
          <w:rFonts w:cs="Arial"/>
          <w:i/>
        </w:rPr>
        <w:t>Some leading principles of political economy, newly expounded</w:t>
      </w:r>
      <w:r w:rsidRPr="003A634C">
        <w:rPr>
          <w:rFonts w:cs="Arial"/>
        </w:rPr>
        <w:t>, Macmillan, London.</w:t>
      </w:r>
    </w:p>
    <w:p w:rsidR="00691289" w:rsidRPr="00B71E29" w:rsidRDefault="00691289" w:rsidP="00B8358D">
      <w:pPr>
        <w:pStyle w:val="References"/>
        <w:ind w:right="0"/>
      </w:pPr>
      <w:r w:rsidRPr="00911FE7">
        <w:rPr>
          <w:rStyle w:val="EndnotesChar"/>
        </w:rPr>
        <w:t>Campbell, I</w:t>
      </w:r>
      <w:r>
        <w:rPr>
          <w:rStyle w:val="EndnotesChar"/>
        </w:rPr>
        <w:t xml:space="preserve"> &amp;</w:t>
      </w:r>
      <w:r w:rsidRPr="00911FE7">
        <w:rPr>
          <w:rStyle w:val="EndnotesChar"/>
        </w:rPr>
        <w:t xml:space="preserve"> Webber, M</w:t>
      </w:r>
      <w:r>
        <w:rPr>
          <w:rStyle w:val="EndnotesChar"/>
        </w:rPr>
        <w:t xml:space="preserve"> </w:t>
      </w:r>
      <w:r w:rsidRPr="00911FE7">
        <w:rPr>
          <w:rStyle w:val="EndnotesChar"/>
        </w:rPr>
        <w:t xml:space="preserve">1996, ‘Retrenchment and </w:t>
      </w:r>
      <w:r>
        <w:rPr>
          <w:rStyle w:val="EndnotesChar"/>
        </w:rPr>
        <w:t>l</w:t>
      </w:r>
      <w:r w:rsidRPr="00911FE7">
        <w:rPr>
          <w:rStyle w:val="EndnotesChar"/>
        </w:rPr>
        <w:t xml:space="preserve">abour </w:t>
      </w:r>
      <w:r>
        <w:rPr>
          <w:rStyle w:val="EndnotesChar"/>
        </w:rPr>
        <w:t>m</w:t>
      </w:r>
      <w:r w:rsidRPr="00911FE7">
        <w:rPr>
          <w:rStyle w:val="EndnotesChar"/>
        </w:rPr>
        <w:t xml:space="preserve">arket </w:t>
      </w:r>
      <w:r>
        <w:rPr>
          <w:rStyle w:val="EndnotesChar"/>
        </w:rPr>
        <w:t>f</w:t>
      </w:r>
      <w:r w:rsidRPr="00911FE7">
        <w:rPr>
          <w:rStyle w:val="EndnotesChar"/>
        </w:rPr>
        <w:t xml:space="preserve">lows’, </w:t>
      </w:r>
      <w:r w:rsidRPr="00911FE7">
        <w:rPr>
          <w:rStyle w:val="EndnotesChar"/>
          <w:i/>
        </w:rPr>
        <w:t>The Economic and Labour Relations Review</w:t>
      </w:r>
      <w:r w:rsidRPr="00911FE7">
        <w:rPr>
          <w:rStyle w:val="EndnotesChar"/>
        </w:rPr>
        <w:t xml:space="preserve">, </w:t>
      </w:r>
      <w:r>
        <w:rPr>
          <w:rStyle w:val="EndnotesChar"/>
        </w:rPr>
        <w:t>vol.</w:t>
      </w:r>
      <w:r w:rsidRPr="00911FE7">
        <w:rPr>
          <w:rStyle w:val="EndnotesChar"/>
        </w:rPr>
        <w:t>7</w:t>
      </w:r>
      <w:r>
        <w:rPr>
          <w:rStyle w:val="EndnotesChar"/>
        </w:rPr>
        <w:t>, no.</w:t>
      </w:r>
      <w:r w:rsidRPr="00911FE7">
        <w:rPr>
          <w:rStyle w:val="EndnotesChar"/>
        </w:rPr>
        <w:t>1</w:t>
      </w:r>
      <w:r>
        <w:rPr>
          <w:rStyle w:val="EndnotesChar"/>
        </w:rPr>
        <w:t>,</w:t>
      </w:r>
      <w:r w:rsidRPr="00911FE7">
        <w:rPr>
          <w:rStyle w:val="EndnotesChar"/>
        </w:rPr>
        <w:t xml:space="preserve"> pp</w:t>
      </w:r>
      <w:r>
        <w:rPr>
          <w:rStyle w:val="EndnotesChar"/>
        </w:rPr>
        <w:t>.</w:t>
      </w:r>
      <w:r w:rsidRPr="00911FE7">
        <w:rPr>
          <w:rStyle w:val="EndnotesChar"/>
        </w:rPr>
        <w:t>88</w:t>
      </w:r>
      <w:r w:rsidR="00FE4D5A">
        <w:rPr>
          <w:rStyle w:val="EndnotesChar"/>
        </w:rPr>
        <w:t>—</w:t>
      </w:r>
      <w:r w:rsidRPr="00911FE7">
        <w:rPr>
          <w:rStyle w:val="EndnotesChar"/>
        </w:rPr>
        <w:t>119.</w:t>
      </w:r>
    </w:p>
    <w:p w:rsidR="00691289" w:rsidRDefault="00691289" w:rsidP="00B8358D">
      <w:pPr>
        <w:pStyle w:val="References"/>
        <w:ind w:right="0"/>
      </w:pPr>
      <w:r w:rsidRPr="00B71E29">
        <w:t xml:space="preserve">Caruana, L 2010, ‘Cleanskins to the rescue’, </w:t>
      </w:r>
      <w:r w:rsidRPr="000B56EF">
        <w:rPr>
          <w:i/>
        </w:rPr>
        <w:t>International Longwall News</w:t>
      </w:r>
      <w:r w:rsidRPr="00B71E29">
        <w:t xml:space="preserve"> (online), </w:t>
      </w:r>
      <w:r w:rsidRPr="00BA6B7D">
        <w:t xml:space="preserve">viewed </w:t>
      </w:r>
      <w:r>
        <w:t>14 May 2010</w:t>
      </w:r>
      <w:r w:rsidRPr="00BA6B7D">
        <w:t>,</w:t>
      </w:r>
      <w:r>
        <w:t xml:space="preserve"> &lt;</w:t>
      </w:r>
      <w:hyperlink r:id="rId16" w:history="1">
        <w:r w:rsidRPr="00B71E29">
          <w:t>http://www.longwalls.com</w:t>
        </w:r>
      </w:hyperlink>
      <w:r>
        <w:t xml:space="preserve">&gt;. </w:t>
      </w:r>
    </w:p>
    <w:p w:rsidR="00691289" w:rsidRPr="00C128A5" w:rsidRDefault="00691289" w:rsidP="00B8358D">
      <w:pPr>
        <w:pStyle w:val="References"/>
        <w:ind w:right="0"/>
        <w:rPr>
          <w:rStyle w:val="EndnotesChar"/>
          <w:szCs w:val="20"/>
        </w:rPr>
      </w:pPr>
      <w:r w:rsidRPr="00C128A5">
        <w:rPr>
          <w:rStyle w:val="EndnotesChar"/>
          <w:szCs w:val="20"/>
        </w:rPr>
        <w:t xml:space="preserve">CFMEU </w:t>
      </w:r>
      <w:r>
        <w:rPr>
          <w:rStyle w:val="EndnotesChar"/>
          <w:szCs w:val="20"/>
        </w:rPr>
        <w:t>(Construction</w:t>
      </w:r>
      <w:r w:rsidR="00A40456">
        <w:rPr>
          <w:rStyle w:val="EndnotesChar"/>
          <w:szCs w:val="20"/>
        </w:rPr>
        <w:t>,</w:t>
      </w:r>
      <w:r>
        <w:rPr>
          <w:rStyle w:val="EndnotesChar"/>
          <w:szCs w:val="20"/>
        </w:rPr>
        <w:t xml:space="preserve"> Forestry</w:t>
      </w:r>
      <w:r w:rsidR="00A40456">
        <w:rPr>
          <w:rStyle w:val="EndnotesChar"/>
          <w:szCs w:val="20"/>
        </w:rPr>
        <w:t>,</w:t>
      </w:r>
      <w:r>
        <w:rPr>
          <w:rStyle w:val="EndnotesChar"/>
          <w:szCs w:val="20"/>
        </w:rPr>
        <w:t xml:space="preserve"> Mining</w:t>
      </w:r>
      <w:r w:rsidR="00A40456">
        <w:rPr>
          <w:rStyle w:val="EndnotesChar"/>
          <w:szCs w:val="20"/>
        </w:rPr>
        <w:t xml:space="preserve"> and</w:t>
      </w:r>
      <w:r>
        <w:rPr>
          <w:rStyle w:val="EndnotesChar"/>
          <w:szCs w:val="20"/>
        </w:rPr>
        <w:t xml:space="preserve"> Energy Union) </w:t>
      </w:r>
      <w:r w:rsidRPr="00C128A5">
        <w:rPr>
          <w:rStyle w:val="EndnotesChar"/>
          <w:szCs w:val="20"/>
        </w:rPr>
        <w:t>2010</w:t>
      </w:r>
      <w:r>
        <w:rPr>
          <w:rStyle w:val="EndnotesChar"/>
          <w:szCs w:val="20"/>
        </w:rPr>
        <w:t>,</w:t>
      </w:r>
      <w:r w:rsidRPr="00C128A5">
        <w:rPr>
          <w:rStyle w:val="EndnotesChar"/>
          <w:szCs w:val="20"/>
        </w:rPr>
        <w:t xml:space="preserve"> Submission to National Resources Sector Employment Taskforce (NRSET) Discussion Paper, ‘Rescuing the Future’, March 2010. CFMEU Submission lodged in April 2010.</w:t>
      </w:r>
    </w:p>
    <w:p w:rsidR="00691289" w:rsidRPr="00B71E29" w:rsidRDefault="00691289" w:rsidP="00B8358D">
      <w:pPr>
        <w:pStyle w:val="References"/>
        <w:ind w:right="-143"/>
      </w:pPr>
      <w:r w:rsidRPr="00B71E29">
        <w:t>Chamber of Minerals and Ener</w:t>
      </w:r>
      <w:r>
        <w:t xml:space="preserve">gy, Western Australia 2005, </w:t>
      </w:r>
      <w:r w:rsidRPr="000B56EF">
        <w:rPr>
          <w:i/>
        </w:rPr>
        <w:t>Fly in/fly out: a sustainability perspective</w:t>
      </w:r>
      <w:r w:rsidRPr="00B71E29">
        <w:t xml:space="preserve">, CMEWA, </w:t>
      </w:r>
      <w:r>
        <w:t>viewed</w:t>
      </w:r>
      <w:r w:rsidRPr="00B71E29">
        <w:t xml:space="preserve"> </w:t>
      </w:r>
      <w:r w:rsidRPr="00B71E29">
        <w:rPr>
          <w:iCs/>
        </w:rPr>
        <w:t>20 May 2010</w:t>
      </w:r>
      <w:r>
        <w:rPr>
          <w:iCs/>
        </w:rPr>
        <w:t xml:space="preserve">, </w:t>
      </w:r>
      <w:r w:rsidR="00B8358D">
        <w:rPr>
          <w:iCs/>
        </w:rPr>
        <w:t>&lt;</w:t>
      </w:r>
      <w:r>
        <w:rPr>
          <w:iCs/>
        </w:rPr>
        <w:t>http://</w:t>
      </w:r>
      <w:hyperlink r:id="rId17" w:history="1">
        <w:r w:rsidRPr="00B71E29">
          <w:t>www.peopleforthefuture.com.au/files/files/20_FIFO_Report.pdf</w:t>
        </w:r>
      </w:hyperlink>
      <w:r>
        <w:t>&gt;</w:t>
      </w:r>
      <w:r w:rsidRPr="00B71E29">
        <w:rPr>
          <w:iCs/>
        </w:rPr>
        <w:t>.</w:t>
      </w:r>
    </w:p>
    <w:p w:rsidR="00691289" w:rsidRPr="00B71E29" w:rsidRDefault="00691289" w:rsidP="00B8358D">
      <w:pPr>
        <w:pStyle w:val="References"/>
        <w:ind w:right="0"/>
      </w:pPr>
      <w:r w:rsidRPr="00B71E29">
        <w:t>Cos</w:t>
      </w:r>
      <w:r>
        <w:t xml:space="preserve">ta, S, Silva, A &amp; Hui, V 2006, </w:t>
      </w:r>
      <w:r w:rsidRPr="000B56EF">
        <w:rPr>
          <w:i/>
        </w:rPr>
        <w:t>What are the opportunities and challenges for women in fly-in-fly-out (FIFO) mining in Canada? An exploratory study</w:t>
      </w:r>
      <w:r w:rsidRPr="00B71E29">
        <w:t xml:space="preserve">, </w:t>
      </w:r>
      <w:r>
        <w:t xml:space="preserve">viewed </w:t>
      </w:r>
      <w:r w:rsidRPr="00B71E29">
        <w:rPr>
          <w:iCs/>
        </w:rPr>
        <w:t>20 May 2010</w:t>
      </w:r>
      <w:r>
        <w:rPr>
          <w:iCs/>
        </w:rPr>
        <w:t>, &lt;http://</w:t>
      </w:r>
      <w:hyperlink r:id="rId18" w:history="1">
        <w:r w:rsidR="00B8358D" w:rsidRPr="00A22AD5">
          <w:rPr>
            <w:rStyle w:val="Hyperlink"/>
            <w:sz w:val="18"/>
          </w:rPr>
          <w:t>www.womeninmining.net/ pdf/fifo_women.pdf</w:t>
        </w:r>
      </w:hyperlink>
      <w:r>
        <w:t>&gt;</w:t>
      </w:r>
      <w:r w:rsidRPr="00B71E29">
        <w:rPr>
          <w:iCs/>
        </w:rPr>
        <w:t>.</w:t>
      </w:r>
    </w:p>
    <w:p w:rsidR="00691289" w:rsidRDefault="00691289" w:rsidP="00B8358D">
      <w:pPr>
        <w:pStyle w:val="References"/>
        <w:ind w:right="0"/>
      </w:pPr>
      <w:r>
        <w:t>Daley, M 2010, ‘Improving s</w:t>
      </w:r>
      <w:r w:rsidRPr="00B71E29">
        <w:t xml:space="preserve">afety in the NSW Meat Industry’, NSW Government </w:t>
      </w:r>
      <w:r>
        <w:t>p</w:t>
      </w:r>
      <w:r w:rsidRPr="00B71E29">
        <w:t xml:space="preserve">ress </w:t>
      </w:r>
      <w:r>
        <w:t>r</w:t>
      </w:r>
      <w:r w:rsidRPr="00B71E29">
        <w:t xml:space="preserve">elease, </w:t>
      </w:r>
      <w:r w:rsidRPr="00BA6B7D">
        <w:t xml:space="preserve">viewed </w:t>
      </w:r>
      <w:r>
        <w:t>18 May 2010, &lt;</w:t>
      </w:r>
      <w:hyperlink r:id="rId19" w:history="1">
        <w:r w:rsidRPr="00B71E29">
          <w:t>http://www.workcover.nsw.gov.au</w:t>
        </w:r>
      </w:hyperlink>
      <w:r>
        <w:t>&gt;.</w:t>
      </w:r>
    </w:p>
    <w:p w:rsidR="00691289" w:rsidRPr="00911FE7" w:rsidRDefault="00691289" w:rsidP="00B8358D">
      <w:pPr>
        <w:pStyle w:val="References"/>
        <w:ind w:right="0"/>
        <w:rPr>
          <w:rStyle w:val="EndnotesChar"/>
        </w:rPr>
      </w:pPr>
      <w:r w:rsidRPr="00911FE7">
        <w:rPr>
          <w:rStyle w:val="EndnotesChar"/>
        </w:rPr>
        <w:t>Davis, M</w:t>
      </w:r>
      <w:r>
        <w:rPr>
          <w:rStyle w:val="EndnotesChar"/>
        </w:rPr>
        <w:t xml:space="preserve"> </w:t>
      </w:r>
      <w:r w:rsidRPr="00911FE7">
        <w:rPr>
          <w:rStyle w:val="EndnotesChar"/>
        </w:rPr>
        <w:t>2009</w:t>
      </w:r>
      <w:r>
        <w:rPr>
          <w:rStyle w:val="EndnotesChar"/>
        </w:rPr>
        <w:t>,</w:t>
      </w:r>
      <w:r w:rsidRPr="00911FE7">
        <w:rPr>
          <w:rStyle w:val="EndnotesChar"/>
        </w:rPr>
        <w:t xml:space="preserve"> ‘Back to work, sooner or later’, </w:t>
      </w:r>
      <w:r w:rsidRPr="00911FE7">
        <w:rPr>
          <w:rStyle w:val="EndnotesChar"/>
          <w:i/>
        </w:rPr>
        <w:t>The Sydney Morning Herald</w:t>
      </w:r>
      <w:r w:rsidRPr="00911FE7">
        <w:rPr>
          <w:rStyle w:val="EndnotesChar"/>
        </w:rPr>
        <w:t>, 15 August, p</w:t>
      </w:r>
      <w:r>
        <w:rPr>
          <w:rStyle w:val="EndnotesChar"/>
        </w:rPr>
        <w:t>.</w:t>
      </w:r>
      <w:r w:rsidRPr="00911FE7">
        <w:rPr>
          <w:rStyle w:val="EndnotesChar"/>
        </w:rPr>
        <w:t>5.</w:t>
      </w:r>
    </w:p>
    <w:p w:rsidR="00691289" w:rsidRPr="00B71E29" w:rsidRDefault="00691289" w:rsidP="00B8358D">
      <w:pPr>
        <w:pStyle w:val="References"/>
        <w:ind w:right="0"/>
      </w:pPr>
      <w:r w:rsidRPr="00B71E29">
        <w:t>Davis, SJ, Faberman, RJ</w:t>
      </w:r>
      <w:r>
        <w:t xml:space="preserve"> &amp;</w:t>
      </w:r>
      <w:r w:rsidRPr="00B71E29">
        <w:t xml:space="preserve"> Haltiwanger, J 20</w:t>
      </w:r>
      <w:r>
        <w:t xml:space="preserve">06, </w:t>
      </w:r>
      <w:r w:rsidRPr="000B56EF">
        <w:rPr>
          <w:i/>
        </w:rPr>
        <w:t>The flow approach to labor markets: new data sources and micro-macro links</w:t>
      </w:r>
      <w:r>
        <w:t>, working p</w:t>
      </w:r>
      <w:r w:rsidRPr="00B71E29">
        <w:t>aper 12167, National Bureau of Economic Research, Cambridge, MA.</w:t>
      </w:r>
    </w:p>
    <w:p w:rsidR="00691289" w:rsidRPr="00B71E29" w:rsidRDefault="00691289" w:rsidP="00B8358D">
      <w:pPr>
        <w:pStyle w:val="References"/>
        <w:ind w:right="0"/>
        <w:rPr>
          <w:iCs/>
        </w:rPr>
      </w:pPr>
      <w:r>
        <w:t xml:space="preserve">Department of Education, Employment and Workplace Relations 2009, </w:t>
      </w:r>
      <w:r w:rsidRPr="000B56EF">
        <w:rPr>
          <w:i/>
        </w:rPr>
        <w:t>A national quality framework for early childhood education and care, summary outcomes of first wave of public consultations on reform proposals, August and September 2008</w:t>
      </w:r>
      <w:r w:rsidRPr="00B71E29">
        <w:t xml:space="preserve">, </w:t>
      </w:r>
      <w:r>
        <w:t>viewed</w:t>
      </w:r>
      <w:r w:rsidRPr="00B71E29">
        <w:t xml:space="preserve"> </w:t>
      </w:r>
      <w:r w:rsidRPr="00B71E29">
        <w:rPr>
          <w:iCs/>
        </w:rPr>
        <w:t>18 June 2010</w:t>
      </w:r>
      <w:r>
        <w:rPr>
          <w:iCs/>
        </w:rPr>
        <w:t>, &lt;http://</w:t>
      </w:r>
      <w:hyperlink r:id="rId20" w:history="1">
        <w:r w:rsidR="00456558" w:rsidRPr="00A22AD5">
          <w:rPr>
            <w:rStyle w:val="Hyperlink"/>
            <w:sz w:val="18"/>
          </w:rPr>
          <w:t>www.deewr.gov.au/ EarlyChildhood/.../Quality %20Consultation%20Findings.pdf</w:t>
        </w:r>
      </w:hyperlink>
      <w:r>
        <w:t>&gt;</w:t>
      </w:r>
      <w:r w:rsidRPr="00B71E29">
        <w:rPr>
          <w:iCs/>
        </w:rPr>
        <w:t>.</w:t>
      </w:r>
    </w:p>
    <w:p w:rsidR="00691289" w:rsidRPr="00B71E29" w:rsidRDefault="00691289" w:rsidP="00B8358D">
      <w:pPr>
        <w:pStyle w:val="References"/>
        <w:ind w:right="0"/>
        <w:rPr>
          <w:iCs/>
        </w:rPr>
      </w:pPr>
      <w:r>
        <w:t>Department of Education, Employment and Workplace Relations</w:t>
      </w:r>
      <w:r w:rsidRPr="00B71E29">
        <w:rPr>
          <w:iCs/>
        </w:rPr>
        <w:t xml:space="preserve">, </w:t>
      </w:r>
      <w:r>
        <w:rPr>
          <w:iCs/>
        </w:rPr>
        <w:t xml:space="preserve">Minerals Council of Australia </w:t>
      </w:r>
      <w:r w:rsidRPr="00B71E29">
        <w:rPr>
          <w:iCs/>
        </w:rPr>
        <w:t xml:space="preserve">&amp; </w:t>
      </w:r>
      <w:r>
        <w:rPr>
          <w:iCs/>
        </w:rPr>
        <w:t xml:space="preserve">National Farmers Federation 2009, </w:t>
      </w:r>
      <w:r w:rsidRPr="000B56EF">
        <w:rPr>
          <w:i/>
          <w:iCs/>
        </w:rPr>
        <w:t>Australian Regional Agricultural and Mining Skills Project (ARAMS): final report</w:t>
      </w:r>
      <w:r w:rsidRPr="00B71E29">
        <w:rPr>
          <w:iCs/>
        </w:rPr>
        <w:t xml:space="preserve">, </w:t>
      </w:r>
      <w:r>
        <w:rPr>
          <w:iCs/>
        </w:rPr>
        <w:t xml:space="preserve">viewed </w:t>
      </w:r>
      <w:r w:rsidRPr="004575CB">
        <w:rPr>
          <w:iCs/>
        </w:rPr>
        <w:t>30 June 2010</w:t>
      </w:r>
      <w:r>
        <w:rPr>
          <w:iCs/>
        </w:rPr>
        <w:t>, &lt;http://</w:t>
      </w:r>
      <w:r w:rsidRPr="004575CB">
        <w:t>www.minerals.org.au/data/assets/pdf.../ARAMS_final_RPT.pdf</w:t>
      </w:r>
      <w:r>
        <w:rPr>
          <w:iCs/>
        </w:rPr>
        <w:t>&gt;</w:t>
      </w:r>
      <w:r w:rsidRPr="00B71E29">
        <w:rPr>
          <w:iCs/>
        </w:rPr>
        <w:t>.</w:t>
      </w:r>
    </w:p>
    <w:p w:rsidR="00691289" w:rsidRPr="00B71E29" w:rsidRDefault="00691289" w:rsidP="00B8358D">
      <w:pPr>
        <w:pStyle w:val="References"/>
        <w:ind w:right="0"/>
      </w:pPr>
      <w:r w:rsidRPr="00B71E29">
        <w:t>Dunlop, JT 1988, ‘Labor markets and wage determination: then and now’</w:t>
      </w:r>
      <w:r>
        <w:t>,</w:t>
      </w:r>
      <w:r w:rsidRPr="00B71E29">
        <w:t xml:space="preserve"> in </w:t>
      </w:r>
      <w:r w:rsidRPr="00B71E29">
        <w:rPr>
          <w:i/>
        </w:rPr>
        <w:t>How labor markets work: reflections on theory and practice</w:t>
      </w:r>
      <w:r w:rsidRPr="00B71E29">
        <w:t xml:space="preserve">, ed. BE Kaufman, Lexington Books, </w:t>
      </w:r>
      <w:r>
        <w:t>MA.</w:t>
      </w:r>
    </w:p>
    <w:p w:rsidR="00691289" w:rsidRPr="00B71E29" w:rsidRDefault="00691289" w:rsidP="00B8358D">
      <w:pPr>
        <w:pStyle w:val="References"/>
        <w:ind w:right="0"/>
      </w:pPr>
      <w:r w:rsidRPr="00B71E29">
        <w:t xml:space="preserve">Erikson, R </w:t>
      </w:r>
      <w:r>
        <w:t>&amp;</w:t>
      </w:r>
      <w:r w:rsidRPr="00B71E29">
        <w:t xml:space="preserve"> Goldthorpe</w:t>
      </w:r>
      <w:r>
        <w:t>, J</w:t>
      </w:r>
      <w:r w:rsidRPr="00B71E29">
        <w:t xml:space="preserve"> 1992, </w:t>
      </w:r>
      <w:r w:rsidRPr="00B71E29">
        <w:rPr>
          <w:i/>
        </w:rPr>
        <w:t>The constant flux</w:t>
      </w:r>
      <w:r w:rsidRPr="00B71E29">
        <w:t>, Oxford, Clarendon</w:t>
      </w:r>
      <w:r>
        <w:t>.</w:t>
      </w:r>
    </w:p>
    <w:p w:rsidR="00691289" w:rsidRPr="00B71E29" w:rsidRDefault="00691289" w:rsidP="00B8358D">
      <w:pPr>
        <w:pStyle w:val="References"/>
        <w:ind w:right="0"/>
      </w:pPr>
      <w:r w:rsidRPr="00B71E29">
        <w:t>Evesson, J, Bretherton, T, Buchanan, J, Ra</w:t>
      </w:r>
      <w:r>
        <w:t xml:space="preserve">fferty, M &amp; Considine, G 2009, </w:t>
      </w:r>
      <w:r w:rsidRPr="004575CB">
        <w:rPr>
          <w:i/>
        </w:rPr>
        <w:t>Understanding vocational education and training, productivity and workforce participation: an issues paper</w:t>
      </w:r>
      <w:r w:rsidRPr="00B71E29">
        <w:t>, NCVER, Adelaide.</w:t>
      </w:r>
    </w:p>
    <w:p w:rsidR="00691289" w:rsidRPr="00B71E29" w:rsidRDefault="00691289" w:rsidP="00B8358D">
      <w:pPr>
        <w:pStyle w:val="References"/>
        <w:ind w:right="0"/>
      </w:pPr>
      <w:r w:rsidRPr="00B71E29">
        <w:t>Fenech, M, Waniganayake, M &amp; Fleet, A 2009, ‘More than a shortag</w:t>
      </w:r>
      <w:r>
        <w:t>e of early childhood teachers: l</w:t>
      </w:r>
      <w:r w:rsidRPr="00B71E29">
        <w:t xml:space="preserve">ooking beyond the recruitment of university qualified teachers to promote quality early childhood education and care’, </w:t>
      </w:r>
      <w:r w:rsidRPr="004575CB">
        <w:rPr>
          <w:i/>
        </w:rPr>
        <w:t>Asia</w:t>
      </w:r>
      <w:r>
        <w:rPr>
          <w:i/>
        </w:rPr>
        <w:t>–</w:t>
      </w:r>
      <w:r w:rsidRPr="004575CB">
        <w:rPr>
          <w:i/>
        </w:rPr>
        <w:t>Pacific Journal of Teacher Education</w:t>
      </w:r>
      <w:r>
        <w:t>, vol.37, no.2, pp.199</w:t>
      </w:r>
      <w:r w:rsidR="00FE4D5A">
        <w:t>—</w:t>
      </w:r>
      <w:r w:rsidRPr="00B71E29">
        <w:t>213.</w:t>
      </w:r>
    </w:p>
    <w:p w:rsidR="00691289" w:rsidRPr="00B71E29" w:rsidRDefault="00691289" w:rsidP="00B8358D">
      <w:pPr>
        <w:pStyle w:val="References"/>
        <w:ind w:right="0"/>
      </w:pPr>
      <w:r w:rsidRPr="00B71E29">
        <w:t xml:space="preserve">Fine, B 1998, </w:t>
      </w:r>
      <w:r w:rsidRPr="00B71E29">
        <w:rPr>
          <w:i/>
        </w:rPr>
        <w:t>Labor market theory: a constructive reassessment</w:t>
      </w:r>
      <w:r w:rsidRPr="00B71E29">
        <w:t>, Routledge, London.</w:t>
      </w:r>
    </w:p>
    <w:p w:rsidR="00691289" w:rsidRPr="00B71E29" w:rsidRDefault="00691289" w:rsidP="00B8358D">
      <w:pPr>
        <w:pStyle w:val="References"/>
        <w:ind w:right="0"/>
      </w:pPr>
      <w:r w:rsidRPr="00B71E29">
        <w:t>Fuller, G 2</w:t>
      </w:r>
      <w:r>
        <w:t xml:space="preserve">009, </w:t>
      </w:r>
      <w:r w:rsidRPr="0046351F">
        <w:rPr>
          <w:i/>
        </w:rPr>
        <w:t>Mining meets Generation Y, recruiting advice</w:t>
      </w:r>
      <w:r w:rsidRPr="00B71E29">
        <w:t xml:space="preserve">, </w:t>
      </w:r>
      <w:r>
        <w:t>viewed 13 May 2010,</w:t>
      </w:r>
      <w:r w:rsidRPr="001B5639">
        <w:t xml:space="preserve"> &lt;</w:t>
      </w:r>
      <w:hyperlink r:id="rId21" w:history="1">
        <w:r w:rsidRPr="00B71E29">
          <w:t>http://www.mining-technology.com</w:t>
        </w:r>
      </w:hyperlink>
      <w:r>
        <w:t>&gt;.</w:t>
      </w:r>
      <w:r w:rsidRPr="00B71E29">
        <w:t xml:space="preserve"> </w:t>
      </w:r>
    </w:p>
    <w:p w:rsidR="00691289" w:rsidRDefault="00691289" w:rsidP="00B8358D">
      <w:pPr>
        <w:pStyle w:val="References"/>
        <w:ind w:right="0"/>
      </w:pPr>
      <w:r>
        <w:lastRenderedPageBreak/>
        <w:t>Gielen, AC &amp; van Ours, J</w:t>
      </w:r>
      <w:r w:rsidRPr="00B71E29">
        <w:t xml:space="preserve">C 2006, ‘Age-specific cyclical effects in job reallocation and labor mobility’, </w:t>
      </w:r>
      <w:r w:rsidRPr="00B71E29">
        <w:rPr>
          <w:i/>
        </w:rPr>
        <w:t>Labour Economics</w:t>
      </w:r>
      <w:r>
        <w:t>, vol.13, issue 4, pp.439</w:t>
      </w:r>
      <w:r w:rsidR="00FE4D5A">
        <w:t>—</w:t>
      </w:r>
      <w:r w:rsidRPr="00B71E29">
        <w:t>504.</w:t>
      </w:r>
    </w:p>
    <w:p w:rsidR="00691289" w:rsidRDefault="00691289" w:rsidP="00B8358D">
      <w:pPr>
        <w:pStyle w:val="References"/>
        <w:ind w:right="0"/>
      </w:pPr>
      <w:r>
        <w:t xml:space="preserve">Gillard, J (The Hon.) 2009, ‘Media Release on Labour Force </w:t>
      </w:r>
      <w:r w:rsidR="00FE4D5A">
        <w:t>—</w:t>
      </w:r>
      <w:r>
        <w:t xml:space="preserve"> June 2009’, 9 July 2009. </w:t>
      </w:r>
    </w:p>
    <w:p w:rsidR="00691289" w:rsidRDefault="00691289" w:rsidP="00B8358D">
      <w:pPr>
        <w:pStyle w:val="References"/>
        <w:ind w:right="0"/>
      </w:pPr>
      <w:r w:rsidRPr="00B71E29">
        <w:t xml:space="preserve">Goldthorpe, J 1980, </w:t>
      </w:r>
      <w:r w:rsidRPr="00B71E29">
        <w:rPr>
          <w:i/>
        </w:rPr>
        <w:t>Social mobility and the class structure in modern Britain</w:t>
      </w:r>
      <w:r w:rsidRPr="00B71E29">
        <w:t>, Cambridge University Press, Cambridge</w:t>
      </w:r>
      <w:r>
        <w:t>.</w:t>
      </w:r>
    </w:p>
    <w:p w:rsidR="00691289" w:rsidRPr="00B71E29" w:rsidRDefault="00691289" w:rsidP="00B8358D">
      <w:pPr>
        <w:pStyle w:val="References"/>
        <w:ind w:right="0"/>
      </w:pPr>
      <w:r w:rsidRPr="00911FE7">
        <w:rPr>
          <w:iCs/>
          <w:szCs w:val="22"/>
        </w:rPr>
        <w:t>Henderson, G</w:t>
      </w:r>
      <w:r>
        <w:rPr>
          <w:iCs/>
          <w:szCs w:val="22"/>
        </w:rPr>
        <w:t xml:space="preserve"> </w:t>
      </w:r>
      <w:r w:rsidRPr="00911FE7">
        <w:rPr>
          <w:iCs/>
          <w:szCs w:val="22"/>
        </w:rPr>
        <w:t xml:space="preserve">2009, ‘Danger for jobs as IR </w:t>
      </w:r>
      <w:r>
        <w:rPr>
          <w:iCs/>
          <w:szCs w:val="22"/>
        </w:rPr>
        <w:t>c</w:t>
      </w:r>
      <w:r w:rsidRPr="00911FE7">
        <w:rPr>
          <w:iCs/>
          <w:szCs w:val="22"/>
        </w:rPr>
        <w:t xml:space="preserve">lub returns’, </w:t>
      </w:r>
      <w:r w:rsidRPr="00911FE7">
        <w:rPr>
          <w:i/>
          <w:iCs/>
          <w:szCs w:val="22"/>
        </w:rPr>
        <w:t>The West Australian</w:t>
      </w:r>
      <w:r w:rsidRPr="00911FE7">
        <w:rPr>
          <w:iCs/>
          <w:szCs w:val="22"/>
        </w:rPr>
        <w:t>, 14 July, p</w:t>
      </w:r>
      <w:r>
        <w:rPr>
          <w:iCs/>
          <w:szCs w:val="22"/>
        </w:rPr>
        <w:t>.</w:t>
      </w:r>
      <w:r w:rsidRPr="00911FE7">
        <w:rPr>
          <w:iCs/>
          <w:szCs w:val="22"/>
        </w:rPr>
        <w:t>21</w:t>
      </w:r>
      <w:r>
        <w:rPr>
          <w:iCs/>
          <w:szCs w:val="22"/>
        </w:rPr>
        <w:t>.</w:t>
      </w:r>
    </w:p>
    <w:p w:rsidR="00691289" w:rsidRPr="00B71E29" w:rsidRDefault="00691289" w:rsidP="00B8358D">
      <w:pPr>
        <w:pStyle w:val="References"/>
        <w:ind w:right="0"/>
      </w:pPr>
      <w:r w:rsidRPr="00B71E29">
        <w:t>I</w:t>
      </w:r>
      <w:r>
        <w:t xml:space="preserve">ndustry Commission 1994, </w:t>
      </w:r>
      <w:r w:rsidRPr="0046351F">
        <w:rPr>
          <w:i/>
        </w:rPr>
        <w:t>Meat processing, volume 1: report</w:t>
      </w:r>
      <w:r>
        <w:t>, r</w:t>
      </w:r>
      <w:r w:rsidRPr="00B71E29">
        <w:t xml:space="preserve">eport </w:t>
      </w:r>
      <w:r>
        <w:t>n</w:t>
      </w:r>
      <w:r w:rsidRPr="00B71E29">
        <w:t xml:space="preserve">o.38, </w:t>
      </w:r>
      <w:r>
        <w:t>AGPS</w:t>
      </w:r>
      <w:r w:rsidRPr="00B71E29">
        <w:t>, Melbourne.</w:t>
      </w:r>
    </w:p>
    <w:p w:rsidR="00691289" w:rsidRPr="00B71E29" w:rsidRDefault="00691289" w:rsidP="00B8358D">
      <w:pPr>
        <w:pStyle w:val="References"/>
        <w:ind w:right="0"/>
      </w:pPr>
      <w:r w:rsidRPr="00B71E29">
        <w:t xml:space="preserve">Kandel, W &amp; Parrado, E 2005, ‘Restructuring of the US meat processing industry and new Hispanic migrant destinations’, </w:t>
      </w:r>
      <w:r w:rsidRPr="0046351F">
        <w:rPr>
          <w:i/>
        </w:rPr>
        <w:t>Population and Development Review</w:t>
      </w:r>
      <w:r>
        <w:t>, vol.31, no.3, pp.447</w:t>
      </w:r>
      <w:r w:rsidR="00456558">
        <w:t>—</w:t>
      </w:r>
      <w:r w:rsidRPr="00B71E29">
        <w:t>71.</w:t>
      </w:r>
    </w:p>
    <w:p w:rsidR="00691289" w:rsidRDefault="00691289" w:rsidP="00B8358D">
      <w:pPr>
        <w:pStyle w:val="References"/>
        <w:ind w:right="0"/>
      </w:pPr>
      <w:r w:rsidRPr="00B71E29">
        <w:t>Kaufman, BE</w:t>
      </w:r>
      <w:r>
        <w:t xml:space="preserve"> </w:t>
      </w:r>
      <w:r w:rsidRPr="00740DDB">
        <w:t>(ed</w:t>
      </w:r>
      <w:r>
        <w:t>.</w:t>
      </w:r>
      <w:r w:rsidRPr="00B71E29">
        <w:t>)</w:t>
      </w:r>
      <w:r>
        <w:t xml:space="preserve"> 1988, </w:t>
      </w:r>
      <w:r w:rsidRPr="00B71E29">
        <w:rPr>
          <w:i/>
        </w:rPr>
        <w:t>How labor markets work: reflections on theory and practice</w:t>
      </w:r>
      <w:r w:rsidRPr="00B71E29">
        <w:t xml:space="preserve">, Lexington Books, </w:t>
      </w:r>
      <w:r>
        <w:t>MA.</w:t>
      </w:r>
    </w:p>
    <w:p w:rsidR="00691289" w:rsidRPr="00B71E29" w:rsidRDefault="00691289" w:rsidP="00B8358D">
      <w:pPr>
        <w:pStyle w:val="References"/>
        <w:ind w:right="0"/>
      </w:pPr>
      <w:r>
        <w:t xml:space="preserve">Lemaitre, G 2004, </w:t>
      </w:r>
      <w:r w:rsidRPr="0046351F">
        <w:rPr>
          <w:i/>
        </w:rPr>
        <w:t>Bilateral labour mobility agreements</w:t>
      </w:r>
      <w:r w:rsidRPr="00B71E29">
        <w:t>, OECD</w:t>
      </w:r>
      <w:r>
        <w:t>, Paris</w:t>
      </w:r>
      <w:r w:rsidRPr="00B71E29">
        <w:t>.</w:t>
      </w:r>
    </w:p>
    <w:p w:rsidR="00691289" w:rsidRPr="00B71E29" w:rsidRDefault="00691289" w:rsidP="00B8358D">
      <w:pPr>
        <w:pStyle w:val="References"/>
        <w:ind w:right="0"/>
      </w:pPr>
      <w:r w:rsidRPr="00BA6B7D">
        <w:t xml:space="preserve">LHMU </w:t>
      </w:r>
      <w:r>
        <w:t xml:space="preserve">(Liquor Hospitality and Miscellaneous Workers Union) </w:t>
      </w:r>
      <w:r w:rsidRPr="00BA6B7D">
        <w:t>2</w:t>
      </w:r>
      <w:r w:rsidRPr="00B71E29">
        <w:t xml:space="preserve">008, ‘Union push for childcare sector boost’, </w:t>
      </w:r>
      <w:r>
        <w:t>18</w:t>
      </w:r>
      <w:r w:rsidR="00FE4D5A">
        <w:t> </w:t>
      </w:r>
      <w:r>
        <w:t xml:space="preserve">September, </w:t>
      </w:r>
      <w:r w:rsidRPr="001B5639">
        <w:t xml:space="preserve">viewed </w:t>
      </w:r>
      <w:r>
        <w:t>14 May 2010, &lt;</w:t>
      </w:r>
      <w:hyperlink r:id="rId22" w:history="1">
        <w:r w:rsidRPr="00B71E29">
          <w:t>http://www.lhmu.org.au/news</w:t>
        </w:r>
      </w:hyperlink>
      <w:r>
        <w:t>&gt;</w:t>
      </w:r>
      <w:r w:rsidRPr="00B71E29">
        <w:t>.</w:t>
      </w:r>
    </w:p>
    <w:p w:rsidR="00691289" w:rsidRDefault="00691289" w:rsidP="00B8358D">
      <w:pPr>
        <w:pStyle w:val="References"/>
        <w:ind w:right="0"/>
      </w:pPr>
      <w:r>
        <w:t>——2009, ‘Childcare workers tell s</w:t>
      </w:r>
      <w:r w:rsidRPr="00B71E29">
        <w:t>enators how it is’</w:t>
      </w:r>
      <w:r>
        <w:t xml:space="preserve">, 22 July 2009, </w:t>
      </w:r>
      <w:r w:rsidRPr="001B5639">
        <w:t xml:space="preserve">viewed </w:t>
      </w:r>
      <w:r>
        <w:t>14 May 2010, &lt;</w:t>
      </w:r>
      <w:hyperlink r:id="rId23" w:history="1">
        <w:r w:rsidRPr="00B71E29">
          <w:t>http://www.lhmu.org.au/news</w:t>
        </w:r>
      </w:hyperlink>
      <w:r>
        <w:t>&gt;</w:t>
      </w:r>
      <w:r w:rsidRPr="00B71E29">
        <w:t>.</w:t>
      </w:r>
    </w:p>
    <w:p w:rsidR="00691289" w:rsidRPr="00B71E29" w:rsidRDefault="00691289" w:rsidP="00B8358D">
      <w:pPr>
        <w:pStyle w:val="References"/>
        <w:ind w:right="0"/>
      </w:pPr>
      <w:r>
        <w:t xml:space="preserve">Lucas, </w:t>
      </w:r>
      <w:r>
        <w:rPr>
          <w:rStyle w:val="EndnotesChar"/>
        </w:rPr>
        <w:t xml:space="preserve">R 2008, </w:t>
      </w:r>
      <w:r w:rsidR="00DE11E0">
        <w:rPr>
          <w:rStyle w:val="EndnotesChar"/>
        </w:rPr>
        <w:t>‘</w:t>
      </w:r>
      <w:r>
        <w:rPr>
          <w:rStyle w:val="EndnotesChar"/>
        </w:rPr>
        <w:t>International Labor Migration in a Globalising Economy</w:t>
      </w:r>
      <w:r w:rsidR="00DE11E0">
        <w:rPr>
          <w:rStyle w:val="EndnotesChar"/>
        </w:rPr>
        <w:t>’</w:t>
      </w:r>
      <w:r>
        <w:rPr>
          <w:rStyle w:val="EndnotesChar"/>
        </w:rPr>
        <w:t>, Carnegie Paper (Trade, Equity and Development Program) no.92, viewed 9 July 2011,</w:t>
      </w:r>
      <w:r>
        <w:t>&lt;</w:t>
      </w:r>
      <w:r w:rsidRPr="003917ED">
        <w:t>http://carnegie-mec.org/publications/?fa=22272</w:t>
      </w:r>
      <w:r>
        <w:t>&gt;.</w:t>
      </w:r>
    </w:p>
    <w:p w:rsidR="00691289" w:rsidRPr="00B71E29" w:rsidRDefault="00691289" w:rsidP="00B8358D">
      <w:pPr>
        <w:pStyle w:val="References"/>
        <w:ind w:right="0"/>
      </w:pPr>
      <w:r w:rsidRPr="00B71E29">
        <w:t>Lowr</w:t>
      </w:r>
      <w:r>
        <w:t xml:space="preserve">y, D, Molloy, S &amp; Tan, Y 2006, </w:t>
      </w:r>
      <w:r w:rsidRPr="00C52556">
        <w:rPr>
          <w:i/>
        </w:rPr>
        <w:t>The labour force outlook in the mineral resources sector: 2005 to 2015</w:t>
      </w:r>
      <w:r w:rsidRPr="00B71E29">
        <w:t>, report prepared for the Minerals Industry National Skills Shortage Strategy, National Institute of Labour Studies, Flinders University, Adelaide.</w:t>
      </w:r>
    </w:p>
    <w:p w:rsidR="00691289" w:rsidRPr="00B71E29" w:rsidRDefault="00691289" w:rsidP="00B8358D">
      <w:pPr>
        <w:pStyle w:val="References"/>
        <w:ind w:right="0"/>
      </w:pPr>
      <w:r w:rsidRPr="00B71E29">
        <w:t xml:space="preserve">Marsden, D 1999, </w:t>
      </w:r>
      <w:r w:rsidRPr="00B71E29">
        <w:rPr>
          <w:i/>
        </w:rPr>
        <w:t>A theory of employment systems</w:t>
      </w:r>
      <w:r>
        <w:rPr>
          <w:i/>
        </w:rPr>
        <w:t xml:space="preserve">: </w:t>
      </w:r>
      <w:r w:rsidRPr="00B71E29">
        <w:rPr>
          <w:i/>
        </w:rPr>
        <w:t>micro-foundations of societal diversity</w:t>
      </w:r>
      <w:r w:rsidRPr="00B71E29">
        <w:t>, Oxford University Press, Oxford</w:t>
      </w:r>
      <w:r>
        <w:t>.</w:t>
      </w:r>
    </w:p>
    <w:p w:rsidR="00691289" w:rsidRPr="00B71E29" w:rsidRDefault="00691289" w:rsidP="00B8358D">
      <w:pPr>
        <w:pStyle w:val="References"/>
        <w:ind w:right="0"/>
        <w:rPr>
          <w:color w:val="000000"/>
        </w:rPr>
      </w:pPr>
      <w:r>
        <w:rPr>
          <w:color w:val="000000"/>
        </w:rPr>
        <w:t>Marshall, G 1998, ‘</w:t>
      </w:r>
      <w:r w:rsidRPr="00B71E29">
        <w:rPr>
          <w:color w:val="000000"/>
        </w:rPr>
        <w:t>Goldthorpe class sch</w:t>
      </w:r>
      <w:r>
        <w:rPr>
          <w:color w:val="000000"/>
        </w:rPr>
        <w:t>eme’,</w:t>
      </w:r>
      <w:r w:rsidRPr="00B71E29">
        <w:rPr>
          <w:color w:val="000000"/>
        </w:rPr>
        <w:t xml:space="preserve"> </w:t>
      </w:r>
      <w:r w:rsidRPr="00B716F8">
        <w:rPr>
          <w:i/>
          <w:color w:val="000000"/>
        </w:rPr>
        <w:t>A dictionary of sociology</w:t>
      </w:r>
      <w:r>
        <w:rPr>
          <w:color w:val="000000"/>
        </w:rPr>
        <w:t>, viewed</w:t>
      </w:r>
      <w:r w:rsidRPr="00B71E29">
        <w:rPr>
          <w:color w:val="000000"/>
        </w:rPr>
        <w:t xml:space="preserve"> </w:t>
      </w:r>
      <w:r>
        <w:rPr>
          <w:color w:val="000000"/>
        </w:rPr>
        <w:t xml:space="preserve">20 May </w:t>
      </w:r>
      <w:r w:rsidRPr="00B71E29">
        <w:rPr>
          <w:color w:val="000000"/>
        </w:rPr>
        <w:t>2011</w:t>
      </w:r>
      <w:r>
        <w:rPr>
          <w:color w:val="000000"/>
        </w:rPr>
        <w:t>,</w:t>
      </w:r>
      <w:r w:rsidRPr="00B71E29">
        <w:rPr>
          <w:color w:val="000000"/>
        </w:rPr>
        <w:t xml:space="preserve"> Encyclopedia.com</w:t>
      </w:r>
      <w:r>
        <w:rPr>
          <w:color w:val="000000"/>
        </w:rPr>
        <w:t>, &lt;</w:t>
      </w:r>
      <w:hyperlink r:id="rId24" w:history="1">
        <w:r w:rsidRPr="00C52556">
          <w:t>http://www.encyclopedia.com/doc/1O88-Goldthorpeclassscheme.html</w:t>
        </w:r>
      </w:hyperlink>
      <w:r>
        <w:t>&gt;.</w:t>
      </w:r>
      <w:r w:rsidRPr="00B71E29">
        <w:rPr>
          <w:color w:val="000000"/>
        </w:rPr>
        <w:t xml:space="preserve"> </w:t>
      </w:r>
    </w:p>
    <w:p w:rsidR="00691289" w:rsidRPr="00B71E29" w:rsidRDefault="00691289" w:rsidP="00B8358D">
      <w:pPr>
        <w:pStyle w:val="References"/>
        <w:ind w:right="0"/>
      </w:pPr>
      <w:r>
        <w:rPr>
          <w:color w:val="000000"/>
        </w:rPr>
        <w:t xml:space="preserve">Marshall, G, Swift, A &amp; Roberts, S 1997, </w:t>
      </w:r>
      <w:r w:rsidRPr="00B71E29">
        <w:rPr>
          <w:i/>
          <w:color w:val="000000"/>
        </w:rPr>
        <w:t>Against the odds? Social class and social justice in industrial societies</w:t>
      </w:r>
      <w:r w:rsidRPr="00B71E29">
        <w:rPr>
          <w:color w:val="000000"/>
        </w:rPr>
        <w:t xml:space="preserve">, </w:t>
      </w:r>
      <w:r>
        <w:rPr>
          <w:color w:val="000000"/>
        </w:rPr>
        <w:t>Oxford University Press, Oxford.</w:t>
      </w:r>
    </w:p>
    <w:p w:rsidR="00691289" w:rsidRPr="00B71E29" w:rsidRDefault="00691289" w:rsidP="00B8358D">
      <w:pPr>
        <w:pStyle w:val="References"/>
        <w:ind w:right="0"/>
      </w:pPr>
      <w:r w:rsidRPr="00B71E29">
        <w:t xml:space="preserve">McNulty, PJ 1980, </w:t>
      </w:r>
      <w:r w:rsidRPr="00B71E29">
        <w:rPr>
          <w:i/>
        </w:rPr>
        <w:t>The origins and development of labor economics</w:t>
      </w:r>
      <w:r w:rsidR="00DE11E0">
        <w:rPr>
          <w:i/>
        </w:rPr>
        <w:t>:</w:t>
      </w:r>
      <w:r w:rsidRPr="00B71E29">
        <w:rPr>
          <w:i/>
        </w:rPr>
        <w:t xml:space="preserve"> a chapter in the history of social thought</w:t>
      </w:r>
      <w:r w:rsidRPr="00B71E29">
        <w:t>, MIT Press, M</w:t>
      </w:r>
      <w:r>
        <w:t>A</w:t>
      </w:r>
      <w:r w:rsidRPr="00B71E29">
        <w:t>.</w:t>
      </w:r>
    </w:p>
    <w:p w:rsidR="00691289" w:rsidRPr="00B71E29" w:rsidRDefault="00691289" w:rsidP="00B8358D">
      <w:pPr>
        <w:pStyle w:val="References"/>
        <w:ind w:right="0"/>
      </w:pPr>
      <w:r>
        <w:t xml:space="preserve">MINTRAC 2006, </w:t>
      </w:r>
      <w:r w:rsidRPr="00C52556">
        <w:rPr>
          <w:i/>
        </w:rPr>
        <w:t>MINTRAC meat industry international study tour February</w:t>
      </w:r>
      <w:r w:rsidR="00456558">
        <w:rPr>
          <w:i/>
        </w:rPr>
        <w:t>—</w:t>
      </w:r>
      <w:r w:rsidRPr="00C52556">
        <w:rPr>
          <w:i/>
        </w:rPr>
        <w:t>March 2006: final report and recommendations</w:t>
      </w:r>
      <w:r w:rsidRPr="00B71E29">
        <w:t>, Sydney.</w:t>
      </w:r>
    </w:p>
    <w:p w:rsidR="00691289" w:rsidRPr="00B71E29" w:rsidRDefault="00691289" w:rsidP="00B8358D">
      <w:pPr>
        <w:pStyle w:val="References"/>
        <w:ind w:right="0"/>
      </w:pPr>
      <w:r>
        <w:t xml:space="preserve">Mitchell, W 2008, </w:t>
      </w:r>
      <w:r w:rsidRPr="00C52556">
        <w:rPr>
          <w:i/>
        </w:rPr>
        <w:t>Labour mobility and low-paid workers</w:t>
      </w:r>
      <w:r w:rsidRPr="00B71E29">
        <w:t>, research report no</w:t>
      </w:r>
      <w:r>
        <w:t>.</w:t>
      </w:r>
      <w:r w:rsidRPr="00B71E29">
        <w:t>5/09, Australian Fair Pay Commission, Melbourne</w:t>
      </w:r>
      <w:r>
        <w:t>.</w:t>
      </w:r>
    </w:p>
    <w:p w:rsidR="00691289" w:rsidRPr="00B71E29" w:rsidRDefault="00691289" w:rsidP="00B8358D">
      <w:pPr>
        <w:pStyle w:val="References"/>
        <w:ind w:right="0"/>
      </w:pPr>
      <w:r w:rsidRPr="00B71E29">
        <w:t xml:space="preserve">Muffels, R 2009, ‘Flexibility and employment security in Europe’, in </w:t>
      </w:r>
      <w:r w:rsidRPr="006B1FD2">
        <w:rPr>
          <w:i/>
        </w:rPr>
        <w:t>Labour Markets in Transition</w:t>
      </w:r>
      <w:r w:rsidRPr="00B71E29">
        <w:t>, Edward Elgar, Cheltenham, UK.</w:t>
      </w:r>
    </w:p>
    <w:p w:rsidR="00691289" w:rsidRPr="00FE4D5A" w:rsidRDefault="00691289" w:rsidP="00B8358D">
      <w:pPr>
        <w:pStyle w:val="References"/>
        <w:ind w:right="0"/>
        <w:rPr>
          <w:szCs w:val="18"/>
        </w:rPr>
      </w:pPr>
      <w:r>
        <w:t>Mu</w:t>
      </w:r>
      <w:r w:rsidRPr="00B71E29">
        <w:t>ffels, R, Wilthagen, T, Wilthagen, H, Van Den, N 200</w:t>
      </w:r>
      <w:r>
        <w:t xml:space="preserve">2, </w:t>
      </w:r>
      <w:r w:rsidRPr="00C52556">
        <w:rPr>
          <w:i/>
        </w:rPr>
        <w:t>Labour market transitions and employment regimes: evidence on the flexibility-security nexus in transitional labour markets</w:t>
      </w:r>
      <w:r>
        <w:t>,</w:t>
      </w:r>
      <w:r w:rsidRPr="00B71E29">
        <w:t xml:space="preserve"> </w:t>
      </w:r>
      <w:r>
        <w:t xml:space="preserve">viewed 9 February 2009, </w:t>
      </w:r>
      <w:r w:rsidRPr="00FE4D5A">
        <w:rPr>
          <w:szCs w:val="18"/>
        </w:rPr>
        <w:t>&lt;</w:t>
      </w:r>
      <w:hyperlink r:id="rId25" w:history="1">
        <w:r w:rsidRPr="00FE4D5A">
          <w:rPr>
            <w:rStyle w:val="Hyperlink"/>
            <w:sz w:val="18"/>
            <w:szCs w:val="18"/>
          </w:rPr>
          <w:t>http://mpra.ub.uni-muenchen.de/13301/MPRA Paper No. 13301</w:t>
        </w:r>
      </w:hyperlink>
      <w:r w:rsidRPr="00FE4D5A">
        <w:rPr>
          <w:szCs w:val="18"/>
        </w:rPr>
        <w:t>&gt;.</w:t>
      </w:r>
    </w:p>
    <w:p w:rsidR="00691289" w:rsidRPr="00B71E29" w:rsidRDefault="00691289" w:rsidP="00B8358D">
      <w:pPr>
        <w:pStyle w:val="References"/>
        <w:ind w:right="0"/>
      </w:pPr>
      <w:r w:rsidRPr="00B71E29">
        <w:t xml:space="preserve">National Resources Sector Employment Taskforce 2010, </w:t>
      </w:r>
      <w:r>
        <w:rPr>
          <w:i/>
        </w:rPr>
        <w:t>Resourcing the f</w:t>
      </w:r>
      <w:r w:rsidRPr="00B71E29">
        <w:rPr>
          <w:i/>
        </w:rPr>
        <w:t>uture</w:t>
      </w:r>
      <w:r w:rsidRPr="00B71E29">
        <w:t xml:space="preserve">, </w:t>
      </w:r>
      <w:r>
        <w:t>NRSET</w:t>
      </w:r>
      <w:r w:rsidRPr="00B71E29">
        <w:t xml:space="preserve"> discussion paper’, </w:t>
      </w:r>
      <w:r>
        <w:t>viewed 17 May 2010, &lt;</w:t>
      </w:r>
      <w:hyperlink r:id="rId26" w:history="1">
        <w:r w:rsidR="00456558" w:rsidRPr="00A22AD5">
          <w:rPr>
            <w:rStyle w:val="Hyperlink"/>
            <w:sz w:val="18"/>
          </w:rPr>
          <w:t>http://www.deewr.gov.au/Skills/Programs/National/nrset/Pages/ ResourcingtheFuture.aspx</w:t>
        </w:r>
      </w:hyperlink>
      <w:r>
        <w:t>&gt;</w:t>
      </w:r>
      <w:r w:rsidRPr="00B71E29">
        <w:t>.</w:t>
      </w:r>
    </w:p>
    <w:p w:rsidR="00691289" w:rsidRPr="00B71E29" w:rsidRDefault="00691289" w:rsidP="00B8358D">
      <w:pPr>
        <w:pStyle w:val="References"/>
        <w:ind w:right="0"/>
      </w:pPr>
      <w:r w:rsidRPr="00B71E29">
        <w:t>O’Leary, P 2008, ‘Employers and industrial relations in the Australian meat processing industry: an historical analysis’, unpublished PhD thesis, School of Organisation and Management, UNSW, Sydney.</w:t>
      </w:r>
    </w:p>
    <w:p w:rsidR="00691289" w:rsidRPr="00B71E29" w:rsidRDefault="00691289" w:rsidP="00B8358D">
      <w:pPr>
        <w:pStyle w:val="References"/>
        <w:ind w:right="0"/>
      </w:pPr>
      <w:r w:rsidRPr="00742FB4">
        <w:t xml:space="preserve">Oesch, D </w:t>
      </w:r>
      <w:r>
        <w:t xml:space="preserve">2003, </w:t>
      </w:r>
      <w:r w:rsidRPr="00742FB4">
        <w:t>‘</w:t>
      </w:r>
      <w:r w:rsidRPr="00B71E29">
        <w:t>Labour market trends an</w:t>
      </w:r>
      <w:r>
        <w:t>d the Goldthorpe class schema: a</w:t>
      </w:r>
      <w:r w:rsidRPr="00B71E29">
        <w:t xml:space="preserve"> conceptual reassessment’, </w:t>
      </w:r>
      <w:r w:rsidRPr="00B71E29">
        <w:rPr>
          <w:i/>
        </w:rPr>
        <w:t>Swiss Journal of Sociology</w:t>
      </w:r>
      <w:r>
        <w:t>, vol.</w:t>
      </w:r>
      <w:r w:rsidRPr="00B71E29">
        <w:t>29</w:t>
      </w:r>
      <w:r>
        <w:t>, no.3, pp.241</w:t>
      </w:r>
      <w:r w:rsidR="00FE4D5A">
        <w:t>—</w:t>
      </w:r>
      <w:r w:rsidRPr="00B71E29">
        <w:t>62</w:t>
      </w:r>
      <w:r>
        <w:t>.</w:t>
      </w:r>
    </w:p>
    <w:p w:rsidR="00691289" w:rsidRPr="00B71E29" w:rsidRDefault="00691289" w:rsidP="00B8358D">
      <w:pPr>
        <w:pStyle w:val="References"/>
        <w:ind w:right="0"/>
      </w:pPr>
      <w:r>
        <w:t>——</w:t>
      </w:r>
      <w:r w:rsidRPr="00B71E29">
        <w:t xml:space="preserve">2006, </w:t>
      </w:r>
      <w:r>
        <w:rPr>
          <w:i/>
        </w:rPr>
        <w:t>Redrawing the class map: s</w:t>
      </w:r>
      <w:r w:rsidRPr="006B1FD2">
        <w:rPr>
          <w:i/>
        </w:rPr>
        <w:t>tratification and institutions in Britain, Germany, Sweden and Switzerland</w:t>
      </w:r>
      <w:r w:rsidRPr="00B71E29">
        <w:t xml:space="preserve">, Palgrave, New York. </w:t>
      </w:r>
    </w:p>
    <w:p w:rsidR="00691289" w:rsidRPr="00FE4D5A" w:rsidRDefault="00691289" w:rsidP="00B8358D">
      <w:pPr>
        <w:pStyle w:val="References"/>
        <w:ind w:right="0"/>
        <w:rPr>
          <w:szCs w:val="18"/>
        </w:rPr>
      </w:pPr>
      <w:r w:rsidRPr="00B71E29">
        <w:t xml:space="preserve">Pavlopoulos, D, </w:t>
      </w:r>
      <w:r>
        <w:t xml:space="preserve">Muffels, R &amp;Vermunt, J-K 2005, </w:t>
      </w:r>
      <w:r w:rsidRPr="00C52556">
        <w:rPr>
          <w:i/>
        </w:rPr>
        <w:t>Wage mobility in Europe: a comparative analysis using restricted multinomial logit regression</w:t>
      </w:r>
      <w:r w:rsidRPr="00B71E29">
        <w:t xml:space="preserve">, </w:t>
      </w:r>
      <w:r>
        <w:t xml:space="preserve">viewed 7 November 2007, </w:t>
      </w:r>
      <w:r w:rsidRPr="00FE4D5A">
        <w:rPr>
          <w:szCs w:val="18"/>
        </w:rPr>
        <w:t>&lt;</w:t>
      </w:r>
      <w:hyperlink r:id="rId27" w:history="1">
        <w:r w:rsidR="00FE4D5A" w:rsidRPr="00A22AD5">
          <w:rPr>
            <w:rStyle w:val="Hyperlink"/>
            <w:sz w:val="18"/>
            <w:szCs w:val="18"/>
          </w:rPr>
          <w:t>http://mpra.ub.uni-muenchen.de/ 229/MPRA Paper No.229</w:t>
        </w:r>
      </w:hyperlink>
      <w:r w:rsidRPr="00FE4D5A">
        <w:rPr>
          <w:szCs w:val="18"/>
        </w:rPr>
        <w:t>&gt;.</w:t>
      </w:r>
    </w:p>
    <w:p w:rsidR="00691289" w:rsidRPr="00B71E29" w:rsidRDefault="00691289" w:rsidP="00B8358D">
      <w:pPr>
        <w:pStyle w:val="References"/>
        <w:ind w:right="0"/>
      </w:pPr>
      <w:r w:rsidRPr="00B71E29">
        <w:t>Produ</w:t>
      </w:r>
      <w:r>
        <w:t xml:space="preserve">ctivity Commission 1998, </w:t>
      </w:r>
      <w:r w:rsidRPr="00C52556">
        <w:rPr>
          <w:i/>
        </w:rPr>
        <w:t>Work arrangements in the Australian meat processing industry</w:t>
      </w:r>
      <w:r>
        <w:t>, research r</w:t>
      </w:r>
      <w:r w:rsidRPr="00B71E29">
        <w:t>eport, AusInfo, Canberra.</w:t>
      </w:r>
    </w:p>
    <w:p w:rsidR="00691289" w:rsidRPr="00B71E29" w:rsidRDefault="00691289" w:rsidP="00B8358D">
      <w:pPr>
        <w:pStyle w:val="References"/>
        <w:ind w:right="0"/>
      </w:pPr>
      <w:r w:rsidRPr="00B71E29">
        <w:t xml:space="preserve">Rafferty, M </w:t>
      </w:r>
      <w:r>
        <w:t>&amp;</w:t>
      </w:r>
      <w:r w:rsidRPr="00B71E29">
        <w:t xml:space="preserve"> Norton, K 2010</w:t>
      </w:r>
      <w:r>
        <w:t>,</w:t>
      </w:r>
      <w:r w:rsidRPr="00B71E29">
        <w:t xml:space="preserve"> </w:t>
      </w:r>
      <w:r w:rsidRPr="00B71E29">
        <w:rPr>
          <w:i/>
        </w:rPr>
        <w:t>Work, skills and training in the Australian red meat processing sector</w:t>
      </w:r>
      <w:r w:rsidRPr="00B71E29">
        <w:t xml:space="preserve">, </w:t>
      </w:r>
      <w:r>
        <w:t>NCVER</w:t>
      </w:r>
      <w:r w:rsidRPr="00B71E29">
        <w:t>, Adelaide</w:t>
      </w:r>
      <w:r>
        <w:t>.</w:t>
      </w:r>
    </w:p>
    <w:p w:rsidR="00691289" w:rsidRPr="00B71E29" w:rsidRDefault="00691289" w:rsidP="00B8358D">
      <w:pPr>
        <w:pStyle w:val="References"/>
        <w:ind w:right="0"/>
      </w:pPr>
      <w:r w:rsidRPr="00B71E29">
        <w:t xml:space="preserve">Shah, C &amp; Burke, G 2004, ‘Occupational labour mobility in Australia and the implications for VET’, in </w:t>
      </w:r>
      <w:r w:rsidRPr="00B71E29">
        <w:rPr>
          <w:i/>
          <w:iCs/>
        </w:rPr>
        <w:t>A future that works: economics, employment and the environment</w:t>
      </w:r>
      <w:r w:rsidRPr="00B71E29">
        <w:t xml:space="preserve">, </w:t>
      </w:r>
      <w:r>
        <w:t xml:space="preserve">ed. </w:t>
      </w:r>
      <w:r w:rsidRPr="00B71E29">
        <w:t>E</w:t>
      </w:r>
      <w:r>
        <w:t xml:space="preserve"> Carlson</w:t>
      </w:r>
      <w:r w:rsidRPr="00B71E29">
        <w:t>, refereed conference proceedings, University of Newcastle.</w:t>
      </w:r>
    </w:p>
    <w:p w:rsidR="00691289" w:rsidRPr="00B71E29" w:rsidRDefault="00691289" w:rsidP="00B8358D">
      <w:pPr>
        <w:pStyle w:val="References"/>
        <w:ind w:right="0"/>
      </w:pPr>
      <w:r w:rsidRPr="00B71E29">
        <w:lastRenderedPageBreak/>
        <w:t>Solomon, F, Katz, E &amp; Lovel, R 2008,</w:t>
      </w:r>
      <w:r>
        <w:t xml:space="preserve"> ‘Social dimensions of mining: r</w:t>
      </w:r>
      <w:r w:rsidRPr="00B71E29">
        <w:t xml:space="preserve">esearch, policy and practice challenges for the minerals industry in Australia’, </w:t>
      </w:r>
      <w:r w:rsidRPr="006B1FD2">
        <w:rPr>
          <w:i/>
        </w:rPr>
        <w:t>Resources Policy</w:t>
      </w:r>
      <w:r>
        <w:t>, vol.33, pp.142</w:t>
      </w:r>
      <w:r w:rsidR="00FE4D5A">
        <w:t>—</w:t>
      </w:r>
      <w:r w:rsidRPr="00B71E29">
        <w:t>9.</w:t>
      </w:r>
    </w:p>
    <w:p w:rsidR="00691289" w:rsidRPr="00B71E29" w:rsidRDefault="00691289" w:rsidP="00B8358D">
      <w:pPr>
        <w:pStyle w:val="References"/>
        <w:ind w:right="0"/>
      </w:pPr>
      <w:r w:rsidRPr="00B71E29">
        <w:t>Storey, K 2001,</w:t>
      </w:r>
      <w:r>
        <w:t xml:space="preserve"> ‘Fly-in/fly-out and fly-over: m</w:t>
      </w:r>
      <w:r w:rsidRPr="00B71E29">
        <w:t xml:space="preserve">ining and regional development in Western Australia’, </w:t>
      </w:r>
      <w:r w:rsidRPr="006B1FD2">
        <w:rPr>
          <w:i/>
        </w:rPr>
        <w:t>Australian Geographer</w:t>
      </w:r>
      <w:r>
        <w:t>, vol.32, no.2, pp.133</w:t>
      </w:r>
      <w:r w:rsidR="00FE4D5A">
        <w:t>—</w:t>
      </w:r>
      <w:r w:rsidRPr="00B71E29">
        <w:t>48.</w:t>
      </w:r>
    </w:p>
    <w:p w:rsidR="00691289" w:rsidRPr="00B71E29" w:rsidRDefault="00691289" w:rsidP="00B8358D">
      <w:pPr>
        <w:pStyle w:val="References"/>
        <w:ind w:right="0"/>
      </w:pPr>
      <w:r w:rsidRPr="00B71E29">
        <w:t xml:space="preserve">Sumison, J 2007, ‘Sustaining the employment of early childhood teachers in long day care: </w:t>
      </w:r>
      <w:r>
        <w:t>a</w:t>
      </w:r>
      <w:r w:rsidRPr="00B71E29">
        <w:t xml:space="preserve"> case for robust hope, critical imagination and critical action’, </w:t>
      </w:r>
      <w:r w:rsidRPr="003F5512">
        <w:rPr>
          <w:i/>
        </w:rPr>
        <w:t>Asia</w:t>
      </w:r>
      <w:r>
        <w:rPr>
          <w:i/>
        </w:rPr>
        <w:t>–</w:t>
      </w:r>
      <w:r w:rsidRPr="003F5512">
        <w:rPr>
          <w:i/>
        </w:rPr>
        <w:t>Pacific Journal of Teacher Education</w:t>
      </w:r>
      <w:r>
        <w:t>, vol.35, no.3, pp.311</w:t>
      </w:r>
      <w:r w:rsidR="00B8358D">
        <w:t>—</w:t>
      </w:r>
      <w:r w:rsidRPr="00B71E29">
        <w:t>27.</w:t>
      </w:r>
    </w:p>
    <w:p w:rsidR="00691289" w:rsidRDefault="00691289" w:rsidP="00B8358D">
      <w:pPr>
        <w:pStyle w:val="References"/>
        <w:ind w:right="0"/>
        <w:rPr>
          <w:szCs w:val="18"/>
        </w:rPr>
      </w:pPr>
      <w:r>
        <w:t xml:space="preserve">Sweet, R 2011, </w:t>
      </w:r>
      <w:r w:rsidRPr="005467EE">
        <w:rPr>
          <w:i/>
        </w:rPr>
        <w:t>The mobile worker: concepts, issues, implications</w:t>
      </w:r>
      <w:r>
        <w:rPr>
          <w:szCs w:val="18"/>
        </w:rPr>
        <w:t>, NCVER, Adelaide.</w:t>
      </w:r>
    </w:p>
    <w:p w:rsidR="00691289" w:rsidRDefault="00691289" w:rsidP="00B8358D">
      <w:pPr>
        <w:pStyle w:val="References"/>
        <w:ind w:right="0"/>
        <w:rPr>
          <w:szCs w:val="18"/>
        </w:rPr>
      </w:pPr>
      <w:r>
        <w:rPr>
          <w:rStyle w:val="EndnotesChar"/>
        </w:rPr>
        <w:t xml:space="preserve">Tunon, M 2006, </w:t>
      </w:r>
      <w:r w:rsidRPr="003917ED">
        <w:rPr>
          <w:rStyle w:val="EndnotesChar"/>
          <w:i/>
        </w:rPr>
        <w:t>Internal labour migration in China: features and responses</w:t>
      </w:r>
      <w:r>
        <w:rPr>
          <w:rStyle w:val="EndnotesChar"/>
        </w:rPr>
        <w:t>, Beijing, International Labour Organisation Office.</w:t>
      </w:r>
    </w:p>
    <w:p w:rsidR="00691289" w:rsidRPr="00B71E29" w:rsidRDefault="00691289" w:rsidP="00B8358D">
      <w:pPr>
        <w:pStyle w:val="References"/>
        <w:ind w:right="0"/>
      </w:pPr>
      <w:r w:rsidRPr="00B71E29">
        <w:t>Van Gils, S, Vermander</w:t>
      </w:r>
      <w:r>
        <w:t xml:space="preserve">e, C, Booghmans, M &amp; Wav, S 2008, </w:t>
      </w:r>
      <w:r w:rsidRPr="00B6321F">
        <w:rPr>
          <w:i/>
        </w:rPr>
        <w:t>Making mobility in the labour market measurable: the possibilities of the Datawarehouse Labour market and the PMWP-database: analysing career paths</w:t>
      </w:r>
      <w:r w:rsidRPr="00B6321F">
        <w:t>,</w:t>
      </w:r>
      <w:r>
        <w:t xml:space="preserve"> viewed 3 June 2010,</w:t>
      </w:r>
      <w:r w:rsidR="00B8358D">
        <w:t xml:space="preserve"> </w:t>
      </w:r>
      <w:r>
        <w:t>&lt;</w:t>
      </w:r>
      <w:r w:rsidRPr="00B6321F">
        <w:t>http://www.siswo.uva.nl/tlm/confbuda/papers/papers_files/</w:t>
      </w:r>
      <w:r w:rsidR="00456558">
        <w:t xml:space="preserve"> </w:t>
      </w:r>
      <w:r w:rsidRPr="00B6321F">
        <w:t>WP3%20Van%20G</w:t>
      </w:r>
      <w:r>
        <w:t>ils%20Vermandere%20Booghmans%20</w:t>
      </w:r>
      <w:r w:rsidRPr="00B6321F">
        <w:t>%20MAKING%20MOBILITY%20IN%20THE%20LABOUR%20MARKET%20MEASURABLE.pdf</w:t>
      </w:r>
      <w:r>
        <w:rPr>
          <w:rStyle w:val="HTMLCite"/>
          <w:rFonts w:cs="Arial"/>
        </w:rPr>
        <w:t>&gt;.</w:t>
      </w:r>
    </w:p>
    <w:p w:rsidR="00691289" w:rsidRDefault="00691289" w:rsidP="00B8358D">
      <w:pPr>
        <w:pStyle w:val="References"/>
        <w:ind w:right="0"/>
      </w:pPr>
      <w:r>
        <w:t xml:space="preserve">Watson, I 2011, </w:t>
      </w:r>
      <w:r w:rsidRPr="005467EE">
        <w:rPr>
          <w:i/>
        </w:rPr>
        <w:t>Does changing your job leave you better off? A study of labour mobility in Australia, 2002 to 2008</w:t>
      </w:r>
      <w:r>
        <w:t>, NCVER, Adelaide.</w:t>
      </w:r>
    </w:p>
    <w:p w:rsidR="00691289" w:rsidRDefault="00691289" w:rsidP="00B8358D">
      <w:pPr>
        <w:pStyle w:val="References"/>
        <w:ind w:right="0"/>
        <w:rPr>
          <w:rFonts w:eastAsia="Arial Unicode MS"/>
        </w:rPr>
      </w:pPr>
      <w:r>
        <w:rPr>
          <w:rFonts w:eastAsia="Arial Unicode MS"/>
        </w:rPr>
        <w:t>Watson, I, Buchanan, J, Campbell, I</w:t>
      </w:r>
      <w:r w:rsidRPr="00DB3F34">
        <w:rPr>
          <w:rFonts w:eastAsia="Arial Unicode MS"/>
        </w:rPr>
        <w:t xml:space="preserve"> </w:t>
      </w:r>
      <w:r>
        <w:rPr>
          <w:rFonts w:eastAsia="Arial Unicode MS"/>
        </w:rPr>
        <w:t>&amp;</w:t>
      </w:r>
      <w:r w:rsidRPr="00DB3F34">
        <w:rPr>
          <w:rFonts w:eastAsia="Arial Unicode MS"/>
        </w:rPr>
        <w:t xml:space="preserve"> Briggs, C</w:t>
      </w:r>
      <w:r>
        <w:rPr>
          <w:rFonts w:eastAsia="Arial Unicode MS"/>
        </w:rPr>
        <w:t xml:space="preserve"> </w:t>
      </w:r>
      <w:r w:rsidRPr="00DB3F34">
        <w:rPr>
          <w:rFonts w:eastAsia="Arial Unicode MS"/>
        </w:rPr>
        <w:t>2003</w:t>
      </w:r>
      <w:r>
        <w:rPr>
          <w:rFonts w:eastAsia="Arial Unicode MS"/>
        </w:rPr>
        <w:t xml:space="preserve">, </w:t>
      </w:r>
      <w:r w:rsidRPr="00DB3F34">
        <w:rPr>
          <w:rFonts w:eastAsia="Arial Unicode MS"/>
          <w:i/>
        </w:rPr>
        <w:t xml:space="preserve">Fragmented </w:t>
      </w:r>
      <w:r>
        <w:rPr>
          <w:rFonts w:eastAsia="Arial Unicode MS"/>
          <w:i/>
        </w:rPr>
        <w:t>f</w:t>
      </w:r>
      <w:r w:rsidRPr="00DB3F34">
        <w:rPr>
          <w:rFonts w:eastAsia="Arial Unicode MS"/>
          <w:i/>
        </w:rPr>
        <w:t xml:space="preserve">utures: </w:t>
      </w:r>
      <w:r>
        <w:rPr>
          <w:rFonts w:eastAsia="Arial Unicode MS"/>
          <w:i/>
        </w:rPr>
        <w:t>n</w:t>
      </w:r>
      <w:r w:rsidRPr="00DB3F34">
        <w:rPr>
          <w:rFonts w:eastAsia="Arial Unicode MS"/>
          <w:i/>
        </w:rPr>
        <w:t xml:space="preserve">ew </w:t>
      </w:r>
      <w:r>
        <w:rPr>
          <w:rFonts w:eastAsia="Arial Unicode MS"/>
          <w:i/>
        </w:rPr>
        <w:t>c</w:t>
      </w:r>
      <w:r w:rsidRPr="00DB3F34">
        <w:rPr>
          <w:rFonts w:eastAsia="Arial Unicode MS"/>
          <w:i/>
        </w:rPr>
        <w:t xml:space="preserve">hallenges in </w:t>
      </w:r>
      <w:r>
        <w:rPr>
          <w:rFonts w:eastAsia="Arial Unicode MS"/>
          <w:i/>
        </w:rPr>
        <w:t>w</w:t>
      </w:r>
      <w:r w:rsidRPr="00DB3F34">
        <w:rPr>
          <w:rFonts w:eastAsia="Arial Unicode MS"/>
          <w:i/>
        </w:rPr>
        <w:t xml:space="preserve">orking </w:t>
      </w:r>
      <w:r>
        <w:rPr>
          <w:rFonts w:eastAsia="Arial Unicode MS"/>
          <w:i/>
        </w:rPr>
        <w:t>l</w:t>
      </w:r>
      <w:r w:rsidRPr="00DB3F34">
        <w:rPr>
          <w:rFonts w:eastAsia="Arial Unicode MS"/>
          <w:i/>
        </w:rPr>
        <w:t>ife</w:t>
      </w:r>
      <w:r>
        <w:rPr>
          <w:rFonts w:eastAsia="Arial Unicode MS"/>
        </w:rPr>
        <w:t>, Federation Press, Sydney.</w:t>
      </w:r>
    </w:p>
    <w:p w:rsidR="00691289" w:rsidRPr="006164F9" w:rsidRDefault="00691289" w:rsidP="00B8358D">
      <w:pPr>
        <w:pStyle w:val="References"/>
        <w:ind w:right="0"/>
      </w:pPr>
      <w:r w:rsidRPr="00911FE7">
        <w:t>Wragg, R</w:t>
      </w:r>
      <w:r>
        <w:t xml:space="preserve"> </w:t>
      </w:r>
      <w:r w:rsidRPr="00911FE7">
        <w:t>2009</w:t>
      </w:r>
      <w:r>
        <w:t>,</w:t>
      </w:r>
      <w:r w:rsidRPr="00911FE7">
        <w:t xml:space="preserve"> ‘Employment holds up, shows improved flexibility’, </w:t>
      </w:r>
      <w:r w:rsidRPr="00911FE7">
        <w:rPr>
          <w:i/>
        </w:rPr>
        <w:t>RWE Australian Business News</w:t>
      </w:r>
      <w:r>
        <w:t xml:space="preserve">, 6. </w:t>
      </w:r>
    </w:p>
    <w:p w:rsidR="00691289" w:rsidRPr="009D2F8D" w:rsidRDefault="00691289" w:rsidP="00691289">
      <w:pPr>
        <w:pStyle w:val="References"/>
      </w:pPr>
    </w:p>
    <w:p w:rsidR="00691289" w:rsidRDefault="00691289" w:rsidP="00691289">
      <w:pPr>
        <w:spacing w:before="0"/>
        <w:rPr>
          <w:rFonts w:ascii="Garamond" w:hAnsi="Garamond"/>
          <w:sz w:val="20"/>
        </w:rPr>
      </w:pPr>
      <w:r>
        <w:br w:type="page"/>
      </w:r>
    </w:p>
    <w:p w:rsidR="00691289" w:rsidRPr="00B71E29" w:rsidRDefault="00691289" w:rsidP="00691289">
      <w:pPr>
        <w:pStyle w:val="Heading1"/>
      </w:pPr>
      <w:bookmarkStart w:id="69" w:name="_Toc265854397"/>
      <w:bookmarkStart w:id="70" w:name="_Toc297558036"/>
      <w:bookmarkStart w:id="71" w:name="_Toc300838478"/>
      <w:r>
        <w:lastRenderedPageBreak/>
        <w:t>A</w:t>
      </w:r>
      <w:r w:rsidRPr="00B71E29">
        <w:t>ppendix 1</w:t>
      </w:r>
      <w:bookmarkEnd w:id="69"/>
      <w:bookmarkEnd w:id="70"/>
      <w:bookmarkEnd w:id="71"/>
    </w:p>
    <w:p w:rsidR="00691289" w:rsidRPr="00B71E29" w:rsidRDefault="00691289" w:rsidP="00691289">
      <w:pPr>
        <w:pStyle w:val="Heading2"/>
      </w:pPr>
      <w:bookmarkStart w:id="72" w:name="_Toc297558037"/>
      <w:bookmarkStart w:id="73" w:name="_Toc300838479"/>
      <w:r w:rsidRPr="00B71E29">
        <w:t>Changing flows and forms of employment before and after the Global Financial Crisis: insights from the Australia at Work Project</w:t>
      </w:r>
      <w:bookmarkEnd w:id="72"/>
      <w:bookmarkEnd w:id="73"/>
    </w:p>
    <w:p w:rsidR="00691289" w:rsidRPr="00B71E29" w:rsidRDefault="00691289" w:rsidP="002F78E5">
      <w:pPr>
        <w:pStyle w:val="Text"/>
      </w:pPr>
      <w:r w:rsidRPr="00B71E29">
        <w:t xml:space="preserve">In this </w:t>
      </w:r>
      <w:r>
        <w:t>appendix</w:t>
      </w:r>
      <w:r w:rsidRPr="00B71E29">
        <w:t xml:space="preserve"> we explore how the form of employment has changed for individual employees over the last two years. We do this by examining the experiences of the same employees as they navigated</w:t>
      </w:r>
      <w:r>
        <w:t>,</w:t>
      </w:r>
      <w:r w:rsidRPr="00B71E29">
        <w:t xml:space="preserve"> first</w:t>
      </w:r>
      <w:r>
        <w:t>,</w:t>
      </w:r>
      <w:r w:rsidRPr="00B71E29">
        <w:t xml:space="preserve"> the peak of the cycle (2007 to 2008) and</w:t>
      </w:r>
      <w:r>
        <w:t>,</w:t>
      </w:r>
      <w:r w:rsidRPr="00B71E29">
        <w:t xml:space="preserve"> then the initial phase of the GFC-induced downturn (2008 to 2009)</w:t>
      </w:r>
      <w:r>
        <w:t xml:space="preserve">. </w:t>
      </w:r>
    </w:p>
    <w:p w:rsidR="00691289" w:rsidRPr="00B71E29" w:rsidRDefault="00691289" w:rsidP="002F78E5">
      <w:pPr>
        <w:pStyle w:val="Text"/>
      </w:pPr>
      <w:r w:rsidRPr="00B71E29">
        <w:t xml:space="preserve">We know from ABS labour force data </w:t>
      </w:r>
      <w:r>
        <w:t xml:space="preserve">that </w:t>
      </w:r>
      <w:r w:rsidRPr="00B71E29">
        <w:t>there have been intriguingly divergent trends in unemployment, employment and hours of work since the onset of the GFC. Between the 2009 wave of the survey and the last, unemployment rose to 5.8</w:t>
      </w:r>
      <w:r>
        <w:t>%</w:t>
      </w:r>
      <w:r w:rsidRPr="00B71E29">
        <w:t>, the highest level since 2002. The number of employe</w:t>
      </w:r>
      <w:r>
        <w:t xml:space="preserve">d persons rose marginally by 35 </w:t>
      </w:r>
      <w:r w:rsidRPr="00B71E29">
        <w:t>900, and aggregate hours of work fell by 2.8</w:t>
      </w:r>
      <w:r>
        <w:t>%</w:t>
      </w:r>
      <w:r w:rsidR="00213E0E">
        <w:t xml:space="preserve"> — </w:t>
      </w:r>
      <w:r>
        <w:t xml:space="preserve">the equivalent of 270 </w:t>
      </w:r>
      <w:r w:rsidRPr="00B71E29">
        <w:t>000 effective full-time jobs. ABS material also revealed that behind these aggregate trends other changes have been underway. Some industries such as manufacturing have lost tens of thousands of jobs, with others like health care and social assistance have grown commensurately. While many males have lost full-time work, on the whole, women gained full-time jobs and there are more part-time workers of both sexes</w:t>
      </w:r>
      <w:r>
        <w:t xml:space="preserve">. </w:t>
      </w:r>
    </w:p>
    <w:p w:rsidR="00691289" w:rsidRPr="00C85E38" w:rsidRDefault="00691289" w:rsidP="002F78E5">
      <w:pPr>
        <w:pStyle w:val="Text"/>
      </w:pPr>
      <w:r w:rsidRPr="00B71E29">
        <w:t>How are these distinct developments connected?</w:t>
      </w:r>
      <w:r>
        <w:t xml:space="preserve"> </w:t>
      </w:r>
      <w:r w:rsidRPr="00B71E29">
        <w:t>It has been speculated that the relations between these data are indicative of rising levels of de facto work-sharing (see for example</w:t>
      </w:r>
      <w:r w:rsidRPr="00C85E38">
        <w:t xml:space="preserve">, Gillard 2009; Davis 2009; Wragg 2009; </w:t>
      </w:r>
      <w:r>
        <w:rPr>
          <w:i/>
        </w:rPr>
        <w:t>Henderson</w:t>
      </w:r>
      <w:r w:rsidRPr="00C85E38">
        <w:t xml:space="preserve"> 2009). That is, those in employment are assumed to be cutting their hours, to share the available work more broadly. An allied assertion from commentator Gerard Henderson and finance industry analysts, including those from CommSec and Macquarie Bank</w:t>
      </w:r>
      <w:r>
        <w:t>,</w:t>
      </w:r>
      <w:r w:rsidRPr="00C85E38">
        <w:t xml:space="preserve"> has been that increased labour market flexibility</w:t>
      </w:r>
      <w:r w:rsidR="00213E0E">
        <w:t xml:space="preserve"> — </w:t>
      </w:r>
      <w:r w:rsidRPr="00C85E38">
        <w:t>such as increased levels of casualisation</w:t>
      </w:r>
      <w:r w:rsidR="00213E0E">
        <w:t xml:space="preserve"> — </w:t>
      </w:r>
      <w:r w:rsidRPr="00C85E38">
        <w:t xml:space="preserve">has allowed employers to vary the hours of their employees more directly (see for example, Davis 2009; Henderson 2009). </w:t>
      </w:r>
    </w:p>
    <w:p w:rsidR="00691289" w:rsidRPr="00C85E38" w:rsidRDefault="00691289" w:rsidP="002F78E5">
      <w:pPr>
        <w:pStyle w:val="Text"/>
      </w:pPr>
      <w:r w:rsidRPr="00C85E38">
        <w:t xml:space="preserve">Analyses of the 1990s’ downturn point to a less flattering story. For example, after examining labour flows in the early 1990s, Campbell and Webber (1996) noted </w:t>
      </w:r>
      <w:r w:rsidRPr="003A634C">
        <w:rPr>
          <w:i/>
        </w:rPr>
        <w:t>that one of the key dynamics in that recession was employers’ greater use of casual</w:t>
      </w:r>
      <w:r w:rsidRPr="00C85E38">
        <w:t xml:space="preserve"> modes of engaging labour. The recession and recovery were critical to entrenching a longer-term structural change involving increased reliance on non-standard forms of employment. The longitudinal nature of our data allows us to explore these issues with greater sensitivity than has previously been possible. In this appendix we explore three questions regarding forms of employment:</w:t>
      </w:r>
    </w:p>
    <w:p w:rsidR="00691289" w:rsidRPr="00C85E38" w:rsidRDefault="002F78E5" w:rsidP="002F78E5">
      <w:pPr>
        <w:pStyle w:val="Text"/>
        <w:ind w:left="284" w:right="0" w:hanging="284"/>
      </w:pPr>
      <w:r>
        <w:t>1</w:t>
      </w:r>
      <w:r>
        <w:tab/>
      </w:r>
      <w:r w:rsidR="00691289" w:rsidRPr="00C85E38">
        <w:t>How has the proportion of workers engaged on the basis of different forms of employment changed either side of the peak in the trade cycle?</w:t>
      </w:r>
    </w:p>
    <w:p w:rsidR="00691289" w:rsidRPr="00C85E38" w:rsidRDefault="002F78E5" w:rsidP="002F78E5">
      <w:pPr>
        <w:pStyle w:val="Text"/>
        <w:ind w:left="284" w:right="0" w:hanging="284"/>
      </w:pPr>
      <w:r>
        <w:t>2</w:t>
      </w:r>
      <w:r>
        <w:tab/>
      </w:r>
      <w:r w:rsidR="00691289" w:rsidRPr="00C85E38">
        <w:t xml:space="preserve">How have hours and earnings changed for people in different forms of employment? </w:t>
      </w:r>
    </w:p>
    <w:p w:rsidR="00691289" w:rsidRPr="00C85E38" w:rsidRDefault="002F78E5" w:rsidP="002F78E5">
      <w:pPr>
        <w:pStyle w:val="Text"/>
        <w:ind w:left="284" w:right="0" w:hanging="284"/>
      </w:pPr>
      <w:r>
        <w:t>3</w:t>
      </w:r>
      <w:r>
        <w:tab/>
      </w:r>
      <w:r w:rsidR="00691289" w:rsidRPr="00C85E38">
        <w:t>How have the characteristics of those in different forms of employment and continuity of employment experiences changed as conditions have changed?</w:t>
      </w:r>
    </w:p>
    <w:p w:rsidR="00691289" w:rsidRPr="00C85E38" w:rsidRDefault="00691289" w:rsidP="00691289">
      <w:pPr>
        <w:pStyle w:val="Heading3"/>
      </w:pPr>
      <w:bookmarkStart w:id="74" w:name="_Toc245786123"/>
      <w:bookmarkStart w:id="75" w:name="_Toc246394351"/>
      <w:r w:rsidRPr="00C85E38">
        <w:t>Lost leave entitlements and workers who change employers</w:t>
      </w:r>
      <w:bookmarkEnd w:id="74"/>
      <w:bookmarkEnd w:id="75"/>
    </w:p>
    <w:p w:rsidR="00691289" w:rsidRPr="00C85E38" w:rsidRDefault="00691289" w:rsidP="00691289">
      <w:pPr>
        <w:pStyle w:val="textlessb4"/>
      </w:pPr>
      <w:r w:rsidRPr="00C85E38">
        <w:t xml:space="preserve">We begin our analysis by examining the changes in employees’ reports of paid leave entitlements across the different survey waves. These findings are summarised in table A1.1. This table reports on </w:t>
      </w:r>
      <w:r w:rsidRPr="00C85E38">
        <w:lastRenderedPageBreak/>
        <w:t>the proportion of employees who keep, gain or lose access to paid leave entitlements between survey</w:t>
      </w:r>
      <w:r w:rsidR="00DE11E0">
        <w:t> </w:t>
      </w:r>
      <w:r w:rsidRPr="00C85E38">
        <w:t xml:space="preserve">periods. It provides an account of year-on-year change for the each of the two-year periods of </w:t>
      </w:r>
      <w:r w:rsidR="00DE11E0">
        <w:br/>
      </w:r>
      <w:r w:rsidRPr="00C85E38">
        <w:t>2006</w:t>
      </w:r>
      <w:r w:rsidR="00DE11E0">
        <w:t>—</w:t>
      </w:r>
      <w:r w:rsidRPr="00C85E38">
        <w:t>07, 2007</w:t>
      </w:r>
      <w:r w:rsidR="00DE11E0">
        <w:t>—</w:t>
      </w:r>
      <w:r w:rsidRPr="00C85E38">
        <w:t>08 and 2008</w:t>
      </w:r>
      <w:r w:rsidR="00DE11E0">
        <w:t>—</w:t>
      </w:r>
      <w:r w:rsidRPr="00C85E38">
        <w:t>09. Only respondents who were employee</w:t>
      </w:r>
      <w:r>
        <w:t>s</w:t>
      </w:r>
      <w:r w:rsidRPr="00C85E38">
        <w:t xml:space="preserve"> in the latter year are included in the analysis. </w:t>
      </w:r>
      <w:bookmarkStart w:id="76" w:name="_Toc176498608"/>
      <w:bookmarkStart w:id="77" w:name="_Toc178405531"/>
      <w:bookmarkStart w:id="78" w:name="_Toc211221529"/>
      <w:r w:rsidRPr="00C85E38">
        <w:t xml:space="preserve">Employees were grouped into one of six categories: </w:t>
      </w:r>
    </w:p>
    <w:p w:rsidR="00691289" w:rsidRPr="002F78E5" w:rsidRDefault="00691289" w:rsidP="002F78E5">
      <w:pPr>
        <w:pStyle w:val="Dotpoint1"/>
      </w:pPr>
      <w:r>
        <w:t xml:space="preserve">those </w:t>
      </w:r>
      <w:r w:rsidRPr="00C85E38">
        <w:t xml:space="preserve">with paid leave entitlements </w:t>
      </w:r>
      <w:r w:rsidRPr="002F78E5">
        <w:t xml:space="preserve">in both years </w:t>
      </w:r>
    </w:p>
    <w:p w:rsidR="00691289" w:rsidRPr="002F78E5" w:rsidRDefault="00691289" w:rsidP="002F78E5">
      <w:pPr>
        <w:pStyle w:val="Dotpoint1"/>
      </w:pPr>
      <w:r w:rsidRPr="002F78E5">
        <w:t xml:space="preserve">those with no paid leave entitlements in both years </w:t>
      </w:r>
    </w:p>
    <w:p w:rsidR="00691289" w:rsidRPr="002F78E5" w:rsidRDefault="00691289" w:rsidP="002F78E5">
      <w:pPr>
        <w:pStyle w:val="Dotpoint1"/>
      </w:pPr>
      <w:r w:rsidRPr="002F78E5">
        <w:t xml:space="preserve">those who reported paid leave entitlements in the latter year after not reporting them in the previous year (that is, ‘gained’ entitlements) </w:t>
      </w:r>
    </w:p>
    <w:p w:rsidR="00691289" w:rsidRPr="002F78E5" w:rsidRDefault="00691289" w:rsidP="002F78E5">
      <w:pPr>
        <w:pStyle w:val="Dotpoint1"/>
      </w:pPr>
      <w:r w:rsidRPr="002F78E5">
        <w:t xml:space="preserve">those who no longer had paid leave entitlements after reporting them in the previous year (that is, ‘lost’ entitlements) </w:t>
      </w:r>
    </w:p>
    <w:p w:rsidR="00691289" w:rsidRPr="002F78E5" w:rsidRDefault="00691289" w:rsidP="002F78E5">
      <w:pPr>
        <w:pStyle w:val="Dotpoint1"/>
      </w:pPr>
      <w:r w:rsidRPr="002F78E5">
        <w:t>those who became an employee (after either not working or self-employment in the previous year) and were entitled to paid leave (that is, ‘moved to paid leave’)</w:t>
      </w:r>
    </w:p>
    <w:p w:rsidR="00691289" w:rsidRPr="00C85E38" w:rsidRDefault="00691289" w:rsidP="002F78E5">
      <w:pPr>
        <w:pStyle w:val="Dotpoint1"/>
      </w:pPr>
      <w:r w:rsidRPr="002F78E5">
        <w:t>those who became an employee (aft</w:t>
      </w:r>
      <w:r w:rsidRPr="00C85E38">
        <w:t>er either not working or self-employment in the previous year) and were not entitled to paid leave (that is, ‘moved to no paid leave’).</w:t>
      </w:r>
    </w:p>
    <w:p w:rsidR="00691289" w:rsidRPr="00C85E38" w:rsidRDefault="00691289" w:rsidP="00691289">
      <w:pPr>
        <w:pStyle w:val="tabletitle"/>
        <w:ind w:left="993" w:hanging="993"/>
      </w:pPr>
      <w:bookmarkStart w:id="79" w:name="_Toc245784267"/>
      <w:bookmarkStart w:id="80" w:name="_Toc246384836"/>
      <w:bookmarkStart w:id="81" w:name="_Toc297558138"/>
      <w:bookmarkStart w:id="82" w:name="_Toc300838523"/>
      <w:r w:rsidRPr="00C85E38">
        <w:t>Table A1.1</w:t>
      </w:r>
      <w:r w:rsidRPr="00C85E38">
        <w:tab/>
        <w:t>Change in employees’ paid leave entitlements in main job, 2006–09, %</w:t>
      </w:r>
      <w:bookmarkEnd w:id="79"/>
      <w:bookmarkEnd w:id="80"/>
      <w:bookmarkEnd w:id="81"/>
      <w:bookmarkEnd w:id="82"/>
    </w:p>
    <w:tbl>
      <w:tblPr>
        <w:tblW w:w="8789" w:type="dxa"/>
        <w:tblInd w:w="108" w:type="dxa"/>
        <w:tblBorders>
          <w:top w:val="single" w:sz="12" w:space="0" w:color="auto"/>
          <w:bottom w:val="single" w:sz="12" w:space="0" w:color="auto"/>
        </w:tblBorders>
        <w:tblLayout w:type="fixed"/>
        <w:tblLook w:val="01E0"/>
      </w:tblPr>
      <w:tblGrid>
        <w:gridCol w:w="2877"/>
        <w:gridCol w:w="985"/>
        <w:gridCol w:w="985"/>
        <w:gridCol w:w="986"/>
        <w:gridCol w:w="985"/>
        <w:gridCol w:w="985"/>
        <w:gridCol w:w="986"/>
      </w:tblGrid>
      <w:tr w:rsidR="00691289" w:rsidRPr="00C85E38" w:rsidTr="002F78E5">
        <w:tc>
          <w:tcPr>
            <w:tcW w:w="2785" w:type="dxa"/>
            <w:tcBorders>
              <w:top w:val="single" w:sz="4" w:space="0" w:color="auto"/>
              <w:bottom w:val="nil"/>
            </w:tcBorders>
          </w:tcPr>
          <w:p w:rsidR="00691289" w:rsidRPr="00C85E38" w:rsidRDefault="00691289" w:rsidP="00A0366B">
            <w:pPr>
              <w:pStyle w:val="Tablehead1"/>
            </w:pPr>
          </w:p>
        </w:tc>
        <w:tc>
          <w:tcPr>
            <w:tcW w:w="1906" w:type="dxa"/>
            <w:gridSpan w:val="2"/>
            <w:tcBorders>
              <w:top w:val="single" w:sz="4" w:space="0" w:color="auto"/>
              <w:bottom w:val="nil"/>
            </w:tcBorders>
            <w:shd w:val="clear" w:color="auto" w:fill="auto"/>
          </w:tcPr>
          <w:p w:rsidR="00691289" w:rsidRPr="00C85E38" w:rsidRDefault="00691289" w:rsidP="00A0366B">
            <w:pPr>
              <w:pStyle w:val="Tablehead1"/>
              <w:jc w:val="center"/>
              <w:rPr>
                <w:szCs w:val="17"/>
              </w:rPr>
            </w:pPr>
            <w:r w:rsidRPr="00C85E38">
              <w:rPr>
                <w:szCs w:val="17"/>
              </w:rPr>
              <w:t>2006–07</w:t>
            </w:r>
          </w:p>
        </w:tc>
        <w:tc>
          <w:tcPr>
            <w:tcW w:w="1907" w:type="dxa"/>
            <w:gridSpan w:val="2"/>
            <w:tcBorders>
              <w:top w:val="single" w:sz="4" w:space="0" w:color="auto"/>
              <w:bottom w:val="nil"/>
            </w:tcBorders>
            <w:shd w:val="clear" w:color="auto" w:fill="auto"/>
          </w:tcPr>
          <w:p w:rsidR="00691289" w:rsidRPr="00C85E38" w:rsidRDefault="00691289" w:rsidP="00A0366B">
            <w:pPr>
              <w:pStyle w:val="Tablehead1"/>
              <w:jc w:val="center"/>
              <w:rPr>
                <w:szCs w:val="17"/>
              </w:rPr>
            </w:pPr>
            <w:r w:rsidRPr="00C85E38">
              <w:rPr>
                <w:szCs w:val="17"/>
              </w:rPr>
              <w:t>2007–08</w:t>
            </w:r>
          </w:p>
        </w:tc>
        <w:tc>
          <w:tcPr>
            <w:tcW w:w="1907" w:type="dxa"/>
            <w:gridSpan w:val="2"/>
            <w:tcBorders>
              <w:top w:val="single" w:sz="4" w:space="0" w:color="auto"/>
              <w:bottom w:val="nil"/>
            </w:tcBorders>
            <w:shd w:val="clear" w:color="auto" w:fill="auto"/>
          </w:tcPr>
          <w:p w:rsidR="00691289" w:rsidRPr="00C85E38" w:rsidRDefault="00691289" w:rsidP="00A0366B">
            <w:pPr>
              <w:pStyle w:val="Tablehead1"/>
              <w:jc w:val="center"/>
              <w:rPr>
                <w:szCs w:val="17"/>
              </w:rPr>
            </w:pPr>
            <w:r w:rsidRPr="00C85E38">
              <w:rPr>
                <w:szCs w:val="17"/>
              </w:rPr>
              <w:t>2008–09</w:t>
            </w:r>
          </w:p>
        </w:tc>
      </w:tr>
      <w:tr w:rsidR="00691289" w:rsidRPr="00C85E38" w:rsidTr="002F78E5">
        <w:tc>
          <w:tcPr>
            <w:tcW w:w="2785" w:type="dxa"/>
            <w:tcBorders>
              <w:top w:val="nil"/>
              <w:bottom w:val="single" w:sz="4" w:space="0" w:color="auto"/>
            </w:tcBorders>
          </w:tcPr>
          <w:p w:rsidR="00691289" w:rsidRPr="00C85E38" w:rsidRDefault="00691289" w:rsidP="00A0366B">
            <w:pPr>
              <w:pStyle w:val="Tablehead2"/>
              <w:rPr>
                <w:szCs w:val="16"/>
              </w:rPr>
            </w:pPr>
          </w:p>
        </w:tc>
        <w:tc>
          <w:tcPr>
            <w:tcW w:w="953" w:type="dxa"/>
            <w:tcBorders>
              <w:top w:val="nil"/>
              <w:bottom w:val="single" w:sz="4" w:space="0" w:color="auto"/>
            </w:tcBorders>
            <w:shd w:val="clear" w:color="auto" w:fill="auto"/>
          </w:tcPr>
          <w:p w:rsidR="00691289" w:rsidRPr="00C85E38" w:rsidRDefault="00691289" w:rsidP="00A0366B">
            <w:pPr>
              <w:pStyle w:val="Tablehead2"/>
              <w:jc w:val="center"/>
              <w:rPr>
                <w:szCs w:val="17"/>
              </w:rPr>
            </w:pPr>
            <w:r w:rsidRPr="00C85E38">
              <w:rPr>
                <w:szCs w:val="17"/>
              </w:rPr>
              <w:t>%</w:t>
            </w:r>
          </w:p>
        </w:tc>
        <w:tc>
          <w:tcPr>
            <w:tcW w:w="953" w:type="dxa"/>
            <w:tcBorders>
              <w:top w:val="nil"/>
              <w:bottom w:val="single" w:sz="4" w:space="0" w:color="auto"/>
            </w:tcBorders>
            <w:shd w:val="clear" w:color="auto" w:fill="auto"/>
          </w:tcPr>
          <w:p w:rsidR="00691289" w:rsidRPr="00C85E38" w:rsidRDefault="00691289" w:rsidP="00A0366B">
            <w:pPr>
              <w:pStyle w:val="Tablehead2"/>
              <w:jc w:val="center"/>
              <w:rPr>
                <w:szCs w:val="17"/>
              </w:rPr>
            </w:pPr>
            <w:r w:rsidRPr="00C85E38">
              <w:rPr>
                <w:szCs w:val="17"/>
              </w:rPr>
              <w:t>n</w:t>
            </w:r>
          </w:p>
        </w:tc>
        <w:tc>
          <w:tcPr>
            <w:tcW w:w="954" w:type="dxa"/>
            <w:tcBorders>
              <w:top w:val="nil"/>
              <w:bottom w:val="single" w:sz="4" w:space="0" w:color="auto"/>
            </w:tcBorders>
            <w:shd w:val="clear" w:color="auto" w:fill="auto"/>
          </w:tcPr>
          <w:p w:rsidR="00691289" w:rsidRPr="00C85E38" w:rsidRDefault="00691289" w:rsidP="00A0366B">
            <w:pPr>
              <w:pStyle w:val="Tablehead2"/>
              <w:jc w:val="center"/>
              <w:rPr>
                <w:szCs w:val="17"/>
              </w:rPr>
            </w:pPr>
            <w:r w:rsidRPr="00C85E38">
              <w:rPr>
                <w:szCs w:val="17"/>
              </w:rPr>
              <w:t>%</w:t>
            </w:r>
          </w:p>
        </w:tc>
        <w:tc>
          <w:tcPr>
            <w:tcW w:w="953" w:type="dxa"/>
            <w:tcBorders>
              <w:top w:val="nil"/>
              <w:bottom w:val="single" w:sz="4" w:space="0" w:color="auto"/>
            </w:tcBorders>
            <w:shd w:val="clear" w:color="auto" w:fill="auto"/>
          </w:tcPr>
          <w:p w:rsidR="00691289" w:rsidRPr="00C85E38" w:rsidRDefault="00691289" w:rsidP="00A0366B">
            <w:pPr>
              <w:pStyle w:val="Tablehead2"/>
              <w:jc w:val="center"/>
              <w:rPr>
                <w:szCs w:val="17"/>
              </w:rPr>
            </w:pPr>
            <w:r w:rsidRPr="00C85E38">
              <w:rPr>
                <w:szCs w:val="17"/>
              </w:rPr>
              <w:t>n</w:t>
            </w:r>
          </w:p>
        </w:tc>
        <w:tc>
          <w:tcPr>
            <w:tcW w:w="953" w:type="dxa"/>
            <w:tcBorders>
              <w:top w:val="nil"/>
              <w:bottom w:val="single" w:sz="4" w:space="0" w:color="auto"/>
            </w:tcBorders>
            <w:shd w:val="clear" w:color="auto" w:fill="auto"/>
          </w:tcPr>
          <w:p w:rsidR="00691289" w:rsidRPr="00C85E38" w:rsidRDefault="00691289" w:rsidP="00A0366B">
            <w:pPr>
              <w:pStyle w:val="Tablehead2"/>
              <w:jc w:val="center"/>
              <w:rPr>
                <w:szCs w:val="17"/>
              </w:rPr>
            </w:pPr>
            <w:r w:rsidRPr="00C85E38">
              <w:rPr>
                <w:szCs w:val="17"/>
              </w:rPr>
              <w:t>%</w:t>
            </w:r>
          </w:p>
        </w:tc>
        <w:tc>
          <w:tcPr>
            <w:tcW w:w="954" w:type="dxa"/>
            <w:tcBorders>
              <w:top w:val="nil"/>
              <w:bottom w:val="single" w:sz="4" w:space="0" w:color="auto"/>
            </w:tcBorders>
            <w:shd w:val="clear" w:color="auto" w:fill="auto"/>
          </w:tcPr>
          <w:p w:rsidR="00691289" w:rsidRPr="00C85E38" w:rsidRDefault="00691289" w:rsidP="00A0366B">
            <w:pPr>
              <w:pStyle w:val="Tablehead2"/>
              <w:jc w:val="center"/>
              <w:rPr>
                <w:szCs w:val="17"/>
              </w:rPr>
            </w:pPr>
            <w:r w:rsidRPr="00C85E38">
              <w:rPr>
                <w:szCs w:val="17"/>
              </w:rPr>
              <w:t>n</w:t>
            </w:r>
          </w:p>
        </w:tc>
      </w:tr>
      <w:tr w:rsidR="00691289" w:rsidRPr="00C85E38" w:rsidTr="002F78E5">
        <w:tc>
          <w:tcPr>
            <w:tcW w:w="2785" w:type="dxa"/>
            <w:tcBorders>
              <w:top w:val="single" w:sz="4" w:space="0" w:color="auto"/>
              <w:bottom w:val="nil"/>
            </w:tcBorders>
          </w:tcPr>
          <w:p w:rsidR="00691289" w:rsidRPr="00C85E38" w:rsidRDefault="00691289" w:rsidP="00A0366B">
            <w:pPr>
              <w:pStyle w:val="Tabletext"/>
            </w:pPr>
            <w:r w:rsidRPr="00C85E38">
              <w:t>Paid leave in latter year</w:t>
            </w:r>
          </w:p>
        </w:tc>
        <w:tc>
          <w:tcPr>
            <w:tcW w:w="953" w:type="dxa"/>
            <w:tcBorders>
              <w:top w:val="single" w:sz="4" w:space="0" w:color="auto"/>
              <w:bottom w:val="nil"/>
            </w:tcBorders>
            <w:shd w:val="clear" w:color="auto" w:fill="auto"/>
          </w:tcPr>
          <w:p w:rsidR="00691289" w:rsidRPr="00C85E38" w:rsidRDefault="00691289" w:rsidP="00A0366B">
            <w:pPr>
              <w:pStyle w:val="Tabletext"/>
            </w:pPr>
          </w:p>
        </w:tc>
        <w:tc>
          <w:tcPr>
            <w:tcW w:w="953" w:type="dxa"/>
            <w:tcBorders>
              <w:top w:val="single" w:sz="4" w:space="0" w:color="auto"/>
              <w:bottom w:val="nil"/>
            </w:tcBorders>
            <w:shd w:val="clear" w:color="auto" w:fill="auto"/>
          </w:tcPr>
          <w:p w:rsidR="00691289" w:rsidRPr="00C85E38" w:rsidRDefault="00691289" w:rsidP="00A0366B">
            <w:pPr>
              <w:pStyle w:val="Tabletext"/>
            </w:pPr>
          </w:p>
        </w:tc>
        <w:tc>
          <w:tcPr>
            <w:tcW w:w="954" w:type="dxa"/>
            <w:tcBorders>
              <w:top w:val="single" w:sz="4" w:space="0" w:color="auto"/>
              <w:bottom w:val="nil"/>
            </w:tcBorders>
            <w:shd w:val="clear" w:color="auto" w:fill="auto"/>
          </w:tcPr>
          <w:p w:rsidR="00691289" w:rsidRPr="00C85E38" w:rsidRDefault="00691289" w:rsidP="00A0366B">
            <w:pPr>
              <w:pStyle w:val="Tabletext"/>
            </w:pPr>
          </w:p>
        </w:tc>
        <w:tc>
          <w:tcPr>
            <w:tcW w:w="953" w:type="dxa"/>
            <w:tcBorders>
              <w:top w:val="single" w:sz="4" w:space="0" w:color="auto"/>
              <w:bottom w:val="nil"/>
            </w:tcBorders>
            <w:shd w:val="clear" w:color="auto" w:fill="auto"/>
          </w:tcPr>
          <w:p w:rsidR="00691289" w:rsidRPr="00C85E38" w:rsidRDefault="00691289" w:rsidP="00A0366B">
            <w:pPr>
              <w:pStyle w:val="Tabletext"/>
            </w:pPr>
          </w:p>
        </w:tc>
        <w:tc>
          <w:tcPr>
            <w:tcW w:w="953" w:type="dxa"/>
            <w:tcBorders>
              <w:top w:val="single" w:sz="4" w:space="0" w:color="auto"/>
              <w:bottom w:val="nil"/>
            </w:tcBorders>
            <w:shd w:val="clear" w:color="auto" w:fill="auto"/>
          </w:tcPr>
          <w:p w:rsidR="00691289" w:rsidRPr="00C85E38" w:rsidRDefault="00691289" w:rsidP="00A0366B">
            <w:pPr>
              <w:pStyle w:val="Tabletext"/>
            </w:pPr>
          </w:p>
        </w:tc>
        <w:tc>
          <w:tcPr>
            <w:tcW w:w="954" w:type="dxa"/>
            <w:tcBorders>
              <w:top w:val="single" w:sz="4" w:space="0" w:color="auto"/>
              <w:bottom w:val="nil"/>
            </w:tcBorders>
            <w:shd w:val="clear" w:color="auto" w:fill="auto"/>
          </w:tcPr>
          <w:p w:rsidR="00691289" w:rsidRPr="00C85E38" w:rsidRDefault="00691289" w:rsidP="00A0366B">
            <w:pPr>
              <w:pStyle w:val="Tabletext"/>
            </w:pPr>
          </w:p>
        </w:tc>
      </w:tr>
      <w:tr w:rsidR="00691289" w:rsidRPr="00C85E38" w:rsidTr="002F78E5">
        <w:tc>
          <w:tcPr>
            <w:tcW w:w="2785" w:type="dxa"/>
            <w:tcBorders>
              <w:top w:val="nil"/>
              <w:bottom w:val="nil"/>
            </w:tcBorders>
          </w:tcPr>
          <w:p w:rsidR="00691289" w:rsidRPr="00C85E38" w:rsidRDefault="00691289" w:rsidP="00A0366B">
            <w:pPr>
              <w:pStyle w:val="Tabletext"/>
            </w:pPr>
            <w:bookmarkStart w:id="83" w:name="_Hlk245889928"/>
            <w:r w:rsidRPr="00C85E38">
              <w:t>Paid leave both years</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68.5</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4544</w:t>
            </w:r>
          </w:p>
        </w:tc>
        <w:tc>
          <w:tcPr>
            <w:tcW w:w="954" w:type="dxa"/>
            <w:tcBorders>
              <w:top w:val="nil"/>
              <w:bottom w:val="nil"/>
            </w:tcBorders>
            <w:shd w:val="clear" w:color="auto" w:fill="auto"/>
          </w:tcPr>
          <w:p w:rsidR="00691289" w:rsidRPr="00C85E38" w:rsidRDefault="00691289" w:rsidP="00A0366B">
            <w:pPr>
              <w:pStyle w:val="Tabletext"/>
              <w:tabs>
                <w:tab w:val="decimal" w:pos="397"/>
              </w:tabs>
            </w:pPr>
            <w:r w:rsidRPr="00C85E38">
              <w:t>60.2</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3997</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69.9</w:t>
            </w:r>
          </w:p>
        </w:tc>
        <w:tc>
          <w:tcPr>
            <w:tcW w:w="954" w:type="dxa"/>
            <w:tcBorders>
              <w:top w:val="nil"/>
              <w:bottom w:val="nil"/>
            </w:tcBorders>
            <w:shd w:val="clear" w:color="auto" w:fill="auto"/>
          </w:tcPr>
          <w:p w:rsidR="00691289" w:rsidRPr="00C85E38" w:rsidRDefault="00691289" w:rsidP="00A0366B">
            <w:pPr>
              <w:pStyle w:val="Tabletext"/>
              <w:ind w:right="227"/>
              <w:jc w:val="right"/>
            </w:pPr>
            <w:r w:rsidRPr="00C85E38">
              <w:t>3731</w:t>
            </w:r>
          </w:p>
        </w:tc>
      </w:tr>
      <w:tr w:rsidR="00691289" w:rsidRPr="00C85E38" w:rsidTr="002F78E5">
        <w:tc>
          <w:tcPr>
            <w:tcW w:w="2785" w:type="dxa"/>
            <w:tcBorders>
              <w:top w:val="nil"/>
              <w:bottom w:val="nil"/>
            </w:tcBorders>
          </w:tcPr>
          <w:p w:rsidR="00691289" w:rsidRPr="00C85E38" w:rsidRDefault="00691289" w:rsidP="00A0366B">
            <w:pPr>
              <w:pStyle w:val="Tabletext"/>
            </w:pPr>
            <w:r w:rsidRPr="00C85E38">
              <w:t>Gained paid leave</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5.5</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323</w:t>
            </w:r>
          </w:p>
        </w:tc>
        <w:tc>
          <w:tcPr>
            <w:tcW w:w="954" w:type="dxa"/>
            <w:tcBorders>
              <w:top w:val="nil"/>
              <w:bottom w:val="nil"/>
            </w:tcBorders>
            <w:shd w:val="clear" w:color="auto" w:fill="auto"/>
          </w:tcPr>
          <w:p w:rsidR="00691289" w:rsidRPr="00C85E38" w:rsidRDefault="00691289" w:rsidP="00A0366B">
            <w:pPr>
              <w:pStyle w:val="Tabletext"/>
              <w:tabs>
                <w:tab w:val="decimal" w:pos="397"/>
              </w:tabs>
            </w:pPr>
            <w:r w:rsidRPr="00C85E38">
              <w:t>6.1</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323</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4.3</w:t>
            </w:r>
          </w:p>
        </w:tc>
        <w:tc>
          <w:tcPr>
            <w:tcW w:w="954" w:type="dxa"/>
            <w:tcBorders>
              <w:top w:val="nil"/>
              <w:bottom w:val="nil"/>
            </w:tcBorders>
            <w:shd w:val="clear" w:color="auto" w:fill="auto"/>
          </w:tcPr>
          <w:p w:rsidR="00691289" w:rsidRPr="00C85E38" w:rsidRDefault="00691289" w:rsidP="00A0366B">
            <w:pPr>
              <w:pStyle w:val="Tabletext"/>
              <w:ind w:right="227"/>
              <w:jc w:val="right"/>
            </w:pPr>
            <w:r w:rsidRPr="00C85E38">
              <w:t>184</w:t>
            </w:r>
          </w:p>
        </w:tc>
      </w:tr>
      <w:tr w:rsidR="00691289" w:rsidRPr="00C85E38" w:rsidTr="002F78E5">
        <w:tc>
          <w:tcPr>
            <w:tcW w:w="2785" w:type="dxa"/>
            <w:tcBorders>
              <w:top w:val="nil"/>
              <w:bottom w:val="nil"/>
            </w:tcBorders>
          </w:tcPr>
          <w:p w:rsidR="00691289" w:rsidRPr="00C85E38" w:rsidRDefault="00691289" w:rsidP="00A0366B">
            <w:pPr>
              <w:pStyle w:val="Tabletext"/>
            </w:pPr>
            <w:r w:rsidRPr="00C85E38">
              <w:t xml:space="preserve">Moved to paid leave </w:t>
            </w:r>
            <w:r w:rsidRPr="00C85E38">
              <w:rPr>
                <w:vertAlign w:val="superscript"/>
              </w:rPr>
              <w:t>(a)</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2.2</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161</w:t>
            </w:r>
          </w:p>
        </w:tc>
        <w:tc>
          <w:tcPr>
            <w:tcW w:w="954" w:type="dxa"/>
            <w:tcBorders>
              <w:top w:val="nil"/>
              <w:bottom w:val="nil"/>
            </w:tcBorders>
            <w:shd w:val="clear" w:color="auto" w:fill="auto"/>
          </w:tcPr>
          <w:p w:rsidR="00691289" w:rsidRPr="00C85E38" w:rsidRDefault="00691289" w:rsidP="00A0366B">
            <w:pPr>
              <w:pStyle w:val="Tabletext"/>
              <w:tabs>
                <w:tab w:val="decimal" w:pos="397"/>
              </w:tabs>
            </w:pPr>
            <w:r w:rsidRPr="00C85E38">
              <w:t>8.8</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210</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6.4</w:t>
            </w:r>
          </w:p>
        </w:tc>
        <w:tc>
          <w:tcPr>
            <w:tcW w:w="954" w:type="dxa"/>
            <w:tcBorders>
              <w:top w:val="nil"/>
              <w:bottom w:val="nil"/>
            </w:tcBorders>
            <w:shd w:val="clear" w:color="auto" w:fill="auto"/>
          </w:tcPr>
          <w:p w:rsidR="00691289" w:rsidRPr="00C85E38" w:rsidRDefault="00691289" w:rsidP="00A0366B">
            <w:pPr>
              <w:pStyle w:val="Tabletext"/>
              <w:ind w:right="227"/>
              <w:jc w:val="right"/>
            </w:pPr>
            <w:r w:rsidRPr="00C85E38">
              <w:t>121</w:t>
            </w:r>
          </w:p>
        </w:tc>
      </w:tr>
      <w:tr w:rsidR="00691289" w:rsidRPr="00C85E38" w:rsidTr="002F78E5">
        <w:tc>
          <w:tcPr>
            <w:tcW w:w="2785" w:type="dxa"/>
            <w:tcBorders>
              <w:top w:val="nil"/>
              <w:bottom w:val="nil"/>
            </w:tcBorders>
          </w:tcPr>
          <w:p w:rsidR="00691289" w:rsidRPr="00C85E38" w:rsidRDefault="00691289" w:rsidP="00A0366B">
            <w:pPr>
              <w:pStyle w:val="Tabletext"/>
            </w:pPr>
            <w:r w:rsidRPr="00C85E38">
              <w:t>Sub-total (had paid leave)</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76.2</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5028</w:t>
            </w:r>
          </w:p>
        </w:tc>
        <w:tc>
          <w:tcPr>
            <w:tcW w:w="954" w:type="dxa"/>
            <w:tcBorders>
              <w:top w:val="nil"/>
              <w:bottom w:val="nil"/>
            </w:tcBorders>
            <w:shd w:val="clear" w:color="auto" w:fill="auto"/>
          </w:tcPr>
          <w:p w:rsidR="00691289" w:rsidRPr="00C85E38" w:rsidRDefault="00691289" w:rsidP="00A0366B">
            <w:pPr>
              <w:pStyle w:val="Tabletext"/>
              <w:tabs>
                <w:tab w:val="decimal" w:pos="397"/>
              </w:tabs>
            </w:pPr>
            <w:r w:rsidRPr="00C85E38">
              <w:t>75.1</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4530</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80.6</w:t>
            </w:r>
          </w:p>
        </w:tc>
        <w:tc>
          <w:tcPr>
            <w:tcW w:w="954" w:type="dxa"/>
            <w:tcBorders>
              <w:top w:val="nil"/>
              <w:bottom w:val="nil"/>
            </w:tcBorders>
            <w:shd w:val="clear" w:color="auto" w:fill="auto"/>
          </w:tcPr>
          <w:p w:rsidR="00691289" w:rsidRPr="00C85E38" w:rsidRDefault="00691289" w:rsidP="00A0366B">
            <w:pPr>
              <w:pStyle w:val="Tabletext"/>
              <w:ind w:right="227"/>
              <w:jc w:val="right"/>
            </w:pPr>
            <w:r w:rsidRPr="00C85E38">
              <w:t>4036</w:t>
            </w:r>
          </w:p>
        </w:tc>
      </w:tr>
      <w:tr w:rsidR="00691289" w:rsidRPr="00C85E38" w:rsidTr="002F78E5">
        <w:tc>
          <w:tcPr>
            <w:tcW w:w="2785" w:type="dxa"/>
            <w:tcBorders>
              <w:top w:val="nil"/>
              <w:bottom w:val="nil"/>
            </w:tcBorders>
          </w:tcPr>
          <w:p w:rsidR="00691289" w:rsidRPr="00C85E38" w:rsidRDefault="00691289" w:rsidP="00A0366B">
            <w:pPr>
              <w:pStyle w:val="Tabletext"/>
            </w:pPr>
            <w:r w:rsidRPr="00C85E38">
              <w:t>No paid leave in latter year</w:t>
            </w:r>
          </w:p>
        </w:tc>
        <w:tc>
          <w:tcPr>
            <w:tcW w:w="953" w:type="dxa"/>
            <w:tcBorders>
              <w:top w:val="nil"/>
              <w:bottom w:val="nil"/>
            </w:tcBorders>
            <w:shd w:val="clear" w:color="auto" w:fill="auto"/>
          </w:tcPr>
          <w:p w:rsidR="00691289" w:rsidRPr="00C85E38" w:rsidRDefault="00691289" w:rsidP="00A0366B">
            <w:pPr>
              <w:pStyle w:val="Tabletext"/>
              <w:tabs>
                <w:tab w:val="decimal" w:pos="397"/>
              </w:tabs>
            </w:pPr>
          </w:p>
        </w:tc>
        <w:tc>
          <w:tcPr>
            <w:tcW w:w="953" w:type="dxa"/>
            <w:tcBorders>
              <w:top w:val="nil"/>
              <w:bottom w:val="nil"/>
            </w:tcBorders>
            <w:shd w:val="clear" w:color="auto" w:fill="auto"/>
          </w:tcPr>
          <w:p w:rsidR="00691289" w:rsidRPr="00C85E38" w:rsidRDefault="00691289" w:rsidP="00A0366B">
            <w:pPr>
              <w:pStyle w:val="Tabletext"/>
              <w:ind w:right="227"/>
              <w:jc w:val="right"/>
            </w:pPr>
          </w:p>
        </w:tc>
        <w:tc>
          <w:tcPr>
            <w:tcW w:w="954" w:type="dxa"/>
            <w:tcBorders>
              <w:top w:val="nil"/>
              <w:bottom w:val="nil"/>
            </w:tcBorders>
            <w:shd w:val="clear" w:color="auto" w:fill="auto"/>
          </w:tcPr>
          <w:p w:rsidR="00691289" w:rsidRPr="00C85E38" w:rsidRDefault="00691289" w:rsidP="00A0366B">
            <w:pPr>
              <w:pStyle w:val="Tabletext"/>
              <w:tabs>
                <w:tab w:val="decimal" w:pos="397"/>
              </w:tabs>
            </w:pPr>
          </w:p>
        </w:tc>
        <w:tc>
          <w:tcPr>
            <w:tcW w:w="953" w:type="dxa"/>
            <w:tcBorders>
              <w:top w:val="nil"/>
              <w:bottom w:val="nil"/>
            </w:tcBorders>
            <w:shd w:val="clear" w:color="auto" w:fill="auto"/>
          </w:tcPr>
          <w:p w:rsidR="00691289" w:rsidRPr="00C85E38" w:rsidRDefault="00691289" w:rsidP="00A0366B">
            <w:pPr>
              <w:pStyle w:val="Tabletext"/>
              <w:ind w:right="227"/>
              <w:jc w:val="right"/>
            </w:pPr>
          </w:p>
        </w:tc>
        <w:tc>
          <w:tcPr>
            <w:tcW w:w="953" w:type="dxa"/>
            <w:tcBorders>
              <w:top w:val="nil"/>
              <w:bottom w:val="nil"/>
            </w:tcBorders>
            <w:shd w:val="clear" w:color="auto" w:fill="auto"/>
          </w:tcPr>
          <w:p w:rsidR="00691289" w:rsidRPr="00C85E38" w:rsidRDefault="00691289" w:rsidP="00A0366B">
            <w:pPr>
              <w:pStyle w:val="Tabletext"/>
              <w:tabs>
                <w:tab w:val="decimal" w:pos="397"/>
              </w:tabs>
            </w:pPr>
          </w:p>
        </w:tc>
        <w:tc>
          <w:tcPr>
            <w:tcW w:w="954" w:type="dxa"/>
            <w:tcBorders>
              <w:top w:val="nil"/>
              <w:bottom w:val="nil"/>
            </w:tcBorders>
            <w:shd w:val="clear" w:color="auto" w:fill="auto"/>
          </w:tcPr>
          <w:p w:rsidR="00691289" w:rsidRPr="00C85E38" w:rsidRDefault="00691289" w:rsidP="00A0366B">
            <w:pPr>
              <w:pStyle w:val="Tabletext"/>
              <w:ind w:right="227"/>
              <w:jc w:val="right"/>
            </w:pPr>
          </w:p>
        </w:tc>
      </w:tr>
      <w:tr w:rsidR="00691289" w:rsidRPr="00C85E38" w:rsidTr="002F78E5">
        <w:tc>
          <w:tcPr>
            <w:tcW w:w="2785" w:type="dxa"/>
            <w:tcBorders>
              <w:top w:val="nil"/>
              <w:bottom w:val="nil"/>
            </w:tcBorders>
          </w:tcPr>
          <w:p w:rsidR="00691289" w:rsidRPr="00C85E38" w:rsidRDefault="00691289" w:rsidP="00A0366B">
            <w:pPr>
              <w:pStyle w:val="Tabletext"/>
            </w:pPr>
            <w:r w:rsidRPr="00C85E38">
              <w:t>No paid leave both years</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18.5</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1062</w:t>
            </w:r>
          </w:p>
        </w:tc>
        <w:tc>
          <w:tcPr>
            <w:tcW w:w="954" w:type="dxa"/>
            <w:tcBorders>
              <w:top w:val="nil"/>
              <w:bottom w:val="nil"/>
            </w:tcBorders>
            <w:shd w:val="clear" w:color="auto" w:fill="auto"/>
          </w:tcPr>
          <w:p w:rsidR="00691289" w:rsidRPr="00C85E38" w:rsidRDefault="00691289" w:rsidP="00A0366B">
            <w:pPr>
              <w:pStyle w:val="Tabletext"/>
              <w:tabs>
                <w:tab w:val="decimal" w:pos="397"/>
              </w:tabs>
            </w:pPr>
            <w:r w:rsidRPr="00C85E38">
              <w:t>12.7</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708</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12.0</w:t>
            </w:r>
          </w:p>
        </w:tc>
        <w:tc>
          <w:tcPr>
            <w:tcW w:w="954" w:type="dxa"/>
            <w:tcBorders>
              <w:top w:val="nil"/>
              <w:bottom w:val="nil"/>
            </w:tcBorders>
            <w:shd w:val="clear" w:color="auto" w:fill="auto"/>
          </w:tcPr>
          <w:p w:rsidR="00691289" w:rsidRPr="00C85E38" w:rsidRDefault="00691289" w:rsidP="00A0366B">
            <w:pPr>
              <w:pStyle w:val="Tabletext"/>
              <w:ind w:right="227"/>
              <w:jc w:val="right"/>
            </w:pPr>
            <w:r w:rsidRPr="00C85E38">
              <w:t>524</w:t>
            </w:r>
          </w:p>
        </w:tc>
      </w:tr>
      <w:tr w:rsidR="00691289" w:rsidRPr="00C85E38" w:rsidTr="002F78E5">
        <w:tc>
          <w:tcPr>
            <w:tcW w:w="2785" w:type="dxa"/>
            <w:tcBorders>
              <w:top w:val="nil"/>
              <w:bottom w:val="nil"/>
            </w:tcBorders>
          </w:tcPr>
          <w:p w:rsidR="00691289" w:rsidRPr="00C85E38" w:rsidRDefault="00691289" w:rsidP="00A0366B">
            <w:pPr>
              <w:pStyle w:val="Tabletext"/>
            </w:pPr>
            <w:r w:rsidRPr="00C85E38">
              <w:t>Lost paid leave</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2.8</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172</w:t>
            </w:r>
          </w:p>
        </w:tc>
        <w:tc>
          <w:tcPr>
            <w:tcW w:w="954" w:type="dxa"/>
            <w:tcBorders>
              <w:top w:val="nil"/>
              <w:bottom w:val="nil"/>
            </w:tcBorders>
            <w:shd w:val="clear" w:color="auto" w:fill="auto"/>
          </w:tcPr>
          <w:p w:rsidR="00691289" w:rsidRPr="00C85E38" w:rsidRDefault="00691289" w:rsidP="00A0366B">
            <w:pPr>
              <w:pStyle w:val="Tabletext"/>
              <w:tabs>
                <w:tab w:val="decimal" w:pos="397"/>
              </w:tabs>
            </w:pPr>
            <w:r w:rsidRPr="00C85E38">
              <w:t>2.8</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159</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3.2</w:t>
            </w:r>
          </w:p>
        </w:tc>
        <w:tc>
          <w:tcPr>
            <w:tcW w:w="954" w:type="dxa"/>
            <w:tcBorders>
              <w:top w:val="nil"/>
              <w:bottom w:val="nil"/>
            </w:tcBorders>
            <w:shd w:val="clear" w:color="auto" w:fill="auto"/>
          </w:tcPr>
          <w:p w:rsidR="00691289" w:rsidRPr="00C85E38" w:rsidRDefault="00691289" w:rsidP="00A0366B">
            <w:pPr>
              <w:pStyle w:val="Tabletext"/>
              <w:ind w:right="227"/>
              <w:jc w:val="right"/>
            </w:pPr>
            <w:r w:rsidRPr="00C85E38">
              <w:t>142</w:t>
            </w:r>
          </w:p>
        </w:tc>
      </w:tr>
      <w:tr w:rsidR="00691289" w:rsidRPr="00C85E38" w:rsidTr="002F78E5">
        <w:tc>
          <w:tcPr>
            <w:tcW w:w="2785" w:type="dxa"/>
            <w:tcBorders>
              <w:top w:val="nil"/>
              <w:bottom w:val="nil"/>
            </w:tcBorders>
          </w:tcPr>
          <w:p w:rsidR="00691289" w:rsidRPr="00C85E38" w:rsidRDefault="00691289" w:rsidP="00A0366B">
            <w:pPr>
              <w:pStyle w:val="Tabletext"/>
            </w:pPr>
            <w:r w:rsidRPr="00C85E38">
              <w:t xml:space="preserve">Moved to no paid leave </w:t>
            </w:r>
            <w:r w:rsidRPr="00C85E38">
              <w:rPr>
                <w:vertAlign w:val="superscript"/>
              </w:rPr>
              <w:t>(a)</w:t>
            </w:r>
            <w:r w:rsidRPr="00C85E38">
              <w:t xml:space="preserve"> </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2.5</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205</w:t>
            </w:r>
          </w:p>
        </w:tc>
        <w:tc>
          <w:tcPr>
            <w:tcW w:w="954" w:type="dxa"/>
            <w:tcBorders>
              <w:top w:val="nil"/>
              <w:bottom w:val="nil"/>
            </w:tcBorders>
            <w:shd w:val="clear" w:color="auto" w:fill="auto"/>
          </w:tcPr>
          <w:p w:rsidR="00691289" w:rsidRPr="00C85E38" w:rsidRDefault="00691289" w:rsidP="00A0366B">
            <w:pPr>
              <w:pStyle w:val="Tabletext"/>
              <w:tabs>
                <w:tab w:val="decimal" w:pos="397"/>
              </w:tabs>
            </w:pPr>
            <w:r w:rsidRPr="00C85E38">
              <w:t>9.4</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146</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4.2</w:t>
            </w:r>
          </w:p>
        </w:tc>
        <w:tc>
          <w:tcPr>
            <w:tcW w:w="954" w:type="dxa"/>
            <w:tcBorders>
              <w:top w:val="nil"/>
              <w:bottom w:val="nil"/>
            </w:tcBorders>
            <w:shd w:val="clear" w:color="auto" w:fill="auto"/>
          </w:tcPr>
          <w:p w:rsidR="00691289" w:rsidRPr="00C85E38" w:rsidRDefault="00691289" w:rsidP="00A0366B">
            <w:pPr>
              <w:pStyle w:val="Tabletext"/>
              <w:ind w:right="227"/>
              <w:jc w:val="right"/>
            </w:pPr>
            <w:r w:rsidRPr="00C85E38">
              <w:t>71</w:t>
            </w:r>
          </w:p>
        </w:tc>
      </w:tr>
      <w:tr w:rsidR="00691289" w:rsidRPr="00C85E38" w:rsidTr="002F78E5">
        <w:tc>
          <w:tcPr>
            <w:tcW w:w="2785" w:type="dxa"/>
            <w:tcBorders>
              <w:top w:val="nil"/>
              <w:bottom w:val="nil"/>
            </w:tcBorders>
          </w:tcPr>
          <w:p w:rsidR="00691289" w:rsidRPr="00C85E38" w:rsidRDefault="00691289" w:rsidP="00A0366B">
            <w:pPr>
              <w:pStyle w:val="Tabletext"/>
            </w:pPr>
            <w:r w:rsidRPr="00C85E38">
              <w:t>Sub-total (no paid leave)</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23.8</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1439</w:t>
            </w:r>
          </w:p>
        </w:tc>
        <w:tc>
          <w:tcPr>
            <w:tcW w:w="954" w:type="dxa"/>
            <w:tcBorders>
              <w:top w:val="nil"/>
              <w:bottom w:val="nil"/>
            </w:tcBorders>
            <w:shd w:val="clear" w:color="auto" w:fill="auto"/>
          </w:tcPr>
          <w:p w:rsidR="00691289" w:rsidRPr="00C85E38" w:rsidRDefault="00691289" w:rsidP="00A0366B">
            <w:pPr>
              <w:pStyle w:val="Tabletext"/>
              <w:tabs>
                <w:tab w:val="decimal" w:pos="397"/>
              </w:tabs>
            </w:pPr>
            <w:r w:rsidRPr="00C85E38">
              <w:t>24.9</w:t>
            </w:r>
          </w:p>
        </w:tc>
        <w:tc>
          <w:tcPr>
            <w:tcW w:w="953" w:type="dxa"/>
            <w:tcBorders>
              <w:top w:val="nil"/>
              <w:bottom w:val="nil"/>
            </w:tcBorders>
            <w:shd w:val="clear" w:color="auto" w:fill="auto"/>
          </w:tcPr>
          <w:p w:rsidR="00691289" w:rsidRPr="00C85E38" w:rsidRDefault="00691289" w:rsidP="00A0366B">
            <w:pPr>
              <w:pStyle w:val="Tabletext"/>
              <w:ind w:right="227"/>
              <w:jc w:val="right"/>
            </w:pPr>
            <w:r w:rsidRPr="00C85E38">
              <w:t>1013</w:t>
            </w:r>
          </w:p>
        </w:tc>
        <w:tc>
          <w:tcPr>
            <w:tcW w:w="953" w:type="dxa"/>
            <w:tcBorders>
              <w:top w:val="nil"/>
              <w:bottom w:val="nil"/>
            </w:tcBorders>
            <w:shd w:val="clear" w:color="auto" w:fill="auto"/>
          </w:tcPr>
          <w:p w:rsidR="00691289" w:rsidRPr="00C85E38" w:rsidRDefault="00691289" w:rsidP="00A0366B">
            <w:pPr>
              <w:pStyle w:val="Tabletext"/>
              <w:tabs>
                <w:tab w:val="decimal" w:pos="397"/>
              </w:tabs>
            </w:pPr>
            <w:r w:rsidRPr="00C85E38">
              <w:t>19.4</w:t>
            </w:r>
          </w:p>
        </w:tc>
        <w:tc>
          <w:tcPr>
            <w:tcW w:w="954" w:type="dxa"/>
            <w:tcBorders>
              <w:top w:val="nil"/>
              <w:bottom w:val="nil"/>
            </w:tcBorders>
            <w:shd w:val="clear" w:color="auto" w:fill="auto"/>
          </w:tcPr>
          <w:p w:rsidR="00691289" w:rsidRPr="00C85E38" w:rsidRDefault="00691289" w:rsidP="00A0366B">
            <w:pPr>
              <w:pStyle w:val="Tabletext"/>
              <w:ind w:right="227"/>
              <w:jc w:val="right"/>
            </w:pPr>
            <w:r w:rsidRPr="00C85E38">
              <w:t>737</w:t>
            </w:r>
          </w:p>
        </w:tc>
      </w:tr>
      <w:tr w:rsidR="00691289" w:rsidRPr="00C85E38" w:rsidTr="002F78E5">
        <w:tc>
          <w:tcPr>
            <w:tcW w:w="2785" w:type="dxa"/>
            <w:tcBorders>
              <w:top w:val="nil"/>
              <w:bottom w:val="single" w:sz="4" w:space="0" w:color="auto"/>
            </w:tcBorders>
          </w:tcPr>
          <w:p w:rsidR="00691289" w:rsidRPr="00C85E38" w:rsidRDefault="00691289" w:rsidP="00A0366B">
            <w:pPr>
              <w:pStyle w:val="Tabletext"/>
              <w:rPr>
                <w:b/>
              </w:rPr>
            </w:pPr>
            <w:r w:rsidRPr="00C85E38">
              <w:rPr>
                <w:b/>
              </w:rPr>
              <w:t>Total</w:t>
            </w:r>
          </w:p>
        </w:tc>
        <w:tc>
          <w:tcPr>
            <w:tcW w:w="953" w:type="dxa"/>
            <w:tcBorders>
              <w:top w:val="nil"/>
              <w:bottom w:val="single" w:sz="4" w:space="0" w:color="auto"/>
            </w:tcBorders>
            <w:shd w:val="clear" w:color="auto" w:fill="auto"/>
          </w:tcPr>
          <w:p w:rsidR="00691289" w:rsidRPr="00C85E38" w:rsidRDefault="00691289" w:rsidP="00A0366B">
            <w:pPr>
              <w:pStyle w:val="Tabletext"/>
              <w:tabs>
                <w:tab w:val="decimal" w:pos="397"/>
              </w:tabs>
              <w:rPr>
                <w:b/>
              </w:rPr>
            </w:pPr>
            <w:r w:rsidRPr="00C85E38">
              <w:rPr>
                <w:b/>
              </w:rPr>
              <w:t>100.0</w:t>
            </w:r>
          </w:p>
        </w:tc>
        <w:tc>
          <w:tcPr>
            <w:tcW w:w="953" w:type="dxa"/>
            <w:tcBorders>
              <w:top w:val="nil"/>
              <w:bottom w:val="single" w:sz="4" w:space="0" w:color="auto"/>
            </w:tcBorders>
            <w:shd w:val="clear" w:color="auto" w:fill="auto"/>
          </w:tcPr>
          <w:p w:rsidR="00691289" w:rsidRPr="00C85E38" w:rsidRDefault="00691289" w:rsidP="00A0366B">
            <w:pPr>
              <w:pStyle w:val="Tabletext"/>
              <w:ind w:right="227"/>
              <w:jc w:val="right"/>
              <w:rPr>
                <w:b/>
              </w:rPr>
            </w:pPr>
            <w:r w:rsidRPr="00C85E38">
              <w:rPr>
                <w:b/>
              </w:rPr>
              <w:t>6467</w:t>
            </w:r>
          </w:p>
        </w:tc>
        <w:tc>
          <w:tcPr>
            <w:tcW w:w="954" w:type="dxa"/>
            <w:tcBorders>
              <w:top w:val="nil"/>
              <w:bottom w:val="single" w:sz="4" w:space="0" w:color="auto"/>
            </w:tcBorders>
            <w:shd w:val="clear" w:color="auto" w:fill="auto"/>
          </w:tcPr>
          <w:p w:rsidR="00691289" w:rsidRPr="00C85E38" w:rsidRDefault="00691289" w:rsidP="00A0366B">
            <w:pPr>
              <w:pStyle w:val="Tabletext"/>
              <w:tabs>
                <w:tab w:val="decimal" w:pos="397"/>
              </w:tabs>
              <w:rPr>
                <w:b/>
              </w:rPr>
            </w:pPr>
            <w:r w:rsidRPr="00C85E38">
              <w:rPr>
                <w:b/>
              </w:rPr>
              <w:t>100.0</w:t>
            </w:r>
          </w:p>
        </w:tc>
        <w:tc>
          <w:tcPr>
            <w:tcW w:w="953" w:type="dxa"/>
            <w:tcBorders>
              <w:top w:val="nil"/>
              <w:bottom w:val="single" w:sz="4" w:space="0" w:color="auto"/>
            </w:tcBorders>
            <w:shd w:val="clear" w:color="auto" w:fill="auto"/>
          </w:tcPr>
          <w:p w:rsidR="00691289" w:rsidRPr="00C85E38" w:rsidRDefault="00691289" w:rsidP="00A0366B">
            <w:pPr>
              <w:pStyle w:val="Tabletext"/>
              <w:ind w:right="227"/>
              <w:jc w:val="right"/>
              <w:rPr>
                <w:b/>
              </w:rPr>
            </w:pPr>
            <w:r w:rsidRPr="00C85E38">
              <w:rPr>
                <w:b/>
              </w:rPr>
              <w:t>5543</w:t>
            </w:r>
          </w:p>
        </w:tc>
        <w:tc>
          <w:tcPr>
            <w:tcW w:w="953" w:type="dxa"/>
            <w:tcBorders>
              <w:top w:val="nil"/>
              <w:bottom w:val="single" w:sz="4" w:space="0" w:color="auto"/>
            </w:tcBorders>
            <w:shd w:val="clear" w:color="auto" w:fill="auto"/>
          </w:tcPr>
          <w:p w:rsidR="00691289" w:rsidRPr="00C85E38" w:rsidRDefault="00691289" w:rsidP="00A0366B">
            <w:pPr>
              <w:pStyle w:val="Tabletext"/>
              <w:tabs>
                <w:tab w:val="decimal" w:pos="397"/>
              </w:tabs>
              <w:rPr>
                <w:b/>
              </w:rPr>
            </w:pPr>
            <w:r w:rsidRPr="00C85E38">
              <w:rPr>
                <w:b/>
              </w:rPr>
              <w:t>100.0</w:t>
            </w:r>
          </w:p>
        </w:tc>
        <w:tc>
          <w:tcPr>
            <w:tcW w:w="954" w:type="dxa"/>
            <w:tcBorders>
              <w:top w:val="nil"/>
              <w:bottom w:val="single" w:sz="4" w:space="0" w:color="auto"/>
            </w:tcBorders>
            <w:shd w:val="clear" w:color="auto" w:fill="auto"/>
          </w:tcPr>
          <w:p w:rsidR="00691289" w:rsidRPr="00C85E38" w:rsidRDefault="00691289" w:rsidP="00A0366B">
            <w:pPr>
              <w:pStyle w:val="Tabletext"/>
              <w:ind w:right="227"/>
              <w:jc w:val="right"/>
              <w:rPr>
                <w:b/>
              </w:rPr>
            </w:pPr>
            <w:r w:rsidRPr="00C85E38">
              <w:rPr>
                <w:b/>
              </w:rPr>
              <w:t>4773</w:t>
            </w:r>
          </w:p>
        </w:tc>
      </w:tr>
    </w:tbl>
    <w:bookmarkEnd w:id="83"/>
    <w:p w:rsidR="00691289" w:rsidRPr="00C85E38" w:rsidRDefault="00691289" w:rsidP="00691289">
      <w:pPr>
        <w:pStyle w:val="Source"/>
      </w:pPr>
      <w:r w:rsidRPr="00C85E38">
        <w:t>Notes:</w:t>
      </w:r>
      <w:r w:rsidRPr="00C85E38">
        <w:tab/>
        <w:t>(a) ‘Moved’ implies the respondent was not an employee in the previous year and moved into a job as an employee.</w:t>
      </w:r>
      <w:r w:rsidRPr="00C85E38">
        <w:br/>
        <w:t>Population: Employee in the latter reference year.</w:t>
      </w:r>
      <w:r w:rsidRPr="00C85E38">
        <w:br/>
        <w:t>Weights: Longitudinal 0607; 0708; 0809.</w:t>
      </w:r>
    </w:p>
    <w:p w:rsidR="00691289" w:rsidRPr="00C85E38" w:rsidRDefault="00691289" w:rsidP="00691289">
      <w:pPr>
        <w:pStyle w:val="Source"/>
      </w:pPr>
      <w:r w:rsidRPr="00C85E38">
        <w:t>Source:</w:t>
      </w:r>
      <w:r w:rsidRPr="00C85E38">
        <w:tab/>
        <w:t>Australia at Work W1 to W3.</w:t>
      </w:r>
    </w:p>
    <w:p w:rsidR="00691289" w:rsidRPr="00C85E38" w:rsidRDefault="00691289" w:rsidP="002F78E5">
      <w:pPr>
        <w:pStyle w:val="Textmorebefore"/>
      </w:pPr>
      <w:r w:rsidRPr="00C85E38">
        <w:t xml:space="preserve">As noted previously, in a longitudinal study the sample matures over time. The data report on people who were either working or looking for work in March 2006. Not surprisingly, as people get older they are more likely to move into jobs with paid leave. Table A2.1 shows that employees who reported paid leave in the following year of the survey steadily increased over time from 76% to 81%. In the period 2007–08, the proportion of employees reporting paid leave in consecutive surveys dipped to 60%, and this appears to be a result of more change between jobs with and without paid leave. There was an increase in those who entered into a job with paid leave (15% in total) and people who entered into a job without paid leave after not working or being self-employed (9%). The next table further examines job change over the survey period. </w:t>
      </w:r>
    </w:p>
    <w:p w:rsidR="00691289" w:rsidRPr="00C85E38" w:rsidRDefault="00691289" w:rsidP="002F78E5">
      <w:pPr>
        <w:pStyle w:val="Text"/>
      </w:pPr>
      <w:r w:rsidRPr="00C85E38">
        <w:t xml:space="preserve">Table A1.1 provides some clues as to the impact of the downturn, in terms of respondents reporting they entered a job with paid leave. The proportion of employees who reported paid leave in one year, after not doing so in the previous year, peaked just as the economy did between 2007 and 2008 (at a total of 15% of employees), and falling back to 11% in the most recent wave. Table A2.1 implies that </w:t>
      </w:r>
      <w:r w:rsidRPr="00C85E38">
        <w:lastRenderedPageBreak/>
        <w:t>the proportion of workers retaining, gaining and losing leave entitlements changes considerably from year to year. It is important to examine whether this aris</w:t>
      </w:r>
      <w:r>
        <w:t xml:space="preserve">es </w:t>
      </w:r>
      <w:r w:rsidRPr="00C85E38">
        <w:t>from employers changing entitlements for continuing employees or whether it occurs for those who change jobs or re-enter paid employment. Before examining this issue in detail, is helpful to understand how many people stay in the same job from year to year and how may enter a new employment relationship. Table A1.2 summarises the nature of job continuity and change between the survey waves.</w:t>
      </w:r>
    </w:p>
    <w:p w:rsidR="00691289" w:rsidRPr="00C85E38" w:rsidRDefault="00691289" w:rsidP="00691289">
      <w:pPr>
        <w:pStyle w:val="tabletitle"/>
        <w:ind w:left="993" w:hanging="993"/>
      </w:pPr>
      <w:bookmarkStart w:id="84" w:name="_Toc246384837"/>
      <w:bookmarkStart w:id="85" w:name="_Toc265854410"/>
      <w:bookmarkStart w:id="86" w:name="_Toc297558139"/>
      <w:bookmarkStart w:id="87" w:name="_Toc300838524"/>
      <w:r w:rsidRPr="00C85E38">
        <w:t>Table A1.2</w:t>
      </w:r>
      <w:r w:rsidRPr="00C85E38">
        <w:tab/>
        <w:t>Change in employer or employment situation, 2006–09, %</w:t>
      </w:r>
      <w:bookmarkEnd w:id="84"/>
      <w:bookmarkEnd w:id="85"/>
      <w:bookmarkEnd w:id="86"/>
      <w:bookmarkEnd w:id="87"/>
    </w:p>
    <w:tbl>
      <w:tblPr>
        <w:tblW w:w="8789" w:type="dxa"/>
        <w:tblInd w:w="108" w:type="dxa"/>
        <w:tblLayout w:type="fixed"/>
        <w:tblLook w:val="01E0"/>
      </w:tblPr>
      <w:tblGrid>
        <w:gridCol w:w="3171"/>
        <w:gridCol w:w="937"/>
        <w:gridCol w:w="936"/>
        <w:gridCol w:w="936"/>
        <w:gridCol w:w="936"/>
        <w:gridCol w:w="936"/>
        <w:gridCol w:w="937"/>
      </w:tblGrid>
      <w:tr w:rsidR="00691289" w:rsidRPr="00C85E38" w:rsidTr="002F78E5">
        <w:tc>
          <w:tcPr>
            <w:tcW w:w="3068" w:type="dxa"/>
            <w:tcBorders>
              <w:top w:val="single" w:sz="4" w:space="0" w:color="auto"/>
            </w:tcBorders>
          </w:tcPr>
          <w:p w:rsidR="00691289" w:rsidRPr="00C85E38" w:rsidRDefault="00691289" w:rsidP="00A0366B">
            <w:pPr>
              <w:pStyle w:val="Tablehead1"/>
            </w:pPr>
          </w:p>
        </w:tc>
        <w:tc>
          <w:tcPr>
            <w:tcW w:w="1812" w:type="dxa"/>
            <w:gridSpan w:val="2"/>
            <w:tcBorders>
              <w:top w:val="single" w:sz="4" w:space="0" w:color="auto"/>
            </w:tcBorders>
            <w:shd w:val="clear" w:color="auto" w:fill="auto"/>
          </w:tcPr>
          <w:p w:rsidR="00691289" w:rsidRPr="00C85E38" w:rsidRDefault="00691289" w:rsidP="00A0366B">
            <w:pPr>
              <w:pStyle w:val="Tablehead1"/>
              <w:jc w:val="center"/>
            </w:pPr>
            <w:r w:rsidRPr="00C85E38">
              <w:t>2006–07</w:t>
            </w:r>
          </w:p>
        </w:tc>
        <w:tc>
          <w:tcPr>
            <w:tcW w:w="1812" w:type="dxa"/>
            <w:gridSpan w:val="2"/>
            <w:tcBorders>
              <w:top w:val="single" w:sz="4" w:space="0" w:color="auto"/>
            </w:tcBorders>
            <w:shd w:val="clear" w:color="auto" w:fill="auto"/>
          </w:tcPr>
          <w:p w:rsidR="00691289" w:rsidRPr="00C85E38" w:rsidRDefault="00691289" w:rsidP="00A0366B">
            <w:pPr>
              <w:pStyle w:val="Tablehead1"/>
              <w:jc w:val="center"/>
            </w:pPr>
            <w:r w:rsidRPr="00C85E38">
              <w:t>2007–08</w:t>
            </w:r>
          </w:p>
        </w:tc>
        <w:tc>
          <w:tcPr>
            <w:tcW w:w="1813" w:type="dxa"/>
            <w:gridSpan w:val="2"/>
            <w:tcBorders>
              <w:top w:val="single" w:sz="4" w:space="0" w:color="auto"/>
            </w:tcBorders>
            <w:shd w:val="clear" w:color="auto" w:fill="auto"/>
          </w:tcPr>
          <w:p w:rsidR="00691289" w:rsidRPr="00C85E38" w:rsidRDefault="00691289" w:rsidP="00A0366B">
            <w:pPr>
              <w:pStyle w:val="Tablehead1"/>
              <w:jc w:val="center"/>
            </w:pPr>
            <w:r w:rsidRPr="00C85E38">
              <w:t>2008–09</w:t>
            </w:r>
          </w:p>
        </w:tc>
      </w:tr>
      <w:tr w:rsidR="00691289" w:rsidRPr="00C85E38" w:rsidTr="002F78E5">
        <w:tc>
          <w:tcPr>
            <w:tcW w:w="3068" w:type="dxa"/>
            <w:tcBorders>
              <w:bottom w:val="single" w:sz="4" w:space="0" w:color="auto"/>
            </w:tcBorders>
          </w:tcPr>
          <w:p w:rsidR="00691289" w:rsidRPr="00C85E38" w:rsidRDefault="00691289" w:rsidP="00A0366B">
            <w:pPr>
              <w:pStyle w:val="Tablehead2"/>
            </w:pPr>
          </w:p>
        </w:tc>
        <w:tc>
          <w:tcPr>
            <w:tcW w:w="906" w:type="dxa"/>
            <w:tcBorders>
              <w:bottom w:val="single" w:sz="4" w:space="0" w:color="auto"/>
            </w:tcBorders>
            <w:shd w:val="clear" w:color="auto" w:fill="auto"/>
          </w:tcPr>
          <w:p w:rsidR="00691289" w:rsidRPr="00C85E38" w:rsidRDefault="00691289" w:rsidP="00A0366B">
            <w:pPr>
              <w:pStyle w:val="Tablehead2"/>
              <w:jc w:val="center"/>
            </w:pPr>
            <w:r w:rsidRPr="00C85E38">
              <w:t>%</w:t>
            </w:r>
          </w:p>
        </w:tc>
        <w:tc>
          <w:tcPr>
            <w:tcW w:w="906" w:type="dxa"/>
            <w:tcBorders>
              <w:bottom w:val="single" w:sz="4" w:space="0" w:color="auto"/>
            </w:tcBorders>
            <w:shd w:val="clear" w:color="auto" w:fill="auto"/>
          </w:tcPr>
          <w:p w:rsidR="00691289" w:rsidRPr="00C85E38" w:rsidRDefault="00691289" w:rsidP="00A0366B">
            <w:pPr>
              <w:pStyle w:val="Tablehead2"/>
              <w:jc w:val="center"/>
            </w:pPr>
            <w:r w:rsidRPr="00C85E38">
              <w:t>n</w:t>
            </w:r>
          </w:p>
        </w:tc>
        <w:tc>
          <w:tcPr>
            <w:tcW w:w="906" w:type="dxa"/>
            <w:tcBorders>
              <w:bottom w:val="single" w:sz="4" w:space="0" w:color="auto"/>
            </w:tcBorders>
            <w:shd w:val="clear" w:color="auto" w:fill="auto"/>
          </w:tcPr>
          <w:p w:rsidR="00691289" w:rsidRPr="00C85E38" w:rsidRDefault="00691289" w:rsidP="00A0366B">
            <w:pPr>
              <w:pStyle w:val="Tablehead2"/>
              <w:jc w:val="center"/>
            </w:pPr>
            <w:r w:rsidRPr="00C85E38">
              <w:t>%</w:t>
            </w:r>
          </w:p>
        </w:tc>
        <w:tc>
          <w:tcPr>
            <w:tcW w:w="906" w:type="dxa"/>
            <w:tcBorders>
              <w:bottom w:val="single" w:sz="4" w:space="0" w:color="auto"/>
            </w:tcBorders>
            <w:shd w:val="clear" w:color="auto" w:fill="auto"/>
          </w:tcPr>
          <w:p w:rsidR="00691289" w:rsidRPr="00C85E38" w:rsidRDefault="00691289" w:rsidP="00A0366B">
            <w:pPr>
              <w:pStyle w:val="Tablehead2"/>
              <w:jc w:val="center"/>
            </w:pPr>
            <w:r w:rsidRPr="00C85E38">
              <w:t>n</w:t>
            </w:r>
          </w:p>
        </w:tc>
        <w:tc>
          <w:tcPr>
            <w:tcW w:w="906" w:type="dxa"/>
            <w:tcBorders>
              <w:bottom w:val="single" w:sz="4" w:space="0" w:color="auto"/>
            </w:tcBorders>
            <w:shd w:val="clear" w:color="auto" w:fill="auto"/>
          </w:tcPr>
          <w:p w:rsidR="00691289" w:rsidRPr="00C85E38" w:rsidRDefault="00691289" w:rsidP="00A0366B">
            <w:pPr>
              <w:pStyle w:val="Tablehead2"/>
              <w:jc w:val="center"/>
            </w:pPr>
            <w:r w:rsidRPr="00C85E38">
              <w:t>%</w:t>
            </w:r>
          </w:p>
        </w:tc>
        <w:tc>
          <w:tcPr>
            <w:tcW w:w="907" w:type="dxa"/>
            <w:tcBorders>
              <w:bottom w:val="single" w:sz="4" w:space="0" w:color="auto"/>
            </w:tcBorders>
            <w:shd w:val="clear" w:color="auto" w:fill="auto"/>
          </w:tcPr>
          <w:p w:rsidR="00691289" w:rsidRPr="00C85E38" w:rsidRDefault="00691289" w:rsidP="00A0366B">
            <w:pPr>
              <w:pStyle w:val="Tablehead2"/>
              <w:jc w:val="center"/>
            </w:pPr>
            <w:r w:rsidRPr="00C85E38">
              <w:t>n</w:t>
            </w:r>
          </w:p>
        </w:tc>
      </w:tr>
      <w:tr w:rsidR="00691289" w:rsidRPr="00C85E38" w:rsidTr="002F78E5">
        <w:tc>
          <w:tcPr>
            <w:tcW w:w="3068" w:type="dxa"/>
            <w:tcBorders>
              <w:top w:val="single" w:sz="4" w:space="0" w:color="auto"/>
            </w:tcBorders>
          </w:tcPr>
          <w:p w:rsidR="00691289" w:rsidRPr="00C85E38" w:rsidRDefault="00691289" w:rsidP="00A0366B">
            <w:pPr>
              <w:pStyle w:val="Tabletext"/>
            </w:pPr>
            <w:r w:rsidRPr="00C85E38">
              <w:t>Same employer or business</w:t>
            </w:r>
          </w:p>
        </w:tc>
        <w:tc>
          <w:tcPr>
            <w:tcW w:w="906" w:type="dxa"/>
            <w:tcBorders>
              <w:top w:val="single" w:sz="4" w:space="0" w:color="auto"/>
            </w:tcBorders>
            <w:shd w:val="clear" w:color="auto" w:fill="auto"/>
          </w:tcPr>
          <w:p w:rsidR="00691289" w:rsidRPr="00C85E38" w:rsidRDefault="00691289" w:rsidP="00A0366B">
            <w:pPr>
              <w:pStyle w:val="Tabletext"/>
              <w:tabs>
                <w:tab w:val="decimal" w:pos="340"/>
              </w:tabs>
            </w:pPr>
            <w:r w:rsidRPr="00C85E38">
              <w:t>78.2</w:t>
            </w:r>
          </w:p>
        </w:tc>
        <w:tc>
          <w:tcPr>
            <w:tcW w:w="906" w:type="dxa"/>
            <w:tcBorders>
              <w:top w:val="single" w:sz="4" w:space="0" w:color="auto"/>
            </w:tcBorders>
            <w:shd w:val="clear" w:color="auto" w:fill="auto"/>
          </w:tcPr>
          <w:p w:rsidR="00691289" w:rsidRPr="00C85E38" w:rsidRDefault="00691289" w:rsidP="00A0366B">
            <w:pPr>
              <w:pStyle w:val="Tabletext"/>
              <w:ind w:right="198"/>
              <w:jc w:val="right"/>
            </w:pPr>
            <w:r w:rsidRPr="00C85E38">
              <w:t>6390</w:t>
            </w:r>
          </w:p>
        </w:tc>
        <w:tc>
          <w:tcPr>
            <w:tcW w:w="906" w:type="dxa"/>
            <w:tcBorders>
              <w:top w:val="single" w:sz="4" w:space="0" w:color="auto"/>
            </w:tcBorders>
            <w:shd w:val="clear" w:color="auto" w:fill="auto"/>
          </w:tcPr>
          <w:p w:rsidR="00691289" w:rsidRPr="00C85E38" w:rsidRDefault="00691289" w:rsidP="00A0366B">
            <w:pPr>
              <w:pStyle w:val="Tabletext"/>
              <w:tabs>
                <w:tab w:val="decimal" w:pos="340"/>
              </w:tabs>
            </w:pPr>
            <w:r w:rsidRPr="00C85E38">
              <w:t>63.8</w:t>
            </w:r>
          </w:p>
        </w:tc>
        <w:tc>
          <w:tcPr>
            <w:tcW w:w="906" w:type="dxa"/>
            <w:tcBorders>
              <w:top w:val="single" w:sz="4" w:space="0" w:color="auto"/>
            </w:tcBorders>
            <w:shd w:val="clear" w:color="auto" w:fill="auto"/>
          </w:tcPr>
          <w:p w:rsidR="00691289" w:rsidRPr="00C85E38" w:rsidRDefault="00691289" w:rsidP="00A0366B">
            <w:pPr>
              <w:pStyle w:val="Tabletext"/>
              <w:ind w:right="198"/>
              <w:jc w:val="right"/>
            </w:pPr>
            <w:r w:rsidRPr="00C85E38">
              <w:t>5162</w:t>
            </w:r>
          </w:p>
        </w:tc>
        <w:tc>
          <w:tcPr>
            <w:tcW w:w="906" w:type="dxa"/>
            <w:tcBorders>
              <w:top w:val="single" w:sz="4" w:space="0" w:color="auto"/>
            </w:tcBorders>
            <w:shd w:val="clear" w:color="auto" w:fill="auto"/>
          </w:tcPr>
          <w:p w:rsidR="00691289" w:rsidRPr="00C85E38" w:rsidRDefault="00691289" w:rsidP="00A0366B">
            <w:pPr>
              <w:pStyle w:val="Tabletext"/>
              <w:tabs>
                <w:tab w:val="decimal" w:pos="340"/>
              </w:tabs>
            </w:pPr>
            <w:r w:rsidRPr="00C85E38">
              <w:t>69.7</w:t>
            </w:r>
          </w:p>
        </w:tc>
        <w:tc>
          <w:tcPr>
            <w:tcW w:w="907" w:type="dxa"/>
            <w:tcBorders>
              <w:top w:val="single" w:sz="4" w:space="0" w:color="auto"/>
            </w:tcBorders>
            <w:shd w:val="clear" w:color="auto" w:fill="auto"/>
          </w:tcPr>
          <w:p w:rsidR="00691289" w:rsidRPr="00C85E38" w:rsidRDefault="00691289" w:rsidP="00A0366B">
            <w:pPr>
              <w:pStyle w:val="Tabletext"/>
              <w:ind w:right="198"/>
              <w:jc w:val="right"/>
            </w:pPr>
            <w:r w:rsidRPr="00C85E38">
              <w:t>4739</w:t>
            </w:r>
          </w:p>
        </w:tc>
      </w:tr>
      <w:tr w:rsidR="00691289" w:rsidRPr="00C85E38" w:rsidTr="002F78E5">
        <w:tc>
          <w:tcPr>
            <w:tcW w:w="3068" w:type="dxa"/>
          </w:tcPr>
          <w:p w:rsidR="00691289" w:rsidRPr="00C85E38" w:rsidRDefault="00691289" w:rsidP="00A0366B">
            <w:pPr>
              <w:pStyle w:val="Tabletext"/>
            </w:pPr>
            <w:r w:rsidRPr="00C85E38">
              <w:t>Different employer or business</w:t>
            </w:r>
          </w:p>
        </w:tc>
        <w:tc>
          <w:tcPr>
            <w:tcW w:w="906" w:type="dxa"/>
            <w:shd w:val="clear" w:color="auto" w:fill="auto"/>
          </w:tcPr>
          <w:p w:rsidR="00691289" w:rsidRPr="00C85E38" w:rsidRDefault="00691289" w:rsidP="00A0366B">
            <w:pPr>
              <w:pStyle w:val="Tabletext"/>
              <w:tabs>
                <w:tab w:val="decimal" w:pos="340"/>
              </w:tabs>
            </w:pPr>
            <w:r w:rsidRPr="00C85E38">
              <w:t>14.8</w:t>
            </w:r>
          </w:p>
        </w:tc>
        <w:tc>
          <w:tcPr>
            <w:tcW w:w="906" w:type="dxa"/>
            <w:shd w:val="clear" w:color="auto" w:fill="auto"/>
          </w:tcPr>
          <w:p w:rsidR="00691289" w:rsidRPr="00C85E38" w:rsidRDefault="00691289" w:rsidP="00A0366B">
            <w:pPr>
              <w:pStyle w:val="Tabletext"/>
              <w:ind w:right="198"/>
              <w:jc w:val="right"/>
            </w:pPr>
            <w:r w:rsidRPr="00C85E38">
              <w:t>1127</w:t>
            </w:r>
          </w:p>
        </w:tc>
        <w:tc>
          <w:tcPr>
            <w:tcW w:w="906" w:type="dxa"/>
            <w:shd w:val="clear" w:color="auto" w:fill="auto"/>
          </w:tcPr>
          <w:p w:rsidR="00691289" w:rsidRPr="00C85E38" w:rsidRDefault="00691289" w:rsidP="00A0366B">
            <w:pPr>
              <w:pStyle w:val="Tabletext"/>
              <w:tabs>
                <w:tab w:val="decimal" w:pos="340"/>
              </w:tabs>
            </w:pPr>
            <w:r w:rsidRPr="00C85E38">
              <w:t>16.9</w:t>
            </w:r>
          </w:p>
        </w:tc>
        <w:tc>
          <w:tcPr>
            <w:tcW w:w="906" w:type="dxa"/>
            <w:shd w:val="clear" w:color="auto" w:fill="auto"/>
          </w:tcPr>
          <w:p w:rsidR="00691289" w:rsidRPr="00C85E38" w:rsidRDefault="00691289" w:rsidP="00A0366B">
            <w:pPr>
              <w:pStyle w:val="Tabletext"/>
              <w:ind w:right="198"/>
              <w:jc w:val="right"/>
            </w:pPr>
            <w:r w:rsidRPr="00C85E38">
              <w:t>1205</w:t>
            </w:r>
          </w:p>
        </w:tc>
        <w:tc>
          <w:tcPr>
            <w:tcW w:w="906" w:type="dxa"/>
            <w:shd w:val="clear" w:color="auto" w:fill="auto"/>
          </w:tcPr>
          <w:p w:rsidR="00691289" w:rsidRPr="00C85E38" w:rsidRDefault="00691289" w:rsidP="00A0366B">
            <w:pPr>
              <w:pStyle w:val="Tabletext"/>
              <w:tabs>
                <w:tab w:val="decimal" w:pos="340"/>
              </w:tabs>
            </w:pPr>
            <w:r w:rsidRPr="00C85E38">
              <w:t>14.7</w:t>
            </w:r>
          </w:p>
        </w:tc>
        <w:tc>
          <w:tcPr>
            <w:tcW w:w="907" w:type="dxa"/>
            <w:shd w:val="clear" w:color="auto" w:fill="auto"/>
          </w:tcPr>
          <w:p w:rsidR="00691289" w:rsidRPr="00C85E38" w:rsidRDefault="00691289" w:rsidP="00A0366B">
            <w:pPr>
              <w:pStyle w:val="Tabletext"/>
              <w:ind w:right="198"/>
              <w:jc w:val="right"/>
            </w:pPr>
            <w:r w:rsidRPr="00C85E38">
              <w:t>860</w:t>
            </w:r>
          </w:p>
        </w:tc>
      </w:tr>
      <w:tr w:rsidR="00691289" w:rsidRPr="00C85E38" w:rsidTr="002F78E5">
        <w:tc>
          <w:tcPr>
            <w:tcW w:w="3068" w:type="dxa"/>
          </w:tcPr>
          <w:p w:rsidR="00691289" w:rsidRPr="00C85E38" w:rsidRDefault="00691289" w:rsidP="00A0366B">
            <w:pPr>
              <w:pStyle w:val="Tabletext"/>
            </w:pPr>
            <w:r w:rsidRPr="00C85E38">
              <w:t>Gained employment in the latter year</w:t>
            </w:r>
          </w:p>
        </w:tc>
        <w:tc>
          <w:tcPr>
            <w:tcW w:w="906" w:type="dxa"/>
            <w:shd w:val="clear" w:color="auto" w:fill="auto"/>
          </w:tcPr>
          <w:p w:rsidR="00691289" w:rsidRPr="00C85E38" w:rsidRDefault="00691289" w:rsidP="00A0366B">
            <w:pPr>
              <w:pStyle w:val="Tabletext"/>
              <w:tabs>
                <w:tab w:val="decimal" w:pos="340"/>
              </w:tabs>
            </w:pPr>
            <w:r w:rsidRPr="00C85E38">
              <w:t>2.8</w:t>
            </w:r>
          </w:p>
        </w:tc>
        <w:tc>
          <w:tcPr>
            <w:tcW w:w="906" w:type="dxa"/>
            <w:shd w:val="clear" w:color="auto" w:fill="auto"/>
          </w:tcPr>
          <w:p w:rsidR="00691289" w:rsidRPr="00C85E38" w:rsidRDefault="00691289" w:rsidP="00A0366B">
            <w:pPr>
              <w:pStyle w:val="Tabletext"/>
              <w:ind w:right="198"/>
              <w:jc w:val="right"/>
            </w:pPr>
            <w:r w:rsidRPr="00C85E38">
              <w:t>288</w:t>
            </w:r>
          </w:p>
        </w:tc>
        <w:tc>
          <w:tcPr>
            <w:tcW w:w="906" w:type="dxa"/>
            <w:shd w:val="clear" w:color="auto" w:fill="auto"/>
          </w:tcPr>
          <w:p w:rsidR="00691289" w:rsidRPr="00C85E38" w:rsidRDefault="00691289" w:rsidP="00A0366B">
            <w:pPr>
              <w:pStyle w:val="Tabletext"/>
              <w:tabs>
                <w:tab w:val="decimal" w:pos="340"/>
              </w:tabs>
            </w:pPr>
            <w:r w:rsidRPr="00C85E38">
              <w:t>15.2</w:t>
            </w:r>
          </w:p>
        </w:tc>
        <w:tc>
          <w:tcPr>
            <w:tcW w:w="906" w:type="dxa"/>
            <w:shd w:val="clear" w:color="auto" w:fill="auto"/>
          </w:tcPr>
          <w:p w:rsidR="00691289" w:rsidRPr="00C85E38" w:rsidRDefault="00691289" w:rsidP="00A0366B">
            <w:pPr>
              <w:pStyle w:val="Tabletext"/>
              <w:ind w:right="198"/>
              <w:jc w:val="right"/>
            </w:pPr>
            <w:r w:rsidRPr="00C85E38">
              <w:t>257</w:t>
            </w:r>
          </w:p>
        </w:tc>
        <w:tc>
          <w:tcPr>
            <w:tcW w:w="906" w:type="dxa"/>
            <w:shd w:val="clear" w:color="auto" w:fill="auto"/>
          </w:tcPr>
          <w:p w:rsidR="00691289" w:rsidRPr="00C85E38" w:rsidRDefault="00691289" w:rsidP="00A0366B">
            <w:pPr>
              <w:pStyle w:val="Tabletext"/>
              <w:tabs>
                <w:tab w:val="decimal" w:pos="340"/>
              </w:tabs>
            </w:pPr>
            <w:r w:rsidRPr="00C85E38">
              <w:t>9.7</w:t>
            </w:r>
          </w:p>
        </w:tc>
        <w:tc>
          <w:tcPr>
            <w:tcW w:w="907" w:type="dxa"/>
            <w:shd w:val="clear" w:color="auto" w:fill="auto"/>
          </w:tcPr>
          <w:p w:rsidR="00691289" w:rsidRPr="00C85E38" w:rsidRDefault="00691289" w:rsidP="00A0366B">
            <w:pPr>
              <w:pStyle w:val="Tabletext"/>
              <w:ind w:right="198"/>
              <w:jc w:val="right"/>
            </w:pPr>
            <w:r w:rsidRPr="00C85E38">
              <w:t>158</w:t>
            </w:r>
          </w:p>
        </w:tc>
      </w:tr>
      <w:tr w:rsidR="00691289" w:rsidRPr="00C85E38" w:rsidTr="002F78E5">
        <w:tc>
          <w:tcPr>
            <w:tcW w:w="3068" w:type="dxa"/>
          </w:tcPr>
          <w:p w:rsidR="00691289" w:rsidRPr="00C85E38" w:rsidRDefault="00691289" w:rsidP="00A0366B">
            <w:pPr>
              <w:pStyle w:val="Tabletext"/>
            </w:pPr>
            <w:r w:rsidRPr="00C85E38">
              <w:t>No longer employed in the latter year</w:t>
            </w:r>
          </w:p>
        </w:tc>
        <w:tc>
          <w:tcPr>
            <w:tcW w:w="906" w:type="dxa"/>
            <w:shd w:val="clear" w:color="auto" w:fill="auto"/>
          </w:tcPr>
          <w:p w:rsidR="00691289" w:rsidRPr="00C85E38" w:rsidRDefault="00691289" w:rsidP="00A0366B">
            <w:pPr>
              <w:pStyle w:val="Tabletext"/>
              <w:tabs>
                <w:tab w:val="decimal" w:pos="340"/>
              </w:tabs>
            </w:pPr>
            <w:r w:rsidRPr="00C85E38">
              <w:t>4.3</w:t>
            </w:r>
          </w:p>
        </w:tc>
        <w:tc>
          <w:tcPr>
            <w:tcW w:w="906" w:type="dxa"/>
            <w:shd w:val="clear" w:color="auto" w:fill="auto"/>
          </w:tcPr>
          <w:p w:rsidR="00691289" w:rsidRPr="00C85E38" w:rsidRDefault="00691289" w:rsidP="00A0366B">
            <w:pPr>
              <w:pStyle w:val="Tabletext"/>
              <w:ind w:right="198"/>
              <w:jc w:val="right"/>
            </w:pPr>
            <w:r w:rsidRPr="00C85E38">
              <w:t>323</w:t>
            </w:r>
          </w:p>
        </w:tc>
        <w:tc>
          <w:tcPr>
            <w:tcW w:w="906" w:type="dxa"/>
            <w:shd w:val="clear" w:color="auto" w:fill="auto"/>
          </w:tcPr>
          <w:p w:rsidR="00691289" w:rsidRPr="00C85E38" w:rsidRDefault="00691289" w:rsidP="00A0366B">
            <w:pPr>
              <w:pStyle w:val="Tabletext"/>
              <w:tabs>
                <w:tab w:val="decimal" w:pos="340"/>
              </w:tabs>
            </w:pPr>
            <w:r w:rsidRPr="00C85E38">
              <w:t>4.2</w:t>
            </w:r>
          </w:p>
        </w:tc>
        <w:tc>
          <w:tcPr>
            <w:tcW w:w="906" w:type="dxa"/>
            <w:shd w:val="clear" w:color="auto" w:fill="auto"/>
          </w:tcPr>
          <w:p w:rsidR="00691289" w:rsidRPr="00C85E38" w:rsidRDefault="00691289" w:rsidP="00A0366B">
            <w:pPr>
              <w:pStyle w:val="Tabletext"/>
              <w:ind w:right="198"/>
              <w:jc w:val="right"/>
            </w:pPr>
            <w:r w:rsidRPr="00C85E38">
              <w:t>299</w:t>
            </w:r>
          </w:p>
        </w:tc>
        <w:tc>
          <w:tcPr>
            <w:tcW w:w="906" w:type="dxa"/>
            <w:shd w:val="clear" w:color="auto" w:fill="auto"/>
          </w:tcPr>
          <w:p w:rsidR="00691289" w:rsidRPr="00C85E38" w:rsidRDefault="00691289" w:rsidP="00A0366B">
            <w:pPr>
              <w:pStyle w:val="Tabletext"/>
              <w:tabs>
                <w:tab w:val="decimal" w:pos="340"/>
              </w:tabs>
            </w:pPr>
            <w:r w:rsidRPr="00C85E38">
              <w:t>5.9</w:t>
            </w:r>
          </w:p>
        </w:tc>
        <w:tc>
          <w:tcPr>
            <w:tcW w:w="907" w:type="dxa"/>
            <w:shd w:val="clear" w:color="auto" w:fill="auto"/>
          </w:tcPr>
          <w:p w:rsidR="00691289" w:rsidRPr="00C85E38" w:rsidRDefault="00691289" w:rsidP="00A0366B">
            <w:pPr>
              <w:pStyle w:val="Tabletext"/>
              <w:ind w:right="198"/>
              <w:jc w:val="right"/>
            </w:pPr>
            <w:r w:rsidRPr="00C85E38">
              <w:t>342</w:t>
            </w:r>
          </w:p>
        </w:tc>
      </w:tr>
      <w:tr w:rsidR="00691289" w:rsidRPr="00C85E38" w:rsidTr="002F78E5">
        <w:tc>
          <w:tcPr>
            <w:tcW w:w="3068" w:type="dxa"/>
            <w:tcBorders>
              <w:bottom w:val="single" w:sz="4" w:space="0" w:color="auto"/>
            </w:tcBorders>
          </w:tcPr>
          <w:p w:rsidR="00691289" w:rsidRPr="00C85E38" w:rsidRDefault="00691289" w:rsidP="00A0366B">
            <w:pPr>
              <w:pStyle w:val="Tabletext"/>
              <w:rPr>
                <w:b/>
              </w:rPr>
            </w:pPr>
            <w:r w:rsidRPr="00C85E38">
              <w:rPr>
                <w:b/>
              </w:rPr>
              <w:t>Total</w:t>
            </w:r>
          </w:p>
        </w:tc>
        <w:tc>
          <w:tcPr>
            <w:tcW w:w="906" w:type="dxa"/>
            <w:tcBorders>
              <w:bottom w:val="single" w:sz="4" w:space="0" w:color="auto"/>
            </w:tcBorders>
            <w:shd w:val="clear" w:color="auto" w:fill="auto"/>
          </w:tcPr>
          <w:p w:rsidR="00691289" w:rsidRPr="00C85E38" w:rsidRDefault="00691289" w:rsidP="00A0366B">
            <w:pPr>
              <w:pStyle w:val="Tabletext"/>
              <w:tabs>
                <w:tab w:val="decimal" w:pos="340"/>
              </w:tabs>
              <w:rPr>
                <w:b/>
              </w:rPr>
            </w:pPr>
            <w:r w:rsidRPr="00C85E38">
              <w:rPr>
                <w:b/>
              </w:rPr>
              <w:t>100.0</w:t>
            </w:r>
          </w:p>
        </w:tc>
        <w:tc>
          <w:tcPr>
            <w:tcW w:w="906" w:type="dxa"/>
            <w:tcBorders>
              <w:bottom w:val="single" w:sz="4" w:space="0" w:color="auto"/>
            </w:tcBorders>
            <w:shd w:val="clear" w:color="auto" w:fill="auto"/>
          </w:tcPr>
          <w:p w:rsidR="00691289" w:rsidRPr="00C85E38" w:rsidRDefault="00691289" w:rsidP="00A0366B">
            <w:pPr>
              <w:pStyle w:val="Tabletext"/>
              <w:ind w:right="198"/>
              <w:jc w:val="right"/>
              <w:rPr>
                <w:b/>
              </w:rPr>
            </w:pPr>
            <w:r w:rsidRPr="00C85E38">
              <w:rPr>
                <w:b/>
              </w:rPr>
              <w:t>8128</w:t>
            </w:r>
          </w:p>
        </w:tc>
        <w:tc>
          <w:tcPr>
            <w:tcW w:w="906" w:type="dxa"/>
            <w:tcBorders>
              <w:bottom w:val="single" w:sz="4" w:space="0" w:color="auto"/>
            </w:tcBorders>
            <w:shd w:val="clear" w:color="auto" w:fill="auto"/>
          </w:tcPr>
          <w:p w:rsidR="00691289" w:rsidRPr="00C85E38" w:rsidRDefault="00691289" w:rsidP="00A0366B">
            <w:pPr>
              <w:pStyle w:val="Tabletext"/>
              <w:tabs>
                <w:tab w:val="decimal" w:pos="340"/>
              </w:tabs>
              <w:rPr>
                <w:b/>
              </w:rPr>
            </w:pPr>
            <w:r w:rsidRPr="00C85E38">
              <w:rPr>
                <w:b/>
              </w:rPr>
              <w:t>100.0</w:t>
            </w:r>
          </w:p>
        </w:tc>
        <w:tc>
          <w:tcPr>
            <w:tcW w:w="906" w:type="dxa"/>
            <w:tcBorders>
              <w:bottom w:val="single" w:sz="4" w:space="0" w:color="auto"/>
            </w:tcBorders>
            <w:shd w:val="clear" w:color="auto" w:fill="auto"/>
          </w:tcPr>
          <w:p w:rsidR="00691289" w:rsidRPr="00C85E38" w:rsidRDefault="00691289" w:rsidP="00A0366B">
            <w:pPr>
              <w:pStyle w:val="Tabletext"/>
              <w:ind w:right="198"/>
              <w:jc w:val="right"/>
              <w:rPr>
                <w:b/>
              </w:rPr>
            </w:pPr>
            <w:r w:rsidRPr="00C85E38">
              <w:rPr>
                <w:b/>
              </w:rPr>
              <w:t>6923</w:t>
            </w:r>
          </w:p>
        </w:tc>
        <w:tc>
          <w:tcPr>
            <w:tcW w:w="906" w:type="dxa"/>
            <w:tcBorders>
              <w:bottom w:val="single" w:sz="4" w:space="0" w:color="auto"/>
            </w:tcBorders>
            <w:shd w:val="clear" w:color="auto" w:fill="auto"/>
          </w:tcPr>
          <w:p w:rsidR="00691289" w:rsidRPr="00C85E38" w:rsidRDefault="00691289" w:rsidP="00A0366B">
            <w:pPr>
              <w:pStyle w:val="Tabletext"/>
              <w:tabs>
                <w:tab w:val="decimal" w:pos="340"/>
              </w:tabs>
              <w:rPr>
                <w:b/>
              </w:rPr>
            </w:pPr>
            <w:r w:rsidRPr="00C85E38">
              <w:rPr>
                <w:b/>
              </w:rPr>
              <w:t>100.0</w:t>
            </w:r>
          </w:p>
        </w:tc>
        <w:tc>
          <w:tcPr>
            <w:tcW w:w="907" w:type="dxa"/>
            <w:tcBorders>
              <w:bottom w:val="single" w:sz="4" w:space="0" w:color="auto"/>
            </w:tcBorders>
            <w:shd w:val="clear" w:color="auto" w:fill="auto"/>
          </w:tcPr>
          <w:p w:rsidR="00691289" w:rsidRPr="00C85E38" w:rsidRDefault="00691289" w:rsidP="00A0366B">
            <w:pPr>
              <w:pStyle w:val="Tabletext"/>
              <w:ind w:right="198"/>
              <w:jc w:val="right"/>
              <w:rPr>
                <w:b/>
              </w:rPr>
            </w:pPr>
            <w:r w:rsidRPr="00C85E38">
              <w:rPr>
                <w:b/>
              </w:rPr>
              <w:t>6099</w:t>
            </w:r>
          </w:p>
        </w:tc>
      </w:tr>
    </w:tbl>
    <w:p w:rsidR="00691289" w:rsidRPr="00C85E38" w:rsidRDefault="00691289" w:rsidP="00691289">
      <w:pPr>
        <w:pStyle w:val="Source"/>
      </w:pPr>
      <w:r w:rsidRPr="00C85E38">
        <w:t>Notes:</w:t>
      </w:r>
      <w:r w:rsidRPr="00C85E38">
        <w:tab/>
        <w:t>Population: Employed in one of the reference years.</w:t>
      </w:r>
      <w:r w:rsidRPr="00C85E38">
        <w:br/>
        <w:t>Weight: Longitudinal 06, 07, 08 &amp; 09.</w:t>
      </w:r>
    </w:p>
    <w:p w:rsidR="00691289" w:rsidRPr="00C85E38" w:rsidRDefault="00691289" w:rsidP="00691289">
      <w:pPr>
        <w:pStyle w:val="Source"/>
      </w:pPr>
      <w:r w:rsidRPr="00C85E38">
        <w:t>Source:</w:t>
      </w:r>
      <w:r w:rsidRPr="00C85E38">
        <w:tab/>
        <w:t>Australia at Work W1 to W3.</w:t>
      </w:r>
    </w:p>
    <w:p w:rsidR="00691289" w:rsidRPr="00C85E38" w:rsidRDefault="00691289" w:rsidP="00C877D6">
      <w:pPr>
        <w:pStyle w:val="Textmorebefore"/>
      </w:pPr>
      <w:r w:rsidRPr="00C85E38">
        <w:t>As is well known, movement between employers, as well as into and out of employment, is closely associated with the business cycle. Within our survey population, as the economy peaked, the proportion of the workforce remaining with their same employer fell from 78 to 64%. As it slowed, the proportion remaining stable increased to 70%</w:t>
      </w:r>
      <w:r>
        <w:t>. The proportion of p</w:t>
      </w:r>
      <w:r w:rsidRPr="00C85E38">
        <w:t xml:space="preserve">eople who gained employment in the survey period fell from 15 to 10%. This is typical of a slowdown. Not only do more people lose work, fewer change jobs than was previously the case. </w:t>
      </w:r>
    </w:p>
    <w:p w:rsidR="00691289" w:rsidRPr="00C85E38" w:rsidRDefault="00691289" w:rsidP="00C877D6">
      <w:pPr>
        <w:pStyle w:val="Text"/>
      </w:pPr>
      <w:r w:rsidRPr="00C85E38">
        <w:t>To get more insight into how the downturn is affecting employees’ entitlements to paid leave, it is useful to examine how, if at all, this changes as workers change jobs. Authors such as Campbell and Webber (1996) have noted that it is at the point of recruitment that employers have most capacity to dramatically change employment forms. Table A1.3 summarises the data on how change in entitlements to paid leave differs between three distinct groups of workers, described in Table A1.2:</w:t>
      </w:r>
    </w:p>
    <w:p w:rsidR="00691289" w:rsidRPr="00C877D6" w:rsidRDefault="00691289" w:rsidP="00C877D6">
      <w:pPr>
        <w:pStyle w:val="Dotpoint1"/>
      </w:pPr>
      <w:r w:rsidRPr="00C85E38">
        <w:t xml:space="preserve">those who remain with the same employer </w:t>
      </w:r>
      <w:r w:rsidRPr="00C877D6">
        <w:t>between survey waves</w:t>
      </w:r>
    </w:p>
    <w:p w:rsidR="00691289" w:rsidRPr="00C877D6" w:rsidRDefault="00691289" w:rsidP="00C877D6">
      <w:pPr>
        <w:pStyle w:val="Dotpoint1"/>
      </w:pPr>
      <w:r w:rsidRPr="00C877D6">
        <w:t>those who report a different employer between survey waves</w:t>
      </w:r>
    </w:p>
    <w:p w:rsidR="00691289" w:rsidRPr="00C85E38" w:rsidRDefault="00691289" w:rsidP="00C877D6">
      <w:pPr>
        <w:pStyle w:val="Dotpoint1"/>
      </w:pPr>
      <w:r w:rsidRPr="00C877D6">
        <w:t>those who were not employed in the previous</w:t>
      </w:r>
      <w:r w:rsidRPr="00C85E38">
        <w:t xml:space="preserve"> wave but are now an employee.</w:t>
      </w:r>
    </w:p>
    <w:p w:rsidR="00DE11E0" w:rsidRPr="00C85E38" w:rsidRDefault="00DE11E0" w:rsidP="00DE11E0">
      <w:pPr>
        <w:pStyle w:val="Text"/>
      </w:pPr>
      <w:bookmarkStart w:id="88" w:name="_Toc246384838"/>
      <w:r w:rsidRPr="00C85E38">
        <w:t>The table highlights the very different outcomes, in terms of paid leave entitlements for employees, depending on whether they remain with employers or were engaged by a new one. A greater proportion of employers who remain with the same employer report paid leave entitlements in both reference years</w:t>
      </w:r>
      <w:r>
        <w:t xml:space="preserve"> — </w:t>
      </w:r>
      <w:r w:rsidRPr="00C85E38">
        <w:t>at 84% in the last survey wave. However, ‘conversion’ into paid leave entitlements is quite low, at around 3%.</w:t>
      </w:r>
    </w:p>
    <w:p w:rsidR="00DE11E0" w:rsidRPr="00C85E38" w:rsidRDefault="00DE11E0" w:rsidP="00DE11E0">
      <w:pPr>
        <w:pStyle w:val="Text"/>
      </w:pPr>
      <w:r w:rsidRPr="00C85E38">
        <w:t>The situation for those who change jobs and join a new employer is quite different. This is the group dealt with in the middle rows of table A1.2. What is most striking about this group is that significantly fewer employees were upgraded to paid leave status in the most recent survey period: only 14% compared with over one in five (21%) between the previous two waves. Correspondingly, a larger proportion reported losing leave as they changed employer: 14% in the most recent wave compared with 10% previously. Indeed, in aggregate among employees who changed employer in the most recent wave, the total proportion reporting they did not get paid leave was 34%, an increase from 30% of the previous wave.</w:t>
      </w:r>
    </w:p>
    <w:p w:rsidR="00DE11E0" w:rsidRPr="00C85E38" w:rsidRDefault="00DE11E0" w:rsidP="00DE11E0">
      <w:pPr>
        <w:pStyle w:val="Text"/>
      </w:pPr>
      <w:r w:rsidRPr="00C85E38">
        <w:lastRenderedPageBreak/>
        <w:t xml:space="preserve">The bottom rows report on those who had not previously been employed and became employees in the year of the survey. This group is comprised of two very distinct sub-groups: those who had previously been unemployed or out of the labour force altogether and those who had taken extended leave. The former are likely to have limited capacity to gain paid leave initially; the latter are, by definition likely to return to a position with paid leave entitlements. As the economy prospered between 2007 and 2008 strong economic growth increased both the demand for labour and job quality, as measured by access to leave entitlements. This explains the shift to higher levels of paid leave in this period. </w:t>
      </w:r>
      <w:r>
        <w:t>T</w:t>
      </w:r>
      <w:r w:rsidRPr="00C85E38">
        <w:t xml:space="preserve">able A1.2 showed </w:t>
      </w:r>
      <w:r>
        <w:t>that, a</w:t>
      </w:r>
      <w:r w:rsidRPr="00C85E38">
        <w:t xml:space="preserve">s the economy cooled between 2008 and 2009, the proportion of people moving from unemployed and non-employed to employed status fell from 14 to 8%. This means that the proportion of those ‘moving to a new job with paid leave’ in this group rose dramatically. This is because it is now made up of a much higher proportion of those on leave returning to work. As noted, this is a sub-group that, by definition, is most likely to have access to paid entitlements. </w:t>
      </w:r>
    </w:p>
    <w:p w:rsidR="00691289" w:rsidRPr="00C85E38" w:rsidRDefault="00691289" w:rsidP="00691289">
      <w:pPr>
        <w:pStyle w:val="tabletitle"/>
        <w:ind w:left="993" w:hanging="993"/>
      </w:pPr>
      <w:bookmarkStart w:id="89" w:name="_Toc297558140"/>
      <w:bookmarkStart w:id="90" w:name="_Toc300838525"/>
      <w:r w:rsidRPr="00C85E38">
        <w:t>Table A1.3</w:t>
      </w:r>
      <w:r w:rsidRPr="00C85E38">
        <w:tab/>
        <w:t>Change in paid leave entitlements in main job by change in employer, 2006–09, %</w:t>
      </w:r>
      <w:bookmarkEnd w:id="88"/>
      <w:bookmarkEnd w:id="89"/>
      <w:bookmarkEnd w:id="90"/>
    </w:p>
    <w:tbl>
      <w:tblPr>
        <w:tblW w:w="8789" w:type="dxa"/>
        <w:tblInd w:w="108" w:type="dxa"/>
        <w:tblBorders>
          <w:top w:val="single" w:sz="12" w:space="0" w:color="auto"/>
          <w:bottom w:val="single" w:sz="12" w:space="0" w:color="auto"/>
        </w:tblBorders>
        <w:tblLayout w:type="fixed"/>
        <w:tblLook w:val="01E0"/>
      </w:tblPr>
      <w:tblGrid>
        <w:gridCol w:w="3227"/>
        <w:gridCol w:w="927"/>
        <w:gridCol w:w="927"/>
        <w:gridCol w:w="927"/>
        <w:gridCol w:w="927"/>
        <w:gridCol w:w="927"/>
        <w:gridCol w:w="927"/>
      </w:tblGrid>
      <w:tr w:rsidR="00691289" w:rsidRPr="00C85E38" w:rsidTr="00C877D6">
        <w:tc>
          <w:tcPr>
            <w:tcW w:w="3123" w:type="dxa"/>
            <w:tcBorders>
              <w:top w:val="single" w:sz="4" w:space="0" w:color="auto"/>
              <w:bottom w:val="nil"/>
              <w:right w:val="nil"/>
            </w:tcBorders>
          </w:tcPr>
          <w:p w:rsidR="00691289" w:rsidRPr="00C85E38" w:rsidRDefault="00691289" w:rsidP="00A0366B">
            <w:pPr>
              <w:pStyle w:val="Tablehead1"/>
            </w:pPr>
          </w:p>
        </w:tc>
        <w:tc>
          <w:tcPr>
            <w:tcW w:w="1794" w:type="dxa"/>
            <w:gridSpan w:val="2"/>
            <w:tcBorders>
              <w:top w:val="single" w:sz="4" w:space="0" w:color="auto"/>
              <w:left w:val="nil"/>
              <w:bottom w:val="nil"/>
              <w:right w:val="nil"/>
            </w:tcBorders>
          </w:tcPr>
          <w:p w:rsidR="00691289" w:rsidRPr="00C85E38" w:rsidRDefault="00691289" w:rsidP="00A0366B">
            <w:pPr>
              <w:pStyle w:val="Tablehead1"/>
              <w:jc w:val="center"/>
              <w:rPr>
                <w:szCs w:val="17"/>
              </w:rPr>
            </w:pPr>
            <w:r w:rsidRPr="00C85E38">
              <w:rPr>
                <w:szCs w:val="17"/>
              </w:rPr>
              <w:t>2006–07</w:t>
            </w:r>
          </w:p>
        </w:tc>
        <w:tc>
          <w:tcPr>
            <w:tcW w:w="1794" w:type="dxa"/>
            <w:gridSpan w:val="2"/>
            <w:tcBorders>
              <w:top w:val="single" w:sz="4" w:space="0" w:color="auto"/>
              <w:left w:val="nil"/>
              <w:bottom w:val="nil"/>
              <w:right w:val="nil"/>
            </w:tcBorders>
          </w:tcPr>
          <w:p w:rsidR="00691289" w:rsidRPr="00C85E38" w:rsidRDefault="00691289" w:rsidP="00A0366B">
            <w:pPr>
              <w:pStyle w:val="Tablehead1"/>
              <w:jc w:val="center"/>
              <w:rPr>
                <w:szCs w:val="17"/>
              </w:rPr>
            </w:pPr>
            <w:r w:rsidRPr="00C85E38">
              <w:rPr>
                <w:szCs w:val="17"/>
              </w:rPr>
              <w:t>2007–08</w:t>
            </w:r>
          </w:p>
        </w:tc>
        <w:tc>
          <w:tcPr>
            <w:tcW w:w="1794" w:type="dxa"/>
            <w:gridSpan w:val="2"/>
            <w:tcBorders>
              <w:top w:val="single" w:sz="4" w:space="0" w:color="auto"/>
              <w:left w:val="nil"/>
              <w:bottom w:val="nil"/>
            </w:tcBorders>
          </w:tcPr>
          <w:p w:rsidR="00691289" w:rsidRPr="00C85E38" w:rsidRDefault="00691289" w:rsidP="00A0366B">
            <w:pPr>
              <w:pStyle w:val="Tablehead1"/>
              <w:jc w:val="center"/>
              <w:rPr>
                <w:szCs w:val="17"/>
              </w:rPr>
            </w:pPr>
            <w:r w:rsidRPr="00C85E38">
              <w:rPr>
                <w:szCs w:val="17"/>
              </w:rPr>
              <w:t>2008–09</w:t>
            </w:r>
          </w:p>
        </w:tc>
      </w:tr>
      <w:tr w:rsidR="00691289" w:rsidRPr="00C85E38" w:rsidTr="00C877D6">
        <w:tc>
          <w:tcPr>
            <w:tcW w:w="3123" w:type="dxa"/>
            <w:tcBorders>
              <w:top w:val="nil"/>
              <w:bottom w:val="single" w:sz="4" w:space="0" w:color="auto"/>
              <w:right w:val="nil"/>
            </w:tcBorders>
          </w:tcPr>
          <w:p w:rsidR="00691289" w:rsidRPr="00C85E38" w:rsidRDefault="00691289" w:rsidP="00A0366B">
            <w:pPr>
              <w:pStyle w:val="Tablehead2"/>
              <w:rPr>
                <w:szCs w:val="16"/>
              </w:rPr>
            </w:pPr>
          </w:p>
        </w:tc>
        <w:tc>
          <w:tcPr>
            <w:tcW w:w="897" w:type="dxa"/>
            <w:tcBorders>
              <w:top w:val="nil"/>
              <w:left w:val="nil"/>
              <w:bottom w:val="single" w:sz="4" w:space="0" w:color="auto"/>
              <w:right w:val="nil"/>
            </w:tcBorders>
          </w:tcPr>
          <w:p w:rsidR="00691289" w:rsidRPr="00C85E38" w:rsidRDefault="00691289" w:rsidP="00A0366B">
            <w:pPr>
              <w:pStyle w:val="Tablehead2"/>
              <w:jc w:val="center"/>
              <w:rPr>
                <w:szCs w:val="17"/>
              </w:rPr>
            </w:pPr>
            <w:r w:rsidRPr="00C85E38">
              <w:rPr>
                <w:szCs w:val="17"/>
              </w:rPr>
              <w:t>%</w:t>
            </w:r>
          </w:p>
        </w:tc>
        <w:tc>
          <w:tcPr>
            <w:tcW w:w="897" w:type="dxa"/>
            <w:tcBorders>
              <w:top w:val="nil"/>
              <w:left w:val="nil"/>
              <w:bottom w:val="single" w:sz="4" w:space="0" w:color="auto"/>
              <w:right w:val="nil"/>
            </w:tcBorders>
          </w:tcPr>
          <w:p w:rsidR="00691289" w:rsidRPr="00C85E38" w:rsidRDefault="00691289" w:rsidP="00A0366B">
            <w:pPr>
              <w:pStyle w:val="Tablehead2"/>
              <w:jc w:val="center"/>
              <w:rPr>
                <w:szCs w:val="17"/>
              </w:rPr>
            </w:pPr>
            <w:r w:rsidRPr="00C85E38">
              <w:rPr>
                <w:szCs w:val="17"/>
              </w:rPr>
              <w:t>n</w:t>
            </w:r>
          </w:p>
        </w:tc>
        <w:tc>
          <w:tcPr>
            <w:tcW w:w="897" w:type="dxa"/>
            <w:tcBorders>
              <w:top w:val="nil"/>
              <w:left w:val="nil"/>
              <w:bottom w:val="single" w:sz="4" w:space="0" w:color="auto"/>
              <w:right w:val="nil"/>
            </w:tcBorders>
          </w:tcPr>
          <w:p w:rsidR="00691289" w:rsidRPr="00C85E38" w:rsidRDefault="00691289" w:rsidP="00A0366B">
            <w:pPr>
              <w:pStyle w:val="Tablehead2"/>
              <w:jc w:val="center"/>
              <w:rPr>
                <w:szCs w:val="17"/>
              </w:rPr>
            </w:pPr>
            <w:r w:rsidRPr="00C85E38">
              <w:rPr>
                <w:szCs w:val="17"/>
              </w:rPr>
              <w:t>%</w:t>
            </w:r>
          </w:p>
        </w:tc>
        <w:tc>
          <w:tcPr>
            <w:tcW w:w="897" w:type="dxa"/>
            <w:tcBorders>
              <w:top w:val="nil"/>
              <w:left w:val="nil"/>
              <w:bottom w:val="single" w:sz="4" w:space="0" w:color="auto"/>
              <w:right w:val="nil"/>
            </w:tcBorders>
          </w:tcPr>
          <w:p w:rsidR="00691289" w:rsidRPr="00C85E38" w:rsidRDefault="00691289" w:rsidP="00A0366B">
            <w:pPr>
              <w:pStyle w:val="Tablehead2"/>
              <w:jc w:val="center"/>
              <w:rPr>
                <w:szCs w:val="17"/>
              </w:rPr>
            </w:pPr>
            <w:r w:rsidRPr="00C85E38">
              <w:rPr>
                <w:szCs w:val="17"/>
              </w:rPr>
              <w:t>n</w:t>
            </w:r>
          </w:p>
        </w:tc>
        <w:tc>
          <w:tcPr>
            <w:tcW w:w="897" w:type="dxa"/>
            <w:tcBorders>
              <w:top w:val="nil"/>
              <w:left w:val="nil"/>
              <w:bottom w:val="single" w:sz="4" w:space="0" w:color="auto"/>
              <w:right w:val="nil"/>
            </w:tcBorders>
          </w:tcPr>
          <w:p w:rsidR="00691289" w:rsidRPr="00C85E38" w:rsidRDefault="00691289" w:rsidP="00A0366B">
            <w:pPr>
              <w:pStyle w:val="Tablehead2"/>
              <w:jc w:val="center"/>
              <w:rPr>
                <w:szCs w:val="17"/>
              </w:rPr>
            </w:pPr>
            <w:r w:rsidRPr="00C85E38">
              <w:rPr>
                <w:szCs w:val="17"/>
              </w:rPr>
              <w:t>%</w:t>
            </w:r>
          </w:p>
        </w:tc>
        <w:tc>
          <w:tcPr>
            <w:tcW w:w="897" w:type="dxa"/>
            <w:tcBorders>
              <w:top w:val="nil"/>
              <w:left w:val="nil"/>
              <w:bottom w:val="single" w:sz="4" w:space="0" w:color="auto"/>
            </w:tcBorders>
          </w:tcPr>
          <w:p w:rsidR="00691289" w:rsidRPr="00C85E38" w:rsidRDefault="00691289" w:rsidP="00A0366B">
            <w:pPr>
              <w:pStyle w:val="Tablehead2"/>
              <w:jc w:val="center"/>
              <w:rPr>
                <w:szCs w:val="17"/>
              </w:rPr>
            </w:pPr>
            <w:r w:rsidRPr="00C85E38">
              <w:rPr>
                <w:szCs w:val="17"/>
              </w:rPr>
              <w:t>n</w:t>
            </w:r>
          </w:p>
        </w:tc>
      </w:tr>
      <w:tr w:rsidR="00691289" w:rsidRPr="00C85E38" w:rsidTr="00C877D6">
        <w:tc>
          <w:tcPr>
            <w:tcW w:w="3123" w:type="dxa"/>
            <w:tcBorders>
              <w:top w:val="single" w:sz="4" w:space="0" w:color="auto"/>
              <w:bottom w:val="nil"/>
              <w:right w:val="nil"/>
            </w:tcBorders>
          </w:tcPr>
          <w:p w:rsidR="00691289" w:rsidRPr="00C85E38" w:rsidRDefault="00691289" w:rsidP="00A0366B">
            <w:pPr>
              <w:pStyle w:val="Tabletext"/>
            </w:pPr>
          </w:p>
        </w:tc>
        <w:tc>
          <w:tcPr>
            <w:tcW w:w="5382" w:type="dxa"/>
            <w:gridSpan w:val="6"/>
            <w:tcBorders>
              <w:top w:val="single" w:sz="4" w:space="0" w:color="auto"/>
              <w:left w:val="nil"/>
              <w:bottom w:val="nil"/>
            </w:tcBorders>
          </w:tcPr>
          <w:p w:rsidR="00691289" w:rsidRPr="00C85E38" w:rsidRDefault="00691289" w:rsidP="00A0366B">
            <w:pPr>
              <w:pStyle w:val="Tabletext"/>
              <w:jc w:val="center"/>
            </w:pPr>
            <w:r w:rsidRPr="00C85E38">
              <w:rPr>
                <w:b/>
              </w:rPr>
              <w:t>Same employer</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Paid leave in latter year</w:t>
            </w:r>
          </w:p>
        </w:tc>
        <w:tc>
          <w:tcPr>
            <w:tcW w:w="897" w:type="dxa"/>
            <w:tcBorders>
              <w:top w:val="nil"/>
              <w:left w:val="nil"/>
              <w:bottom w:val="nil"/>
              <w:right w:val="nil"/>
            </w:tcBorders>
          </w:tcPr>
          <w:p w:rsidR="00691289" w:rsidRPr="00C85E38" w:rsidRDefault="00691289" w:rsidP="00A0366B">
            <w:pPr>
              <w:pStyle w:val="Tabletext"/>
            </w:pPr>
          </w:p>
        </w:tc>
        <w:tc>
          <w:tcPr>
            <w:tcW w:w="897" w:type="dxa"/>
            <w:tcBorders>
              <w:top w:val="nil"/>
              <w:left w:val="nil"/>
              <w:bottom w:val="nil"/>
              <w:right w:val="nil"/>
            </w:tcBorders>
          </w:tcPr>
          <w:p w:rsidR="00691289" w:rsidRPr="00C85E38" w:rsidRDefault="00691289" w:rsidP="00A0366B">
            <w:pPr>
              <w:pStyle w:val="Tabletext"/>
            </w:pPr>
          </w:p>
        </w:tc>
        <w:tc>
          <w:tcPr>
            <w:tcW w:w="897" w:type="dxa"/>
            <w:tcBorders>
              <w:top w:val="nil"/>
              <w:left w:val="nil"/>
              <w:bottom w:val="nil"/>
              <w:right w:val="nil"/>
            </w:tcBorders>
          </w:tcPr>
          <w:p w:rsidR="00691289" w:rsidRPr="00C85E38" w:rsidRDefault="00691289" w:rsidP="00A0366B">
            <w:pPr>
              <w:pStyle w:val="Tabletext"/>
            </w:pPr>
          </w:p>
        </w:tc>
        <w:tc>
          <w:tcPr>
            <w:tcW w:w="897" w:type="dxa"/>
            <w:tcBorders>
              <w:top w:val="nil"/>
              <w:left w:val="nil"/>
              <w:bottom w:val="nil"/>
              <w:right w:val="nil"/>
            </w:tcBorders>
          </w:tcPr>
          <w:p w:rsidR="00691289" w:rsidRPr="00C85E38" w:rsidRDefault="00691289" w:rsidP="00A0366B">
            <w:pPr>
              <w:pStyle w:val="Tabletext"/>
            </w:pPr>
          </w:p>
        </w:tc>
        <w:tc>
          <w:tcPr>
            <w:tcW w:w="897" w:type="dxa"/>
            <w:tcBorders>
              <w:top w:val="nil"/>
              <w:left w:val="nil"/>
              <w:bottom w:val="nil"/>
              <w:right w:val="nil"/>
            </w:tcBorders>
          </w:tcPr>
          <w:p w:rsidR="00691289" w:rsidRPr="00C85E38" w:rsidRDefault="00691289" w:rsidP="00A0366B">
            <w:pPr>
              <w:pStyle w:val="Tabletext"/>
            </w:pPr>
          </w:p>
        </w:tc>
        <w:tc>
          <w:tcPr>
            <w:tcW w:w="897" w:type="dxa"/>
            <w:tcBorders>
              <w:top w:val="nil"/>
              <w:left w:val="nil"/>
              <w:bottom w:val="nil"/>
            </w:tcBorders>
          </w:tcPr>
          <w:p w:rsidR="00691289" w:rsidRPr="00C85E38" w:rsidRDefault="00691289" w:rsidP="00A0366B">
            <w:pPr>
              <w:pStyle w:val="Tabletext"/>
            </w:pP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Paid leave both years</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77.3</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4160</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80.5</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3541</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83.8</w:t>
            </w:r>
          </w:p>
        </w:tc>
        <w:tc>
          <w:tcPr>
            <w:tcW w:w="897" w:type="dxa"/>
            <w:tcBorders>
              <w:top w:val="nil"/>
              <w:left w:val="nil"/>
              <w:bottom w:val="nil"/>
            </w:tcBorders>
          </w:tcPr>
          <w:p w:rsidR="00691289" w:rsidRPr="00C85E38" w:rsidRDefault="00691289" w:rsidP="00A0366B">
            <w:pPr>
              <w:pStyle w:val="Tabletext"/>
              <w:ind w:right="198"/>
              <w:jc w:val="right"/>
            </w:pPr>
            <w:r w:rsidRPr="00C85E38">
              <w:t>3379</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Gained paid leave</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3.1</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152</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3.4</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128</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2.6</w:t>
            </w:r>
          </w:p>
        </w:tc>
        <w:tc>
          <w:tcPr>
            <w:tcW w:w="897" w:type="dxa"/>
            <w:tcBorders>
              <w:top w:val="nil"/>
              <w:left w:val="nil"/>
              <w:bottom w:val="nil"/>
            </w:tcBorders>
          </w:tcPr>
          <w:p w:rsidR="00691289" w:rsidRPr="00C85E38" w:rsidRDefault="00691289" w:rsidP="00A0366B">
            <w:pPr>
              <w:pStyle w:val="Tabletext"/>
              <w:ind w:right="198"/>
              <w:jc w:val="right"/>
            </w:pPr>
            <w:r w:rsidRPr="00C85E38">
              <w:t>88</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Sub-total (had paid leave)</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80.4</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4312</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83.9</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3669</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86.4</w:t>
            </w:r>
          </w:p>
        </w:tc>
        <w:tc>
          <w:tcPr>
            <w:tcW w:w="897" w:type="dxa"/>
            <w:tcBorders>
              <w:top w:val="nil"/>
              <w:left w:val="nil"/>
              <w:bottom w:val="nil"/>
            </w:tcBorders>
          </w:tcPr>
          <w:p w:rsidR="00691289" w:rsidRPr="00C85E38" w:rsidRDefault="00691289" w:rsidP="00A0366B">
            <w:pPr>
              <w:pStyle w:val="Tabletext"/>
              <w:ind w:right="198"/>
              <w:jc w:val="right"/>
            </w:pPr>
            <w:r w:rsidRPr="00C85E38">
              <w:t>3467</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No paid leave in latter year</w:t>
            </w:r>
          </w:p>
        </w:tc>
        <w:tc>
          <w:tcPr>
            <w:tcW w:w="897" w:type="dxa"/>
            <w:tcBorders>
              <w:top w:val="nil"/>
              <w:left w:val="nil"/>
              <w:bottom w:val="nil"/>
              <w:right w:val="nil"/>
            </w:tcBorders>
          </w:tcPr>
          <w:p w:rsidR="00691289" w:rsidRPr="00C85E38" w:rsidRDefault="00691289" w:rsidP="00A0366B">
            <w:pPr>
              <w:pStyle w:val="Tabletext"/>
              <w:tabs>
                <w:tab w:val="decimal" w:pos="340"/>
              </w:tabs>
            </w:pPr>
          </w:p>
        </w:tc>
        <w:tc>
          <w:tcPr>
            <w:tcW w:w="897" w:type="dxa"/>
            <w:tcBorders>
              <w:top w:val="nil"/>
              <w:left w:val="nil"/>
              <w:bottom w:val="nil"/>
              <w:right w:val="nil"/>
            </w:tcBorders>
          </w:tcPr>
          <w:p w:rsidR="00691289" w:rsidRPr="00C85E38" w:rsidRDefault="00691289" w:rsidP="00A0366B">
            <w:pPr>
              <w:pStyle w:val="Tabletext"/>
              <w:ind w:right="198"/>
              <w:jc w:val="right"/>
            </w:pPr>
          </w:p>
        </w:tc>
        <w:tc>
          <w:tcPr>
            <w:tcW w:w="897" w:type="dxa"/>
            <w:tcBorders>
              <w:top w:val="nil"/>
              <w:left w:val="nil"/>
              <w:bottom w:val="nil"/>
              <w:right w:val="nil"/>
            </w:tcBorders>
          </w:tcPr>
          <w:p w:rsidR="00691289" w:rsidRPr="00C85E38" w:rsidRDefault="00691289" w:rsidP="00A0366B">
            <w:pPr>
              <w:pStyle w:val="Tabletext"/>
              <w:tabs>
                <w:tab w:val="decimal" w:pos="340"/>
              </w:tabs>
            </w:pPr>
          </w:p>
        </w:tc>
        <w:tc>
          <w:tcPr>
            <w:tcW w:w="897" w:type="dxa"/>
            <w:tcBorders>
              <w:top w:val="nil"/>
              <w:left w:val="nil"/>
              <w:bottom w:val="nil"/>
              <w:right w:val="nil"/>
            </w:tcBorders>
          </w:tcPr>
          <w:p w:rsidR="00691289" w:rsidRPr="00C85E38" w:rsidRDefault="00691289" w:rsidP="00A0366B">
            <w:pPr>
              <w:pStyle w:val="Tabletext"/>
              <w:ind w:right="198"/>
              <w:jc w:val="right"/>
            </w:pPr>
          </w:p>
        </w:tc>
        <w:tc>
          <w:tcPr>
            <w:tcW w:w="897" w:type="dxa"/>
            <w:tcBorders>
              <w:top w:val="nil"/>
              <w:left w:val="nil"/>
              <w:bottom w:val="nil"/>
              <w:right w:val="nil"/>
            </w:tcBorders>
          </w:tcPr>
          <w:p w:rsidR="00691289" w:rsidRPr="00C85E38" w:rsidRDefault="00691289" w:rsidP="00A0366B">
            <w:pPr>
              <w:pStyle w:val="Tabletext"/>
              <w:tabs>
                <w:tab w:val="decimal" w:pos="340"/>
              </w:tabs>
            </w:pPr>
          </w:p>
        </w:tc>
        <w:tc>
          <w:tcPr>
            <w:tcW w:w="897" w:type="dxa"/>
            <w:tcBorders>
              <w:top w:val="nil"/>
              <w:left w:val="nil"/>
              <w:bottom w:val="nil"/>
            </w:tcBorders>
          </w:tcPr>
          <w:p w:rsidR="00691289" w:rsidRPr="00C85E38" w:rsidRDefault="00691289" w:rsidP="00A0366B">
            <w:pPr>
              <w:pStyle w:val="Tabletext"/>
              <w:ind w:right="198"/>
              <w:jc w:val="right"/>
            </w:pP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No paid leave both years</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18.4</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866</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14.6</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544</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12.3</w:t>
            </w:r>
          </w:p>
        </w:tc>
        <w:tc>
          <w:tcPr>
            <w:tcW w:w="897" w:type="dxa"/>
            <w:tcBorders>
              <w:top w:val="nil"/>
              <w:left w:val="nil"/>
              <w:bottom w:val="nil"/>
            </w:tcBorders>
          </w:tcPr>
          <w:p w:rsidR="00691289" w:rsidRPr="00C85E38" w:rsidRDefault="00691289" w:rsidP="00A0366B">
            <w:pPr>
              <w:pStyle w:val="Tabletext"/>
              <w:ind w:right="198"/>
              <w:jc w:val="right"/>
            </w:pPr>
            <w:r w:rsidRPr="00C85E38">
              <w:t>411</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Lost paid leave</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1.1</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55</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1.5</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57</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1.3</w:t>
            </w:r>
          </w:p>
        </w:tc>
        <w:tc>
          <w:tcPr>
            <w:tcW w:w="897" w:type="dxa"/>
            <w:tcBorders>
              <w:top w:val="nil"/>
              <w:left w:val="nil"/>
              <w:bottom w:val="nil"/>
            </w:tcBorders>
          </w:tcPr>
          <w:p w:rsidR="00691289" w:rsidRPr="00C85E38" w:rsidRDefault="00691289" w:rsidP="00A0366B">
            <w:pPr>
              <w:pStyle w:val="Tabletext"/>
              <w:ind w:right="198"/>
              <w:jc w:val="right"/>
            </w:pPr>
            <w:r w:rsidRPr="00C85E38">
              <w:t>47</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Sub-total (no paid leave)</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19.5</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921</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16.1</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601</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13.6</w:t>
            </w:r>
          </w:p>
        </w:tc>
        <w:tc>
          <w:tcPr>
            <w:tcW w:w="897" w:type="dxa"/>
            <w:tcBorders>
              <w:top w:val="nil"/>
              <w:left w:val="nil"/>
              <w:bottom w:val="nil"/>
            </w:tcBorders>
          </w:tcPr>
          <w:p w:rsidR="00691289" w:rsidRPr="00C85E38" w:rsidRDefault="00691289" w:rsidP="00A0366B">
            <w:pPr>
              <w:pStyle w:val="Tabletext"/>
              <w:ind w:right="198"/>
              <w:jc w:val="right"/>
            </w:pPr>
            <w:r w:rsidRPr="00C85E38">
              <w:t>458</w:t>
            </w:r>
          </w:p>
        </w:tc>
      </w:tr>
      <w:tr w:rsidR="00691289" w:rsidRPr="00C85E38" w:rsidTr="00C877D6">
        <w:tc>
          <w:tcPr>
            <w:tcW w:w="3123" w:type="dxa"/>
            <w:tcBorders>
              <w:top w:val="nil"/>
              <w:bottom w:val="nil"/>
              <w:right w:val="nil"/>
            </w:tcBorders>
          </w:tcPr>
          <w:p w:rsidR="00691289" w:rsidRPr="00C85E38" w:rsidRDefault="00691289" w:rsidP="00A0366B">
            <w:pPr>
              <w:pStyle w:val="Tabletext"/>
              <w:rPr>
                <w:b/>
              </w:rPr>
            </w:pPr>
            <w:r w:rsidRPr="00C85E38">
              <w:rPr>
                <w:b/>
              </w:rPr>
              <w:t xml:space="preserve">Total </w:t>
            </w:r>
          </w:p>
        </w:tc>
        <w:tc>
          <w:tcPr>
            <w:tcW w:w="897" w:type="dxa"/>
            <w:tcBorders>
              <w:top w:val="nil"/>
              <w:left w:val="nil"/>
              <w:bottom w:val="nil"/>
              <w:right w:val="nil"/>
            </w:tcBorders>
          </w:tcPr>
          <w:p w:rsidR="00691289" w:rsidRPr="00C85E38" w:rsidRDefault="00691289" w:rsidP="00A0366B">
            <w:pPr>
              <w:pStyle w:val="Tabletext"/>
              <w:tabs>
                <w:tab w:val="decimal" w:pos="340"/>
              </w:tabs>
              <w:rPr>
                <w:b/>
              </w:rPr>
            </w:pPr>
            <w:r w:rsidRPr="00C85E38">
              <w:rPr>
                <w:b/>
              </w:rPr>
              <w:t>100.0</w:t>
            </w:r>
          </w:p>
        </w:tc>
        <w:tc>
          <w:tcPr>
            <w:tcW w:w="897" w:type="dxa"/>
            <w:tcBorders>
              <w:top w:val="nil"/>
              <w:left w:val="nil"/>
              <w:bottom w:val="nil"/>
              <w:right w:val="nil"/>
            </w:tcBorders>
          </w:tcPr>
          <w:p w:rsidR="00691289" w:rsidRPr="00C85E38" w:rsidRDefault="00691289" w:rsidP="00A0366B">
            <w:pPr>
              <w:pStyle w:val="Tabletext"/>
              <w:ind w:right="198"/>
              <w:jc w:val="right"/>
              <w:rPr>
                <w:b/>
              </w:rPr>
            </w:pPr>
            <w:r w:rsidRPr="00C85E38">
              <w:rPr>
                <w:b/>
              </w:rPr>
              <w:t>5233</w:t>
            </w:r>
          </w:p>
        </w:tc>
        <w:tc>
          <w:tcPr>
            <w:tcW w:w="897" w:type="dxa"/>
            <w:tcBorders>
              <w:top w:val="nil"/>
              <w:left w:val="nil"/>
              <w:bottom w:val="nil"/>
              <w:right w:val="nil"/>
            </w:tcBorders>
          </w:tcPr>
          <w:p w:rsidR="00691289" w:rsidRPr="00C85E38" w:rsidRDefault="00691289" w:rsidP="00A0366B">
            <w:pPr>
              <w:pStyle w:val="Tabletext"/>
              <w:tabs>
                <w:tab w:val="decimal" w:pos="340"/>
              </w:tabs>
              <w:rPr>
                <w:b/>
              </w:rPr>
            </w:pPr>
            <w:r w:rsidRPr="00C85E38">
              <w:rPr>
                <w:b/>
              </w:rPr>
              <w:t>100.0</w:t>
            </w:r>
          </w:p>
        </w:tc>
        <w:tc>
          <w:tcPr>
            <w:tcW w:w="897" w:type="dxa"/>
            <w:tcBorders>
              <w:top w:val="nil"/>
              <w:left w:val="nil"/>
              <w:bottom w:val="nil"/>
              <w:right w:val="nil"/>
            </w:tcBorders>
          </w:tcPr>
          <w:p w:rsidR="00691289" w:rsidRPr="00C85E38" w:rsidRDefault="00691289" w:rsidP="00A0366B">
            <w:pPr>
              <w:pStyle w:val="Tabletext"/>
              <w:ind w:right="198"/>
              <w:jc w:val="right"/>
              <w:rPr>
                <w:b/>
              </w:rPr>
            </w:pPr>
            <w:r w:rsidRPr="00C85E38">
              <w:rPr>
                <w:b/>
              </w:rPr>
              <w:t>4270</w:t>
            </w:r>
          </w:p>
        </w:tc>
        <w:tc>
          <w:tcPr>
            <w:tcW w:w="897" w:type="dxa"/>
            <w:tcBorders>
              <w:top w:val="nil"/>
              <w:left w:val="nil"/>
              <w:bottom w:val="nil"/>
              <w:right w:val="nil"/>
            </w:tcBorders>
          </w:tcPr>
          <w:p w:rsidR="00691289" w:rsidRPr="00C85E38" w:rsidRDefault="00691289" w:rsidP="00A0366B">
            <w:pPr>
              <w:pStyle w:val="Tabletext"/>
              <w:tabs>
                <w:tab w:val="decimal" w:pos="340"/>
              </w:tabs>
              <w:rPr>
                <w:b/>
              </w:rPr>
            </w:pPr>
            <w:r w:rsidRPr="00C85E38">
              <w:rPr>
                <w:b/>
              </w:rPr>
              <w:t>100.0</w:t>
            </w:r>
          </w:p>
        </w:tc>
        <w:tc>
          <w:tcPr>
            <w:tcW w:w="897" w:type="dxa"/>
            <w:tcBorders>
              <w:top w:val="nil"/>
              <w:left w:val="nil"/>
              <w:bottom w:val="nil"/>
            </w:tcBorders>
          </w:tcPr>
          <w:p w:rsidR="00691289" w:rsidRPr="00C85E38" w:rsidRDefault="00691289" w:rsidP="00A0366B">
            <w:pPr>
              <w:pStyle w:val="Tabletext"/>
              <w:ind w:right="198"/>
              <w:jc w:val="right"/>
              <w:rPr>
                <w:b/>
              </w:rPr>
            </w:pPr>
            <w:r w:rsidRPr="00C85E38">
              <w:rPr>
                <w:b/>
              </w:rPr>
              <w:t>3925</w:t>
            </w:r>
          </w:p>
        </w:tc>
      </w:tr>
      <w:tr w:rsidR="00691289" w:rsidRPr="00C85E38" w:rsidTr="00C877D6">
        <w:tc>
          <w:tcPr>
            <w:tcW w:w="3123" w:type="dxa"/>
            <w:tcBorders>
              <w:top w:val="nil"/>
              <w:bottom w:val="nil"/>
            </w:tcBorders>
          </w:tcPr>
          <w:p w:rsidR="00691289" w:rsidRPr="00C85E38" w:rsidRDefault="00691289" w:rsidP="00A0366B">
            <w:pPr>
              <w:pStyle w:val="Tabletext"/>
            </w:pPr>
          </w:p>
        </w:tc>
        <w:tc>
          <w:tcPr>
            <w:tcW w:w="5382" w:type="dxa"/>
            <w:gridSpan w:val="6"/>
            <w:tcBorders>
              <w:top w:val="nil"/>
              <w:bottom w:val="nil"/>
            </w:tcBorders>
          </w:tcPr>
          <w:p w:rsidR="00691289" w:rsidRPr="00C85E38" w:rsidRDefault="00691289" w:rsidP="00A0366B">
            <w:pPr>
              <w:pStyle w:val="Tabletext"/>
              <w:jc w:val="center"/>
              <w:rPr>
                <w:b/>
              </w:rPr>
            </w:pPr>
            <w:r w:rsidRPr="00C85E38">
              <w:rPr>
                <w:b/>
              </w:rPr>
              <w:t>Different employer</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Paid leave in latter year</w:t>
            </w:r>
          </w:p>
        </w:tc>
        <w:tc>
          <w:tcPr>
            <w:tcW w:w="897" w:type="dxa"/>
            <w:tcBorders>
              <w:top w:val="nil"/>
              <w:left w:val="nil"/>
              <w:bottom w:val="nil"/>
              <w:right w:val="nil"/>
            </w:tcBorders>
          </w:tcPr>
          <w:p w:rsidR="00691289" w:rsidRPr="00C85E38" w:rsidRDefault="00691289" w:rsidP="00A0366B">
            <w:pPr>
              <w:pStyle w:val="Tabletext"/>
            </w:pPr>
          </w:p>
        </w:tc>
        <w:tc>
          <w:tcPr>
            <w:tcW w:w="897" w:type="dxa"/>
            <w:tcBorders>
              <w:top w:val="nil"/>
              <w:left w:val="nil"/>
              <w:bottom w:val="nil"/>
              <w:right w:val="nil"/>
            </w:tcBorders>
          </w:tcPr>
          <w:p w:rsidR="00691289" w:rsidRPr="00C85E38" w:rsidRDefault="00691289" w:rsidP="00A0366B">
            <w:pPr>
              <w:pStyle w:val="Tabletext"/>
            </w:pPr>
          </w:p>
        </w:tc>
        <w:tc>
          <w:tcPr>
            <w:tcW w:w="897" w:type="dxa"/>
            <w:tcBorders>
              <w:top w:val="nil"/>
              <w:left w:val="nil"/>
              <w:bottom w:val="nil"/>
              <w:right w:val="nil"/>
            </w:tcBorders>
          </w:tcPr>
          <w:p w:rsidR="00691289" w:rsidRPr="00C85E38" w:rsidRDefault="00691289" w:rsidP="00A0366B">
            <w:pPr>
              <w:pStyle w:val="Tabletext"/>
            </w:pPr>
          </w:p>
        </w:tc>
        <w:tc>
          <w:tcPr>
            <w:tcW w:w="897" w:type="dxa"/>
            <w:tcBorders>
              <w:top w:val="nil"/>
              <w:left w:val="nil"/>
              <w:bottom w:val="nil"/>
              <w:right w:val="nil"/>
            </w:tcBorders>
          </w:tcPr>
          <w:p w:rsidR="00691289" w:rsidRPr="00C85E38" w:rsidRDefault="00691289" w:rsidP="00A0366B">
            <w:pPr>
              <w:pStyle w:val="Tabletext"/>
            </w:pPr>
          </w:p>
        </w:tc>
        <w:tc>
          <w:tcPr>
            <w:tcW w:w="897" w:type="dxa"/>
            <w:tcBorders>
              <w:top w:val="nil"/>
              <w:left w:val="nil"/>
              <w:bottom w:val="nil"/>
              <w:right w:val="nil"/>
            </w:tcBorders>
          </w:tcPr>
          <w:p w:rsidR="00691289" w:rsidRPr="00C85E38" w:rsidRDefault="00691289" w:rsidP="00A0366B">
            <w:pPr>
              <w:pStyle w:val="Tabletext"/>
            </w:pPr>
          </w:p>
        </w:tc>
        <w:tc>
          <w:tcPr>
            <w:tcW w:w="897" w:type="dxa"/>
            <w:tcBorders>
              <w:top w:val="nil"/>
              <w:left w:val="nil"/>
              <w:bottom w:val="nil"/>
            </w:tcBorders>
          </w:tcPr>
          <w:p w:rsidR="00691289" w:rsidRPr="00C85E38" w:rsidRDefault="00691289" w:rsidP="00A0366B">
            <w:pPr>
              <w:pStyle w:val="Tabletext"/>
            </w:pP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Paid leave both years</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39.7</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396</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42.5</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466</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45.7</w:t>
            </w:r>
          </w:p>
        </w:tc>
        <w:tc>
          <w:tcPr>
            <w:tcW w:w="897" w:type="dxa"/>
            <w:tcBorders>
              <w:top w:val="nil"/>
              <w:left w:val="nil"/>
              <w:bottom w:val="nil"/>
            </w:tcBorders>
          </w:tcPr>
          <w:p w:rsidR="00691289" w:rsidRPr="00C85E38" w:rsidRDefault="00691289" w:rsidP="00A0366B">
            <w:pPr>
              <w:pStyle w:val="Tabletext"/>
              <w:ind w:right="198"/>
              <w:jc w:val="right"/>
            </w:pPr>
            <w:r w:rsidRPr="00C85E38">
              <w:t>359</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Gained paid leave</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18.3</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171</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20.8</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195</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14.7</w:t>
            </w:r>
          </w:p>
        </w:tc>
        <w:tc>
          <w:tcPr>
            <w:tcW w:w="897" w:type="dxa"/>
            <w:tcBorders>
              <w:top w:val="nil"/>
              <w:left w:val="nil"/>
              <w:bottom w:val="nil"/>
            </w:tcBorders>
          </w:tcPr>
          <w:p w:rsidR="00691289" w:rsidRPr="00C85E38" w:rsidRDefault="00691289" w:rsidP="00A0366B">
            <w:pPr>
              <w:pStyle w:val="Tabletext"/>
              <w:ind w:right="198"/>
              <w:jc w:val="right"/>
            </w:pPr>
            <w:r w:rsidRPr="00C85E38">
              <w:t>96</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 xml:space="preserve">Moved to paid leave </w:t>
            </w:r>
            <w:r w:rsidRPr="00C85E38">
              <w:rPr>
                <w:vertAlign w:val="superscript"/>
              </w:rPr>
              <w:t>(a)</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5.4</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61</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7.1</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83</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5.9</w:t>
            </w:r>
          </w:p>
        </w:tc>
        <w:tc>
          <w:tcPr>
            <w:tcW w:w="897" w:type="dxa"/>
            <w:tcBorders>
              <w:top w:val="nil"/>
              <w:left w:val="nil"/>
              <w:bottom w:val="nil"/>
            </w:tcBorders>
          </w:tcPr>
          <w:p w:rsidR="00691289" w:rsidRPr="00C85E38" w:rsidRDefault="00691289" w:rsidP="00A0366B">
            <w:pPr>
              <w:pStyle w:val="Tabletext"/>
              <w:ind w:right="198"/>
              <w:jc w:val="right"/>
            </w:pPr>
            <w:r w:rsidRPr="00C85E38">
              <w:t>42</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Sub-total (had paid leave)</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63.4</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232</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70.4</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278</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66.3</w:t>
            </w:r>
          </w:p>
        </w:tc>
        <w:tc>
          <w:tcPr>
            <w:tcW w:w="897" w:type="dxa"/>
            <w:tcBorders>
              <w:top w:val="nil"/>
              <w:left w:val="nil"/>
              <w:bottom w:val="nil"/>
            </w:tcBorders>
          </w:tcPr>
          <w:p w:rsidR="00691289" w:rsidRPr="00C85E38" w:rsidRDefault="00691289" w:rsidP="00A0366B">
            <w:pPr>
              <w:pStyle w:val="Tabletext"/>
              <w:ind w:right="198"/>
              <w:jc w:val="right"/>
            </w:pPr>
            <w:r w:rsidRPr="00C85E38">
              <w:t>138</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No paid leave in latter year</w:t>
            </w:r>
          </w:p>
        </w:tc>
        <w:tc>
          <w:tcPr>
            <w:tcW w:w="897" w:type="dxa"/>
            <w:tcBorders>
              <w:top w:val="nil"/>
              <w:left w:val="nil"/>
              <w:bottom w:val="nil"/>
              <w:right w:val="nil"/>
            </w:tcBorders>
          </w:tcPr>
          <w:p w:rsidR="00691289" w:rsidRPr="00C85E38" w:rsidRDefault="00691289" w:rsidP="00A0366B">
            <w:pPr>
              <w:pStyle w:val="Tabletext"/>
              <w:tabs>
                <w:tab w:val="decimal" w:pos="340"/>
              </w:tabs>
            </w:pPr>
          </w:p>
        </w:tc>
        <w:tc>
          <w:tcPr>
            <w:tcW w:w="897" w:type="dxa"/>
            <w:tcBorders>
              <w:top w:val="nil"/>
              <w:left w:val="nil"/>
              <w:bottom w:val="nil"/>
              <w:right w:val="nil"/>
            </w:tcBorders>
          </w:tcPr>
          <w:p w:rsidR="00691289" w:rsidRPr="00C85E38" w:rsidRDefault="00691289" w:rsidP="00A0366B">
            <w:pPr>
              <w:pStyle w:val="Tabletext"/>
              <w:ind w:right="198"/>
              <w:jc w:val="right"/>
            </w:pPr>
          </w:p>
        </w:tc>
        <w:tc>
          <w:tcPr>
            <w:tcW w:w="897" w:type="dxa"/>
            <w:tcBorders>
              <w:top w:val="nil"/>
              <w:left w:val="nil"/>
              <w:bottom w:val="nil"/>
              <w:right w:val="nil"/>
            </w:tcBorders>
          </w:tcPr>
          <w:p w:rsidR="00691289" w:rsidRPr="00C85E38" w:rsidRDefault="00691289" w:rsidP="00A0366B">
            <w:pPr>
              <w:pStyle w:val="Tabletext"/>
              <w:tabs>
                <w:tab w:val="decimal" w:pos="340"/>
              </w:tabs>
            </w:pPr>
          </w:p>
        </w:tc>
        <w:tc>
          <w:tcPr>
            <w:tcW w:w="897" w:type="dxa"/>
            <w:tcBorders>
              <w:top w:val="nil"/>
              <w:left w:val="nil"/>
              <w:bottom w:val="nil"/>
              <w:right w:val="nil"/>
            </w:tcBorders>
          </w:tcPr>
          <w:p w:rsidR="00691289" w:rsidRPr="00C85E38" w:rsidRDefault="00691289" w:rsidP="00A0366B">
            <w:pPr>
              <w:pStyle w:val="Tabletext"/>
              <w:ind w:right="198"/>
              <w:jc w:val="right"/>
            </w:pPr>
          </w:p>
        </w:tc>
        <w:tc>
          <w:tcPr>
            <w:tcW w:w="897" w:type="dxa"/>
            <w:tcBorders>
              <w:top w:val="nil"/>
              <w:left w:val="nil"/>
              <w:bottom w:val="nil"/>
              <w:right w:val="nil"/>
            </w:tcBorders>
          </w:tcPr>
          <w:p w:rsidR="00691289" w:rsidRPr="00C85E38" w:rsidRDefault="00691289" w:rsidP="00A0366B">
            <w:pPr>
              <w:pStyle w:val="Tabletext"/>
              <w:tabs>
                <w:tab w:val="decimal" w:pos="340"/>
              </w:tabs>
            </w:pPr>
          </w:p>
        </w:tc>
        <w:tc>
          <w:tcPr>
            <w:tcW w:w="897" w:type="dxa"/>
            <w:tcBorders>
              <w:top w:val="nil"/>
              <w:left w:val="nil"/>
              <w:bottom w:val="nil"/>
            </w:tcBorders>
          </w:tcPr>
          <w:p w:rsidR="00691289" w:rsidRPr="00C85E38" w:rsidRDefault="00691289" w:rsidP="00A0366B">
            <w:pPr>
              <w:pStyle w:val="Tabletext"/>
              <w:ind w:right="198"/>
              <w:jc w:val="right"/>
            </w:pP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No paid leave both years</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22.5</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205</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17.2</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165</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17.3</w:t>
            </w:r>
          </w:p>
        </w:tc>
        <w:tc>
          <w:tcPr>
            <w:tcW w:w="897" w:type="dxa"/>
            <w:tcBorders>
              <w:top w:val="nil"/>
              <w:left w:val="nil"/>
              <w:bottom w:val="nil"/>
            </w:tcBorders>
          </w:tcPr>
          <w:p w:rsidR="00691289" w:rsidRPr="00C85E38" w:rsidRDefault="00691289" w:rsidP="00A0366B">
            <w:pPr>
              <w:pStyle w:val="Tabletext"/>
              <w:ind w:right="198"/>
              <w:jc w:val="right"/>
            </w:pPr>
            <w:r w:rsidRPr="00C85E38">
              <w:t>114</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Lost paid leave</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12.0</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117</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9.7</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102</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13.6</w:t>
            </w:r>
          </w:p>
        </w:tc>
        <w:tc>
          <w:tcPr>
            <w:tcW w:w="897" w:type="dxa"/>
            <w:tcBorders>
              <w:top w:val="nil"/>
              <w:left w:val="nil"/>
              <w:bottom w:val="nil"/>
            </w:tcBorders>
          </w:tcPr>
          <w:p w:rsidR="00691289" w:rsidRPr="00C85E38" w:rsidRDefault="00691289" w:rsidP="00A0366B">
            <w:pPr>
              <w:pStyle w:val="Tabletext"/>
              <w:ind w:right="198"/>
              <w:jc w:val="right"/>
            </w:pPr>
            <w:r w:rsidRPr="00C85E38">
              <w:t>95</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 xml:space="preserve">Moved to no paid leave </w:t>
            </w:r>
            <w:r w:rsidRPr="00C85E38">
              <w:rPr>
                <w:vertAlign w:val="superscript"/>
              </w:rPr>
              <w:t>(a)</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2.2</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26</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2.6</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36</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2.8</w:t>
            </w:r>
          </w:p>
        </w:tc>
        <w:tc>
          <w:tcPr>
            <w:tcW w:w="897" w:type="dxa"/>
            <w:tcBorders>
              <w:top w:val="nil"/>
              <w:left w:val="nil"/>
              <w:bottom w:val="nil"/>
            </w:tcBorders>
          </w:tcPr>
          <w:p w:rsidR="00691289" w:rsidRPr="00C85E38" w:rsidRDefault="00691289" w:rsidP="00A0366B">
            <w:pPr>
              <w:pStyle w:val="Tabletext"/>
              <w:ind w:right="198"/>
              <w:jc w:val="right"/>
            </w:pPr>
            <w:r w:rsidRPr="00C85E38">
              <w:t>24</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Sub-total (no paid leave)</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36.7</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143</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29.5</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138</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33.7</w:t>
            </w:r>
          </w:p>
        </w:tc>
        <w:tc>
          <w:tcPr>
            <w:tcW w:w="897" w:type="dxa"/>
            <w:tcBorders>
              <w:top w:val="nil"/>
              <w:left w:val="nil"/>
              <w:bottom w:val="nil"/>
            </w:tcBorders>
          </w:tcPr>
          <w:p w:rsidR="00691289" w:rsidRPr="00C85E38" w:rsidRDefault="00691289" w:rsidP="00A0366B">
            <w:pPr>
              <w:pStyle w:val="Tabletext"/>
              <w:ind w:right="198"/>
              <w:jc w:val="right"/>
            </w:pPr>
            <w:r w:rsidRPr="00C85E38">
              <w:t>119</w:t>
            </w:r>
          </w:p>
        </w:tc>
      </w:tr>
      <w:tr w:rsidR="00691289" w:rsidRPr="00C85E38" w:rsidTr="00C877D6">
        <w:tc>
          <w:tcPr>
            <w:tcW w:w="3123" w:type="dxa"/>
            <w:tcBorders>
              <w:top w:val="nil"/>
              <w:bottom w:val="nil"/>
              <w:right w:val="nil"/>
            </w:tcBorders>
          </w:tcPr>
          <w:p w:rsidR="00691289" w:rsidRPr="00C85E38" w:rsidRDefault="00691289" w:rsidP="00A0366B">
            <w:pPr>
              <w:pStyle w:val="Tabletext"/>
              <w:rPr>
                <w:b/>
              </w:rPr>
            </w:pPr>
            <w:r w:rsidRPr="00C85E38">
              <w:rPr>
                <w:b/>
              </w:rPr>
              <w:t>Total</w:t>
            </w:r>
          </w:p>
        </w:tc>
        <w:tc>
          <w:tcPr>
            <w:tcW w:w="897" w:type="dxa"/>
            <w:tcBorders>
              <w:top w:val="nil"/>
              <w:left w:val="nil"/>
              <w:bottom w:val="nil"/>
              <w:right w:val="nil"/>
            </w:tcBorders>
          </w:tcPr>
          <w:p w:rsidR="00691289" w:rsidRPr="00C85E38" w:rsidRDefault="00691289" w:rsidP="00A0366B">
            <w:pPr>
              <w:pStyle w:val="Tabletext"/>
              <w:tabs>
                <w:tab w:val="decimal" w:pos="340"/>
              </w:tabs>
              <w:rPr>
                <w:b/>
              </w:rPr>
            </w:pPr>
            <w:r w:rsidRPr="00C85E38">
              <w:rPr>
                <w:b/>
              </w:rPr>
              <w:t>100.0</w:t>
            </w:r>
          </w:p>
        </w:tc>
        <w:tc>
          <w:tcPr>
            <w:tcW w:w="897" w:type="dxa"/>
            <w:tcBorders>
              <w:top w:val="nil"/>
              <w:left w:val="nil"/>
              <w:bottom w:val="nil"/>
              <w:right w:val="nil"/>
            </w:tcBorders>
          </w:tcPr>
          <w:p w:rsidR="00691289" w:rsidRPr="00C85E38" w:rsidRDefault="00691289" w:rsidP="00A0366B">
            <w:pPr>
              <w:pStyle w:val="Tabletext"/>
              <w:ind w:right="198"/>
              <w:jc w:val="right"/>
              <w:rPr>
                <w:b/>
              </w:rPr>
            </w:pPr>
            <w:r w:rsidRPr="00C85E38">
              <w:rPr>
                <w:b/>
              </w:rPr>
              <w:t>976</w:t>
            </w:r>
          </w:p>
        </w:tc>
        <w:tc>
          <w:tcPr>
            <w:tcW w:w="897" w:type="dxa"/>
            <w:tcBorders>
              <w:top w:val="nil"/>
              <w:left w:val="nil"/>
              <w:bottom w:val="nil"/>
              <w:right w:val="nil"/>
            </w:tcBorders>
          </w:tcPr>
          <w:p w:rsidR="00691289" w:rsidRPr="00C85E38" w:rsidRDefault="00691289" w:rsidP="00A0366B">
            <w:pPr>
              <w:pStyle w:val="Tabletext"/>
              <w:tabs>
                <w:tab w:val="decimal" w:pos="340"/>
              </w:tabs>
              <w:rPr>
                <w:b/>
              </w:rPr>
            </w:pPr>
            <w:r w:rsidRPr="00C85E38">
              <w:rPr>
                <w:b/>
              </w:rPr>
              <w:t>100.0</w:t>
            </w:r>
          </w:p>
        </w:tc>
        <w:tc>
          <w:tcPr>
            <w:tcW w:w="897" w:type="dxa"/>
            <w:tcBorders>
              <w:top w:val="nil"/>
              <w:left w:val="nil"/>
              <w:bottom w:val="nil"/>
              <w:right w:val="nil"/>
            </w:tcBorders>
          </w:tcPr>
          <w:p w:rsidR="00691289" w:rsidRPr="00C85E38" w:rsidRDefault="00691289" w:rsidP="00A0366B">
            <w:pPr>
              <w:pStyle w:val="Tabletext"/>
              <w:ind w:right="198"/>
              <w:jc w:val="right"/>
              <w:rPr>
                <w:b/>
              </w:rPr>
            </w:pPr>
            <w:r w:rsidRPr="00C85E38">
              <w:rPr>
                <w:b/>
              </w:rPr>
              <w:t>1047</w:t>
            </w:r>
          </w:p>
        </w:tc>
        <w:tc>
          <w:tcPr>
            <w:tcW w:w="897" w:type="dxa"/>
            <w:tcBorders>
              <w:top w:val="nil"/>
              <w:left w:val="nil"/>
              <w:bottom w:val="nil"/>
              <w:right w:val="nil"/>
            </w:tcBorders>
          </w:tcPr>
          <w:p w:rsidR="00691289" w:rsidRPr="00C85E38" w:rsidRDefault="00691289" w:rsidP="00A0366B">
            <w:pPr>
              <w:pStyle w:val="Tabletext"/>
              <w:tabs>
                <w:tab w:val="decimal" w:pos="340"/>
              </w:tabs>
              <w:rPr>
                <w:b/>
              </w:rPr>
            </w:pPr>
            <w:r w:rsidRPr="00C85E38">
              <w:rPr>
                <w:b/>
              </w:rPr>
              <w:t>100.0</w:t>
            </w:r>
          </w:p>
        </w:tc>
        <w:tc>
          <w:tcPr>
            <w:tcW w:w="897" w:type="dxa"/>
            <w:tcBorders>
              <w:top w:val="nil"/>
              <w:left w:val="nil"/>
              <w:bottom w:val="nil"/>
            </w:tcBorders>
          </w:tcPr>
          <w:p w:rsidR="00691289" w:rsidRPr="00C85E38" w:rsidRDefault="00691289" w:rsidP="00A0366B">
            <w:pPr>
              <w:pStyle w:val="Tabletext"/>
              <w:ind w:right="198"/>
              <w:jc w:val="right"/>
              <w:rPr>
                <w:b/>
              </w:rPr>
            </w:pPr>
            <w:r w:rsidRPr="00C85E38">
              <w:rPr>
                <w:b/>
              </w:rPr>
              <w:t>730</w:t>
            </w:r>
          </w:p>
        </w:tc>
      </w:tr>
      <w:tr w:rsidR="00691289" w:rsidRPr="00C85E38" w:rsidTr="00C877D6">
        <w:tc>
          <w:tcPr>
            <w:tcW w:w="3123" w:type="dxa"/>
            <w:tcBorders>
              <w:top w:val="nil"/>
              <w:bottom w:val="nil"/>
            </w:tcBorders>
          </w:tcPr>
          <w:p w:rsidR="00691289" w:rsidRPr="00C85E38" w:rsidRDefault="00691289" w:rsidP="00A0366B">
            <w:pPr>
              <w:pStyle w:val="Tabletext"/>
            </w:pPr>
          </w:p>
        </w:tc>
        <w:tc>
          <w:tcPr>
            <w:tcW w:w="5382" w:type="dxa"/>
            <w:gridSpan w:val="6"/>
            <w:tcBorders>
              <w:top w:val="nil"/>
              <w:bottom w:val="nil"/>
            </w:tcBorders>
          </w:tcPr>
          <w:p w:rsidR="00691289" w:rsidRPr="00C85E38" w:rsidRDefault="00691289" w:rsidP="00A0366B">
            <w:pPr>
              <w:pStyle w:val="Tabletext"/>
              <w:jc w:val="center"/>
              <w:rPr>
                <w:b/>
              </w:rPr>
            </w:pPr>
            <w:r w:rsidRPr="00C85E38">
              <w:rPr>
                <w:b/>
              </w:rPr>
              <w:t>Gained employment</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 xml:space="preserve">Moved to paid leave </w:t>
            </w:r>
            <w:r w:rsidRPr="00C85E38">
              <w:rPr>
                <w:vertAlign w:val="superscript"/>
              </w:rPr>
              <w:t>(a)</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34.8</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88</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45.1</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117</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58.8</w:t>
            </w:r>
          </w:p>
        </w:tc>
        <w:tc>
          <w:tcPr>
            <w:tcW w:w="897" w:type="dxa"/>
            <w:tcBorders>
              <w:top w:val="nil"/>
              <w:left w:val="nil"/>
              <w:bottom w:val="nil"/>
            </w:tcBorders>
          </w:tcPr>
          <w:p w:rsidR="00691289" w:rsidRPr="00C85E38" w:rsidRDefault="00691289" w:rsidP="00A0366B">
            <w:pPr>
              <w:pStyle w:val="Tabletext"/>
              <w:ind w:right="198"/>
              <w:jc w:val="right"/>
            </w:pPr>
            <w:r w:rsidRPr="00C85E38">
              <w:t>72</w:t>
            </w:r>
          </w:p>
        </w:tc>
      </w:tr>
      <w:tr w:rsidR="00691289" w:rsidRPr="00C85E38" w:rsidTr="00C877D6">
        <w:tc>
          <w:tcPr>
            <w:tcW w:w="3123" w:type="dxa"/>
            <w:tcBorders>
              <w:top w:val="nil"/>
              <w:bottom w:val="nil"/>
              <w:right w:val="nil"/>
            </w:tcBorders>
          </w:tcPr>
          <w:p w:rsidR="00691289" w:rsidRPr="00C85E38" w:rsidRDefault="00691289" w:rsidP="00A0366B">
            <w:pPr>
              <w:pStyle w:val="Tabletext"/>
            </w:pPr>
            <w:r w:rsidRPr="00C85E38">
              <w:t xml:space="preserve">Moved to no paid leave </w:t>
            </w:r>
            <w:r w:rsidRPr="00C85E38">
              <w:rPr>
                <w:vertAlign w:val="superscript"/>
              </w:rPr>
              <w:t>(a)</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65.2</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170</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54.9</w:t>
            </w:r>
          </w:p>
        </w:tc>
        <w:tc>
          <w:tcPr>
            <w:tcW w:w="897" w:type="dxa"/>
            <w:tcBorders>
              <w:top w:val="nil"/>
              <w:left w:val="nil"/>
              <w:bottom w:val="nil"/>
              <w:right w:val="nil"/>
            </w:tcBorders>
          </w:tcPr>
          <w:p w:rsidR="00691289" w:rsidRPr="00C85E38" w:rsidRDefault="00691289" w:rsidP="00A0366B">
            <w:pPr>
              <w:pStyle w:val="Tabletext"/>
              <w:ind w:right="198"/>
              <w:jc w:val="right"/>
            </w:pPr>
            <w:r w:rsidRPr="00C85E38">
              <w:t>209</w:t>
            </w:r>
          </w:p>
        </w:tc>
        <w:tc>
          <w:tcPr>
            <w:tcW w:w="897" w:type="dxa"/>
            <w:tcBorders>
              <w:top w:val="nil"/>
              <w:left w:val="nil"/>
              <w:bottom w:val="nil"/>
              <w:right w:val="nil"/>
            </w:tcBorders>
          </w:tcPr>
          <w:p w:rsidR="00691289" w:rsidRPr="00C85E38" w:rsidRDefault="00691289" w:rsidP="00A0366B">
            <w:pPr>
              <w:pStyle w:val="Tabletext"/>
              <w:tabs>
                <w:tab w:val="decimal" w:pos="340"/>
              </w:tabs>
            </w:pPr>
            <w:r w:rsidRPr="00C85E38">
              <w:t>41.2</w:t>
            </w:r>
          </w:p>
        </w:tc>
        <w:tc>
          <w:tcPr>
            <w:tcW w:w="897" w:type="dxa"/>
            <w:tcBorders>
              <w:top w:val="nil"/>
              <w:left w:val="nil"/>
              <w:bottom w:val="nil"/>
            </w:tcBorders>
          </w:tcPr>
          <w:p w:rsidR="00691289" w:rsidRPr="00C85E38" w:rsidRDefault="00691289" w:rsidP="00A0366B">
            <w:pPr>
              <w:pStyle w:val="Tabletext"/>
              <w:ind w:right="198"/>
              <w:jc w:val="right"/>
            </w:pPr>
            <w:r w:rsidRPr="00C85E38">
              <w:t>46</w:t>
            </w:r>
          </w:p>
        </w:tc>
      </w:tr>
      <w:tr w:rsidR="00691289" w:rsidRPr="00C85E38" w:rsidTr="00C877D6">
        <w:tc>
          <w:tcPr>
            <w:tcW w:w="3123" w:type="dxa"/>
            <w:tcBorders>
              <w:top w:val="nil"/>
              <w:bottom w:val="single" w:sz="4" w:space="0" w:color="auto"/>
              <w:right w:val="nil"/>
            </w:tcBorders>
          </w:tcPr>
          <w:p w:rsidR="00691289" w:rsidRPr="00C85E38" w:rsidRDefault="00691289" w:rsidP="00A0366B">
            <w:pPr>
              <w:pStyle w:val="Tabletext"/>
              <w:rPr>
                <w:b/>
              </w:rPr>
            </w:pPr>
            <w:r w:rsidRPr="00C85E38">
              <w:rPr>
                <w:b/>
              </w:rPr>
              <w:t>Total</w:t>
            </w:r>
          </w:p>
        </w:tc>
        <w:tc>
          <w:tcPr>
            <w:tcW w:w="897" w:type="dxa"/>
            <w:tcBorders>
              <w:top w:val="nil"/>
              <w:left w:val="nil"/>
              <w:bottom w:val="single" w:sz="4" w:space="0" w:color="auto"/>
              <w:right w:val="nil"/>
            </w:tcBorders>
          </w:tcPr>
          <w:p w:rsidR="00691289" w:rsidRPr="00C85E38" w:rsidRDefault="00691289" w:rsidP="00A0366B">
            <w:pPr>
              <w:pStyle w:val="Tabletext"/>
              <w:tabs>
                <w:tab w:val="decimal" w:pos="340"/>
              </w:tabs>
              <w:rPr>
                <w:b/>
              </w:rPr>
            </w:pPr>
            <w:r w:rsidRPr="00C85E38">
              <w:rPr>
                <w:b/>
              </w:rPr>
              <w:t>100.0</w:t>
            </w:r>
          </w:p>
        </w:tc>
        <w:tc>
          <w:tcPr>
            <w:tcW w:w="897" w:type="dxa"/>
            <w:tcBorders>
              <w:top w:val="nil"/>
              <w:left w:val="nil"/>
              <w:bottom w:val="single" w:sz="4" w:space="0" w:color="auto"/>
              <w:right w:val="nil"/>
            </w:tcBorders>
          </w:tcPr>
          <w:p w:rsidR="00691289" w:rsidRPr="00C85E38" w:rsidRDefault="00691289" w:rsidP="00A0366B">
            <w:pPr>
              <w:pStyle w:val="Tabletext"/>
              <w:ind w:right="198"/>
              <w:jc w:val="right"/>
              <w:rPr>
                <w:b/>
              </w:rPr>
            </w:pPr>
            <w:r w:rsidRPr="00C85E38">
              <w:rPr>
                <w:b/>
              </w:rPr>
              <w:t>258</w:t>
            </w:r>
          </w:p>
        </w:tc>
        <w:tc>
          <w:tcPr>
            <w:tcW w:w="897" w:type="dxa"/>
            <w:tcBorders>
              <w:top w:val="nil"/>
              <w:left w:val="nil"/>
              <w:bottom w:val="single" w:sz="4" w:space="0" w:color="auto"/>
              <w:right w:val="nil"/>
            </w:tcBorders>
          </w:tcPr>
          <w:p w:rsidR="00691289" w:rsidRPr="00C85E38" w:rsidRDefault="00691289" w:rsidP="00A0366B">
            <w:pPr>
              <w:pStyle w:val="Tabletext"/>
              <w:tabs>
                <w:tab w:val="decimal" w:pos="340"/>
              </w:tabs>
              <w:rPr>
                <w:b/>
              </w:rPr>
            </w:pPr>
            <w:r w:rsidRPr="00C85E38">
              <w:rPr>
                <w:b/>
              </w:rPr>
              <w:t>100.0</w:t>
            </w:r>
          </w:p>
        </w:tc>
        <w:tc>
          <w:tcPr>
            <w:tcW w:w="897" w:type="dxa"/>
            <w:tcBorders>
              <w:top w:val="nil"/>
              <w:left w:val="nil"/>
              <w:bottom w:val="single" w:sz="4" w:space="0" w:color="auto"/>
              <w:right w:val="nil"/>
            </w:tcBorders>
          </w:tcPr>
          <w:p w:rsidR="00691289" w:rsidRPr="00C85E38" w:rsidRDefault="00691289" w:rsidP="00A0366B">
            <w:pPr>
              <w:pStyle w:val="Tabletext"/>
              <w:ind w:right="198"/>
              <w:jc w:val="right"/>
              <w:rPr>
                <w:b/>
              </w:rPr>
            </w:pPr>
            <w:r w:rsidRPr="00C85E38">
              <w:rPr>
                <w:b/>
              </w:rPr>
              <w:t>226</w:t>
            </w:r>
          </w:p>
        </w:tc>
        <w:tc>
          <w:tcPr>
            <w:tcW w:w="897" w:type="dxa"/>
            <w:tcBorders>
              <w:top w:val="nil"/>
              <w:left w:val="nil"/>
              <w:bottom w:val="single" w:sz="4" w:space="0" w:color="auto"/>
              <w:right w:val="nil"/>
            </w:tcBorders>
          </w:tcPr>
          <w:p w:rsidR="00691289" w:rsidRPr="00C85E38" w:rsidRDefault="00691289" w:rsidP="00A0366B">
            <w:pPr>
              <w:pStyle w:val="Tabletext"/>
              <w:tabs>
                <w:tab w:val="decimal" w:pos="340"/>
              </w:tabs>
              <w:rPr>
                <w:b/>
              </w:rPr>
            </w:pPr>
            <w:r w:rsidRPr="00C85E38">
              <w:rPr>
                <w:b/>
              </w:rPr>
              <w:t>100.0</w:t>
            </w:r>
          </w:p>
        </w:tc>
        <w:tc>
          <w:tcPr>
            <w:tcW w:w="897" w:type="dxa"/>
            <w:tcBorders>
              <w:top w:val="nil"/>
              <w:left w:val="nil"/>
              <w:bottom w:val="single" w:sz="4" w:space="0" w:color="auto"/>
            </w:tcBorders>
          </w:tcPr>
          <w:p w:rsidR="00691289" w:rsidRPr="00C85E38" w:rsidRDefault="00691289" w:rsidP="00A0366B">
            <w:pPr>
              <w:pStyle w:val="Tabletext"/>
              <w:ind w:right="198"/>
              <w:jc w:val="right"/>
              <w:rPr>
                <w:b/>
              </w:rPr>
            </w:pPr>
            <w:r w:rsidRPr="00C85E38">
              <w:rPr>
                <w:b/>
              </w:rPr>
              <w:t>118</w:t>
            </w:r>
          </w:p>
        </w:tc>
      </w:tr>
    </w:tbl>
    <w:p w:rsidR="00691289" w:rsidRPr="00C85E38" w:rsidRDefault="00691289" w:rsidP="00691289">
      <w:pPr>
        <w:pStyle w:val="Source"/>
      </w:pPr>
      <w:r w:rsidRPr="00C85E38">
        <w:t>Notes:</w:t>
      </w:r>
      <w:r w:rsidRPr="00C85E38">
        <w:tab/>
        <w:t>(a) ‘Moved’ implies the respondent was not an employee in the previous year and moved into a job as an employee.</w:t>
      </w:r>
      <w:r w:rsidRPr="00C85E38">
        <w:br/>
        <w:t>Population: Employees in the latter reference year.</w:t>
      </w:r>
      <w:r w:rsidRPr="00C85E38">
        <w:br/>
        <w:t>Weight: Longitudinal 0607, 0708, 0809.</w:t>
      </w:r>
    </w:p>
    <w:p w:rsidR="00691289" w:rsidRPr="00C85E38" w:rsidRDefault="00691289" w:rsidP="00691289">
      <w:pPr>
        <w:pStyle w:val="Source"/>
      </w:pPr>
      <w:r w:rsidRPr="00C85E38">
        <w:t>Source:</w:t>
      </w:r>
      <w:r w:rsidRPr="00C85E38">
        <w:tab/>
        <w:t>Australia at Work W1 to W3.</w:t>
      </w:r>
    </w:p>
    <w:p w:rsidR="00691289" w:rsidRPr="00C85E38" w:rsidRDefault="00691289" w:rsidP="00DE11E0">
      <w:pPr>
        <w:pStyle w:val="Textmorebefore"/>
      </w:pPr>
      <w:r w:rsidRPr="00C85E38">
        <w:t xml:space="preserve">The data reported in table A1.3 highlight the importance of paying particular attention to separating out what has been happening to those who change employer from those who have continuous engagement between waves of the survey and those becoming employees where previously they had </w:t>
      </w:r>
      <w:r w:rsidRPr="00C85E38">
        <w:lastRenderedPageBreak/>
        <w:t>no job. For the remainder of this appendix we report separately on employees by whether they have paid leave or not and we cross-reference this with whether they remained with or changed employers between different waves of the survey. Organising the data according to these categories sheds important new light on how different groups of employees are experiencing the downturn. We are especially interested in how variables most central to labour market adjustment</w:t>
      </w:r>
      <w:r w:rsidR="00213E0E">
        <w:t xml:space="preserve"> — </w:t>
      </w:r>
      <w:r w:rsidRPr="00C85E38">
        <w:t>hours and earnings</w:t>
      </w:r>
      <w:r w:rsidR="00213E0E">
        <w:t xml:space="preserve"> — </w:t>
      </w:r>
      <w:r w:rsidRPr="00C85E38">
        <w:t>have changed for these different groups of employees.</w:t>
      </w:r>
    </w:p>
    <w:p w:rsidR="00691289" w:rsidRPr="00C85E38" w:rsidRDefault="00691289" w:rsidP="00C877D6">
      <w:pPr>
        <w:pStyle w:val="Heading2"/>
      </w:pPr>
      <w:bookmarkStart w:id="91" w:name="_Toc245786124"/>
      <w:bookmarkStart w:id="92" w:name="_Toc246394352"/>
      <w:bookmarkStart w:id="93" w:name="_Toc300838480"/>
      <w:r w:rsidRPr="00C85E38">
        <w:t>Changes in hours and earnings: Where labour adjustment is occurring</w:t>
      </w:r>
      <w:bookmarkEnd w:id="91"/>
      <w:bookmarkEnd w:id="92"/>
      <w:bookmarkEnd w:id="93"/>
    </w:p>
    <w:p w:rsidR="00691289" w:rsidRPr="00C85E38" w:rsidRDefault="00691289" w:rsidP="00C877D6">
      <w:pPr>
        <w:pStyle w:val="Text"/>
      </w:pPr>
      <w:r w:rsidRPr="00C85E38">
        <w:t xml:space="preserve">The key findings about how hours have changed either side of the cyclical peak are summarised in table A1.4. It reports on the proportion of employees with and without paid leave entitlements in the last reference year and whether they have experienced change in their hours of work between two survey waves. </w:t>
      </w:r>
    </w:p>
    <w:p w:rsidR="00691289" w:rsidRPr="00C85E38" w:rsidRDefault="00691289" w:rsidP="00691289">
      <w:pPr>
        <w:pStyle w:val="tabletitle"/>
        <w:ind w:left="993" w:hanging="993"/>
      </w:pPr>
      <w:bookmarkStart w:id="94" w:name="_Toc245784269"/>
      <w:bookmarkStart w:id="95" w:name="_Toc246384839"/>
      <w:bookmarkStart w:id="96" w:name="_Toc297558141"/>
      <w:bookmarkStart w:id="97" w:name="_Toc300838526"/>
      <w:r w:rsidRPr="00C85E38">
        <w:t>Table A1.4</w:t>
      </w:r>
      <w:r w:rsidRPr="00C85E38">
        <w:tab/>
        <w:t>Change in usual hours in main job by paid leave entitlements in the latter year, 2007–08 &amp; 2008–09, %</w:t>
      </w:r>
      <w:bookmarkEnd w:id="94"/>
      <w:bookmarkEnd w:id="95"/>
      <w:bookmarkEnd w:id="96"/>
      <w:bookmarkEnd w:id="97"/>
    </w:p>
    <w:tbl>
      <w:tblPr>
        <w:tblW w:w="8789" w:type="dxa"/>
        <w:tblInd w:w="108" w:type="dxa"/>
        <w:tblLayout w:type="fixed"/>
        <w:tblLook w:val="01E0"/>
      </w:tblPr>
      <w:tblGrid>
        <w:gridCol w:w="1759"/>
        <w:gridCol w:w="879"/>
        <w:gridCol w:w="880"/>
        <w:gridCol w:w="878"/>
        <w:gridCol w:w="879"/>
        <w:gridCol w:w="878"/>
        <w:gridCol w:w="879"/>
        <w:gridCol w:w="878"/>
        <w:gridCol w:w="879"/>
      </w:tblGrid>
      <w:tr w:rsidR="00691289" w:rsidRPr="00C85E38" w:rsidTr="00C877D6">
        <w:tc>
          <w:tcPr>
            <w:tcW w:w="1701" w:type="dxa"/>
            <w:tcBorders>
              <w:top w:val="single" w:sz="4" w:space="0" w:color="auto"/>
            </w:tcBorders>
          </w:tcPr>
          <w:p w:rsidR="00691289" w:rsidRPr="00C85E38" w:rsidRDefault="00691289" w:rsidP="00A0366B">
            <w:pPr>
              <w:pStyle w:val="Tablehead1"/>
            </w:pPr>
          </w:p>
        </w:tc>
        <w:tc>
          <w:tcPr>
            <w:tcW w:w="3402" w:type="dxa"/>
            <w:gridSpan w:val="4"/>
            <w:tcBorders>
              <w:top w:val="single" w:sz="4" w:space="0" w:color="auto"/>
            </w:tcBorders>
          </w:tcPr>
          <w:p w:rsidR="00691289" w:rsidRPr="00C85E38" w:rsidRDefault="00691289" w:rsidP="00A0366B">
            <w:pPr>
              <w:pStyle w:val="Tablehead1"/>
              <w:jc w:val="center"/>
              <w:rPr>
                <w:szCs w:val="17"/>
              </w:rPr>
            </w:pPr>
            <w:r w:rsidRPr="00C85E38">
              <w:rPr>
                <w:szCs w:val="17"/>
              </w:rPr>
              <w:t>Same employer</w:t>
            </w:r>
          </w:p>
        </w:tc>
        <w:tc>
          <w:tcPr>
            <w:tcW w:w="3402" w:type="dxa"/>
            <w:gridSpan w:val="4"/>
            <w:tcBorders>
              <w:top w:val="single" w:sz="4" w:space="0" w:color="auto"/>
            </w:tcBorders>
          </w:tcPr>
          <w:p w:rsidR="00691289" w:rsidRPr="00C85E38" w:rsidRDefault="00691289" w:rsidP="00A0366B">
            <w:pPr>
              <w:pStyle w:val="Tablehead1"/>
              <w:jc w:val="center"/>
              <w:rPr>
                <w:szCs w:val="17"/>
              </w:rPr>
            </w:pPr>
            <w:r w:rsidRPr="00C85E38">
              <w:rPr>
                <w:szCs w:val="17"/>
              </w:rPr>
              <w:t>Different employer</w:t>
            </w:r>
          </w:p>
        </w:tc>
      </w:tr>
      <w:tr w:rsidR="00691289" w:rsidRPr="00C85E38" w:rsidTr="00C877D6">
        <w:tc>
          <w:tcPr>
            <w:tcW w:w="1701" w:type="dxa"/>
          </w:tcPr>
          <w:p w:rsidR="00691289" w:rsidRPr="00C85E38" w:rsidRDefault="00691289" w:rsidP="00A0366B">
            <w:pPr>
              <w:pStyle w:val="Tablehead2"/>
              <w:rPr>
                <w:szCs w:val="16"/>
              </w:rPr>
            </w:pPr>
          </w:p>
        </w:tc>
        <w:tc>
          <w:tcPr>
            <w:tcW w:w="1701" w:type="dxa"/>
            <w:gridSpan w:val="2"/>
          </w:tcPr>
          <w:p w:rsidR="00691289" w:rsidRPr="00C85E38" w:rsidRDefault="00691289" w:rsidP="00A0366B">
            <w:pPr>
              <w:pStyle w:val="Tablehead2"/>
              <w:jc w:val="center"/>
              <w:rPr>
                <w:szCs w:val="17"/>
              </w:rPr>
            </w:pPr>
            <w:r w:rsidRPr="00C85E38">
              <w:rPr>
                <w:szCs w:val="17"/>
              </w:rPr>
              <w:t>Paid leave</w:t>
            </w:r>
          </w:p>
        </w:tc>
        <w:tc>
          <w:tcPr>
            <w:tcW w:w="1701" w:type="dxa"/>
            <w:gridSpan w:val="2"/>
          </w:tcPr>
          <w:p w:rsidR="00691289" w:rsidRPr="00C85E38" w:rsidRDefault="00691289" w:rsidP="00A0366B">
            <w:pPr>
              <w:pStyle w:val="Tablehead2"/>
              <w:jc w:val="center"/>
              <w:rPr>
                <w:szCs w:val="17"/>
              </w:rPr>
            </w:pPr>
            <w:r w:rsidRPr="00C85E38">
              <w:rPr>
                <w:szCs w:val="17"/>
              </w:rPr>
              <w:t>No paid leave</w:t>
            </w:r>
          </w:p>
        </w:tc>
        <w:tc>
          <w:tcPr>
            <w:tcW w:w="1701" w:type="dxa"/>
            <w:gridSpan w:val="2"/>
          </w:tcPr>
          <w:p w:rsidR="00691289" w:rsidRPr="00C85E38" w:rsidRDefault="00691289" w:rsidP="00A0366B">
            <w:pPr>
              <w:pStyle w:val="Tablehead2"/>
              <w:jc w:val="center"/>
              <w:rPr>
                <w:szCs w:val="17"/>
              </w:rPr>
            </w:pPr>
            <w:r w:rsidRPr="00C85E38">
              <w:rPr>
                <w:szCs w:val="17"/>
              </w:rPr>
              <w:t>Paid leave</w:t>
            </w:r>
          </w:p>
        </w:tc>
        <w:tc>
          <w:tcPr>
            <w:tcW w:w="1701" w:type="dxa"/>
            <w:gridSpan w:val="2"/>
          </w:tcPr>
          <w:p w:rsidR="00691289" w:rsidRPr="00C85E38" w:rsidRDefault="00691289" w:rsidP="00A0366B">
            <w:pPr>
              <w:pStyle w:val="Tablehead2"/>
              <w:jc w:val="center"/>
              <w:rPr>
                <w:szCs w:val="17"/>
              </w:rPr>
            </w:pPr>
            <w:r w:rsidRPr="00C85E38">
              <w:rPr>
                <w:szCs w:val="17"/>
              </w:rPr>
              <w:t>No paid leave</w:t>
            </w:r>
          </w:p>
        </w:tc>
      </w:tr>
      <w:tr w:rsidR="00691289" w:rsidRPr="00C85E38" w:rsidTr="00C877D6">
        <w:tc>
          <w:tcPr>
            <w:tcW w:w="1701" w:type="dxa"/>
          </w:tcPr>
          <w:p w:rsidR="00691289" w:rsidRPr="00C85E38" w:rsidRDefault="00691289" w:rsidP="00A0366B">
            <w:pPr>
              <w:pStyle w:val="Tablehead3"/>
              <w:rPr>
                <w:szCs w:val="16"/>
              </w:rPr>
            </w:pPr>
          </w:p>
        </w:tc>
        <w:tc>
          <w:tcPr>
            <w:tcW w:w="850" w:type="dxa"/>
          </w:tcPr>
          <w:p w:rsidR="00691289" w:rsidRPr="00C85E38" w:rsidRDefault="00691289" w:rsidP="00A0366B">
            <w:pPr>
              <w:pStyle w:val="Tablehead3"/>
              <w:jc w:val="center"/>
              <w:rPr>
                <w:szCs w:val="17"/>
              </w:rPr>
            </w:pPr>
            <w:r w:rsidRPr="00C85E38">
              <w:rPr>
                <w:szCs w:val="17"/>
              </w:rPr>
              <w:t>2008</w:t>
            </w:r>
          </w:p>
        </w:tc>
        <w:tc>
          <w:tcPr>
            <w:tcW w:w="851" w:type="dxa"/>
          </w:tcPr>
          <w:p w:rsidR="00691289" w:rsidRPr="00C85E38" w:rsidRDefault="00691289" w:rsidP="00A0366B">
            <w:pPr>
              <w:pStyle w:val="Tablehead3"/>
              <w:jc w:val="center"/>
              <w:rPr>
                <w:szCs w:val="17"/>
              </w:rPr>
            </w:pPr>
            <w:r w:rsidRPr="00C85E38">
              <w:rPr>
                <w:szCs w:val="17"/>
              </w:rPr>
              <w:t>2009</w:t>
            </w:r>
          </w:p>
        </w:tc>
        <w:tc>
          <w:tcPr>
            <w:tcW w:w="850" w:type="dxa"/>
          </w:tcPr>
          <w:p w:rsidR="00691289" w:rsidRPr="00C85E38" w:rsidRDefault="00691289" w:rsidP="00A0366B">
            <w:pPr>
              <w:pStyle w:val="Tablehead3"/>
              <w:jc w:val="center"/>
              <w:rPr>
                <w:szCs w:val="17"/>
              </w:rPr>
            </w:pPr>
            <w:r w:rsidRPr="00C85E38">
              <w:rPr>
                <w:szCs w:val="17"/>
              </w:rPr>
              <w:t>2008</w:t>
            </w:r>
          </w:p>
        </w:tc>
        <w:tc>
          <w:tcPr>
            <w:tcW w:w="851" w:type="dxa"/>
          </w:tcPr>
          <w:p w:rsidR="00691289" w:rsidRPr="00C85E38" w:rsidRDefault="00691289" w:rsidP="00A0366B">
            <w:pPr>
              <w:pStyle w:val="Tablehead3"/>
              <w:jc w:val="center"/>
              <w:rPr>
                <w:szCs w:val="17"/>
              </w:rPr>
            </w:pPr>
            <w:r w:rsidRPr="00C85E38">
              <w:rPr>
                <w:szCs w:val="17"/>
              </w:rPr>
              <w:t>2009</w:t>
            </w:r>
          </w:p>
        </w:tc>
        <w:tc>
          <w:tcPr>
            <w:tcW w:w="850" w:type="dxa"/>
          </w:tcPr>
          <w:p w:rsidR="00691289" w:rsidRPr="00C85E38" w:rsidRDefault="00691289" w:rsidP="00A0366B">
            <w:pPr>
              <w:pStyle w:val="Tablehead3"/>
              <w:jc w:val="center"/>
              <w:rPr>
                <w:szCs w:val="17"/>
              </w:rPr>
            </w:pPr>
            <w:r w:rsidRPr="00C85E38">
              <w:rPr>
                <w:szCs w:val="17"/>
              </w:rPr>
              <w:t>2008</w:t>
            </w:r>
          </w:p>
        </w:tc>
        <w:tc>
          <w:tcPr>
            <w:tcW w:w="851" w:type="dxa"/>
          </w:tcPr>
          <w:p w:rsidR="00691289" w:rsidRPr="00C85E38" w:rsidRDefault="00691289" w:rsidP="00A0366B">
            <w:pPr>
              <w:pStyle w:val="Tablehead3"/>
              <w:jc w:val="center"/>
              <w:rPr>
                <w:szCs w:val="17"/>
              </w:rPr>
            </w:pPr>
            <w:r w:rsidRPr="00C85E38">
              <w:rPr>
                <w:szCs w:val="17"/>
              </w:rPr>
              <w:t>2009</w:t>
            </w:r>
          </w:p>
        </w:tc>
        <w:tc>
          <w:tcPr>
            <w:tcW w:w="850" w:type="dxa"/>
          </w:tcPr>
          <w:p w:rsidR="00691289" w:rsidRPr="00C85E38" w:rsidRDefault="00691289" w:rsidP="00A0366B">
            <w:pPr>
              <w:pStyle w:val="Tablehead3"/>
              <w:jc w:val="center"/>
              <w:rPr>
                <w:szCs w:val="17"/>
              </w:rPr>
            </w:pPr>
            <w:r w:rsidRPr="00C85E38">
              <w:rPr>
                <w:szCs w:val="17"/>
              </w:rPr>
              <w:t>2008</w:t>
            </w:r>
          </w:p>
        </w:tc>
        <w:tc>
          <w:tcPr>
            <w:tcW w:w="851" w:type="dxa"/>
          </w:tcPr>
          <w:p w:rsidR="00691289" w:rsidRPr="00C85E38" w:rsidRDefault="00691289" w:rsidP="00A0366B">
            <w:pPr>
              <w:pStyle w:val="Tablehead3"/>
              <w:jc w:val="center"/>
              <w:rPr>
                <w:szCs w:val="17"/>
              </w:rPr>
            </w:pPr>
            <w:r w:rsidRPr="00C85E38">
              <w:rPr>
                <w:szCs w:val="17"/>
              </w:rPr>
              <w:t>2009</w:t>
            </w:r>
          </w:p>
        </w:tc>
      </w:tr>
      <w:tr w:rsidR="00691289" w:rsidRPr="00C85E38" w:rsidTr="00C877D6">
        <w:tc>
          <w:tcPr>
            <w:tcW w:w="1701" w:type="dxa"/>
            <w:tcBorders>
              <w:bottom w:val="single" w:sz="4" w:space="0" w:color="auto"/>
            </w:tcBorders>
          </w:tcPr>
          <w:p w:rsidR="00691289" w:rsidRPr="00C85E38" w:rsidRDefault="00691289" w:rsidP="00A0366B">
            <w:pPr>
              <w:pStyle w:val="Tablehead3"/>
              <w:rPr>
                <w:szCs w:val="16"/>
              </w:rPr>
            </w:pPr>
          </w:p>
        </w:tc>
        <w:tc>
          <w:tcPr>
            <w:tcW w:w="850" w:type="dxa"/>
            <w:tcBorders>
              <w:bottom w:val="single" w:sz="4" w:space="0" w:color="auto"/>
            </w:tcBorders>
            <w:tcMar>
              <w:left w:w="0" w:type="dxa"/>
              <w:right w:w="0" w:type="dxa"/>
            </w:tcMar>
          </w:tcPr>
          <w:p w:rsidR="00691289" w:rsidRPr="00C85E38" w:rsidRDefault="00691289" w:rsidP="00A0366B">
            <w:pPr>
              <w:pStyle w:val="Tablehead3"/>
              <w:jc w:val="center"/>
              <w:rPr>
                <w:szCs w:val="17"/>
              </w:rPr>
            </w:pPr>
            <w:r w:rsidRPr="00C85E38">
              <w:rPr>
                <w:szCs w:val="17"/>
              </w:rPr>
              <w:t>N = 3660</w:t>
            </w:r>
          </w:p>
        </w:tc>
        <w:tc>
          <w:tcPr>
            <w:tcW w:w="851" w:type="dxa"/>
            <w:tcBorders>
              <w:bottom w:val="single" w:sz="4" w:space="0" w:color="auto"/>
            </w:tcBorders>
            <w:tcMar>
              <w:left w:w="0" w:type="dxa"/>
              <w:right w:w="0" w:type="dxa"/>
            </w:tcMar>
          </w:tcPr>
          <w:p w:rsidR="00691289" w:rsidRPr="00C85E38" w:rsidRDefault="00691289" w:rsidP="00A0366B">
            <w:pPr>
              <w:pStyle w:val="Tablehead3"/>
              <w:jc w:val="center"/>
              <w:rPr>
                <w:szCs w:val="17"/>
              </w:rPr>
            </w:pPr>
            <w:r w:rsidRPr="00C85E38">
              <w:rPr>
                <w:szCs w:val="17"/>
              </w:rPr>
              <w:t>N = 3449</w:t>
            </w:r>
          </w:p>
        </w:tc>
        <w:tc>
          <w:tcPr>
            <w:tcW w:w="850" w:type="dxa"/>
            <w:tcBorders>
              <w:bottom w:val="single" w:sz="4" w:space="0" w:color="auto"/>
            </w:tcBorders>
          </w:tcPr>
          <w:p w:rsidR="00691289" w:rsidRPr="00C85E38" w:rsidRDefault="00691289" w:rsidP="00A0366B">
            <w:pPr>
              <w:pStyle w:val="Tablehead3"/>
              <w:jc w:val="center"/>
              <w:rPr>
                <w:szCs w:val="17"/>
              </w:rPr>
            </w:pPr>
            <w:r w:rsidRPr="00C85E38">
              <w:rPr>
                <w:szCs w:val="17"/>
              </w:rPr>
              <w:t>N = 592</w:t>
            </w:r>
          </w:p>
        </w:tc>
        <w:tc>
          <w:tcPr>
            <w:tcW w:w="851" w:type="dxa"/>
            <w:tcBorders>
              <w:bottom w:val="single" w:sz="4" w:space="0" w:color="auto"/>
            </w:tcBorders>
          </w:tcPr>
          <w:p w:rsidR="00691289" w:rsidRPr="00C85E38" w:rsidRDefault="00691289" w:rsidP="00A0366B">
            <w:pPr>
              <w:pStyle w:val="Tablehead3"/>
              <w:jc w:val="center"/>
              <w:rPr>
                <w:szCs w:val="17"/>
              </w:rPr>
            </w:pPr>
            <w:r w:rsidRPr="00C85E38">
              <w:rPr>
                <w:szCs w:val="17"/>
              </w:rPr>
              <w:t>N = 449</w:t>
            </w:r>
          </w:p>
        </w:tc>
        <w:tc>
          <w:tcPr>
            <w:tcW w:w="850" w:type="dxa"/>
            <w:tcBorders>
              <w:bottom w:val="single" w:sz="4" w:space="0" w:color="auto"/>
            </w:tcBorders>
          </w:tcPr>
          <w:p w:rsidR="00691289" w:rsidRPr="00C85E38" w:rsidRDefault="00691289" w:rsidP="00A0366B">
            <w:pPr>
              <w:pStyle w:val="Tablehead3"/>
              <w:jc w:val="center"/>
              <w:rPr>
                <w:szCs w:val="17"/>
              </w:rPr>
            </w:pPr>
            <w:r w:rsidRPr="00C85E38">
              <w:rPr>
                <w:szCs w:val="17"/>
              </w:rPr>
              <w:t>N = 741</w:t>
            </w:r>
          </w:p>
        </w:tc>
        <w:tc>
          <w:tcPr>
            <w:tcW w:w="851" w:type="dxa"/>
            <w:tcBorders>
              <w:bottom w:val="single" w:sz="4" w:space="0" w:color="auto"/>
            </w:tcBorders>
          </w:tcPr>
          <w:p w:rsidR="00691289" w:rsidRPr="00C85E38" w:rsidRDefault="00691289" w:rsidP="00A0366B">
            <w:pPr>
              <w:pStyle w:val="Tablehead3"/>
              <w:jc w:val="center"/>
              <w:rPr>
                <w:szCs w:val="17"/>
              </w:rPr>
            </w:pPr>
            <w:r w:rsidRPr="00C85E38">
              <w:rPr>
                <w:szCs w:val="17"/>
              </w:rPr>
              <w:t>N =4 95</w:t>
            </w:r>
          </w:p>
        </w:tc>
        <w:tc>
          <w:tcPr>
            <w:tcW w:w="850" w:type="dxa"/>
            <w:tcBorders>
              <w:bottom w:val="single" w:sz="4" w:space="0" w:color="auto"/>
            </w:tcBorders>
          </w:tcPr>
          <w:p w:rsidR="00691289" w:rsidRPr="00C85E38" w:rsidRDefault="00691289" w:rsidP="00A0366B">
            <w:pPr>
              <w:pStyle w:val="Tablehead3"/>
              <w:jc w:val="center"/>
              <w:rPr>
                <w:szCs w:val="17"/>
              </w:rPr>
            </w:pPr>
            <w:r w:rsidRPr="00C85E38">
              <w:rPr>
                <w:szCs w:val="17"/>
              </w:rPr>
              <w:t>N = 294</w:t>
            </w:r>
          </w:p>
        </w:tc>
        <w:tc>
          <w:tcPr>
            <w:tcW w:w="851" w:type="dxa"/>
            <w:tcBorders>
              <w:bottom w:val="single" w:sz="4" w:space="0" w:color="auto"/>
            </w:tcBorders>
          </w:tcPr>
          <w:p w:rsidR="00691289" w:rsidRPr="00C85E38" w:rsidRDefault="00691289" w:rsidP="00A0366B">
            <w:pPr>
              <w:pStyle w:val="Tablehead3"/>
              <w:jc w:val="center"/>
              <w:rPr>
                <w:szCs w:val="17"/>
              </w:rPr>
            </w:pPr>
            <w:r w:rsidRPr="00C85E38">
              <w:rPr>
                <w:szCs w:val="17"/>
              </w:rPr>
              <w:t>N = 228</w:t>
            </w:r>
          </w:p>
        </w:tc>
      </w:tr>
      <w:tr w:rsidR="00691289" w:rsidRPr="00C85E38" w:rsidTr="00C877D6">
        <w:tc>
          <w:tcPr>
            <w:tcW w:w="1701" w:type="dxa"/>
            <w:tcBorders>
              <w:top w:val="single" w:sz="4" w:space="0" w:color="auto"/>
            </w:tcBorders>
          </w:tcPr>
          <w:p w:rsidR="00691289" w:rsidRPr="00C85E38" w:rsidRDefault="00691289" w:rsidP="00A0366B">
            <w:pPr>
              <w:pStyle w:val="Tabletext"/>
            </w:pPr>
            <w:r w:rsidRPr="00C85E38">
              <w:t>Increase &gt;2 hrs</w:t>
            </w:r>
          </w:p>
        </w:tc>
        <w:tc>
          <w:tcPr>
            <w:tcW w:w="850" w:type="dxa"/>
            <w:tcBorders>
              <w:top w:val="single" w:sz="4" w:space="0" w:color="auto"/>
            </w:tcBorders>
          </w:tcPr>
          <w:p w:rsidR="00691289" w:rsidRPr="00C85E38" w:rsidRDefault="00691289" w:rsidP="00A0366B">
            <w:pPr>
              <w:pStyle w:val="Tabletext"/>
              <w:tabs>
                <w:tab w:val="decimal" w:pos="340"/>
              </w:tabs>
            </w:pPr>
            <w:r w:rsidRPr="00C85E38">
              <w:t>36.0</w:t>
            </w:r>
          </w:p>
        </w:tc>
        <w:tc>
          <w:tcPr>
            <w:tcW w:w="851" w:type="dxa"/>
            <w:tcBorders>
              <w:top w:val="single" w:sz="4" w:space="0" w:color="auto"/>
            </w:tcBorders>
          </w:tcPr>
          <w:p w:rsidR="00691289" w:rsidRPr="00C85E38" w:rsidRDefault="00691289" w:rsidP="00A0366B">
            <w:pPr>
              <w:pStyle w:val="Tabletext"/>
              <w:tabs>
                <w:tab w:val="decimal" w:pos="340"/>
              </w:tabs>
            </w:pPr>
            <w:r w:rsidRPr="00C85E38">
              <w:t>23.1</w:t>
            </w:r>
          </w:p>
        </w:tc>
        <w:tc>
          <w:tcPr>
            <w:tcW w:w="850" w:type="dxa"/>
            <w:tcBorders>
              <w:top w:val="single" w:sz="4" w:space="0" w:color="auto"/>
            </w:tcBorders>
          </w:tcPr>
          <w:p w:rsidR="00691289" w:rsidRPr="00C85E38" w:rsidRDefault="00691289" w:rsidP="00A0366B">
            <w:pPr>
              <w:pStyle w:val="Tabletext"/>
              <w:tabs>
                <w:tab w:val="decimal" w:pos="340"/>
              </w:tabs>
            </w:pPr>
            <w:r w:rsidRPr="00C85E38">
              <w:t>42.4</w:t>
            </w:r>
          </w:p>
        </w:tc>
        <w:tc>
          <w:tcPr>
            <w:tcW w:w="851" w:type="dxa"/>
            <w:tcBorders>
              <w:top w:val="single" w:sz="4" w:space="0" w:color="auto"/>
            </w:tcBorders>
          </w:tcPr>
          <w:p w:rsidR="00691289" w:rsidRPr="00C85E38" w:rsidRDefault="00691289" w:rsidP="00A0366B">
            <w:pPr>
              <w:pStyle w:val="Tabletext"/>
              <w:tabs>
                <w:tab w:val="decimal" w:pos="340"/>
              </w:tabs>
            </w:pPr>
            <w:r w:rsidRPr="00C85E38">
              <w:t>27.1</w:t>
            </w:r>
          </w:p>
        </w:tc>
        <w:tc>
          <w:tcPr>
            <w:tcW w:w="850" w:type="dxa"/>
            <w:tcBorders>
              <w:top w:val="single" w:sz="4" w:space="0" w:color="auto"/>
            </w:tcBorders>
          </w:tcPr>
          <w:p w:rsidR="00691289" w:rsidRPr="00C85E38" w:rsidRDefault="00691289" w:rsidP="00A0366B">
            <w:pPr>
              <w:pStyle w:val="Tabletext"/>
              <w:tabs>
                <w:tab w:val="decimal" w:pos="340"/>
              </w:tabs>
            </w:pPr>
            <w:r w:rsidRPr="00C85E38">
              <w:t>53.8</w:t>
            </w:r>
          </w:p>
        </w:tc>
        <w:tc>
          <w:tcPr>
            <w:tcW w:w="851" w:type="dxa"/>
            <w:tcBorders>
              <w:top w:val="single" w:sz="4" w:space="0" w:color="auto"/>
            </w:tcBorders>
          </w:tcPr>
          <w:p w:rsidR="00691289" w:rsidRPr="00C85E38" w:rsidRDefault="00691289" w:rsidP="00A0366B">
            <w:pPr>
              <w:pStyle w:val="Tabletext"/>
              <w:tabs>
                <w:tab w:val="decimal" w:pos="340"/>
              </w:tabs>
            </w:pPr>
            <w:r w:rsidRPr="00C85E38">
              <w:t>43.4</w:t>
            </w:r>
          </w:p>
        </w:tc>
        <w:tc>
          <w:tcPr>
            <w:tcW w:w="850" w:type="dxa"/>
            <w:tcBorders>
              <w:top w:val="single" w:sz="4" w:space="0" w:color="auto"/>
            </w:tcBorders>
          </w:tcPr>
          <w:p w:rsidR="00691289" w:rsidRPr="00C85E38" w:rsidRDefault="00691289" w:rsidP="00A0366B">
            <w:pPr>
              <w:pStyle w:val="Tabletext"/>
              <w:tabs>
                <w:tab w:val="decimal" w:pos="340"/>
              </w:tabs>
            </w:pPr>
            <w:r w:rsidRPr="00C85E38">
              <w:t>49.0</w:t>
            </w:r>
          </w:p>
        </w:tc>
        <w:tc>
          <w:tcPr>
            <w:tcW w:w="851" w:type="dxa"/>
            <w:tcBorders>
              <w:top w:val="single" w:sz="4" w:space="0" w:color="auto"/>
            </w:tcBorders>
          </w:tcPr>
          <w:p w:rsidR="00691289" w:rsidRPr="00C85E38" w:rsidRDefault="00691289" w:rsidP="00A0366B">
            <w:pPr>
              <w:pStyle w:val="Tabletext"/>
              <w:tabs>
                <w:tab w:val="decimal" w:pos="340"/>
              </w:tabs>
            </w:pPr>
            <w:r w:rsidRPr="00C85E38">
              <w:t>35.3</w:t>
            </w:r>
          </w:p>
        </w:tc>
      </w:tr>
      <w:tr w:rsidR="00691289" w:rsidRPr="00C85E38" w:rsidTr="00C877D6">
        <w:tc>
          <w:tcPr>
            <w:tcW w:w="1701" w:type="dxa"/>
          </w:tcPr>
          <w:p w:rsidR="00691289" w:rsidRPr="00C85E38" w:rsidRDefault="00691289" w:rsidP="00A0366B">
            <w:pPr>
              <w:pStyle w:val="Tabletext"/>
            </w:pPr>
            <w:r w:rsidRPr="00C85E38">
              <w:t xml:space="preserve">No change </w:t>
            </w:r>
          </w:p>
        </w:tc>
        <w:tc>
          <w:tcPr>
            <w:tcW w:w="850" w:type="dxa"/>
          </w:tcPr>
          <w:p w:rsidR="00691289" w:rsidRPr="00C85E38" w:rsidRDefault="00691289" w:rsidP="00A0366B">
            <w:pPr>
              <w:pStyle w:val="Tabletext"/>
              <w:tabs>
                <w:tab w:val="decimal" w:pos="340"/>
              </w:tabs>
            </w:pPr>
            <w:r w:rsidRPr="00C85E38">
              <w:t>32.3</w:t>
            </w:r>
          </w:p>
        </w:tc>
        <w:tc>
          <w:tcPr>
            <w:tcW w:w="851" w:type="dxa"/>
          </w:tcPr>
          <w:p w:rsidR="00691289" w:rsidRPr="00C85E38" w:rsidRDefault="00691289" w:rsidP="00A0366B">
            <w:pPr>
              <w:pStyle w:val="Tabletext"/>
              <w:tabs>
                <w:tab w:val="decimal" w:pos="340"/>
              </w:tabs>
            </w:pPr>
            <w:r w:rsidRPr="00C85E38">
              <w:t>52.8</w:t>
            </w:r>
          </w:p>
        </w:tc>
        <w:tc>
          <w:tcPr>
            <w:tcW w:w="850" w:type="dxa"/>
          </w:tcPr>
          <w:p w:rsidR="00691289" w:rsidRPr="00C85E38" w:rsidRDefault="00691289" w:rsidP="00A0366B">
            <w:pPr>
              <w:pStyle w:val="Tabletext"/>
              <w:tabs>
                <w:tab w:val="decimal" w:pos="340"/>
              </w:tabs>
            </w:pPr>
            <w:r w:rsidRPr="00C85E38">
              <w:t>20.5</w:t>
            </w:r>
          </w:p>
        </w:tc>
        <w:tc>
          <w:tcPr>
            <w:tcW w:w="851" w:type="dxa"/>
          </w:tcPr>
          <w:p w:rsidR="00691289" w:rsidRPr="00C85E38" w:rsidRDefault="00691289" w:rsidP="00A0366B">
            <w:pPr>
              <w:pStyle w:val="Tabletext"/>
              <w:tabs>
                <w:tab w:val="decimal" w:pos="340"/>
              </w:tabs>
            </w:pPr>
            <w:r w:rsidRPr="00C85E38">
              <w:t>43.5</w:t>
            </w:r>
          </w:p>
        </w:tc>
        <w:tc>
          <w:tcPr>
            <w:tcW w:w="850" w:type="dxa"/>
          </w:tcPr>
          <w:p w:rsidR="00691289" w:rsidRPr="00C85E38" w:rsidRDefault="00691289" w:rsidP="00A0366B">
            <w:pPr>
              <w:pStyle w:val="Tabletext"/>
              <w:tabs>
                <w:tab w:val="decimal" w:pos="340"/>
              </w:tabs>
            </w:pPr>
            <w:r w:rsidRPr="00C85E38">
              <w:t>13.1</w:t>
            </w:r>
          </w:p>
        </w:tc>
        <w:tc>
          <w:tcPr>
            <w:tcW w:w="851" w:type="dxa"/>
          </w:tcPr>
          <w:p w:rsidR="00691289" w:rsidRPr="00C85E38" w:rsidRDefault="00691289" w:rsidP="00A0366B">
            <w:pPr>
              <w:pStyle w:val="Tabletext"/>
              <w:tabs>
                <w:tab w:val="decimal" w:pos="340"/>
              </w:tabs>
            </w:pPr>
            <w:r w:rsidRPr="00C85E38">
              <w:t>28.8</w:t>
            </w:r>
          </w:p>
        </w:tc>
        <w:tc>
          <w:tcPr>
            <w:tcW w:w="850" w:type="dxa"/>
          </w:tcPr>
          <w:p w:rsidR="00691289" w:rsidRPr="00C85E38" w:rsidRDefault="00691289" w:rsidP="00A0366B">
            <w:pPr>
              <w:pStyle w:val="Tabletext"/>
              <w:tabs>
                <w:tab w:val="decimal" w:pos="340"/>
              </w:tabs>
            </w:pPr>
            <w:r w:rsidRPr="00C85E38">
              <w:t>9.0</w:t>
            </w:r>
          </w:p>
        </w:tc>
        <w:tc>
          <w:tcPr>
            <w:tcW w:w="851" w:type="dxa"/>
          </w:tcPr>
          <w:p w:rsidR="00691289" w:rsidRPr="00C85E38" w:rsidRDefault="00691289" w:rsidP="00A0366B">
            <w:pPr>
              <w:pStyle w:val="Tabletext"/>
              <w:tabs>
                <w:tab w:val="decimal" w:pos="340"/>
              </w:tabs>
            </w:pPr>
            <w:r w:rsidRPr="00C85E38">
              <w:t>18.5</w:t>
            </w:r>
          </w:p>
        </w:tc>
      </w:tr>
      <w:tr w:rsidR="00691289" w:rsidRPr="00C85E38" w:rsidTr="00C877D6">
        <w:tc>
          <w:tcPr>
            <w:tcW w:w="1701" w:type="dxa"/>
          </w:tcPr>
          <w:p w:rsidR="00691289" w:rsidRPr="00C85E38" w:rsidRDefault="00691289" w:rsidP="00A0366B">
            <w:pPr>
              <w:pStyle w:val="Tabletext"/>
            </w:pPr>
            <w:r w:rsidRPr="00C85E38">
              <w:t>Decrease of &gt;2 hrs</w:t>
            </w:r>
          </w:p>
        </w:tc>
        <w:tc>
          <w:tcPr>
            <w:tcW w:w="850" w:type="dxa"/>
          </w:tcPr>
          <w:p w:rsidR="00691289" w:rsidRPr="00C85E38" w:rsidRDefault="00691289" w:rsidP="00A0366B">
            <w:pPr>
              <w:pStyle w:val="Tabletext"/>
              <w:tabs>
                <w:tab w:val="decimal" w:pos="340"/>
              </w:tabs>
            </w:pPr>
            <w:r w:rsidRPr="00C85E38">
              <w:t>31.7</w:t>
            </w:r>
          </w:p>
        </w:tc>
        <w:tc>
          <w:tcPr>
            <w:tcW w:w="851" w:type="dxa"/>
          </w:tcPr>
          <w:p w:rsidR="00691289" w:rsidRPr="00C85E38" w:rsidRDefault="00691289" w:rsidP="00A0366B">
            <w:pPr>
              <w:pStyle w:val="Tabletext"/>
              <w:tabs>
                <w:tab w:val="decimal" w:pos="340"/>
              </w:tabs>
            </w:pPr>
            <w:r w:rsidRPr="00C85E38">
              <w:t>24.1</w:t>
            </w:r>
          </w:p>
        </w:tc>
        <w:tc>
          <w:tcPr>
            <w:tcW w:w="850" w:type="dxa"/>
          </w:tcPr>
          <w:p w:rsidR="00691289" w:rsidRPr="00C85E38" w:rsidRDefault="00691289" w:rsidP="00A0366B">
            <w:pPr>
              <w:pStyle w:val="Tabletext"/>
              <w:tabs>
                <w:tab w:val="decimal" w:pos="340"/>
              </w:tabs>
            </w:pPr>
            <w:r w:rsidRPr="00C85E38">
              <w:t>37.1</w:t>
            </w:r>
          </w:p>
        </w:tc>
        <w:tc>
          <w:tcPr>
            <w:tcW w:w="851" w:type="dxa"/>
          </w:tcPr>
          <w:p w:rsidR="00691289" w:rsidRPr="00C85E38" w:rsidRDefault="00691289" w:rsidP="00A0366B">
            <w:pPr>
              <w:pStyle w:val="Tabletext"/>
              <w:tabs>
                <w:tab w:val="decimal" w:pos="340"/>
              </w:tabs>
            </w:pPr>
            <w:r w:rsidRPr="00C85E38">
              <w:t>29.4</w:t>
            </w:r>
          </w:p>
        </w:tc>
        <w:tc>
          <w:tcPr>
            <w:tcW w:w="850" w:type="dxa"/>
          </w:tcPr>
          <w:p w:rsidR="00691289" w:rsidRPr="00C85E38" w:rsidRDefault="00691289" w:rsidP="00A0366B">
            <w:pPr>
              <w:pStyle w:val="Tabletext"/>
              <w:tabs>
                <w:tab w:val="decimal" w:pos="340"/>
              </w:tabs>
            </w:pPr>
            <w:r w:rsidRPr="00C85E38">
              <w:t>33.1</w:t>
            </w:r>
          </w:p>
        </w:tc>
        <w:tc>
          <w:tcPr>
            <w:tcW w:w="851" w:type="dxa"/>
          </w:tcPr>
          <w:p w:rsidR="00691289" w:rsidRPr="00C85E38" w:rsidRDefault="00691289" w:rsidP="00A0366B">
            <w:pPr>
              <w:pStyle w:val="Tabletext"/>
              <w:tabs>
                <w:tab w:val="decimal" w:pos="340"/>
              </w:tabs>
            </w:pPr>
            <w:r w:rsidRPr="00C85E38">
              <w:t>27.8</w:t>
            </w:r>
          </w:p>
        </w:tc>
        <w:tc>
          <w:tcPr>
            <w:tcW w:w="850" w:type="dxa"/>
          </w:tcPr>
          <w:p w:rsidR="00691289" w:rsidRPr="00C85E38" w:rsidRDefault="00691289" w:rsidP="00A0366B">
            <w:pPr>
              <w:pStyle w:val="Tabletext"/>
              <w:tabs>
                <w:tab w:val="decimal" w:pos="340"/>
              </w:tabs>
            </w:pPr>
            <w:r w:rsidRPr="00C85E38">
              <w:t>42.0</w:t>
            </w:r>
          </w:p>
        </w:tc>
        <w:tc>
          <w:tcPr>
            <w:tcW w:w="851" w:type="dxa"/>
          </w:tcPr>
          <w:p w:rsidR="00691289" w:rsidRPr="00C85E38" w:rsidRDefault="00691289" w:rsidP="00A0366B">
            <w:pPr>
              <w:pStyle w:val="Tabletext"/>
              <w:tabs>
                <w:tab w:val="decimal" w:pos="340"/>
              </w:tabs>
            </w:pPr>
            <w:r w:rsidRPr="00C85E38">
              <w:t>46.2</w:t>
            </w:r>
          </w:p>
        </w:tc>
      </w:tr>
      <w:tr w:rsidR="00691289" w:rsidRPr="00C85E38" w:rsidTr="00C877D6">
        <w:tc>
          <w:tcPr>
            <w:tcW w:w="1701" w:type="dxa"/>
            <w:tcBorders>
              <w:bottom w:val="single" w:sz="4" w:space="0" w:color="auto"/>
            </w:tcBorders>
          </w:tcPr>
          <w:p w:rsidR="00691289" w:rsidRPr="00C85E38" w:rsidRDefault="00691289" w:rsidP="00A0366B">
            <w:pPr>
              <w:pStyle w:val="Tabletext"/>
              <w:rPr>
                <w:b/>
              </w:rPr>
            </w:pPr>
            <w:r w:rsidRPr="00C85E38">
              <w:rPr>
                <w:b/>
              </w:rPr>
              <w:t>Total</w:t>
            </w:r>
          </w:p>
        </w:tc>
        <w:tc>
          <w:tcPr>
            <w:tcW w:w="850" w:type="dxa"/>
            <w:tcBorders>
              <w:bottom w:val="single" w:sz="4" w:space="0" w:color="auto"/>
            </w:tcBorders>
          </w:tcPr>
          <w:p w:rsidR="00691289" w:rsidRPr="00C85E38" w:rsidRDefault="00691289" w:rsidP="00A0366B">
            <w:pPr>
              <w:pStyle w:val="Tabletext"/>
              <w:tabs>
                <w:tab w:val="decimal" w:pos="340"/>
              </w:tabs>
              <w:rPr>
                <w:b/>
              </w:rPr>
            </w:pPr>
            <w:r w:rsidRPr="00C85E38">
              <w:rPr>
                <w:b/>
              </w:rPr>
              <w:t>100.0</w:t>
            </w:r>
          </w:p>
        </w:tc>
        <w:tc>
          <w:tcPr>
            <w:tcW w:w="851" w:type="dxa"/>
            <w:tcBorders>
              <w:bottom w:val="single" w:sz="4" w:space="0" w:color="auto"/>
            </w:tcBorders>
          </w:tcPr>
          <w:p w:rsidR="00691289" w:rsidRPr="00C85E38" w:rsidRDefault="00691289" w:rsidP="00A0366B">
            <w:pPr>
              <w:pStyle w:val="Tabletext"/>
              <w:tabs>
                <w:tab w:val="decimal" w:pos="340"/>
              </w:tabs>
              <w:rPr>
                <w:b/>
              </w:rPr>
            </w:pPr>
            <w:r w:rsidRPr="00C85E38">
              <w:rPr>
                <w:b/>
              </w:rPr>
              <w:t>100.0</w:t>
            </w:r>
          </w:p>
        </w:tc>
        <w:tc>
          <w:tcPr>
            <w:tcW w:w="850" w:type="dxa"/>
            <w:tcBorders>
              <w:bottom w:val="single" w:sz="4" w:space="0" w:color="auto"/>
            </w:tcBorders>
          </w:tcPr>
          <w:p w:rsidR="00691289" w:rsidRPr="00C85E38" w:rsidRDefault="00691289" w:rsidP="00A0366B">
            <w:pPr>
              <w:pStyle w:val="Tabletext"/>
              <w:tabs>
                <w:tab w:val="decimal" w:pos="340"/>
              </w:tabs>
              <w:rPr>
                <w:b/>
              </w:rPr>
            </w:pPr>
            <w:r w:rsidRPr="00C85E38">
              <w:rPr>
                <w:b/>
              </w:rPr>
              <w:t>100.0</w:t>
            </w:r>
          </w:p>
        </w:tc>
        <w:tc>
          <w:tcPr>
            <w:tcW w:w="851" w:type="dxa"/>
            <w:tcBorders>
              <w:bottom w:val="single" w:sz="4" w:space="0" w:color="auto"/>
            </w:tcBorders>
          </w:tcPr>
          <w:p w:rsidR="00691289" w:rsidRPr="00C85E38" w:rsidRDefault="00691289" w:rsidP="00A0366B">
            <w:pPr>
              <w:pStyle w:val="Tabletext"/>
              <w:tabs>
                <w:tab w:val="decimal" w:pos="340"/>
              </w:tabs>
              <w:rPr>
                <w:b/>
              </w:rPr>
            </w:pPr>
            <w:r w:rsidRPr="00C85E38">
              <w:rPr>
                <w:b/>
              </w:rPr>
              <w:t>100.0</w:t>
            </w:r>
          </w:p>
        </w:tc>
        <w:tc>
          <w:tcPr>
            <w:tcW w:w="850" w:type="dxa"/>
            <w:tcBorders>
              <w:bottom w:val="single" w:sz="4" w:space="0" w:color="auto"/>
            </w:tcBorders>
          </w:tcPr>
          <w:p w:rsidR="00691289" w:rsidRPr="00C85E38" w:rsidRDefault="00691289" w:rsidP="00A0366B">
            <w:pPr>
              <w:pStyle w:val="Tabletext"/>
              <w:tabs>
                <w:tab w:val="decimal" w:pos="340"/>
              </w:tabs>
              <w:rPr>
                <w:b/>
              </w:rPr>
            </w:pPr>
            <w:r w:rsidRPr="00C85E38">
              <w:rPr>
                <w:b/>
              </w:rPr>
              <w:t>100.0</w:t>
            </w:r>
          </w:p>
        </w:tc>
        <w:tc>
          <w:tcPr>
            <w:tcW w:w="851" w:type="dxa"/>
            <w:tcBorders>
              <w:bottom w:val="single" w:sz="4" w:space="0" w:color="auto"/>
            </w:tcBorders>
          </w:tcPr>
          <w:p w:rsidR="00691289" w:rsidRPr="00C85E38" w:rsidRDefault="00691289" w:rsidP="00A0366B">
            <w:pPr>
              <w:pStyle w:val="Tabletext"/>
              <w:tabs>
                <w:tab w:val="decimal" w:pos="340"/>
              </w:tabs>
              <w:rPr>
                <w:b/>
              </w:rPr>
            </w:pPr>
            <w:r w:rsidRPr="00C85E38">
              <w:rPr>
                <w:b/>
              </w:rPr>
              <w:t>100.0</w:t>
            </w:r>
          </w:p>
        </w:tc>
        <w:tc>
          <w:tcPr>
            <w:tcW w:w="850" w:type="dxa"/>
            <w:tcBorders>
              <w:bottom w:val="single" w:sz="4" w:space="0" w:color="auto"/>
            </w:tcBorders>
          </w:tcPr>
          <w:p w:rsidR="00691289" w:rsidRPr="00C85E38" w:rsidRDefault="00691289" w:rsidP="00A0366B">
            <w:pPr>
              <w:pStyle w:val="Tabletext"/>
              <w:tabs>
                <w:tab w:val="decimal" w:pos="340"/>
              </w:tabs>
              <w:rPr>
                <w:b/>
              </w:rPr>
            </w:pPr>
            <w:r w:rsidRPr="00C85E38">
              <w:rPr>
                <w:b/>
              </w:rPr>
              <w:t>100.0</w:t>
            </w:r>
          </w:p>
        </w:tc>
        <w:tc>
          <w:tcPr>
            <w:tcW w:w="851" w:type="dxa"/>
            <w:tcBorders>
              <w:bottom w:val="single" w:sz="4" w:space="0" w:color="auto"/>
            </w:tcBorders>
          </w:tcPr>
          <w:p w:rsidR="00691289" w:rsidRPr="00C85E38" w:rsidRDefault="00691289" w:rsidP="00A0366B">
            <w:pPr>
              <w:pStyle w:val="Tabletext"/>
              <w:tabs>
                <w:tab w:val="decimal" w:pos="340"/>
              </w:tabs>
              <w:rPr>
                <w:b/>
              </w:rPr>
            </w:pPr>
            <w:r w:rsidRPr="00C85E38">
              <w:rPr>
                <w:b/>
              </w:rPr>
              <w:t>100.0</w:t>
            </w:r>
          </w:p>
        </w:tc>
      </w:tr>
    </w:tbl>
    <w:p w:rsidR="00691289" w:rsidRPr="00C85E38" w:rsidRDefault="00691289" w:rsidP="00691289">
      <w:pPr>
        <w:pStyle w:val="Source"/>
      </w:pPr>
      <w:r w:rsidRPr="00C85E38">
        <w:t>Notes:</w:t>
      </w:r>
      <w:r w:rsidRPr="00C85E38">
        <w:tab/>
        <w:t>Population: Employees with known form of employment in latter year.</w:t>
      </w:r>
      <w:r w:rsidRPr="00C85E38">
        <w:br/>
        <w:t>Weight: Longitudinal 08; Longitudinal 09.</w:t>
      </w:r>
    </w:p>
    <w:p w:rsidR="00691289" w:rsidRPr="00C85E38" w:rsidRDefault="00691289" w:rsidP="00691289">
      <w:pPr>
        <w:pStyle w:val="Source"/>
      </w:pPr>
      <w:r w:rsidRPr="00C85E38">
        <w:t>Source:</w:t>
      </w:r>
      <w:r w:rsidRPr="00C85E38">
        <w:tab/>
        <w:t>Australia at Work W1 to W3.</w:t>
      </w:r>
    </w:p>
    <w:p w:rsidR="00691289" w:rsidRPr="00C85E38" w:rsidRDefault="00691289" w:rsidP="00C877D6">
      <w:pPr>
        <w:pStyle w:val="Textmorebefore"/>
      </w:pPr>
      <w:r w:rsidRPr="00C85E38">
        <w:t xml:space="preserve">One of the most striking developments summarised in table A1.4 is the relative ‘cooling’ of the labour market. As noted earlier, it is well known that levels of job change fall in downturns. Not only do fewer people change jobs, but across the board fewer people change their hours. In the case of employees with paid leave who remained with the same employer, the proportion reporting unchanged hours increased from 32% in 2008 to 53% in 2009. Among those with no leave and who changed jobs, the proportion of those with unchanged hours rises from just under one in ten (9%) to around one in five (19%). </w:t>
      </w:r>
    </w:p>
    <w:p w:rsidR="00691289" w:rsidRPr="00C85E38" w:rsidRDefault="00691289" w:rsidP="00C877D6">
      <w:pPr>
        <w:pStyle w:val="Text"/>
      </w:pPr>
      <w:r w:rsidRPr="00C85E38">
        <w:t xml:space="preserve">And while significant attention has been devoted to the fall in aggregate hours worked, around one-quarter of those with the same employer increased their hours, as did well over a third of those who changed employer. The most intriguing finding in our study concerns the proportions reporting falls in hours. Clearly the fall in aggregate hours has not come from employees remaining with </w:t>
      </w:r>
      <w:r>
        <w:t xml:space="preserve">the </w:t>
      </w:r>
      <w:r w:rsidRPr="00C85E38">
        <w:t>same employer, nor has it come from those who changed to a job with paid leave. In all of these cases the proportion reporting fewer hours fell, roughly, from around a third to around a quarter. The only deviation from this trend was among those changing employer and ending up in a job without paid leave. The proportion of this group reporting fewer hours rose from 42 to 46% from 2008 to 2009. On the basis of these data, neither the ‘work-sharing’ nor the ‘more flexible labour’ story have much support. Instead, among workers who were either in, or looking for, work in 2006, the fall in hours appears to have come from fewer employees increasing their hours compared with previous years and a fall in hours among employees without paid leave entitlements.</w:t>
      </w:r>
    </w:p>
    <w:p w:rsidR="00691289" w:rsidRPr="00C85E38" w:rsidRDefault="00691289" w:rsidP="00C877D6">
      <w:pPr>
        <w:pStyle w:val="Text"/>
      </w:pPr>
      <w:r w:rsidRPr="00C85E38">
        <w:lastRenderedPageBreak/>
        <w:t xml:space="preserve">The situation concerning annual earnings is a little different. The relevant data are summarised in table A1.5. In contrast to the situation on hours, there is far less evidence of labour market ‘cooling’. The proportion of employees reporting no change in annual earnings increased a little or not at all; and this is small in scale and comes from a low base. For example, in the case of those who remained in the same job with no paid leave entitlements, the proportion reporting ‘no change’ rose from 7 to 10%. Despite the economic downturn prior to the survey period, over half of those without leave and around two-thirds of those with paid leave reported their annual nominal salary had increased from 2008 to 2009. The proportion reporting increases was, however, down from 2008 levels and this was offset by the increase in the proportion of employees reporting a fall in their annual earnings. </w:t>
      </w:r>
    </w:p>
    <w:p w:rsidR="00691289" w:rsidRPr="00C85E38" w:rsidRDefault="00691289" w:rsidP="00691289">
      <w:pPr>
        <w:pStyle w:val="tabletitle"/>
        <w:ind w:left="993" w:hanging="993"/>
      </w:pPr>
      <w:bookmarkStart w:id="98" w:name="_Toc245784270"/>
      <w:bookmarkStart w:id="99" w:name="_Toc246384840"/>
      <w:bookmarkStart w:id="100" w:name="_Toc265854413"/>
      <w:bookmarkStart w:id="101" w:name="_Toc297558142"/>
      <w:bookmarkStart w:id="102" w:name="_Toc300838527"/>
      <w:r w:rsidRPr="00C85E38">
        <w:t>Table A1.5</w:t>
      </w:r>
      <w:r w:rsidRPr="00C85E38">
        <w:tab/>
        <w:t>Change in yearly salary in main job by paid leave entitlements in the latter year and change in employer, 2007–08 &amp; 2008–09, %</w:t>
      </w:r>
      <w:bookmarkEnd w:id="98"/>
      <w:bookmarkEnd w:id="99"/>
      <w:bookmarkEnd w:id="100"/>
      <w:bookmarkEnd w:id="101"/>
      <w:bookmarkEnd w:id="102"/>
    </w:p>
    <w:tbl>
      <w:tblPr>
        <w:tblW w:w="8789" w:type="dxa"/>
        <w:tblInd w:w="108" w:type="dxa"/>
        <w:tblLayout w:type="fixed"/>
        <w:tblLook w:val="01E0"/>
      </w:tblPr>
      <w:tblGrid>
        <w:gridCol w:w="1200"/>
        <w:gridCol w:w="947"/>
        <w:gridCol w:w="948"/>
        <w:gridCol w:w="949"/>
        <w:gridCol w:w="949"/>
        <w:gridCol w:w="949"/>
        <w:gridCol w:w="949"/>
        <w:gridCol w:w="949"/>
        <w:gridCol w:w="949"/>
      </w:tblGrid>
      <w:tr w:rsidR="00691289" w:rsidRPr="00C85E38" w:rsidTr="00C877D6">
        <w:tc>
          <w:tcPr>
            <w:tcW w:w="1162" w:type="dxa"/>
            <w:tcBorders>
              <w:top w:val="single" w:sz="4" w:space="0" w:color="auto"/>
            </w:tcBorders>
          </w:tcPr>
          <w:p w:rsidR="00691289" w:rsidRPr="00C85E38" w:rsidRDefault="00691289" w:rsidP="00A0366B">
            <w:pPr>
              <w:pStyle w:val="Tablehead1"/>
            </w:pPr>
          </w:p>
        </w:tc>
        <w:tc>
          <w:tcPr>
            <w:tcW w:w="3671" w:type="dxa"/>
            <w:gridSpan w:val="4"/>
            <w:tcBorders>
              <w:top w:val="single" w:sz="4" w:space="0" w:color="auto"/>
            </w:tcBorders>
          </w:tcPr>
          <w:p w:rsidR="00691289" w:rsidRPr="00C85E38" w:rsidRDefault="00691289" w:rsidP="00A0366B">
            <w:pPr>
              <w:pStyle w:val="Tablehead1"/>
              <w:jc w:val="center"/>
              <w:rPr>
                <w:szCs w:val="17"/>
              </w:rPr>
            </w:pPr>
            <w:r w:rsidRPr="00C85E38">
              <w:rPr>
                <w:szCs w:val="17"/>
              </w:rPr>
              <w:t>Same employer</w:t>
            </w:r>
          </w:p>
        </w:tc>
        <w:tc>
          <w:tcPr>
            <w:tcW w:w="3672" w:type="dxa"/>
            <w:gridSpan w:val="4"/>
            <w:tcBorders>
              <w:top w:val="single" w:sz="4" w:space="0" w:color="auto"/>
            </w:tcBorders>
          </w:tcPr>
          <w:p w:rsidR="00691289" w:rsidRPr="00C85E38" w:rsidRDefault="00691289" w:rsidP="00A0366B">
            <w:pPr>
              <w:pStyle w:val="Tablehead1"/>
              <w:jc w:val="center"/>
              <w:rPr>
                <w:szCs w:val="17"/>
              </w:rPr>
            </w:pPr>
            <w:r w:rsidRPr="00C85E38">
              <w:rPr>
                <w:szCs w:val="17"/>
              </w:rPr>
              <w:t>Different employer</w:t>
            </w:r>
          </w:p>
        </w:tc>
      </w:tr>
      <w:tr w:rsidR="00691289" w:rsidRPr="00C85E38" w:rsidTr="00C877D6">
        <w:tc>
          <w:tcPr>
            <w:tcW w:w="1162" w:type="dxa"/>
          </w:tcPr>
          <w:p w:rsidR="00691289" w:rsidRPr="00C85E38" w:rsidRDefault="00691289" w:rsidP="00A0366B">
            <w:pPr>
              <w:pStyle w:val="Tablehead2"/>
              <w:rPr>
                <w:szCs w:val="16"/>
              </w:rPr>
            </w:pPr>
          </w:p>
        </w:tc>
        <w:tc>
          <w:tcPr>
            <w:tcW w:w="1835" w:type="dxa"/>
            <w:gridSpan w:val="2"/>
          </w:tcPr>
          <w:p w:rsidR="00691289" w:rsidRPr="00C85E38" w:rsidRDefault="00691289" w:rsidP="00A0366B">
            <w:pPr>
              <w:pStyle w:val="Tablehead2"/>
              <w:jc w:val="center"/>
              <w:rPr>
                <w:szCs w:val="17"/>
              </w:rPr>
            </w:pPr>
            <w:r w:rsidRPr="00C85E38">
              <w:rPr>
                <w:szCs w:val="17"/>
              </w:rPr>
              <w:t>Paid leave</w:t>
            </w:r>
          </w:p>
        </w:tc>
        <w:tc>
          <w:tcPr>
            <w:tcW w:w="1836" w:type="dxa"/>
            <w:gridSpan w:val="2"/>
          </w:tcPr>
          <w:p w:rsidR="00691289" w:rsidRPr="00C85E38" w:rsidRDefault="00691289" w:rsidP="00A0366B">
            <w:pPr>
              <w:pStyle w:val="Tablehead2"/>
              <w:jc w:val="center"/>
              <w:rPr>
                <w:szCs w:val="17"/>
              </w:rPr>
            </w:pPr>
            <w:r w:rsidRPr="00C85E38">
              <w:rPr>
                <w:szCs w:val="17"/>
              </w:rPr>
              <w:t>No paid leave</w:t>
            </w:r>
          </w:p>
        </w:tc>
        <w:tc>
          <w:tcPr>
            <w:tcW w:w="1836" w:type="dxa"/>
            <w:gridSpan w:val="2"/>
          </w:tcPr>
          <w:p w:rsidR="00691289" w:rsidRPr="00C85E38" w:rsidRDefault="00691289" w:rsidP="00A0366B">
            <w:pPr>
              <w:pStyle w:val="Tablehead2"/>
              <w:jc w:val="center"/>
              <w:rPr>
                <w:szCs w:val="17"/>
              </w:rPr>
            </w:pPr>
            <w:r w:rsidRPr="00C85E38">
              <w:rPr>
                <w:szCs w:val="17"/>
              </w:rPr>
              <w:t>Paid leave</w:t>
            </w:r>
          </w:p>
        </w:tc>
        <w:tc>
          <w:tcPr>
            <w:tcW w:w="1836" w:type="dxa"/>
            <w:gridSpan w:val="2"/>
          </w:tcPr>
          <w:p w:rsidR="00691289" w:rsidRPr="00C85E38" w:rsidRDefault="00691289" w:rsidP="00A0366B">
            <w:pPr>
              <w:pStyle w:val="Tablehead2"/>
              <w:jc w:val="center"/>
              <w:rPr>
                <w:szCs w:val="17"/>
              </w:rPr>
            </w:pPr>
            <w:r w:rsidRPr="00C85E38">
              <w:rPr>
                <w:szCs w:val="17"/>
              </w:rPr>
              <w:t>No paid leave</w:t>
            </w:r>
          </w:p>
        </w:tc>
      </w:tr>
      <w:tr w:rsidR="00691289" w:rsidRPr="00C85E38" w:rsidTr="00C877D6">
        <w:tc>
          <w:tcPr>
            <w:tcW w:w="1162" w:type="dxa"/>
          </w:tcPr>
          <w:p w:rsidR="00691289" w:rsidRPr="00C85E38" w:rsidRDefault="00691289" w:rsidP="00A0366B">
            <w:pPr>
              <w:pStyle w:val="Tablehead3"/>
              <w:rPr>
                <w:szCs w:val="16"/>
              </w:rPr>
            </w:pPr>
          </w:p>
        </w:tc>
        <w:tc>
          <w:tcPr>
            <w:tcW w:w="917" w:type="dxa"/>
          </w:tcPr>
          <w:p w:rsidR="00691289" w:rsidRPr="00C85E38" w:rsidRDefault="00691289" w:rsidP="00A0366B">
            <w:pPr>
              <w:pStyle w:val="Tablehead3"/>
              <w:jc w:val="center"/>
              <w:rPr>
                <w:szCs w:val="17"/>
              </w:rPr>
            </w:pPr>
            <w:r w:rsidRPr="00C85E38">
              <w:rPr>
                <w:szCs w:val="17"/>
              </w:rPr>
              <w:t>2008</w:t>
            </w:r>
          </w:p>
        </w:tc>
        <w:tc>
          <w:tcPr>
            <w:tcW w:w="918" w:type="dxa"/>
          </w:tcPr>
          <w:p w:rsidR="00691289" w:rsidRPr="00C85E38" w:rsidRDefault="00691289" w:rsidP="00A0366B">
            <w:pPr>
              <w:pStyle w:val="Tablehead3"/>
              <w:jc w:val="center"/>
              <w:rPr>
                <w:szCs w:val="17"/>
              </w:rPr>
            </w:pPr>
            <w:r w:rsidRPr="00C85E38">
              <w:rPr>
                <w:szCs w:val="17"/>
              </w:rPr>
              <w:t>2009</w:t>
            </w:r>
          </w:p>
        </w:tc>
        <w:tc>
          <w:tcPr>
            <w:tcW w:w="918" w:type="dxa"/>
          </w:tcPr>
          <w:p w:rsidR="00691289" w:rsidRPr="00C85E38" w:rsidRDefault="00691289" w:rsidP="00A0366B">
            <w:pPr>
              <w:pStyle w:val="Tablehead3"/>
              <w:jc w:val="center"/>
              <w:rPr>
                <w:szCs w:val="17"/>
              </w:rPr>
            </w:pPr>
            <w:r w:rsidRPr="00C85E38">
              <w:rPr>
                <w:szCs w:val="17"/>
              </w:rPr>
              <w:t>2008</w:t>
            </w:r>
          </w:p>
        </w:tc>
        <w:tc>
          <w:tcPr>
            <w:tcW w:w="918" w:type="dxa"/>
          </w:tcPr>
          <w:p w:rsidR="00691289" w:rsidRPr="00C85E38" w:rsidRDefault="00691289" w:rsidP="00A0366B">
            <w:pPr>
              <w:pStyle w:val="Tablehead3"/>
              <w:jc w:val="center"/>
              <w:rPr>
                <w:szCs w:val="17"/>
              </w:rPr>
            </w:pPr>
            <w:r w:rsidRPr="00C85E38">
              <w:rPr>
                <w:szCs w:val="17"/>
              </w:rPr>
              <w:t>2009</w:t>
            </w:r>
          </w:p>
        </w:tc>
        <w:tc>
          <w:tcPr>
            <w:tcW w:w="918" w:type="dxa"/>
          </w:tcPr>
          <w:p w:rsidR="00691289" w:rsidRPr="00C85E38" w:rsidRDefault="00691289" w:rsidP="00A0366B">
            <w:pPr>
              <w:pStyle w:val="Tablehead3"/>
              <w:jc w:val="center"/>
              <w:rPr>
                <w:szCs w:val="17"/>
              </w:rPr>
            </w:pPr>
            <w:r w:rsidRPr="00C85E38">
              <w:rPr>
                <w:szCs w:val="17"/>
              </w:rPr>
              <w:t>2008</w:t>
            </w:r>
          </w:p>
        </w:tc>
        <w:tc>
          <w:tcPr>
            <w:tcW w:w="918" w:type="dxa"/>
          </w:tcPr>
          <w:p w:rsidR="00691289" w:rsidRPr="00C85E38" w:rsidRDefault="00691289" w:rsidP="00A0366B">
            <w:pPr>
              <w:pStyle w:val="Tablehead3"/>
              <w:jc w:val="center"/>
              <w:rPr>
                <w:szCs w:val="17"/>
              </w:rPr>
            </w:pPr>
            <w:r w:rsidRPr="00C85E38">
              <w:rPr>
                <w:szCs w:val="17"/>
              </w:rPr>
              <w:t>2009</w:t>
            </w:r>
          </w:p>
        </w:tc>
        <w:tc>
          <w:tcPr>
            <w:tcW w:w="918" w:type="dxa"/>
          </w:tcPr>
          <w:p w:rsidR="00691289" w:rsidRPr="00C85E38" w:rsidRDefault="00691289" w:rsidP="00A0366B">
            <w:pPr>
              <w:pStyle w:val="Tablehead3"/>
              <w:jc w:val="center"/>
              <w:rPr>
                <w:szCs w:val="17"/>
              </w:rPr>
            </w:pPr>
            <w:r w:rsidRPr="00C85E38">
              <w:rPr>
                <w:szCs w:val="17"/>
              </w:rPr>
              <w:t>2008</w:t>
            </w:r>
          </w:p>
        </w:tc>
        <w:tc>
          <w:tcPr>
            <w:tcW w:w="918" w:type="dxa"/>
          </w:tcPr>
          <w:p w:rsidR="00691289" w:rsidRPr="00C85E38" w:rsidRDefault="00691289" w:rsidP="00A0366B">
            <w:pPr>
              <w:pStyle w:val="Tablehead3"/>
              <w:jc w:val="center"/>
              <w:rPr>
                <w:szCs w:val="17"/>
              </w:rPr>
            </w:pPr>
            <w:r w:rsidRPr="00C85E38">
              <w:rPr>
                <w:szCs w:val="17"/>
              </w:rPr>
              <w:t>2009</w:t>
            </w:r>
          </w:p>
        </w:tc>
      </w:tr>
      <w:tr w:rsidR="00691289" w:rsidRPr="00C85E38" w:rsidTr="00C877D6">
        <w:tc>
          <w:tcPr>
            <w:tcW w:w="1162" w:type="dxa"/>
            <w:tcBorders>
              <w:bottom w:val="single" w:sz="4" w:space="0" w:color="auto"/>
            </w:tcBorders>
          </w:tcPr>
          <w:p w:rsidR="00691289" w:rsidRPr="00C85E38" w:rsidRDefault="00691289" w:rsidP="00A0366B">
            <w:pPr>
              <w:pStyle w:val="Tablehead3"/>
              <w:rPr>
                <w:szCs w:val="16"/>
              </w:rPr>
            </w:pPr>
          </w:p>
        </w:tc>
        <w:tc>
          <w:tcPr>
            <w:tcW w:w="917" w:type="dxa"/>
            <w:tcBorders>
              <w:bottom w:val="single" w:sz="4" w:space="0" w:color="auto"/>
            </w:tcBorders>
          </w:tcPr>
          <w:p w:rsidR="00691289" w:rsidRPr="00C85E38" w:rsidRDefault="00691289" w:rsidP="00A0366B">
            <w:pPr>
              <w:pStyle w:val="Tablehead3"/>
              <w:jc w:val="center"/>
              <w:rPr>
                <w:szCs w:val="17"/>
              </w:rPr>
            </w:pPr>
            <w:r w:rsidRPr="00C85E38">
              <w:rPr>
                <w:szCs w:val="17"/>
              </w:rPr>
              <w:t>N = 3203</w:t>
            </w:r>
          </w:p>
        </w:tc>
        <w:tc>
          <w:tcPr>
            <w:tcW w:w="918" w:type="dxa"/>
            <w:tcBorders>
              <w:bottom w:val="single" w:sz="4" w:space="0" w:color="auto"/>
            </w:tcBorders>
          </w:tcPr>
          <w:p w:rsidR="00691289" w:rsidRPr="00C85E38" w:rsidRDefault="00691289" w:rsidP="00A0366B">
            <w:pPr>
              <w:pStyle w:val="Tablehead3"/>
              <w:jc w:val="center"/>
              <w:rPr>
                <w:szCs w:val="17"/>
              </w:rPr>
            </w:pPr>
            <w:r w:rsidRPr="00C85E38">
              <w:rPr>
                <w:szCs w:val="17"/>
              </w:rPr>
              <w:t>N = 3127</w:t>
            </w:r>
          </w:p>
        </w:tc>
        <w:tc>
          <w:tcPr>
            <w:tcW w:w="918" w:type="dxa"/>
            <w:tcBorders>
              <w:bottom w:val="single" w:sz="4" w:space="0" w:color="auto"/>
            </w:tcBorders>
          </w:tcPr>
          <w:p w:rsidR="00691289" w:rsidRPr="00C85E38" w:rsidRDefault="00691289" w:rsidP="00A0366B">
            <w:pPr>
              <w:pStyle w:val="Tablehead3"/>
              <w:jc w:val="center"/>
              <w:rPr>
                <w:szCs w:val="17"/>
              </w:rPr>
            </w:pPr>
            <w:r w:rsidRPr="00C85E38">
              <w:rPr>
                <w:szCs w:val="17"/>
              </w:rPr>
              <w:t>N = 505</w:t>
            </w:r>
          </w:p>
        </w:tc>
        <w:tc>
          <w:tcPr>
            <w:tcW w:w="918" w:type="dxa"/>
            <w:tcBorders>
              <w:bottom w:val="single" w:sz="4" w:space="0" w:color="auto"/>
            </w:tcBorders>
          </w:tcPr>
          <w:p w:rsidR="00691289" w:rsidRPr="00C85E38" w:rsidRDefault="00691289" w:rsidP="00A0366B">
            <w:pPr>
              <w:pStyle w:val="Tablehead3"/>
              <w:jc w:val="center"/>
              <w:rPr>
                <w:szCs w:val="17"/>
              </w:rPr>
            </w:pPr>
            <w:r w:rsidRPr="00C85E38">
              <w:rPr>
                <w:szCs w:val="17"/>
              </w:rPr>
              <w:t>N = 391</w:t>
            </w:r>
          </w:p>
        </w:tc>
        <w:tc>
          <w:tcPr>
            <w:tcW w:w="918" w:type="dxa"/>
            <w:tcBorders>
              <w:bottom w:val="single" w:sz="4" w:space="0" w:color="auto"/>
            </w:tcBorders>
          </w:tcPr>
          <w:p w:rsidR="00691289" w:rsidRPr="00C85E38" w:rsidRDefault="00691289" w:rsidP="00A0366B">
            <w:pPr>
              <w:pStyle w:val="Tablehead3"/>
              <w:jc w:val="center"/>
              <w:rPr>
                <w:szCs w:val="17"/>
              </w:rPr>
            </w:pPr>
            <w:r w:rsidRPr="00C85E38">
              <w:rPr>
                <w:szCs w:val="17"/>
              </w:rPr>
              <w:t>N = 624</w:t>
            </w:r>
          </w:p>
        </w:tc>
        <w:tc>
          <w:tcPr>
            <w:tcW w:w="918" w:type="dxa"/>
            <w:tcBorders>
              <w:bottom w:val="single" w:sz="4" w:space="0" w:color="auto"/>
            </w:tcBorders>
          </w:tcPr>
          <w:p w:rsidR="00691289" w:rsidRPr="00C85E38" w:rsidRDefault="00691289" w:rsidP="00A0366B">
            <w:pPr>
              <w:pStyle w:val="Tablehead3"/>
              <w:jc w:val="center"/>
              <w:rPr>
                <w:szCs w:val="17"/>
              </w:rPr>
            </w:pPr>
            <w:r w:rsidRPr="00C85E38">
              <w:rPr>
                <w:szCs w:val="17"/>
              </w:rPr>
              <w:t>N = 448</w:t>
            </w:r>
          </w:p>
        </w:tc>
        <w:tc>
          <w:tcPr>
            <w:tcW w:w="918" w:type="dxa"/>
            <w:tcBorders>
              <w:bottom w:val="single" w:sz="4" w:space="0" w:color="auto"/>
            </w:tcBorders>
          </w:tcPr>
          <w:p w:rsidR="00691289" w:rsidRPr="00C85E38" w:rsidRDefault="00691289" w:rsidP="00A0366B">
            <w:pPr>
              <w:pStyle w:val="Tablehead3"/>
              <w:jc w:val="center"/>
              <w:rPr>
                <w:szCs w:val="17"/>
              </w:rPr>
            </w:pPr>
            <w:r w:rsidRPr="00C85E38">
              <w:rPr>
                <w:szCs w:val="17"/>
              </w:rPr>
              <w:t>N = 247</w:t>
            </w:r>
          </w:p>
        </w:tc>
        <w:tc>
          <w:tcPr>
            <w:tcW w:w="918" w:type="dxa"/>
            <w:tcBorders>
              <w:bottom w:val="single" w:sz="4" w:space="0" w:color="auto"/>
            </w:tcBorders>
          </w:tcPr>
          <w:p w:rsidR="00691289" w:rsidRPr="00C85E38" w:rsidRDefault="00691289" w:rsidP="00A0366B">
            <w:pPr>
              <w:pStyle w:val="Tablehead3"/>
              <w:jc w:val="center"/>
              <w:rPr>
                <w:szCs w:val="17"/>
              </w:rPr>
            </w:pPr>
            <w:r w:rsidRPr="00C85E38">
              <w:rPr>
                <w:szCs w:val="17"/>
              </w:rPr>
              <w:t>N = 199</w:t>
            </w:r>
          </w:p>
        </w:tc>
      </w:tr>
      <w:tr w:rsidR="00691289" w:rsidRPr="00C85E38" w:rsidTr="00C877D6">
        <w:tc>
          <w:tcPr>
            <w:tcW w:w="1162" w:type="dxa"/>
            <w:tcBorders>
              <w:top w:val="single" w:sz="4" w:space="0" w:color="auto"/>
            </w:tcBorders>
          </w:tcPr>
          <w:p w:rsidR="00691289" w:rsidRPr="00C85E38" w:rsidRDefault="00691289" w:rsidP="00A0366B">
            <w:pPr>
              <w:pStyle w:val="Tabletext"/>
            </w:pPr>
            <w:r w:rsidRPr="00C85E38">
              <w:t>Increase</w:t>
            </w:r>
          </w:p>
        </w:tc>
        <w:tc>
          <w:tcPr>
            <w:tcW w:w="917" w:type="dxa"/>
            <w:tcBorders>
              <w:top w:val="single" w:sz="4" w:space="0" w:color="auto"/>
            </w:tcBorders>
          </w:tcPr>
          <w:p w:rsidR="00691289" w:rsidRPr="00C85E38" w:rsidRDefault="00691289" w:rsidP="00A0366B">
            <w:pPr>
              <w:pStyle w:val="Tabletext"/>
              <w:tabs>
                <w:tab w:val="decimal" w:pos="369"/>
              </w:tabs>
            </w:pPr>
            <w:r w:rsidRPr="00C85E38">
              <w:t>71.4</w:t>
            </w:r>
          </w:p>
        </w:tc>
        <w:tc>
          <w:tcPr>
            <w:tcW w:w="918" w:type="dxa"/>
            <w:tcBorders>
              <w:top w:val="single" w:sz="4" w:space="0" w:color="auto"/>
            </w:tcBorders>
          </w:tcPr>
          <w:p w:rsidR="00691289" w:rsidRPr="00C85E38" w:rsidRDefault="00691289" w:rsidP="00A0366B">
            <w:pPr>
              <w:pStyle w:val="Tabletext"/>
              <w:tabs>
                <w:tab w:val="decimal" w:pos="369"/>
              </w:tabs>
            </w:pPr>
            <w:r w:rsidRPr="00C85E38">
              <w:t>65.6</w:t>
            </w:r>
          </w:p>
        </w:tc>
        <w:tc>
          <w:tcPr>
            <w:tcW w:w="918" w:type="dxa"/>
            <w:tcBorders>
              <w:top w:val="single" w:sz="4" w:space="0" w:color="auto"/>
            </w:tcBorders>
          </w:tcPr>
          <w:p w:rsidR="00691289" w:rsidRPr="00C85E38" w:rsidRDefault="00691289" w:rsidP="00A0366B">
            <w:pPr>
              <w:pStyle w:val="Tabletext"/>
              <w:tabs>
                <w:tab w:val="decimal" w:pos="369"/>
              </w:tabs>
            </w:pPr>
            <w:r w:rsidRPr="00C85E38">
              <w:t>57.4</w:t>
            </w:r>
          </w:p>
        </w:tc>
        <w:tc>
          <w:tcPr>
            <w:tcW w:w="918" w:type="dxa"/>
            <w:tcBorders>
              <w:top w:val="single" w:sz="4" w:space="0" w:color="auto"/>
            </w:tcBorders>
          </w:tcPr>
          <w:p w:rsidR="00691289" w:rsidRPr="00C85E38" w:rsidRDefault="00691289" w:rsidP="00A0366B">
            <w:pPr>
              <w:pStyle w:val="Tabletext"/>
              <w:tabs>
                <w:tab w:val="decimal" w:pos="369"/>
              </w:tabs>
            </w:pPr>
            <w:r w:rsidRPr="00C85E38">
              <w:t>53.9</w:t>
            </w:r>
          </w:p>
        </w:tc>
        <w:tc>
          <w:tcPr>
            <w:tcW w:w="918" w:type="dxa"/>
            <w:tcBorders>
              <w:top w:val="single" w:sz="4" w:space="0" w:color="auto"/>
            </w:tcBorders>
          </w:tcPr>
          <w:p w:rsidR="00691289" w:rsidRPr="00C85E38" w:rsidRDefault="00691289" w:rsidP="00A0366B">
            <w:pPr>
              <w:pStyle w:val="Tabletext"/>
              <w:tabs>
                <w:tab w:val="decimal" w:pos="369"/>
              </w:tabs>
            </w:pPr>
            <w:r w:rsidRPr="00C85E38">
              <w:t>75.9</w:t>
            </w:r>
          </w:p>
        </w:tc>
        <w:tc>
          <w:tcPr>
            <w:tcW w:w="918" w:type="dxa"/>
            <w:tcBorders>
              <w:top w:val="single" w:sz="4" w:space="0" w:color="auto"/>
            </w:tcBorders>
          </w:tcPr>
          <w:p w:rsidR="00691289" w:rsidRPr="00C85E38" w:rsidRDefault="00691289" w:rsidP="00A0366B">
            <w:pPr>
              <w:pStyle w:val="Tabletext"/>
              <w:tabs>
                <w:tab w:val="decimal" w:pos="369"/>
              </w:tabs>
            </w:pPr>
            <w:r w:rsidRPr="00C85E38">
              <w:t>66.5</w:t>
            </w:r>
          </w:p>
        </w:tc>
        <w:tc>
          <w:tcPr>
            <w:tcW w:w="918" w:type="dxa"/>
            <w:tcBorders>
              <w:top w:val="single" w:sz="4" w:space="0" w:color="auto"/>
            </w:tcBorders>
          </w:tcPr>
          <w:p w:rsidR="00691289" w:rsidRPr="00C85E38" w:rsidRDefault="00691289" w:rsidP="00A0366B">
            <w:pPr>
              <w:pStyle w:val="Tabletext"/>
              <w:tabs>
                <w:tab w:val="decimal" w:pos="369"/>
              </w:tabs>
            </w:pPr>
            <w:r w:rsidRPr="00C85E38">
              <w:t>63.5</w:t>
            </w:r>
          </w:p>
        </w:tc>
        <w:tc>
          <w:tcPr>
            <w:tcW w:w="918" w:type="dxa"/>
            <w:tcBorders>
              <w:top w:val="single" w:sz="4" w:space="0" w:color="auto"/>
            </w:tcBorders>
          </w:tcPr>
          <w:p w:rsidR="00691289" w:rsidRPr="00C85E38" w:rsidRDefault="00691289" w:rsidP="00A0366B">
            <w:pPr>
              <w:pStyle w:val="Tabletext"/>
              <w:tabs>
                <w:tab w:val="decimal" w:pos="369"/>
              </w:tabs>
            </w:pPr>
            <w:r w:rsidRPr="00C85E38">
              <w:t>52.7</w:t>
            </w:r>
          </w:p>
        </w:tc>
      </w:tr>
      <w:tr w:rsidR="00691289" w:rsidRPr="00C85E38" w:rsidTr="00C877D6">
        <w:tc>
          <w:tcPr>
            <w:tcW w:w="1162" w:type="dxa"/>
          </w:tcPr>
          <w:p w:rsidR="00691289" w:rsidRPr="00C85E38" w:rsidRDefault="00691289" w:rsidP="00A0366B">
            <w:pPr>
              <w:pStyle w:val="Tabletext"/>
            </w:pPr>
            <w:r w:rsidRPr="00C85E38">
              <w:t>No change</w:t>
            </w:r>
          </w:p>
        </w:tc>
        <w:tc>
          <w:tcPr>
            <w:tcW w:w="917" w:type="dxa"/>
          </w:tcPr>
          <w:p w:rsidR="00691289" w:rsidRPr="00C85E38" w:rsidRDefault="00691289" w:rsidP="00A0366B">
            <w:pPr>
              <w:pStyle w:val="Tabletext"/>
              <w:tabs>
                <w:tab w:val="decimal" w:pos="369"/>
              </w:tabs>
            </w:pPr>
            <w:r w:rsidRPr="00C85E38">
              <w:t>8.6</w:t>
            </w:r>
          </w:p>
        </w:tc>
        <w:tc>
          <w:tcPr>
            <w:tcW w:w="918" w:type="dxa"/>
          </w:tcPr>
          <w:p w:rsidR="00691289" w:rsidRPr="00C85E38" w:rsidRDefault="00691289" w:rsidP="00A0366B">
            <w:pPr>
              <w:pStyle w:val="Tabletext"/>
              <w:tabs>
                <w:tab w:val="decimal" w:pos="369"/>
              </w:tabs>
            </w:pPr>
            <w:r w:rsidRPr="00C85E38">
              <w:t>10.3</w:t>
            </w:r>
          </w:p>
        </w:tc>
        <w:tc>
          <w:tcPr>
            <w:tcW w:w="918" w:type="dxa"/>
          </w:tcPr>
          <w:p w:rsidR="00691289" w:rsidRPr="00C85E38" w:rsidRDefault="00691289" w:rsidP="00A0366B">
            <w:pPr>
              <w:pStyle w:val="Tabletext"/>
              <w:tabs>
                <w:tab w:val="decimal" w:pos="369"/>
              </w:tabs>
            </w:pPr>
            <w:r w:rsidRPr="00C85E38">
              <w:t>7.3</w:t>
            </w:r>
          </w:p>
        </w:tc>
        <w:tc>
          <w:tcPr>
            <w:tcW w:w="918" w:type="dxa"/>
          </w:tcPr>
          <w:p w:rsidR="00691289" w:rsidRPr="00C85E38" w:rsidRDefault="00691289" w:rsidP="00A0366B">
            <w:pPr>
              <w:pStyle w:val="Tabletext"/>
              <w:tabs>
                <w:tab w:val="decimal" w:pos="369"/>
              </w:tabs>
            </w:pPr>
            <w:r w:rsidRPr="00C85E38">
              <w:t>9.7</w:t>
            </w:r>
          </w:p>
        </w:tc>
        <w:tc>
          <w:tcPr>
            <w:tcW w:w="918" w:type="dxa"/>
          </w:tcPr>
          <w:p w:rsidR="00691289" w:rsidRPr="00C85E38" w:rsidRDefault="00691289" w:rsidP="00A0366B">
            <w:pPr>
              <w:pStyle w:val="Tabletext"/>
              <w:tabs>
                <w:tab w:val="decimal" w:pos="369"/>
              </w:tabs>
            </w:pPr>
            <w:r w:rsidRPr="00C85E38">
              <w:t>2.8</w:t>
            </w:r>
          </w:p>
        </w:tc>
        <w:tc>
          <w:tcPr>
            <w:tcW w:w="918" w:type="dxa"/>
          </w:tcPr>
          <w:p w:rsidR="00691289" w:rsidRPr="00C85E38" w:rsidRDefault="00691289" w:rsidP="00A0366B">
            <w:pPr>
              <w:pStyle w:val="Tabletext"/>
              <w:tabs>
                <w:tab w:val="decimal" w:pos="369"/>
              </w:tabs>
            </w:pPr>
            <w:r w:rsidRPr="00C85E38">
              <w:t>4.1</w:t>
            </w:r>
          </w:p>
        </w:tc>
        <w:tc>
          <w:tcPr>
            <w:tcW w:w="918" w:type="dxa"/>
          </w:tcPr>
          <w:p w:rsidR="00691289" w:rsidRPr="00C85E38" w:rsidRDefault="00691289" w:rsidP="00A0366B">
            <w:pPr>
              <w:pStyle w:val="Tabletext"/>
              <w:tabs>
                <w:tab w:val="decimal" w:pos="369"/>
              </w:tabs>
            </w:pPr>
            <w:r w:rsidRPr="00C85E38">
              <w:t>2.6</w:t>
            </w:r>
          </w:p>
        </w:tc>
        <w:tc>
          <w:tcPr>
            <w:tcW w:w="918" w:type="dxa"/>
          </w:tcPr>
          <w:p w:rsidR="00691289" w:rsidRPr="00C85E38" w:rsidRDefault="00691289" w:rsidP="00A0366B">
            <w:pPr>
              <w:pStyle w:val="Tabletext"/>
              <w:tabs>
                <w:tab w:val="decimal" w:pos="369"/>
              </w:tabs>
            </w:pPr>
            <w:r w:rsidRPr="00C85E38">
              <w:t>4.8</w:t>
            </w:r>
          </w:p>
        </w:tc>
      </w:tr>
      <w:tr w:rsidR="00691289" w:rsidRPr="00C85E38" w:rsidTr="00C877D6">
        <w:tc>
          <w:tcPr>
            <w:tcW w:w="1162" w:type="dxa"/>
          </w:tcPr>
          <w:p w:rsidR="00691289" w:rsidRPr="00C85E38" w:rsidRDefault="00691289" w:rsidP="00A0366B">
            <w:pPr>
              <w:pStyle w:val="Tabletext"/>
            </w:pPr>
            <w:r w:rsidRPr="00C85E38">
              <w:t>Decrease</w:t>
            </w:r>
          </w:p>
        </w:tc>
        <w:tc>
          <w:tcPr>
            <w:tcW w:w="917" w:type="dxa"/>
          </w:tcPr>
          <w:p w:rsidR="00691289" w:rsidRPr="00C85E38" w:rsidRDefault="00691289" w:rsidP="00A0366B">
            <w:pPr>
              <w:pStyle w:val="Tabletext"/>
              <w:tabs>
                <w:tab w:val="decimal" w:pos="369"/>
              </w:tabs>
            </w:pPr>
            <w:r w:rsidRPr="00C85E38">
              <w:t>19.9</w:t>
            </w:r>
          </w:p>
        </w:tc>
        <w:tc>
          <w:tcPr>
            <w:tcW w:w="918" w:type="dxa"/>
          </w:tcPr>
          <w:p w:rsidR="00691289" w:rsidRPr="00C85E38" w:rsidRDefault="00691289" w:rsidP="00A0366B">
            <w:pPr>
              <w:pStyle w:val="Tabletext"/>
              <w:tabs>
                <w:tab w:val="decimal" w:pos="369"/>
              </w:tabs>
            </w:pPr>
            <w:r w:rsidRPr="00C85E38">
              <w:t>24.1</w:t>
            </w:r>
          </w:p>
        </w:tc>
        <w:tc>
          <w:tcPr>
            <w:tcW w:w="918" w:type="dxa"/>
          </w:tcPr>
          <w:p w:rsidR="00691289" w:rsidRPr="00C85E38" w:rsidRDefault="00691289" w:rsidP="00A0366B">
            <w:pPr>
              <w:pStyle w:val="Tabletext"/>
              <w:tabs>
                <w:tab w:val="decimal" w:pos="369"/>
              </w:tabs>
            </w:pPr>
            <w:r w:rsidRPr="00C85E38">
              <w:t>35.3</w:t>
            </w:r>
          </w:p>
        </w:tc>
        <w:tc>
          <w:tcPr>
            <w:tcW w:w="918" w:type="dxa"/>
          </w:tcPr>
          <w:p w:rsidR="00691289" w:rsidRPr="00C85E38" w:rsidRDefault="00691289" w:rsidP="00A0366B">
            <w:pPr>
              <w:pStyle w:val="Tabletext"/>
              <w:tabs>
                <w:tab w:val="decimal" w:pos="369"/>
              </w:tabs>
            </w:pPr>
            <w:r w:rsidRPr="00C85E38">
              <w:t>36.4</w:t>
            </w:r>
          </w:p>
        </w:tc>
        <w:tc>
          <w:tcPr>
            <w:tcW w:w="918" w:type="dxa"/>
          </w:tcPr>
          <w:p w:rsidR="00691289" w:rsidRPr="00C85E38" w:rsidRDefault="00691289" w:rsidP="00A0366B">
            <w:pPr>
              <w:pStyle w:val="Tabletext"/>
              <w:tabs>
                <w:tab w:val="decimal" w:pos="369"/>
              </w:tabs>
            </w:pPr>
            <w:r w:rsidRPr="00C85E38">
              <w:t>21.3</w:t>
            </w:r>
          </w:p>
        </w:tc>
        <w:tc>
          <w:tcPr>
            <w:tcW w:w="918" w:type="dxa"/>
          </w:tcPr>
          <w:p w:rsidR="00691289" w:rsidRPr="00C85E38" w:rsidRDefault="00691289" w:rsidP="00A0366B">
            <w:pPr>
              <w:pStyle w:val="Tabletext"/>
              <w:tabs>
                <w:tab w:val="decimal" w:pos="369"/>
              </w:tabs>
            </w:pPr>
            <w:r w:rsidRPr="00C85E38">
              <w:t>29.4</w:t>
            </w:r>
          </w:p>
        </w:tc>
        <w:tc>
          <w:tcPr>
            <w:tcW w:w="918" w:type="dxa"/>
          </w:tcPr>
          <w:p w:rsidR="00691289" w:rsidRPr="00C85E38" w:rsidRDefault="00691289" w:rsidP="00A0366B">
            <w:pPr>
              <w:pStyle w:val="Tabletext"/>
              <w:tabs>
                <w:tab w:val="decimal" w:pos="369"/>
              </w:tabs>
            </w:pPr>
            <w:r w:rsidRPr="00C85E38">
              <w:t>33.9</w:t>
            </w:r>
          </w:p>
        </w:tc>
        <w:tc>
          <w:tcPr>
            <w:tcW w:w="918" w:type="dxa"/>
          </w:tcPr>
          <w:p w:rsidR="00691289" w:rsidRPr="00C85E38" w:rsidRDefault="00691289" w:rsidP="00A0366B">
            <w:pPr>
              <w:pStyle w:val="Tabletext"/>
              <w:tabs>
                <w:tab w:val="decimal" w:pos="369"/>
              </w:tabs>
            </w:pPr>
            <w:r w:rsidRPr="00C85E38">
              <w:t>42.6</w:t>
            </w:r>
          </w:p>
        </w:tc>
      </w:tr>
      <w:tr w:rsidR="00691289" w:rsidRPr="00C85E38" w:rsidTr="00C877D6">
        <w:tc>
          <w:tcPr>
            <w:tcW w:w="1162" w:type="dxa"/>
            <w:tcBorders>
              <w:bottom w:val="single" w:sz="4" w:space="0" w:color="auto"/>
            </w:tcBorders>
          </w:tcPr>
          <w:p w:rsidR="00691289" w:rsidRPr="00C85E38" w:rsidRDefault="00691289" w:rsidP="00A0366B">
            <w:pPr>
              <w:pStyle w:val="Tabletext"/>
              <w:rPr>
                <w:b/>
              </w:rPr>
            </w:pPr>
            <w:r w:rsidRPr="00C85E38">
              <w:rPr>
                <w:b/>
              </w:rPr>
              <w:t>Total</w:t>
            </w:r>
          </w:p>
        </w:tc>
        <w:tc>
          <w:tcPr>
            <w:tcW w:w="917" w:type="dxa"/>
            <w:tcBorders>
              <w:bottom w:val="single" w:sz="4" w:space="0" w:color="auto"/>
            </w:tcBorders>
          </w:tcPr>
          <w:p w:rsidR="00691289" w:rsidRPr="00C85E38" w:rsidRDefault="00691289" w:rsidP="00A0366B">
            <w:pPr>
              <w:pStyle w:val="Tabletext"/>
              <w:tabs>
                <w:tab w:val="decimal" w:pos="369"/>
              </w:tabs>
              <w:rPr>
                <w:b/>
              </w:rPr>
            </w:pPr>
            <w:r w:rsidRPr="00C85E38">
              <w:rPr>
                <w:b/>
              </w:rPr>
              <w:t>100.0</w:t>
            </w:r>
          </w:p>
        </w:tc>
        <w:tc>
          <w:tcPr>
            <w:tcW w:w="918" w:type="dxa"/>
            <w:tcBorders>
              <w:bottom w:val="single" w:sz="4" w:space="0" w:color="auto"/>
            </w:tcBorders>
          </w:tcPr>
          <w:p w:rsidR="00691289" w:rsidRPr="00C85E38" w:rsidRDefault="00691289" w:rsidP="00A0366B">
            <w:pPr>
              <w:pStyle w:val="Tabletext"/>
              <w:tabs>
                <w:tab w:val="decimal" w:pos="369"/>
              </w:tabs>
              <w:rPr>
                <w:b/>
              </w:rPr>
            </w:pPr>
            <w:r w:rsidRPr="00C85E38">
              <w:rPr>
                <w:b/>
              </w:rPr>
              <w:t>100.0</w:t>
            </w:r>
          </w:p>
        </w:tc>
        <w:tc>
          <w:tcPr>
            <w:tcW w:w="918" w:type="dxa"/>
            <w:tcBorders>
              <w:bottom w:val="single" w:sz="4" w:space="0" w:color="auto"/>
            </w:tcBorders>
          </w:tcPr>
          <w:p w:rsidR="00691289" w:rsidRPr="00C85E38" w:rsidRDefault="00691289" w:rsidP="00A0366B">
            <w:pPr>
              <w:pStyle w:val="Tabletext"/>
              <w:tabs>
                <w:tab w:val="decimal" w:pos="369"/>
              </w:tabs>
              <w:rPr>
                <w:b/>
              </w:rPr>
            </w:pPr>
            <w:r w:rsidRPr="00C85E38">
              <w:rPr>
                <w:b/>
              </w:rPr>
              <w:t>100.0</w:t>
            </w:r>
          </w:p>
        </w:tc>
        <w:tc>
          <w:tcPr>
            <w:tcW w:w="918" w:type="dxa"/>
            <w:tcBorders>
              <w:bottom w:val="single" w:sz="4" w:space="0" w:color="auto"/>
            </w:tcBorders>
          </w:tcPr>
          <w:p w:rsidR="00691289" w:rsidRPr="00C85E38" w:rsidRDefault="00691289" w:rsidP="00A0366B">
            <w:pPr>
              <w:pStyle w:val="Tabletext"/>
              <w:tabs>
                <w:tab w:val="decimal" w:pos="369"/>
              </w:tabs>
              <w:rPr>
                <w:b/>
              </w:rPr>
            </w:pPr>
            <w:r w:rsidRPr="00C85E38">
              <w:rPr>
                <w:b/>
              </w:rPr>
              <w:t>100.0</w:t>
            </w:r>
          </w:p>
        </w:tc>
        <w:tc>
          <w:tcPr>
            <w:tcW w:w="918" w:type="dxa"/>
            <w:tcBorders>
              <w:bottom w:val="single" w:sz="4" w:space="0" w:color="auto"/>
            </w:tcBorders>
          </w:tcPr>
          <w:p w:rsidR="00691289" w:rsidRPr="00C85E38" w:rsidRDefault="00691289" w:rsidP="00A0366B">
            <w:pPr>
              <w:pStyle w:val="Tabletext"/>
              <w:tabs>
                <w:tab w:val="decimal" w:pos="369"/>
              </w:tabs>
              <w:rPr>
                <w:b/>
              </w:rPr>
            </w:pPr>
            <w:r w:rsidRPr="00C85E38">
              <w:rPr>
                <w:b/>
              </w:rPr>
              <w:t>100.0</w:t>
            </w:r>
          </w:p>
        </w:tc>
        <w:tc>
          <w:tcPr>
            <w:tcW w:w="918" w:type="dxa"/>
            <w:tcBorders>
              <w:bottom w:val="single" w:sz="4" w:space="0" w:color="auto"/>
            </w:tcBorders>
          </w:tcPr>
          <w:p w:rsidR="00691289" w:rsidRPr="00C85E38" w:rsidRDefault="00691289" w:rsidP="00A0366B">
            <w:pPr>
              <w:pStyle w:val="Tabletext"/>
              <w:tabs>
                <w:tab w:val="decimal" w:pos="369"/>
              </w:tabs>
              <w:rPr>
                <w:b/>
              </w:rPr>
            </w:pPr>
            <w:r w:rsidRPr="00C85E38">
              <w:rPr>
                <w:b/>
              </w:rPr>
              <w:t>100.0</w:t>
            </w:r>
          </w:p>
        </w:tc>
        <w:tc>
          <w:tcPr>
            <w:tcW w:w="918" w:type="dxa"/>
            <w:tcBorders>
              <w:bottom w:val="single" w:sz="4" w:space="0" w:color="auto"/>
            </w:tcBorders>
          </w:tcPr>
          <w:p w:rsidR="00691289" w:rsidRPr="00C85E38" w:rsidRDefault="00691289" w:rsidP="00A0366B">
            <w:pPr>
              <w:pStyle w:val="Tabletext"/>
              <w:tabs>
                <w:tab w:val="decimal" w:pos="369"/>
              </w:tabs>
              <w:rPr>
                <w:b/>
              </w:rPr>
            </w:pPr>
            <w:r w:rsidRPr="00C85E38">
              <w:rPr>
                <w:b/>
              </w:rPr>
              <w:t>100.0</w:t>
            </w:r>
          </w:p>
        </w:tc>
        <w:tc>
          <w:tcPr>
            <w:tcW w:w="918" w:type="dxa"/>
            <w:tcBorders>
              <w:bottom w:val="single" w:sz="4" w:space="0" w:color="auto"/>
            </w:tcBorders>
          </w:tcPr>
          <w:p w:rsidR="00691289" w:rsidRPr="00C85E38" w:rsidRDefault="00691289" w:rsidP="00A0366B">
            <w:pPr>
              <w:pStyle w:val="Tabletext"/>
              <w:tabs>
                <w:tab w:val="decimal" w:pos="369"/>
              </w:tabs>
              <w:rPr>
                <w:b/>
              </w:rPr>
            </w:pPr>
            <w:r w:rsidRPr="00C85E38">
              <w:rPr>
                <w:b/>
              </w:rPr>
              <w:t>100.0</w:t>
            </w:r>
          </w:p>
        </w:tc>
      </w:tr>
    </w:tbl>
    <w:p w:rsidR="00691289" w:rsidRPr="00C85E38" w:rsidRDefault="00691289" w:rsidP="00691289">
      <w:pPr>
        <w:pStyle w:val="Source"/>
      </w:pPr>
      <w:r w:rsidRPr="00C85E38">
        <w:t>Notes:</w:t>
      </w:r>
      <w:r w:rsidRPr="00C85E38">
        <w:tab/>
        <w:t>Population: Employees with known form of employment in latter year.</w:t>
      </w:r>
      <w:r w:rsidRPr="00C85E38">
        <w:br/>
        <w:t>Weight: Longitudinal 08; Longitudinal 09.</w:t>
      </w:r>
    </w:p>
    <w:p w:rsidR="00691289" w:rsidRPr="00C85E38" w:rsidRDefault="00691289" w:rsidP="00691289">
      <w:pPr>
        <w:pStyle w:val="Source"/>
      </w:pPr>
      <w:r w:rsidRPr="00C85E38">
        <w:t>Source:</w:t>
      </w:r>
      <w:r w:rsidRPr="00C85E38">
        <w:tab/>
        <w:t>Australia at Work W1 to W3.</w:t>
      </w:r>
    </w:p>
    <w:p w:rsidR="00691289" w:rsidRPr="00C85E38" w:rsidRDefault="00691289" w:rsidP="00C877D6">
      <w:pPr>
        <w:pStyle w:val="Textmorebefore"/>
      </w:pPr>
      <w:r w:rsidRPr="00C85E38">
        <w:t>Greater proportions of employees without paid leave are more likely to report a lower income than the previous year</w:t>
      </w:r>
      <w:r w:rsidR="00213E0E">
        <w:t xml:space="preserve"> — </w:t>
      </w:r>
      <w:r w:rsidRPr="00C85E38">
        <w:t>36% of those with the same employer and 43% with a different employer. However, employees who appear to be affected by the economic downturn, again, appear to be employees with a different employer, as the proportion of this group who reported lower earnings increased in the last survey period. The proportion of employees who changed employer, had paid leave in</w:t>
      </w:r>
      <w:r>
        <w:t xml:space="preserve"> the latter year and reported lo</w:t>
      </w:r>
      <w:r w:rsidRPr="00C85E38">
        <w:t>wer earnings increased from 21% to 29%. And their counterparts wi</w:t>
      </w:r>
      <w:r>
        <w:t>thout paid leave who reported lo</w:t>
      </w:r>
      <w:r w:rsidRPr="00C85E38">
        <w:t xml:space="preserve">wer earnings rose from 34% in 2008 to 43% in 2009. </w:t>
      </w:r>
    </w:p>
    <w:p w:rsidR="00691289" w:rsidRPr="00C85E38" w:rsidRDefault="00691289" w:rsidP="00691289">
      <w:pPr>
        <w:pStyle w:val="Heading3"/>
      </w:pPr>
      <w:bookmarkStart w:id="103" w:name="_Toc245786125"/>
      <w:bookmarkStart w:id="104" w:name="_Toc246394353"/>
      <w:r w:rsidRPr="00C85E38">
        <w:t>In summary: who are the shock absorbers?</w:t>
      </w:r>
      <w:bookmarkEnd w:id="103"/>
      <w:bookmarkEnd w:id="104"/>
    </w:p>
    <w:p w:rsidR="00691289" w:rsidRPr="00C85E38" w:rsidRDefault="00691289" w:rsidP="00691289">
      <w:pPr>
        <w:pStyle w:val="textlessb4"/>
      </w:pPr>
      <w:r w:rsidRPr="00C85E38">
        <w:t>It is clear that, on the question of adjustment in hours, those bearing the greatest burden are those starting with new employers in jobs that do not provide paid leave. When considering ‘downward’ adjustment in earnings, this group is joined by those without leave who continue with the same employer. How, if at all, has the composition of those who lost leave entitlements between the most recent and previous waves of the survey changed? The findings are summarised in table A1.6.</w:t>
      </w:r>
    </w:p>
    <w:p w:rsidR="00D20191" w:rsidRPr="00C85E38" w:rsidRDefault="00D20191" w:rsidP="00D20191">
      <w:pPr>
        <w:pStyle w:val="Text"/>
      </w:pPr>
      <w:bookmarkStart w:id="105" w:name="_Toc245784271"/>
      <w:bookmarkStart w:id="106" w:name="_Toc246384841"/>
      <w:bookmarkStart w:id="107" w:name="_Toc297558143"/>
      <w:bookmarkStart w:id="108" w:name="_Toc300838528"/>
      <w:r w:rsidRPr="00C85E38">
        <w:t xml:space="preserve">It is well known that casual workers are typically female, young, part-time and low-skilled. What is interesting to note, however, is that the composition of the group of workers who are no longer entitled to paid leave has changed over the survey period. Between the two most recent survey waves, two key shifts have occurred. Firstly, the proportion of males who lost paid leave entitlements has increased from 39% to 55%. In addition, the proportion of employees who are aged over 25 who have lost paid leave has also increased, up from 64% to 69%. </w:t>
      </w:r>
    </w:p>
    <w:p w:rsidR="00F0499A" w:rsidRDefault="00F0499A">
      <w:pPr>
        <w:spacing w:before="0" w:line="240" w:lineRule="auto"/>
        <w:rPr>
          <w:rFonts w:ascii="Tahoma" w:hAnsi="Tahoma"/>
          <w:b/>
          <w:sz w:val="17"/>
        </w:rPr>
      </w:pPr>
      <w:r>
        <w:br w:type="page"/>
      </w:r>
    </w:p>
    <w:p w:rsidR="00691289" w:rsidRPr="00C85E38" w:rsidRDefault="00691289" w:rsidP="00A40456">
      <w:pPr>
        <w:pStyle w:val="tabletitle"/>
        <w:ind w:left="993" w:right="-143" w:hanging="993"/>
      </w:pPr>
      <w:r w:rsidRPr="00C85E38">
        <w:lastRenderedPageBreak/>
        <w:t>Table A1.6</w:t>
      </w:r>
      <w:r w:rsidRPr="00C85E38">
        <w:tab/>
        <w:t>Employees who are no longer entitled to paid leave compared to previous year, 2006–09, %</w:t>
      </w:r>
      <w:bookmarkEnd w:id="105"/>
      <w:bookmarkEnd w:id="106"/>
      <w:bookmarkEnd w:id="107"/>
      <w:bookmarkEnd w:id="108"/>
    </w:p>
    <w:tbl>
      <w:tblPr>
        <w:tblW w:w="8789" w:type="dxa"/>
        <w:tblInd w:w="108" w:type="dxa"/>
        <w:tblLayout w:type="fixed"/>
        <w:tblLook w:val="01E0"/>
      </w:tblPr>
      <w:tblGrid>
        <w:gridCol w:w="2052"/>
        <w:gridCol w:w="749"/>
        <w:gridCol w:w="748"/>
        <w:gridCol w:w="749"/>
        <w:gridCol w:w="748"/>
        <w:gridCol w:w="749"/>
        <w:gridCol w:w="748"/>
        <w:gridCol w:w="749"/>
        <w:gridCol w:w="748"/>
        <w:gridCol w:w="749"/>
      </w:tblGrid>
      <w:tr w:rsidR="00691289" w:rsidRPr="00C85E38" w:rsidTr="00C877D6">
        <w:tc>
          <w:tcPr>
            <w:tcW w:w="1985" w:type="dxa"/>
            <w:tcBorders>
              <w:top w:val="single" w:sz="4" w:space="0" w:color="auto"/>
            </w:tcBorders>
          </w:tcPr>
          <w:p w:rsidR="00691289" w:rsidRPr="00C85E38" w:rsidRDefault="00691289" w:rsidP="00A0366B">
            <w:pPr>
              <w:pStyle w:val="Tablehead1"/>
            </w:pPr>
          </w:p>
        </w:tc>
        <w:tc>
          <w:tcPr>
            <w:tcW w:w="2173" w:type="dxa"/>
            <w:gridSpan w:val="3"/>
            <w:tcBorders>
              <w:top w:val="single" w:sz="4" w:space="0" w:color="auto"/>
            </w:tcBorders>
          </w:tcPr>
          <w:p w:rsidR="00691289" w:rsidRPr="00C85E38" w:rsidRDefault="00691289" w:rsidP="00A0366B">
            <w:pPr>
              <w:pStyle w:val="Tablehead1"/>
              <w:jc w:val="center"/>
              <w:rPr>
                <w:szCs w:val="17"/>
              </w:rPr>
            </w:pPr>
            <w:r w:rsidRPr="00C85E38">
              <w:rPr>
                <w:szCs w:val="17"/>
              </w:rPr>
              <w:t>2006–2007</w:t>
            </w:r>
          </w:p>
        </w:tc>
        <w:tc>
          <w:tcPr>
            <w:tcW w:w="2173" w:type="dxa"/>
            <w:gridSpan w:val="3"/>
            <w:tcBorders>
              <w:top w:val="single" w:sz="4" w:space="0" w:color="auto"/>
            </w:tcBorders>
          </w:tcPr>
          <w:p w:rsidR="00691289" w:rsidRPr="00C85E38" w:rsidRDefault="00691289" w:rsidP="00A0366B">
            <w:pPr>
              <w:pStyle w:val="Tablehead1"/>
              <w:jc w:val="center"/>
              <w:rPr>
                <w:szCs w:val="17"/>
              </w:rPr>
            </w:pPr>
            <w:r w:rsidRPr="00C85E38">
              <w:rPr>
                <w:szCs w:val="17"/>
              </w:rPr>
              <w:t>2007–2008</w:t>
            </w:r>
          </w:p>
        </w:tc>
        <w:tc>
          <w:tcPr>
            <w:tcW w:w="2174" w:type="dxa"/>
            <w:gridSpan w:val="3"/>
            <w:tcBorders>
              <w:top w:val="single" w:sz="4" w:space="0" w:color="auto"/>
            </w:tcBorders>
          </w:tcPr>
          <w:p w:rsidR="00691289" w:rsidRPr="00C85E38" w:rsidRDefault="00691289" w:rsidP="00A0366B">
            <w:pPr>
              <w:pStyle w:val="Tablehead1"/>
              <w:jc w:val="center"/>
              <w:rPr>
                <w:szCs w:val="17"/>
              </w:rPr>
            </w:pPr>
            <w:r w:rsidRPr="00C85E38">
              <w:rPr>
                <w:szCs w:val="17"/>
              </w:rPr>
              <w:t>2008–2009</w:t>
            </w:r>
          </w:p>
        </w:tc>
      </w:tr>
      <w:tr w:rsidR="00691289" w:rsidRPr="00C85E38" w:rsidTr="00C877D6">
        <w:tc>
          <w:tcPr>
            <w:tcW w:w="1985" w:type="dxa"/>
          </w:tcPr>
          <w:p w:rsidR="00691289" w:rsidRPr="00C85E38" w:rsidRDefault="00691289" w:rsidP="00A0366B">
            <w:pPr>
              <w:pStyle w:val="Tablehead2"/>
              <w:rPr>
                <w:szCs w:val="16"/>
              </w:rPr>
            </w:pPr>
          </w:p>
        </w:tc>
        <w:tc>
          <w:tcPr>
            <w:tcW w:w="1448" w:type="dxa"/>
            <w:gridSpan w:val="2"/>
            <w:shd w:val="clear" w:color="auto" w:fill="auto"/>
          </w:tcPr>
          <w:p w:rsidR="00691289" w:rsidRPr="00C85E38" w:rsidRDefault="00691289" w:rsidP="00A0366B">
            <w:pPr>
              <w:pStyle w:val="Tablehead2"/>
              <w:jc w:val="center"/>
              <w:rPr>
                <w:szCs w:val="17"/>
              </w:rPr>
            </w:pPr>
            <w:r w:rsidRPr="00C85E38">
              <w:rPr>
                <w:szCs w:val="17"/>
              </w:rPr>
              <w:t>‘Lost’</w:t>
            </w:r>
          </w:p>
        </w:tc>
        <w:tc>
          <w:tcPr>
            <w:tcW w:w="725" w:type="dxa"/>
          </w:tcPr>
          <w:p w:rsidR="00691289" w:rsidRPr="00C85E38" w:rsidRDefault="00691289" w:rsidP="00A0366B">
            <w:pPr>
              <w:pStyle w:val="Tablehead2"/>
              <w:jc w:val="center"/>
              <w:rPr>
                <w:szCs w:val="17"/>
              </w:rPr>
            </w:pPr>
            <w:r w:rsidRPr="00C85E38">
              <w:rPr>
                <w:szCs w:val="17"/>
              </w:rPr>
              <w:t>All</w:t>
            </w:r>
          </w:p>
        </w:tc>
        <w:tc>
          <w:tcPr>
            <w:tcW w:w="1449" w:type="dxa"/>
            <w:gridSpan w:val="2"/>
          </w:tcPr>
          <w:p w:rsidR="00691289" w:rsidRPr="00C85E38" w:rsidRDefault="00691289" w:rsidP="00A0366B">
            <w:pPr>
              <w:pStyle w:val="Tablehead2"/>
              <w:jc w:val="center"/>
              <w:rPr>
                <w:szCs w:val="17"/>
              </w:rPr>
            </w:pPr>
            <w:r w:rsidRPr="00C85E38">
              <w:rPr>
                <w:szCs w:val="17"/>
              </w:rPr>
              <w:t>‘Lost’</w:t>
            </w:r>
          </w:p>
        </w:tc>
        <w:tc>
          <w:tcPr>
            <w:tcW w:w="724" w:type="dxa"/>
          </w:tcPr>
          <w:p w:rsidR="00691289" w:rsidRPr="00C85E38" w:rsidRDefault="00691289" w:rsidP="00A0366B">
            <w:pPr>
              <w:pStyle w:val="Tablehead2"/>
              <w:jc w:val="center"/>
              <w:rPr>
                <w:szCs w:val="17"/>
              </w:rPr>
            </w:pPr>
            <w:r w:rsidRPr="00C85E38">
              <w:rPr>
                <w:szCs w:val="17"/>
              </w:rPr>
              <w:t>All</w:t>
            </w:r>
          </w:p>
        </w:tc>
        <w:tc>
          <w:tcPr>
            <w:tcW w:w="1449" w:type="dxa"/>
            <w:gridSpan w:val="2"/>
          </w:tcPr>
          <w:p w:rsidR="00691289" w:rsidRPr="00C85E38" w:rsidRDefault="00691289" w:rsidP="00A0366B">
            <w:pPr>
              <w:pStyle w:val="Tablehead2"/>
              <w:jc w:val="center"/>
              <w:rPr>
                <w:szCs w:val="17"/>
              </w:rPr>
            </w:pPr>
            <w:r w:rsidRPr="00C85E38">
              <w:rPr>
                <w:szCs w:val="17"/>
              </w:rPr>
              <w:t>‘Lost’</w:t>
            </w:r>
          </w:p>
        </w:tc>
        <w:tc>
          <w:tcPr>
            <w:tcW w:w="725" w:type="dxa"/>
          </w:tcPr>
          <w:p w:rsidR="00691289" w:rsidRPr="00C85E38" w:rsidRDefault="00691289" w:rsidP="00A0366B">
            <w:pPr>
              <w:pStyle w:val="Tablehead2"/>
              <w:jc w:val="center"/>
              <w:rPr>
                <w:szCs w:val="17"/>
              </w:rPr>
            </w:pPr>
            <w:r w:rsidRPr="00C85E38">
              <w:rPr>
                <w:szCs w:val="17"/>
              </w:rPr>
              <w:t>All</w:t>
            </w:r>
          </w:p>
        </w:tc>
      </w:tr>
      <w:tr w:rsidR="00691289" w:rsidRPr="00C85E38" w:rsidTr="00C877D6">
        <w:tc>
          <w:tcPr>
            <w:tcW w:w="1985" w:type="dxa"/>
            <w:tcBorders>
              <w:bottom w:val="single" w:sz="4" w:space="0" w:color="auto"/>
            </w:tcBorders>
          </w:tcPr>
          <w:p w:rsidR="00691289" w:rsidRPr="00C85E38" w:rsidRDefault="00691289" w:rsidP="00A0366B">
            <w:pPr>
              <w:pStyle w:val="Tablehead3"/>
              <w:rPr>
                <w:szCs w:val="16"/>
              </w:rPr>
            </w:pPr>
          </w:p>
        </w:tc>
        <w:tc>
          <w:tcPr>
            <w:tcW w:w="724" w:type="dxa"/>
            <w:tcBorders>
              <w:bottom w:val="single" w:sz="4" w:space="0" w:color="auto"/>
            </w:tcBorders>
            <w:shd w:val="clear" w:color="auto" w:fill="auto"/>
          </w:tcPr>
          <w:p w:rsidR="00691289" w:rsidRPr="00C85E38" w:rsidRDefault="00691289" w:rsidP="00A0366B">
            <w:pPr>
              <w:pStyle w:val="Tablehead3"/>
              <w:jc w:val="center"/>
              <w:rPr>
                <w:szCs w:val="17"/>
              </w:rPr>
            </w:pPr>
            <w:r w:rsidRPr="00C85E38">
              <w:rPr>
                <w:szCs w:val="17"/>
              </w:rPr>
              <w:t>%</w:t>
            </w:r>
          </w:p>
        </w:tc>
        <w:tc>
          <w:tcPr>
            <w:tcW w:w="724" w:type="dxa"/>
            <w:tcBorders>
              <w:bottom w:val="single" w:sz="4" w:space="0" w:color="auto"/>
            </w:tcBorders>
            <w:shd w:val="clear" w:color="auto" w:fill="auto"/>
          </w:tcPr>
          <w:p w:rsidR="00691289" w:rsidRPr="00C85E38" w:rsidRDefault="00691289" w:rsidP="00A0366B">
            <w:pPr>
              <w:pStyle w:val="Tablehead3"/>
              <w:jc w:val="center"/>
              <w:rPr>
                <w:szCs w:val="17"/>
              </w:rPr>
            </w:pPr>
            <w:r w:rsidRPr="00C85E38">
              <w:rPr>
                <w:szCs w:val="17"/>
              </w:rPr>
              <w:t>n</w:t>
            </w:r>
          </w:p>
        </w:tc>
        <w:tc>
          <w:tcPr>
            <w:tcW w:w="725" w:type="dxa"/>
            <w:tcBorders>
              <w:bottom w:val="single" w:sz="4" w:space="0" w:color="auto"/>
            </w:tcBorders>
          </w:tcPr>
          <w:p w:rsidR="00691289" w:rsidRPr="00C85E38" w:rsidRDefault="00691289" w:rsidP="00A0366B">
            <w:pPr>
              <w:pStyle w:val="Tablehead3"/>
              <w:jc w:val="center"/>
              <w:rPr>
                <w:szCs w:val="17"/>
              </w:rPr>
            </w:pPr>
          </w:p>
        </w:tc>
        <w:tc>
          <w:tcPr>
            <w:tcW w:w="724" w:type="dxa"/>
            <w:tcBorders>
              <w:bottom w:val="single" w:sz="4" w:space="0" w:color="auto"/>
            </w:tcBorders>
            <w:shd w:val="clear" w:color="auto" w:fill="auto"/>
          </w:tcPr>
          <w:p w:rsidR="00691289" w:rsidRPr="00C85E38" w:rsidRDefault="00691289" w:rsidP="00A0366B">
            <w:pPr>
              <w:pStyle w:val="Tablehead3"/>
              <w:jc w:val="center"/>
              <w:rPr>
                <w:szCs w:val="17"/>
              </w:rPr>
            </w:pPr>
            <w:r w:rsidRPr="00C85E38">
              <w:rPr>
                <w:szCs w:val="17"/>
              </w:rPr>
              <w:t>%</w:t>
            </w:r>
          </w:p>
        </w:tc>
        <w:tc>
          <w:tcPr>
            <w:tcW w:w="725" w:type="dxa"/>
            <w:tcBorders>
              <w:bottom w:val="single" w:sz="4" w:space="0" w:color="auto"/>
            </w:tcBorders>
            <w:shd w:val="clear" w:color="auto" w:fill="auto"/>
          </w:tcPr>
          <w:p w:rsidR="00691289" w:rsidRPr="00C85E38" w:rsidRDefault="00691289" w:rsidP="00A0366B">
            <w:pPr>
              <w:pStyle w:val="Tablehead3"/>
              <w:jc w:val="center"/>
              <w:rPr>
                <w:szCs w:val="17"/>
              </w:rPr>
            </w:pPr>
            <w:r w:rsidRPr="00C85E38">
              <w:rPr>
                <w:szCs w:val="17"/>
              </w:rPr>
              <w:t>n</w:t>
            </w:r>
          </w:p>
        </w:tc>
        <w:tc>
          <w:tcPr>
            <w:tcW w:w="724" w:type="dxa"/>
            <w:tcBorders>
              <w:bottom w:val="single" w:sz="4" w:space="0" w:color="auto"/>
            </w:tcBorders>
          </w:tcPr>
          <w:p w:rsidR="00691289" w:rsidRPr="00C85E38" w:rsidRDefault="00691289" w:rsidP="00A0366B">
            <w:pPr>
              <w:pStyle w:val="Tablehead3"/>
              <w:jc w:val="center"/>
              <w:rPr>
                <w:szCs w:val="17"/>
              </w:rPr>
            </w:pPr>
          </w:p>
        </w:tc>
        <w:tc>
          <w:tcPr>
            <w:tcW w:w="725" w:type="dxa"/>
            <w:tcBorders>
              <w:bottom w:val="single" w:sz="4" w:space="0" w:color="auto"/>
            </w:tcBorders>
          </w:tcPr>
          <w:p w:rsidR="00691289" w:rsidRPr="00C85E38" w:rsidRDefault="00691289" w:rsidP="00A0366B">
            <w:pPr>
              <w:pStyle w:val="Tablehead3"/>
              <w:jc w:val="center"/>
              <w:rPr>
                <w:szCs w:val="17"/>
              </w:rPr>
            </w:pPr>
            <w:r w:rsidRPr="00C85E38">
              <w:rPr>
                <w:szCs w:val="17"/>
              </w:rPr>
              <w:t>%</w:t>
            </w:r>
          </w:p>
        </w:tc>
        <w:tc>
          <w:tcPr>
            <w:tcW w:w="724" w:type="dxa"/>
            <w:tcBorders>
              <w:bottom w:val="single" w:sz="4" w:space="0" w:color="auto"/>
            </w:tcBorders>
          </w:tcPr>
          <w:p w:rsidR="00691289" w:rsidRPr="00C85E38" w:rsidRDefault="00691289" w:rsidP="00A0366B">
            <w:pPr>
              <w:pStyle w:val="Tablehead3"/>
              <w:jc w:val="center"/>
              <w:rPr>
                <w:szCs w:val="17"/>
              </w:rPr>
            </w:pPr>
            <w:r w:rsidRPr="00C85E38">
              <w:rPr>
                <w:szCs w:val="17"/>
              </w:rPr>
              <w:t>n</w:t>
            </w:r>
          </w:p>
        </w:tc>
        <w:tc>
          <w:tcPr>
            <w:tcW w:w="725" w:type="dxa"/>
            <w:tcBorders>
              <w:bottom w:val="single" w:sz="4" w:space="0" w:color="auto"/>
            </w:tcBorders>
          </w:tcPr>
          <w:p w:rsidR="00691289" w:rsidRPr="00C85E38" w:rsidRDefault="00691289" w:rsidP="00A0366B">
            <w:pPr>
              <w:pStyle w:val="Tablehead3"/>
              <w:jc w:val="center"/>
              <w:rPr>
                <w:szCs w:val="17"/>
              </w:rPr>
            </w:pPr>
          </w:p>
        </w:tc>
      </w:tr>
      <w:tr w:rsidR="00691289" w:rsidRPr="00C85E38" w:rsidTr="00C877D6">
        <w:tc>
          <w:tcPr>
            <w:tcW w:w="1985" w:type="dxa"/>
            <w:tcBorders>
              <w:top w:val="single" w:sz="4" w:space="0" w:color="auto"/>
            </w:tcBorders>
          </w:tcPr>
          <w:p w:rsidR="00691289" w:rsidRPr="00C85E38" w:rsidRDefault="00691289" w:rsidP="00A0366B">
            <w:pPr>
              <w:pStyle w:val="Tabletext"/>
            </w:pPr>
            <w:r w:rsidRPr="00C85E38">
              <w:t>Sex</w:t>
            </w:r>
          </w:p>
        </w:tc>
        <w:tc>
          <w:tcPr>
            <w:tcW w:w="724" w:type="dxa"/>
            <w:tcBorders>
              <w:top w:val="single" w:sz="4" w:space="0" w:color="auto"/>
            </w:tcBorders>
          </w:tcPr>
          <w:p w:rsidR="00691289" w:rsidRPr="00C85E38" w:rsidRDefault="00691289" w:rsidP="00A0366B">
            <w:pPr>
              <w:pStyle w:val="Tabletext"/>
            </w:pPr>
          </w:p>
        </w:tc>
        <w:tc>
          <w:tcPr>
            <w:tcW w:w="724" w:type="dxa"/>
            <w:tcBorders>
              <w:top w:val="single" w:sz="4" w:space="0" w:color="auto"/>
            </w:tcBorders>
          </w:tcPr>
          <w:p w:rsidR="00691289" w:rsidRPr="00C85E38" w:rsidRDefault="00691289" w:rsidP="00A0366B">
            <w:pPr>
              <w:pStyle w:val="Tabletext"/>
            </w:pPr>
          </w:p>
        </w:tc>
        <w:tc>
          <w:tcPr>
            <w:tcW w:w="725" w:type="dxa"/>
            <w:tcBorders>
              <w:top w:val="single" w:sz="4" w:space="0" w:color="auto"/>
            </w:tcBorders>
          </w:tcPr>
          <w:p w:rsidR="00691289" w:rsidRPr="00C85E38" w:rsidRDefault="00691289" w:rsidP="00A0366B">
            <w:pPr>
              <w:pStyle w:val="Tabletext"/>
            </w:pPr>
          </w:p>
        </w:tc>
        <w:tc>
          <w:tcPr>
            <w:tcW w:w="724" w:type="dxa"/>
            <w:tcBorders>
              <w:top w:val="single" w:sz="4" w:space="0" w:color="auto"/>
            </w:tcBorders>
            <w:shd w:val="clear" w:color="auto" w:fill="auto"/>
          </w:tcPr>
          <w:p w:rsidR="00691289" w:rsidRPr="00C85E38" w:rsidRDefault="00691289" w:rsidP="00A0366B">
            <w:pPr>
              <w:pStyle w:val="Tabletext"/>
            </w:pPr>
          </w:p>
        </w:tc>
        <w:tc>
          <w:tcPr>
            <w:tcW w:w="725" w:type="dxa"/>
            <w:tcBorders>
              <w:top w:val="single" w:sz="4" w:space="0" w:color="auto"/>
            </w:tcBorders>
            <w:shd w:val="clear" w:color="auto" w:fill="auto"/>
          </w:tcPr>
          <w:p w:rsidR="00691289" w:rsidRPr="00C85E38" w:rsidRDefault="00691289" w:rsidP="00A0366B">
            <w:pPr>
              <w:pStyle w:val="Tabletext"/>
            </w:pPr>
          </w:p>
        </w:tc>
        <w:tc>
          <w:tcPr>
            <w:tcW w:w="724" w:type="dxa"/>
            <w:tcBorders>
              <w:top w:val="single" w:sz="4" w:space="0" w:color="auto"/>
            </w:tcBorders>
          </w:tcPr>
          <w:p w:rsidR="00691289" w:rsidRPr="00C85E38" w:rsidRDefault="00691289" w:rsidP="00A0366B">
            <w:pPr>
              <w:pStyle w:val="Tabletext"/>
            </w:pPr>
          </w:p>
        </w:tc>
        <w:tc>
          <w:tcPr>
            <w:tcW w:w="725" w:type="dxa"/>
            <w:tcBorders>
              <w:top w:val="single" w:sz="4" w:space="0" w:color="auto"/>
            </w:tcBorders>
            <w:shd w:val="clear" w:color="auto" w:fill="auto"/>
          </w:tcPr>
          <w:p w:rsidR="00691289" w:rsidRPr="00C85E38" w:rsidRDefault="00691289" w:rsidP="00A0366B">
            <w:pPr>
              <w:pStyle w:val="Tabletext"/>
            </w:pPr>
          </w:p>
        </w:tc>
        <w:tc>
          <w:tcPr>
            <w:tcW w:w="724" w:type="dxa"/>
            <w:tcBorders>
              <w:top w:val="single" w:sz="4" w:space="0" w:color="auto"/>
            </w:tcBorders>
            <w:shd w:val="clear" w:color="auto" w:fill="auto"/>
          </w:tcPr>
          <w:p w:rsidR="00691289" w:rsidRPr="00C85E38" w:rsidRDefault="00691289" w:rsidP="00A0366B">
            <w:pPr>
              <w:pStyle w:val="Tabletext"/>
            </w:pPr>
          </w:p>
        </w:tc>
        <w:tc>
          <w:tcPr>
            <w:tcW w:w="725" w:type="dxa"/>
            <w:tcBorders>
              <w:top w:val="single" w:sz="4" w:space="0" w:color="auto"/>
            </w:tcBorders>
          </w:tcPr>
          <w:p w:rsidR="00691289" w:rsidRPr="00C85E38" w:rsidRDefault="00691289" w:rsidP="00A0366B">
            <w:pPr>
              <w:pStyle w:val="Tabletext"/>
            </w:pPr>
          </w:p>
        </w:tc>
      </w:tr>
      <w:tr w:rsidR="00691289" w:rsidRPr="00C85E38" w:rsidTr="00C877D6">
        <w:tc>
          <w:tcPr>
            <w:tcW w:w="1985" w:type="dxa"/>
          </w:tcPr>
          <w:p w:rsidR="00691289" w:rsidRPr="00C85E38" w:rsidRDefault="00691289" w:rsidP="00A0366B">
            <w:pPr>
              <w:pStyle w:val="Tabletext"/>
              <w:ind w:left="227"/>
            </w:pPr>
            <w:r w:rsidRPr="00C85E38">
              <w:t>Male</w:t>
            </w:r>
          </w:p>
        </w:tc>
        <w:tc>
          <w:tcPr>
            <w:tcW w:w="724" w:type="dxa"/>
          </w:tcPr>
          <w:p w:rsidR="00691289" w:rsidRPr="00C85E38" w:rsidRDefault="00691289" w:rsidP="00A0366B">
            <w:pPr>
              <w:pStyle w:val="Tabletext"/>
              <w:tabs>
                <w:tab w:val="decimal" w:pos="255"/>
              </w:tabs>
            </w:pPr>
            <w:r w:rsidRPr="00C85E38">
              <w:t>47.1</w:t>
            </w:r>
          </w:p>
        </w:tc>
        <w:tc>
          <w:tcPr>
            <w:tcW w:w="724" w:type="dxa"/>
          </w:tcPr>
          <w:p w:rsidR="00691289" w:rsidRPr="00C85E38" w:rsidRDefault="00691289" w:rsidP="00A0366B">
            <w:pPr>
              <w:pStyle w:val="Tabletext"/>
              <w:tabs>
                <w:tab w:val="decimal" w:pos="340"/>
              </w:tabs>
            </w:pPr>
            <w:r w:rsidRPr="00C85E38">
              <w:t>83</w:t>
            </w:r>
          </w:p>
        </w:tc>
        <w:tc>
          <w:tcPr>
            <w:tcW w:w="725" w:type="dxa"/>
          </w:tcPr>
          <w:p w:rsidR="00691289" w:rsidRPr="00C85E38" w:rsidRDefault="00691289" w:rsidP="00A0366B">
            <w:pPr>
              <w:pStyle w:val="Tabletext"/>
              <w:tabs>
                <w:tab w:val="decimal" w:pos="255"/>
              </w:tabs>
            </w:pPr>
            <w:r w:rsidRPr="00C85E38">
              <w:t>51.3</w:t>
            </w:r>
          </w:p>
        </w:tc>
        <w:tc>
          <w:tcPr>
            <w:tcW w:w="724" w:type="dxa"/>
            <w:shd w:val="clear" w:color="auto" w:fill="auto"/>
          </w:tcPr>
          <w:p w:rsidR="00691289" w:rsidRPr="00C85E38" w:rsidRDefault="00691289" w:rsidP="00A0366B">
            <w:pPr>
              <w:pStyle w:val="Tabletext"/>
              <w:tabs>
                <w:tab w:val="decimal" w:pos="255"/>
              </w:tabs>
            </w:pPr>
            <w:r w:rsidRPr="00C85E38">
              <w:t>39.2</w:t>
            </w:r>
          </w:p>
        </w:tc>
        <w:tc>
          <w:tcPr>
            <w:tcW w:w="725" w:type="dxa"/>
            <w:shd w:val="clear" w:color="auto" w:fill="auto"/>
          </w:tcPr>
          <w:p w:rsidR="00691289" w:rsidRPr="00C85E38" w:rsidRDefault="00691289" w:rsidP="00A0366B">
            <w:pPr>
              <w:pStyle w:val="Tabletext"/>
              <w:tabs>
                <w:tab w:val="decimal" w:pos="340"/>
              </w:tabs>
            </w:pPr>
            <w:r w:rsidRPr="00C85E38">
              <w:t>59</w:t>
            </w:r>
          </w:p>
        </w:tc>
        <w:tc>
          <w:tcPr>
            <w:tcW w:w="724" w:type="dxa"/>
          </w:tcPr>
          <w:p w:rsidR="00691289" w:rsidRPr="00C85E38" w:rsidRDefault="00691289" w:rsidP="00A0366B">
            <w:pPr>
              <w:pStyle w:val="Tabletext"/>
              <w:tabs>
                <w:tab w:val="decimal" w:pos="255"/>
              </w:tabs>
            </w:pPr>
            <w:r w:rsidRPr="00C85E38">
              <w:t>50.8</w:t>
            </w:r>
          </w:p>
        </w:tc>
        <w:tc>
          <w:tcPr>
            <w:tcW w:w="725" w:type="dxa"/>
            <w:shd w:val="clear" w:color="auto" w:fill="auto"/>
          </w:tcPr>
          <w:p w:rsidR="00691289" w:rsidRPr="00C85E38" w:rsidRDefault="00691289" w:rsidP="00A0366B">
            <w:pPr>
              <w:pStyle w:val="Tabletext"/>
              <w:tabs>
                <w:tab w:val="decimal" w:pos="255"/>
              </w:tabs>
            </w:pPr>
            <w:r w:rsidRPr="00C85E38">
              <w:t>54.5</w:t>
            </w:r>
          </w:p>
        </w:tc>
        <w:tc>
          <w:tcPr>
            <w:tcW w:w="724" w:type="dxa"/>
            <w:shd w:val="clear" w:color="auto" w:fill="auto"/>
          </w:tcPr>
          <w:p w:rsidR="00691289" w:rsidRPr="00C85E38" w:rsidRDefault="00691289" w:rsidP="00A0366B">
            <w:pPr>
              <w:pStyle w:val="Tabletext"/>
              <w:tabs>
                <w:tab w:val="decimal" w:pos="340"/>
              </w:tabs>
            </w:pPr>
            <w:r w:rsidRPr="00C85E38">
              <w:t>75</w:t>
            </w:r>
          </w:p>
        </w:tc>
        <w:tc>
          <w:tcPr>
            <w:tcW w:w="725" w:type="dxa"/>
          </w:tcPr>
          <w:p w:rsidR="00691289" w:rsidRPr="00C85E38" w:rsidRDefault="00691289" w:rsidP="00A0366B">
            <w:pPr>
              <w:pStyle w:val="Tabletext"/>
              <w:tabs>
                <w:tab w:val="decimal" w:pos="255"/>
              </w:tabs>
            </w:pPr>
            <w:r w:rsidRPr="00C85E38">
              <w:t>50.9</w:t>
            </w:r>
          </w:p>
        </w:tc>
      </w:tr>
      <w:tr w:rsidR="00691289" w:rsidRPr="00C85E38" w:rsidTr="00C877D6">
        <w:tc>
          <w:tcPr>
            <w:tcW w:w="1985" w:type="dxa"/>
          </w:tcPr>
          <w:p w:rsidR="00691289" w:rsidRPr="00C85E38" w:rsidRDefault="00691289" w:rsidP="00A0366B">
            <w:pPr>
              <w:pStyle w:val="Tabletext"/>
              <w:ind w:left="227"/>
            </w:pPr>
            <w:r w:rsidRPr="00C85E38">
              <w:t>Female</w:t>
            </w:r>
          </w:p>
        </w:tc>
        <w:tc>
          <w:tcPr>
            <w:tcW w:w="724" w:type="dxa"/>
          </w:tcPr>
          <w:p w:rsidR="00691289" w:rsidRPr="00C85E38" w:rsidRDefault="00691289" w:rsidP="00A0366B">
            <w:pPr>
              <w:pStyle w:val="Tabletext"/>
              <w:tabs>
                <w:tab w:val="decimal" w:pos="255"/>
              </w:tabs>
            </w:pPr>
            <w:r w:rsidRPr="00C85E38">
              <w:t>52.9</w:t>
            </w:r>
          </w:p>
        </w:tc>
        <w:tc>
          <w:tcPr>
            <w:tcW w:w="724" w:type="dxa"/>
          </w:tcPr>
          <w:p w:rsidR="00691289" w:rsidRPr="00C85E38" w:rsidRDefault="00691289" w:rsidP="00A0366B">
            <w:pPr>
              <w:pStyle w:val="Tabletext"/>
              <w:tabs>
                <w:tab w:val="decimal" w:pos="340"/>
              </w:tabs>
            </w:pPr>
            <w:r w:rsidRPr="00C85E38">
              <w:t>89</w:t>
            </w:r>
          </w:p>
        </w:tc>
        <w:tc>
          <w:tcPr>
            <w:tcW w:w="725" w:type="dxa"/>
          </w:tcPr>
          <w:p w:rsidR="00691289" w:rsidRPr="00C85E38" w:rsidRDefault="00691289" w:rsidP="00A0366B">
            <w:pPr>
              <w:pStyle w:val="Tabletext"/>
              <w:tabs>
                <w:tab w:val="decimal" w:pos="255"/>
              </w:tabs>
            </w:pPr>
            <w:r w:rsidRPr="00C85E38">
              <w:t>48.7</w:t>
            </w:r>
          </w:p>
        </w:tc>
        <w:tc>
          <w:tcPr>
            <w:tcW w:w="724" w:type="dxa"/>
            <w:shd w:val="clear" w:color="auto" w:fill="auto"/>
          </w:tcPr>
          <w:p w:rsidR="00691289" w:rsidRPr="00C85E38" w:rsidRDefault="00691289" w:rsidP="00A0366B">
            <w:pPr>
              <w:pStyle w:val="Tabletext"/>
              <w:tabs>
                <w:tab w:val="decimal" w:pos="255"/>
              </w:tabs>
            </w:pPr>
            <w:r w:rsidRPr="00C85E38">
              <w:t>60.8</w:t>
            </w:r>
          </w:p>
        </w:tc>
        <w:tc>
          <w:tcPr>
            <w:tcW w:w="725" w:type="dxa"/>
            <w:shd w:val="clear" w:color="auto" w:fill="auto"/>
          </w:tcPr>
          <w:p w:rsidR="00691289" w:rsidRPr="00C85E38" w:rsidRDefault="00691289" w:rsidP="00A0366B">
            <w:pPr>
              <w:pStyle w:val="Tabletext"/>
              <w:tabs>
                <w:tab w:val="decimal" w:pos="340"/>
              </w:tabs>
            </w:pPr>
            <w:r w:rsidRPr="00C85E38">
              <w:t>103</w:t>
            </w:r>
          </w:p>
        </w:tc>
        <w:tc>
          <w:tcPr>
            <w:tcW w:w="724" w:type="dxa"/>
          </w:tcPr>
          <w:p w:rsidR="00691289" w:rsidRPr="00C85E38" w:rsidRDefault="00691289" w:rsidP="00A0366B">
            <w:pPr>
              <w:pStyle w:val="Tabletext"/>
              <w:tabs>
                <w:tab w:val="decimal" w:pos="255"/>
              </w:tabs>
            </w:pPr>
            <w:r w:rsidRPr="00C85E38">
              <w:t>49.2</w:t>
            </w:r>
          </w:p>
        </w:tc>
        <w:tc>
          <w:tcPr>
            <w:tcW w:w="725" w:type="dxa"/>
            <w:shd w:val="clear" w:color="auto" w:fill="auto"/>
          </w:tcPr>
          <w:p w:rsidR="00691289" w:rsidRPr="00C85E38" w:rsidRDefault="00691289" w:rsidP="00A0366B">
            <w:pPr>
              <w:pStyle w:val="Tabletext"/>
              <w:tabs>
                <w:tab w:val="decimal" w:pos="255"/>
              </w:tabs>
            </w:pPr>
            <w:r w:rsidRPr="00C85E38">
              <w:t>45.5</w:t>
            </w:r>
          </w:p>
        </w:tc>
        <w:tc>
          <w:tcPr>
            <w:tcW w:w="724" w:type="dxa"/>
            <w:shd w:val="clear" w:color="auto" w:fill="auto"/>
          </w:tcPr>
          <w:p w:rsidR="00691289" w:rsidRPr="00C85E38" w:rsidRDefault="00691289" w:rsidP="00A0366B">
            <w:pPr>
              <w:pStyle w:val="Tabletext"/>
              <w:tabs>
                <w:tab w:val="decimal" w:pos="340"/>
              </w:tabs>
            </w:pPr>
            <w:r w:rsidRPr="00C85E38">
              <w:t>68</w:t>
            </w:r>
          </w:p>
        </w:tc>
        <w:tc>
          <w:tcPr>
            <w:tcW w:w="725" w:type="dxa"/>
          </w:tcPr>
          <w:p w:rsidR="00691289" w:rsidRPr="00C85E38" w:rsidRDefault="00691289" w:rsidP="00A0366B">
            <w:pPr>
              <w:pStyle w:val="Tabletext"/>
              <w:tabs>
                <w:tab w:val="decimal" w:pos="255"/>
              </w:tabs>
            </w:pPr>
            <w:r w:rsidRPr="00C85E38">
              <w:t>49.1</w:t>
            </w:r>
          </w:p>
        </w:tc>
      </w:tr>
      <w:tr w:rsidR="00691289" w:rsidRPr="00C85E38" w:rsidTr="00C877D6">
        <w:tc>
          <w:tcPr>
            <w:tcW w:w="1985" w:type="dxa"/>
          </w:tcPr>
          <w:p w:rsidR="00691289" w:rsidRPr="00C85E38" w:rsidRDefault="00691289" w:rsidP="00A0366B">
            <w:pPr>
              <w:pStyle w:val="Tabletext"/>
            </w:pPr>
            <w:r w:rsidRPr="00C85E38">
              <w:t>Age group</w:t>
            </w:r>
          </w:p>
        </w:tc>
        <w:tc>
          <w:tcPr>
            <w:tcW w:w="724" w:type="dxa"/>
          </w:tcPr>
          <w:p w:rsidR="00691289" w:rsidRPr="00C85E38" w:rsidRDefault="00691289" w:rsidP="00A0366B">
            <w:pPr>
              <w:pStyle w:val="Tabletext"/>
              <w:tabs>
                <w:tab w:val="decimal" w:pos="255"/>
              </w:tabs>
            </w:pPr>
          </w:p>
        </w:tc>
        <w:tc>
          <w:tcPr>
            <w:tcW w:w="724" w:type="dxa"/>
          </w:tcPr>
          <w:p w:rsidR="00691289" w:rsidRPr="00C85E38" w:rsidRDefault="00691289" w:rsidP="00A0366B">
            <w:pPr>
              <w:pStyle w:val="Tabletext"/>
              <w:tabs>
                <w:tab w:val="decimal" w:pos="340"/>
              </w:tabs>
            </w:pPr>
          </w:p>
        </w:tc>
        <w:tc>
          <w:tcPr>
            <w:tcW w:w="725" w:type="dxa"/>
          </w:tcPr>
          <w:p w:rsidR="00691289" w:rsidRPr="00C85E38" w:rsidRDefault="00691289" w:rsidP="00A0366B">
            <w:pPr>
              <w:pStyle w:val="Tabletext"/>
              <w:tabs>
                <w:tab w:val="decimal" w:pos="255"/>
              </w:tabs>
            </w:pPr>
          </w:p>
        </w:tc>
        <w:tc>
          <w:tcPr>
            <w:tcW w:w="724" w:type="dxa"/>
            <w:shd w:val="clear" w:color="auto" w:fill="auto"/>
          </w:tcPr>
          <w:p w:rsidR="00691289" w:rsidRPr="00C85E38" w:rsidRDefault="00691289" w:rsidP="00A0366B">
            <w:pPr>
              <w:pStyle w:val="Tabletext"/>
              <w:tabs>
                <w:tab w:val="decimal" w:pos="255"/>
              </w:tabs>
            </w:pPr>
          </w:p>
        </w:tc>
        <w:tc>
          <w:tcPr>
            <w:tcW w:w="725" w:type="dxa"/>
            <w:shd w:val="clear" w:color="auto" w:fill="auto"/>
          </w:tcPr>
          <w:p w:rsidR="00691289" w:rsidRPr="00C85E38" w:rsidRDefault="00691289" w:rsidP="00A0366B">
            <w:pPr>
              <w:pStyle w:val="Tabletext"/>
              <w:tabs>
                <w:tab w:val="decimal" w:pos="340"/>
              </w:tabs>
            </w:pPr>
          </w:p>
        </w:tc>
        <w:tc>
          <w:tcPr>
            <w:tcW w:w="724" w:type="dxa"/>
          </w:tcPr>
          <w:p w:rsidR="00691289" w:rsidRPr="00C85E38" w:rsidRDefault="00691289" w:rsidP="00A0366B">
            <w:pPr>
              <w:pStyle w:val="Tabletext"/>
              <w:tabs>
                <w:tab w:val="decimal" w:pos="255"/>
              </w:tabs>
            </w:pPr>
          </w:p>
        </w:tc>
        <w:tc>
          <w:tcPr>
            <w:tcW w:w="725" w:type="dxa"/>
            <w:shd w:val="clear" w:color="auto" w:fill="auto"/>
          </w:tcPr>
          <w:p w:rsidR="00691289" w:rsidRPr="00C85E38" w:rsidRDefault="00691289" w:rsidP="00A0366B">
            <w:pPr>
              <w:pStyle w:val="Tabletext"/>
              <w:tabs>
                <w:tab w:val="decimal" w:pos="255"/>
              </w:tabs>
            </w:pPr>
          </w:p>
        </w:tc>
        <w:tc>
          <w:tcPr>
            <w:tcW w:w="724" w:type="dxa"/>
            <w:shd w:val="clear" w:color="auto" w:fill="auto"/>
          </w:tcPr>
          <w:p w:rsidR="00691289" w:rsidRPr="00C85E38" w:rsidRDefault="00691289" w:rsidP="00A0366B">
            <w:pPr>
              <w:pStyle w:val="Tabletext"/>
              <w:tabs>
                <w:tab w:val="decimal" w:pos="340"/>
              </w:tabs>
            </w:pPr>
          </w:p>
        </w:tc>
        <w:tc>
          <w:tcPr>
            <w:tcW w:w="725" w:type="dxa"/>
          </w:tcPr>
          <w:p w:rsidR="00691289" w:rsidRPr="00C85E38" w:rsidRDefault="00691289" w:rsidP="00A0366B">
            <w:pPr>
              <w:pStyle w:val="Tabletext"/>
              <w:tabs>
                <w:tab w:val="decimal" w:pos="255"/>
              </w:tabs>
            </w:pPr>
          </w:p>
        </w:tc>
      </w:tr>
      <w:tr w:rsidR="00691289" w:rsidRPr="00C85E38" w:rsidTr="00C877D6">
        <w:tc>
          <w:tcPr>
            <w:tcW w:w="1985" w:type="dxa"/>
          </w:tcPr>
          <w:p w:rsidR="00691289" w:rsidRPr="00C85E38" w:rsidRDefault="00691289" w:rsidP="00A0366B">
            <w:pPr>
              <w:pStyle w:val="Tabletext"/>
              <w:ind w:left="227"/>
            </w:pPr>
            <w:r w:rsidRPr="00C85E38">
              <w:t>Below 25 yrs of age</w:t>
            </w:r>
          </w:p>
        </w:tc>
        <w:tc>
          <w:tcPr>
            <w:tcW w:w="724" w:type="dxa"/>
          </w:tcPr>
          <w:p w:rsidR="00691289" w:rsidRPr="00C85E38" w:rsidRDefault="00691289" w:rsidP="00A0366B">
            <w:pPr>
              <w:pStyle w:val="Tabletext"/>
              <w:tabs>
                <w:tab w:val="decimal" w:pos="255"/>
              </w:tabs>
            </w:pPr>
            <w:r w:rsidRPr="00C85E38">
              <w:t>25.9</w:t>
            </w:r>
          </w:p>
        </w:tc>
        <w:tc>
          <w:tcPr>
            <w:tcW w:w="724" w:type="dxa"/>
          </w:tcPr>
          <w:p w:rsidR="00691289" w:rsidRPr="00C85E38" w:rsidRDefault="00691289" w:rsidP="00A0366B">
            <w:pPr>
              <w:pStyle w:val="Tabletext"/>
              <w:tabs>
                <w:tab w:val="decimal" w:pos="340"/>
              </w:tabs>
            </w:pPr>
            <w:r w:rsidRPr="00C85E38">
              <w:t>42</w:t>
            </w:r>
          </w:p>
        </w:tc>
        <w:tc>
          <w:tcPr>
            <w:tcW w:w="725" w:type="dxa"/>
          </w:tcPr>
          <w:p w:rsidR="00691289" w:rsidRPr="00C85E38" w:rsidRDefault="00691289" w:rsidP="00A0366B">
            <w:pPr>
              <w:pStyle w:val="Tabletext"/>
              <w:tabs>
                <w:tab w:val="decimal" w:pos="255"/>
              </w:tabs>
            </w:pPr>
            <w:r w:rsidRPr="00C85E38">
              <w:t>20.1</w:t>
            </w:r>
          </w:p>
        </w:tc>
        <w:tc>
          <w:tcPr>
            <w:tcW w:w="724" w:type="dxa"/>
            <w:shd w:val="clear" w:color="auto" w:fill="auto"/>
          </w:tcPr>
          <w:p w:rsidR="00691289" w:rsidRPr="00C85E38" w:rsidRDefault="00691289" w:rsidP="00A0366B">
            <w:pPr>
              <w:pStyle w:val="Tabletext"/>
              <w:tabs>
                <w:tab w:val="decimal" w:pos="255"/>
              </w:tabs>
            </w:pPr>
            <w:r w:rsidRPr="00C85E38">
              <w:t>36.2</w:t>
            </w:r>
          </w:p>
        </w:tc>
        <w:tc>
          <w:tcPr>
            <w:tcW w:w="725" w:type="dxa"/>
            <w:shd w:val="clear" w:color="auto" w:fill="auto"/>
          </w:tcPr>
          <w:p w:rsidR="00691289" w:rsidRPr="00C85E38" w:rsidRDefault="00691289" w:rsidP="00A0366B">
            <w:pPr>
              <w:pStyle w:val="Tabletext"/>
              <w:tabs>
                <w:tab w:val="decimal" w:pos="340"/>
              </w:tabs>
            </w:pPr>
            <w:r w:rsidRPr="00C85E38">
              <w:t>50</w:t>
            </w:r>
          </w:p>
        </w:tc>
        <w:tc>
          <w:tcPr>
            <w:tcW w:w="724" w:type="dxa"/>
          </w:tcPr>
          <w:p w:rsidR="00691289" w:rsidRPr="00C85E38" w:rsidRDefault="00691289" w:rsidP="00A0366B">
            <w:pPr>
              <w:pStyle w:val="Tabletext"/>
              <w:tabs>
                <w:tab w:val="decimal" w:pos="255"/>
              </w:tabs>
            </w:pPr>
            <w:r w:rsidRPr="00C85E38">
              <w:t>15.8</w:t>
            </w:r>
          </w:p>
        </w:tc>
        <w:tc>
          <w:tcPr>
            <w:tcW w:w="725" w:type="dxa"/>
            <w:shd w:val="clear" w:color="auto" w:fill="auto"/>
          </w:tcPr>
          <w:p w:rsidR="00691289" w:rsidRPr="00C85E38" w:rsidRDefault="00691289" w:rsidP="00A0366B">
            <w:pPr>
              <w:pStyle w:val="Tabletext"/>
              <w:tabs>
                <w:tab w:val="decimal" w:pos="255"/>
              </w:tabs>
            </w:pPr>
            <w:r w:rsidRPr="00C85E38">
              <w:t>31.1</w:t>
            </w:r>
          </w:p>
        </w:tc>
        <w:tc>
          <w:tcPr>
            <w:tcW w:w="724" w:type="dxa"/>
            <w:shd w:val="clear" w:color="auto" w:fill="auto"/>
          </w:tcPr>
          <w:p w:rsidR="00691289" w:rsidRPr="00C85E38" w:rsidRDefault="00691289" w:rsidP="00A0366B">
            <w:pPr>
              <w:pStyle w:val="Tabletext"/>
              <w:tabs>
                <w:tab w:val="decimal" w:pos="340"/>
              </w:tabs>
            </w:pPr>
            <w:r w:rsidRPr="00C85E38">
              <w:t>35</w:t>
            </w:r>
          </w:p>
        </w:tc>
        <w:tc>
          <w:tcPr>
            <w:tcW w:w="725" w:type="dxa"/>
          </w:tcPr>
          <w:p w:rsidR="00691289" w:rsidRPr="00C85E38" w:rsidRDefault="00691289" w:rsidP="00A0366B">
            <w:pPr>
              <w:pStyle w:val="Tabletext"/>
              <w:tabs>
                <w:tab w:val="decimal" w:pos="255"/>
              </w:tabs>
            </w:pPr>
            <w:r w:rsidRPr="00C85E38">
              <w:t>12.0</w:t>
            </w:r>
          </w:p>
        </w:tc>
      </w:tr>
      <w:tr w:rsidR="00691289" w:rsidRPr="00C85E38" w:rsidTr="00C877D6">
        <w:tc>
          <w:tcPr>
            <w:tcW w:w="1985" w:type="dxa"/>
            <w:tcBorders>
              <w:bottom w:val="single" w:sz="4" w:space="0" w:color="auto"/>
            </w:tcBorders>
          </w:tcPr>
          <w:p w:rsidR="00691289" w:rsidRPr="00C85E38" w:rsidRDefault="00691289" w:rsidP="00A0366B">
            <w:pPr>
              <w:pStyle w:val="Tabletext"/>
              <w:ind w:left="227"/>
            </w:pPr>
            <w:r w:rsidRPr="00C85E38">
              <w:t>25 yrs and above</w:t>
            </w:r>
          </w:p>
        </w:tc>
        <w:tc>
          <w:tcPr>
            <w:tcW w:w="724" w:type="dxa"/>
            <w:tcBorders>
              <w:bottom w:val="single" w:sz="4" w:space="0" w:color="auto"/>
            </w:tcBorders>
          </w:tcPr>
          <w:p w:rsidR="00691289" w:rsidRPr="00C85E38" w:rsidRDefault="00691289" w:rsidP="00A0366B">
            <w:pPr>
              <w:pStyle w:val="Tabletext"/>
              <w:tabs>
                <w:tab w:val="decimal" w:pos="255"/>
              </w:tabs>
            </w:pPr>
            <w:r w:rsidRPr="00C85E38">
              <w:t>74.1</w:t>
            </w:r>
          </w:p>
        </w:tc>
        <w:tc>
          <w:tcPr>
            <w:tcW w:w="724" w:type="dxa"/>
            <w:tcBorders>
              <w:bottom w:val="single" w:sz="4" w:space="0" w:color="auto"/>
            </w:tcBorders>
          </w:tcPr>
          <w:p w:rsidR="00691289" w:rsidRPr="00C85E38" w:rsidRDefault="00691289" w:rsidP="00A0366B">
            <w:pPr>
              <w:pStyle w:val="Tabletext"/>
              <w:tabs>
                <w:tab w:val="decimal" w:pos="340"/>
              </w:tabs>
            </w:pPr>
            <w:r w:rsidRPr="00C85E38">
              <w:t>130</w:t>
            </w:r>
          </w:p>
        </w:tc>
        <w:tc>
          <w:tcPr>
            <w:tcW w:w="725" w:type="dxa"/>
            <w:tcBorders>
              <w:bottom w:val="single" w:sz="4" w:space="0" w:color="auto"/>
            </w:tcBorders>
          </w:tcPr>
          <w:p w:rsidR="00691289" w:rsidRPr="00C85E38" w:rsidRDefault="00691289" w:rsidP="00A0366B">
            <w:pPr>
              <w:pStyle w:val="Tabletext"/>
              <w:tabs>
                <w:tab w:val="decimal" w:pos="255"/>
              </w:tabs>
            </w:pPr>
            <w:r w:rsidRPr="00C85E38">
              <w:t>79.6</w:t>
            </w:r>
          </w:p>
        </w:tc>
        <w:tc>
          <w:tcPr>
            <w:tcW w:w="724" w:type="dxa"/>
            <w:tcBorders>
              <w:bottom w:val="single" w:sz="4" w:space="0" w:color="auto"/>
            </w:tcBorders>
            <w:shd w:val="clear" w:color="auto" w:fill="auto"/>
          </w:tcPr>
          <w:p w:rsidR="00691289" w:rsidRPr="00C85E38" w:rsidRDefault="00691289" w:rsidP="00A0366B">
            <w:pPr>
              <w:pStyle w:val="Tabletext"/>
              <w:tabs>
                <w:tab w:val="decimal" w:pos="255"/>
              </w:tabs>
            </w:pPr>
            <w:r w:rsidRPr="00C85E38">
              <w:t>63.8</w:t>
            </w:r>
          </w:p>
        </w:tc>
        <w:tc>
          <w:tcPr>
            <w:tcW w:w="725" w:type="dxa"/>
            <w:tcBorders>
              <w:bottom w:val="single" w:sz="4" w:space="0" w:color="auto"/>
            </w:tcBorders>
            <w:shd w:val="clear" w:color="auto" w:fill="auto"/>
          </w:tcPr>
          <w:p w:rsidR="00691289" w:rsidRPr="00C85E38" w:rsidRDefault="00691289" w:rsidP="00A0366B">
            <w:pPr>
              <w:pStyle w:val="Tabletext"/>
              <w:tabs>
                <w:tab w:val="decimal" w:pos="340"/>
              </w:tabs>
            </w:pPr>
            <w:r w:rsidRPr="00C85E38">
              <w:t>112</w:t>
            </w:r>
          </w:p>
        </w:tc>
        <w:tc>
          <w:tcPr>
            <w:tcW w:w="724" w:type="dxa"/>
            <w:tcBorders>
              <w:bottom w:val="single" w:sz="4" w:space="0" w:color="auto"/>
            </w:tcBorders>
          </w:tcPr>
          <w:p w:rsidR="00691289" w:rsidRPr="00C85E38" w:rsidRDefault="00691289" w:rsidP="00A0366B">
            <w:pPr>
              <w:pStyle w:val="Tabletext"/>
              <w:tabs>
                <w:tab w:val="decimal" w:pos="255"/>
              </w:tabs>
            </w:pPr>
            <w:r w:rsidRPr="00C85E38">
              <w:t>84.1</w:t>
            </w:r>
          </w:p>
        </w:tc>
        <w:tc>
          <w:tcPr>
            <w:tcW w:w="725" w:type="dxa"/>
            <w:tcBorders>
              <w:bottom w:val="single" w:sz="4" w:space="0" w:color="auto"/>
            </w:tcBorders>
            <w:shd w:val="clear" w:color="auto" w:fill="auto"/>
          </w:tcPr>
          <w:p w:rsidR="00691289" w:rsidRPr="00C85E38" w:rsidRDefault="00691289" w:rsidP="00A0366B">
            <w:pPr>
              <w:pStyle w:val="Tabletext"/>
              <w:tabs>
                <w:tab w:val="decimal" w:pos="255"/>
              </w:tabs>
            </w:pPr>
            <w:r w:rsidRPr="00C85E38">
              <w:t>68.9</w:t>
            </w:r>
          </w:p>
        </w:tc>
        <w:tc>
          <w:tcPr>
            <w:tcW w:w="724" w:type="dxa"/>
            <w:tcBorders>
              <w:bottom w:val="single" w:sz="4" w:space="0" w:color="auto"/>
            </w:tcBorders>
            <w:shd w:val="clear" w:color="auto" w:fill="auto"/>
          </w:tcPr>
          <w:p w:rsidR="00691289" w:rsidRPr="00C85E38" w:rsidRDefault="00691289" w:rsidP="00A0366B">
            <w:pPr>
              <w:pStyle w:val="Tabletext"/>
              <w:tabs>
                <w:tab w:val="decimal" w:pos="340"/>
              </w:tabs>
            </w:pPr>
            <w:r w:rsidRPr="00C85E38">
              <w:t>107</w:t>
            </w:r>
          </w:p>
        </w:tc>
        <w:tc>
          <w:tcPr>
            <w:tcW w:w="725" w:type="dxa"/>
            <w:tcBorders>
              <w:bottom w:val="single" w:sz="4" w:space="0" w:color="auto"/>
            </w:tcBorders>
          </w:tcPr>
          <w:p w:rsidR="00691289" w:rsidRPr="00C85E38" w:rsidRDefault="00691289" w:rsidP="00A0366B">
            <w:pPr>
              <w:pStyle w:val="Tabletext"/>
              <w:tabs>
                <w:tab w:val="decimal" w:pos="255"/>
              </w:tabs>
            </w:pPr>
            <w:r w:rsidRPr="00C85E38">
              <w:t>87.9</w:t>
            </w:r>
          </w:p>
        </w:tc>
      </w:tr>
    </w:tbl>
    <w:p w:rsidR="00691289" w:rsidRPr="00C85E38" w:rsidRDefault="00691289" w:rsidP="00691289">
      <w:pPr>
        <w:pStyle w:val="Source"/>
      </w:pPr>
      <w:r w:rsidRPr="00C85E38">
        <w:t>Notes:</w:t>
      </w:r>
      <w:r w:rsidRPr="00C85E38">
        <w:tab/>
        <w:t>‘All’ refers to all employees entitled to paid leave in the latter year.</w:t>
      </w:r>
      <w:r w:rsidRPr="00C85E38">
        <w:br/>
        <w:t>Population: Employees who reported losing paid leave entitlements since being interviewed in the former year.</w:t>
      </w:r>
      <w:r w:rsidRPr="00C85E38">
        <w:br/>
        <w:t>Weight: Longitudinal 06-07, 07-08 &amp; 08-09.</w:t>
      </w:r>
    </w:p>
    <w:p w:rsidR="00691289" w:rsidRPr="00C85E38" w:rsidRDefault="00691289" w:rsidP="00691289">
      <w:pPr>
        <w:pStyle w:val="Source"/>
      </w:pPr>
      <w:r w:rsidRPr="00C85E38">
        <w:t>Source:</w:t>
      </w:r>
      <w:r w:rsidRPr="00C85E38">
        <w:tab/>
        <w:t>Australia at Work W1 to W3.</w:t>
      </w:r>
    </w:p>
    <w:bookmarkEnd w:id="76"/>
    <w:bookmarkEnd w:id="77"/>
    <w:bookmarkEnd w:id="78"/>
    <w:p w:rsidR="00691289" w:rsidRPr="00C85E38" w:rsidRDefault="00691289" w:rsidP="00D20191">
      <w:pPr>
        <w:pStyle w:val="Textmorebefore"/>
      </w:pPr>
      <w:r w:rsidRPr="00C85E38">
        <w:t xml:space="preserve">This appendix has given us new insights into how the nature of working life is evolving by drawing on the longitudinal nature of our data. We opened by confirming the well-established truism: levels of job changing drop during a downturn. But among those who are changing employers, there is a disproportionate growth in the proportion of employees without paid leave entitlements. This provides a window on the future. After the last two recessions non-standard employment grew significantly. We appear to be on track for repeating this trajectory out of the latest downturn. </w:t>
      </w:r>
    </w:p>
    <w:p w:rsidR="00691289" w:rsidRPr="00C85E38" w:rsidRDefault="00691289" w:rsidP="00C877D6">
      <w:pPr>
        <w:pStyle w:val="Text"/>
      </w:pPr>
      <w:r w:rsidRPr="00C85E38">
        <w:t>More significant is what has not been happening in our sample. For most categories of worker, hours are not falling, nor are they rising. Clearly many are ‘battening down’ their hours and their job changes. The only groups who have experienced a noticeable reduction in hours are those moving to jobs without paid leave. These are arguably the most vulnerable employees in the workforce. The earnings story is similar. The majority of workers</w:t>
      </w:r>
      <w:r w:rsidR="00213E0E">
        <w:t xml:space="preserve"> — </w:t>
      </w:r>
      <w:r w:rsidRPr="00C85E38">
        <w:t>indeed as many as 71% of continuing employees with paid leave</w:t>
      </w:r>
      <w:r w:rsidR="00213E0E">
        <w:t xml:space="preserve"> — </w:t>
      </w:r>
      <w:r w:rsidRPr="00C85E38">
        <w:t>report increased annual earnings. The largest proportional growth in the employees not reporting a rise in annual earnings occurred among those who changed employer. Indeed, among those without paid leave who changed employer, a little over two in five report reduced earnings</w:t>
      </w:r>
      <w:r w:rsidR="00213E0E">
        <w:t xml:space="preserve"> — </w:t>
      </w:r>
      <w:r w:rsidRPr="00C85E38">
        <w:t xml:space="preserve">up from a third in the previous wave. </w:t>
      </w:r>
    </w:p>
    <w:p w:rsidR="00691289" w:rsidRPr="00B71E29" w:rsidRDefault="00691289" w:rsidP="00C877D6">
      <w:pPr>
        <w:pStyle w:val="Text"/>
      </w:pPr>
      <w:r w:rsidRPr="00C85E38">
        <w:t>So how do findings help make sense of the divergent trends in employment and hours noted earlier? Among our survey population the fall in aggregate hours appears to be arising from a reduced number of workers increasing their hours and a growing number of ‘leave-less job changes’ working fewer hours. Clearly it is those without paid leave, especially when they change jobs, who are the prime bearers of labour adjustment. The visions of ‘time-poor’, extended hours workers sharing their work and ongoing, flexible labour adjusting hours spontaneously to a downturn make for good news copy. These narratives, however, do not account for reality. For most workers in our study, the past year has not involved ‘crisis’ or even a personal ‘downturn’</w:t>
      </w:r>
      <w:r w:rsidR="00213E0E">
        <w:t xml:space="preserve"> — </w:t>
      </w:r>
      <w:r>
        <w:t>at worst</w:t>
      </w:r>
      <w:r w:rsidRPr="00C85E38">
        <w:t xml:space="preserve"> for most it has been a personal ‘slowdown’. Those actually taking the shock of ‘crisis’ and encountering serious drops in hours and earnings are those least able to afford it. This is indicative of the inequality and fragmentation that has been a growing feature of our labour market for the last 30 years (Watson et al. 2003, chapter 6).</w:t>
      </w:r>
      <w:bookmarkEnd w:id="29"/>
      <w:bookmarkEnd w:id="30"/>
    </w:p>
    <w:p w:rsidR="00150874" w:rsidRDefault="00150874">
      <w:pPr>
        <w:spacing w:before="0" w:line="240" w:lineRule="auto"/>
      </w:pPr>
    </w:p>
    <w:sectPr w:rsidR="00150874" w:rsidSect="00B8358D">
      <w:footerReference w:type="even" r:id="rId28"/>
      <w:footerReference w:type="default" r:id="rId29"/>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1E0" w:rsidRDefault="00DE11E0">
      <w:r>
        <w:separator/>
      </w:r>
    </w:p>
  </w:endnote>
  <w:endnote w:type="continuationSeparator" w:id="0">
    <w:p w:rsidR="00DE11E0" w:rsidRDefault="00DE1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vant Garde">
    <w:altName w:val="Century Gothic"/>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ICCFO+TimesNewRoman">
    <w:altName w:val="Times New Roman"/>
    <w:panose1 w:val="00000000000000000000"/>
    <w:charset w:val="00"/>
    <w:family w:val="roman"/>
    <w:notTrueType/>
    <w:pitch w:val="default"/>
    <w:sig w:usb0="00000003" w:usb1="00000000" w:usb2="00000000" w:usb3="00000000" w:csb0="00000001" w:csb1="00000000"/>
  </w:font>
  <w:font w:name="FrutigerCE-Roman">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E0" w:rsidRPr="003C31F7" w:rsidRDefault="00782085" w:rsidP="003C31F7">
    <w:pPr>
      <w:pStyle w:val="Footer"/>
      <w:tabs>
        <w:tab w:val="clear" w:pos="8505"/>
        <w:tab w:val="right" w:pos="8789"/>
      </w:tabs>
      <w:rPr>
        <w:b/>
      </w:rPr>
    </w:pPr>
    <w:r w:rsidRPr="00782085">
      <w:rPr>
        <w:b/>
        <w:noProof/>
        <w:color w:val="FFFFFF" w:themeColor="background1"/>
        <w:lang w:eastAsia="en-AU"/>
      </w:rPr>
      <w:pict>
        <v:rect id="_x0000_s2054" style="position:absolute;margin-left:-85.05pt;margin-top:-2.45pt;width:99pt;height:18.75pt;z-index:-251651072" fillcolor="black [3213]" stroked="f" strokecolor="#bfbfbf [2412]"/>
      </w:pict>
    </w:r>
    <w:r w:rsidRPr="008C0A74">
      <w:rPr>
        <w:b/>
        <w:color w:val="FFFFFF" w:themeColor="background1"/>
      </w:rPr>
      <w:fldChar w:fldCharType="begin"/>
    </w:r>
    <w:r w:rsidR="00DE11E0" w:rsidRPr="008C0A74">
      <w:rPr>
        <w:b/>
        <w:color w:val="FFFFFF" w:themeColor="background1"/>
      </w:rPr>
      <w:instrText xml:space="preserve"> PAGE </w:instrText>
    </w:r>
    <w:r w:rsidRPr="008C0A74">
      <w:rPr>
        <w:b/>
        <w:color w:val="FFFFFF" w:themeColor="background1"/>
      </w:rPr>
      <w:fldChar w:fldCharType="separate"/>
    </w:r>
    <w:r w:rsidR="00880E0C">
      <w:rPr>
        <w:b/>
        <w:noProof/>
        <w:color w:val="FFFFFF" w:themeColor="background1"/>
      </w:rPr>
      <w:t>16</w:t>
    </w:r>
    <w:r w:rsidRPr="008C0A74">
      <w:rPr>
        <w:b/>
        <w:color w:val="FFFFFF" w:themeColor="background1"/>
      </w:rPr>
      <w:fldChar w:fldCharType="end"/>
    </w:r>
    <w:r w:rsidR="00DE11E0" w:rsidRPr="008C0A74">
      <w:rPr>
        <w:b/>
        <w:color w:val="FFFFFF" w:themeColor="background1"/>
      </w:rPr>
      <w:tab/>
    </w:r>
    <w:r w:rsidR="00DE11E0">
      <w:rPr>
        <w:b/>
      </w:rPr>
      <w:t xml:space="preserve">Understanding and improving labour mobility: </w:t>
    </w:r>
    <w:r w:rsidR="00E70A37">
      <w:rPr>
        <w:b/>
      </w:rPr>
      <w:t>a</w:t>
    </w:r>
    <w:r w:rsidR="00DE11E0">
      <w:rPr>
        <w:b/>
      </w:rPr>
      <w:t xml:space="preserve"> scoping paper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E0" w:rsidRPr="003C31F7" w:rsidRDefault="00782085" w:rsidP="003C31F7">
    <w:pPr>
      <w:pStyle w:val="Footer"/>
      <w:tabs>
        <w:tab w:val="clear" w:pos="8505"/>
        <w:tab w:val="right" w:pos="8789"/>
      </w:tabs>
      <w:rPr>
        <w:color w:val="FFFFFF" w:themeColor="background1"/>
      </w:rPr>
    </w:pPr>
    <w:r w:rsidRPr="00782085">
      <w:rPr>
        <w:b/>
        <w:noProof/>
        <w:lang w:eastAsia="en-AU"/>
      </w:rPr>
      <w:pict>
        <v:rect id="_x0000_s2055" style="position:absolute;margin-left:425.6pt;margin-top:-2.45pt;width:99pt;height:18.75pt;z-index:-251649024" fillcolor="black [3213]" stroked="f" strokecolor="#bfbfbf [2412]"/>
      </w:pict>
    </w:r>
    <w:r w:rsidR="00DE11E0" w:rsidRPr="009775C7">
      <w:rPr>
        <w:b/>
      </w:rPr>
      <w:t>NCVER</w:t>
    </w:r>
    <w:r w:rsidR="00DE11E0" w:rsidRPr="009775C7">
      <w:tab/>
    </w:r>
    <w:r w:rsidRPr="009775C7">
      <w:rPr>
        <w:rStyle w:val="PageNumber"/>
        <w:b/>
        <w:color w:val="FFFFFF" w:themeColor="background1"/>
        <w:sz w:val="17"/>
      </w:rPr>
      <w:fldChar w:fldCharType="begin"/>
    </w:r>
    <w:r w:rsidR="00DE11E0" w:rsidRPr="009775C7">
      <w:rPr>
        <w:rStyle w:val="PageNumber"/>
        <w:b/>
        <w:color w:val="FFFFFF" w:themeColor="background1"/>
        <w:sz w:val="17"/>
      </w:rPr>
      <w:instrText xml:space="preserve"> PAGE </w:instrText>
    </w:r>
    <w:r w:rsidRPr="009775C7">
      <w:rPr>
        <w:rStyle w:val="PageNumber"/>
        <w:b/>
        <w:color w:val="FFFFFF" w:themeColor="background1"/>
        <w:sz w:val="17"/>
      </w:rPr>
      <w:fldChar w:fldCharType="separate"/>
    </w:r>
    <w:r w:rsidR="00880E0C">
      <w:rPr>
        <w:rStyle w:val="PageNumber"/>
        <w:b/>
        <w:noProof/>
        <w:color w:val="FFFFFF" w:themeColor="background1"/>
        <w:sz w:val="17"/>
      </w:rPr>
      <w:t>17</w:t>
    </w:r>
    <w:r w:rsidRPr="009775C7">
      <w:rPr>
        <w:rStyle w:val="PageNumber"/>
        <w:b/>
        <w:color w:val="FFFFFF" w:themeColor="background1"/>
        <w:sz w:val="1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E0" w:rsidRPr="00EA6BB9" w:rsidRDefault="00DE11E0" w:rsidP="00A0366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E0" w:rsidRPr="00B8358D" w:rsidRDefault="00DE11E0" w:rsidP="00B8358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E0" w:rsidRPr="008C0A74" w:rsidRDefault="00782085" w:rsidP="00FF5931">
    <w:pPr>
      <w:pStyle w:val="Footer"/>
      <w:tabs>
        <w:tab w:val="clear" w:pos="8505"/>
        <w:tab w:val="right" w:pos="8789"/>
      </w:tabs>
      <w:rPr>
        <w:b/>
      </w:rPr>
    </w:pPr>
    <w:r w:rsidRPr="00782085">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DE11E0" w:rsidRPr="008C0A74">
      <w:rPr>
        <w:b/>
        <w:color w:val="FFFFFF" w:themeColor="background1"/>
      </w:rPr>
      <w:instrText xml:space="preserve"> PAGE </w:instrText>
    </w:r>
    <w:r w:rsidRPr="008C0A74">
      <w:rPr>
        <w:b/>
        <w:color w:val="FFFFFF" w:themeColor="background1"/>
      </w:rPr>
      <w:fldChar w:fldCharType="separate"/>
    </w:r>
    <w:r w:rsidR="00880E0C">
      <w:rPr>
        <w:b/>
        <w:noProof/>
        <w:color w:val="FFFFFF" w:themeColor="background1"/>
      </w:rPr>
      <w:t>40</w:t>
    </w:r>
    <w:r w:rsidRPr="008C0A74">
      <w:rPr>
        <w:b/>
        <w:color w:val="FFFFFF" w:themeColor="background1"/>
      </w:rPr>
      <w:fldChar w:fldCharType="end"/>
    </w:r>
    <w:r w:rsidR="00DE11E0" w:rsidRPr="008C0A74">
      <w:rPr>
        <w:b/>
        <w:color w:val="FFFFFF" w:themeColor="background1"/>
      </w:rPr>
      <w:tab/>
    </w:r>
    <w:r w:rsidR="00DE11E0">
      <w:rPr>
        <w:b/>
      </w:rPr>
      <w:t xml:space="preserve">Understanding and improving labour mobility: </w:t>
    </w:r>
    <w:r w:rsidR="00E70A37">
      <w:rPr>
        <w:b/>
      </w:rPr>
      <w:t>a</w:t>
    </w:r>
    <w:r w:rsidR="00DE11E0">
      <w:rPr>
        <w:b/>
      </w:rPr>
      <w:t xml:space="preserve"> scoping paper</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E0" w:rsidRPr="009775C7" w:rsidRDefault="00782085" w:rsidP="008C0A74">
    <w:pPr>
      <w:pStyle w:val="Footer"/>
      <w:tabs>
        <w:tab w:val="clear" w:pos="8505"/>
        <w:tab w:val="right" w:pos="8789"/>
      </w:tabs>
      <w:rPr>
        <w:color w:val="FFFFFF" w:themeColor="background1"/>
      </w:rPr>
    </w:pPr>
    <w:r w:rsidRPr="00782085">
      <w:rPr>
        <w:b/>
        <w:noProof/>
        <w:lang w:eastAsia="en-AU"/>
      </w:rPr>
      <w:pict>
        <v:rect id="_x0000_s2052" style="position:absolute;margin-left:425.6pt;margin-top:-2.45pt;width:99pt;height:18.75pt;z-index:-251653120" fillcolor="black [3213]" stroked="f" strokecolor="#bfbfbf [2412]"/>
      </w:pict>
    </w:r>
    <w:r w:rsidR="00DE11E0" w:rsidRPr="009775C7">
      <w:rPr>
        <w:b/>
      </w:rPr>
      <w:t>NCVER</w:t>
    </w:r>
    <w:r w:rsidR="00DE11E0" w:rsidRPr="009775C7">
      <w:tab/>
    </w:r>
    <w:r w:rsidRPr="009775C7">
      <w:rPr>
        <w:rStyle w:val="PageNumber"/>
        <w:rFonts w:cs="Tahoma"/>
        <w:b/>
        <w:color w:val="FFFFFF" w:themeColor="background1"/>
        <w:sz w:val="17"/>
      </w:rPr>
      <w:fldChar w:fldCharType="begin"/>
    </w:r>
    <w:r w:rsidR="00DE11E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880E0C">
      <w:rPr>
        <w:rStyle w:val="PageNumber"/>
        <w:rFonts w:cs="Tahoma"/>
        <w:b/>
        <w:noProof/>
        <w:color w:val="FFFFFF" w:themeColor="background1"/>
        <w:sz w:val="17"/>
      </w:rPr>
      <w:t>41</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1E0" w:rsidRDefault="00DE11E0">
      <w:r>
        <w:separator/>
      </w:r>
    </w:p>
  </w:footnote>
  <w:footnote w:type="continuationSeparator" w:id="0">
    <w:p w:rsidR="00DE11E0" w:rsidRDefault="00DE11E0">
      <w:r>
        <w:continuationSeparator/>
      </w:r>
    </w:p>
  </w:footnote>
  <w:footnote w:id="1">
    <w:p w:rsidR="00DE11E0" w:rsidRDefault="00DE11E0" w:rsidP="00691289">
      <w:pPr>
        <w:pStyle w:val="FootnoteText"/>
      </w:pPr>
      <w:r w:rsidRPr="00FF116E">
        <w:rPr>
          <w:rStyle w:val="FootnoteReference"/>
          <w:sz w:val="18"/>
          <w:szCs w:val="18"/>
        </w:rPr>
        <w:footnoteRef/>
      </w:r>
      <w:r>
        <w:tab/>
        <w:t xml:space="preserve">Analysis in this section is based on the </w:t>
      </w:r>
      <w:r w:rsidRPr="00A04299">
        <w:rPr>
          <w:i/>
        </w:rPr>
        <w:t>Australia at work</w:t>
      </w:r>
      <w:r>
        <w:t xml:space="preserve"> study, a project being run by the Workplace Research Centre and funded as an Australian Research Council Linkage Grant jointly with Unions NSW and a network of other unions. Analysis of the kind that follows could also be done using the Household, Income and Labour Dynamics of Australia (HILDA) dataset. At the time this project was undertaken HILDA data on the GFC were not available. Any future researcher on this topic should consider using this dataset to examine these issues. It should also be noted that the NCVER commissioned a complementary study to this one based on the HILDA material (see Watson 2011). </w:t>
      </w:r>
    </w:p>
  </w:footnote>
  <w:footnote w:id="2">
    <w:p w:rsidR="00DE11E0" w:rsidRPr="00BC6EEF" w:rsidRDefault="00DE11E0" w:rsidP="00691289">
      <w:pPr>
        <w:pStyle w:val="FootnoteText"/>
      </w:pPr>
      <w:r w:rsidRPr="00635052">
        <w:rPr>
          <w:rStyle w:val="FootnoteReference"/>
          <w:sz w:val="18"/>
          <w:szCs w:val="18"/>
        </w:rPr>
        <w:footnoteRef/>
      </w:r>
      <w:r>
        <w:tab/>
      </w:r>
      <w:r w:rsidRPr="001D0195">
        <w:rPr>
          <w:szCs w:val="16"/>
        </w:rPr>
        <w:t>These were the Australian Regional Agricultural and Mining Skills (ARAMS) initiative and the so-called ‘Fire and Ice’ initiative</w:t>
      </w:r>
      <w:r>
        <w:rPr>
          <w:szCs w:val="16"/>
        </w:rPr>
        <w:t xml:space="preserve">. </w:t>
      </w:r>
      <w:r w:rsidRPr="001D0195">
        <w:rPr>
          <w:szCs w:val="16"/>
        </w:rPr>
        <w:t>The former endeavoured to improve the management of labour flows between the agricultural and mining sectors in three regions</w:t>
      </w:r>
      <w:r>
        <w:rPr>
          <w:szCs w:val="16"/>
        </w:rPr>
        <w:t xml:space="preserve">. </w:t>
      </w:r>
      <w:r w:rsidRPr="001D0195">
        <w:rPr>
          <w:szCs w:val="16"/>
        </w:rPr>
        <w:t>The lat</w:t>
      </w:r>
      <w:r>
        <w:rPr>
          <w:szCs w:val="16"/>
        </w:rPr>
        <w:t>t</w:t>
      </w:r>
      <w:r w:rsidRPr="001D0195">
        <w:rPr>
          <w:szCs w:val="16"/>
        </w:rPr>
        <w:t>er was an initiative of Gold Coast TAFE</w:t>
      </w:r>
      <w:r>
        <w:rPr>
          <w:szCs w:val="16"/>
        </w:rPr>
        <w:t>,</w:t>
      </w:r>
      <w:r w:rsidRPr="001D0195">
        <w:rPr>
          <w:szCs w:val="16"/>
        </w:rPr>
        <w:t xml:space="preserve"> which endeavoured to organise a flow of hospitality workers betwe</w:t>
      </w:r>
      <w:r>
        <w:rPr>
          <w:szCs w:val="16"/>
        </w:rPr>
        <w:t>en the Gold Coast and southern s</w:t>
      </w:r>
      <w:r w:rsidRPr="001D0195">
        <w:rPr>
          <w:szCs w:val="16"/>
        </w:rPr>
        <w:t xml:space="preserve">tate ski fields to provide continuity of employment for workers when demand dropped for their labour in </w:t>
      </w:r>
      <w:r>
        <w:rPr>
          <w:szCs w:val="16"/>
        </w:rPr>
        <w:t xml:space="preserve">the </w:t>
      </w:r>
      <w:r w:rsidRPr="001D0195">
        <w:rPr>
          <w:szCs w:val="16"/>
        </w:rPr>
        <w:t>region in winter and summer respectively</w:t>
      </w:r>
      <w:r>
        <w:rPr>
          <w:szCs w:val="16"/>
        </w:rPr>
        <w:t xml:space="preserve">. </w:t>
      </w:r>
      <w:r w:rsidRPr="001D0195">
        <w:rPr>
          <w:szCs w:val="16"/>
        </w:rPr>
        <w:t>See</w:t>
      </w:r>
      <w:r>
        <w:rPr>
          <w:szCs w:val="16"/>
        </w:rPr>
        <w:t>,</w:t>
      </w:r>
      <w:r w:rsidRPr="001D0195">
        <w:rPr>
          <w:szCs w:val="16"/>
        </w:rPr>
        <w:t xml:space="preserve"> for example</w:t>
      </w:r>
      <w:r>
        <w:rPr>
          <w:szCs w:val="16"/>
        </w:rPr>
        <w:t>,</w:t>
      </w:r>
      <w:r w:rsidRPr="001D0195">
        <w:rPr>
          <w:szCs w:val="16"/>
        </w:rPr>
        <w:t xml:space="preserve"> </w:t>
      </w:r>
      <w:r>
        <w:rPr>
          <w:szCs w:val="16"/>
        </w:rPr>
        <w:t>the Department of Education, Employment and Workplace Relations</w:t>
      </w:r>
      <w:r w:rsidRPr="001D0195">
        <w:rPr>
          <w:szCs w:val="16"/>
        </w:rPr>
        <w:t xml:space="preserve">, </w:t>
      </w:r>
      <w:r>
        <w:rPr>
          <w:szCs w:val="16"/>
        </w:rPr>
        <w:t>Minerals Council of Australia</w:t>
      </w:r>
      <w:r w:rsidRPr="001D0195">
        <w:rPr>
          <w:szCs w:val="16"/>
        </w:rPr>
        <w:t xml:space="preserve"> and </w:t>
      </w:r>
      <w:r>
        <w:rPr>
          <w:szCs w:val="16"/>
        </w:rPr>
        <w:t>the National Farmers Federation (</w:t>
      </w:r>
      <w:r w:rsidRPr="001D0195">
        <w:rPr>
          <w:szCs w:val="16"/>
        </w:rPr>
        <w:t>2009</w:t>
      </w:r>
      <w:r>
        <w:rPr>
          <w:szCs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610A02C5"/>
    <w:multiLevelType w:val="hybridMultilevel"/>
    <w:tmpl w:val="B84CC4F0"/>
    <w:lvl w:ilvl="0" w:tplc="08090001">
      <w:start w:val="1"/>
      <w:numFmt w:val="bullet"/>
      <w:pStyle w:val="Dotpoint2"/>
      <w:lvlText w:val="-"/>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6E6568BB"/>
    <w:multiLevelType w:val="hybridMultilevel"/>
    <w:tmpl w:val="7D744170"/>
    <w:lvl w:ilvl="0" w:tplc="37985242">
      <w:start w:val="1"/>
      <w:numFmt w:val="bullet"/>
      <w:pStyle w:val="Dotpoint1"/>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2D93E05"/>
    <w:multiLevelType w:val="hybridMultilevel"/>
    <w:tmpl w:val="D1F09B74"/>
    <w:lvl w:ilvl="0" w:tplc="08090001">
      <w:start w:val="1"/>
      <w:numFmt w:val="lowerLetter"/>
      <w:pStyle w:val="Numberedlistcontinuing"/>
      <w:lvlText w:val="(%1)"/>
      <w:lvlJc w:val="left"/>
      <w:pPr>
        <w:tabs>
          <w:tab w:val="num" w:pos="1080"/>
        </w:tabs>
        <w:ind w:left="1080" w:hanging="72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0"/>
    <w:lvlOverride w:ilvl="0">
      <w:startOverride w:val="1"/>
    </w:lvlOverride>
  </w:num>
  <w:num w:numId="6">
    <w:abstractNumId w:val="2"/>
  </w:num>
  <w:num w:numId="7">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mirrorMargins/>
  <w:activeWritingStyle w:appName="MSWord" w:lang="en-US" w:vendorID="8" w:dllVersion="513" w:checkStyle="1"/>
  <w:activeWritingStyle w:appName="MSWord" w:lang="en-AU" w:vendorID="8" w:dllVersion="513" w:checkStyle="1"/>
  <w:activeWritingStyle w:appName="MSWord" w:lang="en-GB" w:vendorID="8" w:dllVersion="513" w:checkStyle="1"/>
  <w:attachedTemplate r:id="rId1"/>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01FBB"/>
    <w:rsid w:val="000108B2"/>
    <w:rsid w:val="00013265"/>
    <w:rsid w:val="00022290"/>
    <w:rsid w:val="000315D7"/>
    <w:rsid w:val="0006125F"/>
    <w:rsid w:val="00074BD4"/>
    <w:rsid w:val="000A0745"/>
    <w:rsid w:val="000B7A89"/>
    <w:rsid w:val="000F641C"/>
    <w:rsid w:val="0010761A"/>
    <w:rsid w:val="00123B5C"/>
    <w:rsid w:val="00135C75"/>
    <w:rsid w:val="00150874"/>
    <w:rsid w:val="001509F3"/>
    <w:rsid w:val="00155839"/>
    <w:rsid w:val="00177827"/>
    <w:rsid w:val="00184504"/>
    <w:rsid w:val="001B43CF"/>
    <w:rsid w:val="001F7D84"/>
    <w:rsid w:val="00213E0E"/>
    <w:rsid w:val="002277A9"/>
    <w:rsid w:val="00233BFA"/>
    <w:rsid w:val="00267F64"/>
    <w:rsid w:val="00284FCB"/>
    <w:rsid w:val="002E196B"/>
    <w:rsid w:val="002F78E5"/>
    <w:rsid w:val="00311D60"/>
    <w:rsid w:val="00334CE3"/>
    <w:rsid w:val="00340B4D"/>
    <w:rsid w:val="00342A9F"/>
    <w:rsid w:val="00357396"/>
    <w:rsid w:val="00397C94"/>
    <w:rsid w:val="003B16DA"/>
    <w:rsid w:val="003B483E"/>
    <w:rsid w:val="003C31F7"/>
    <w:rsid w:val="003C590E"/>
    <w:rsid w:val="003D4856"/>
    <w:rsid w:val="003E4FD3"/>
    <w:rsid w:val="003E67CB"/>
    <w:rsid w:val="00430FD7"/>
    <w:rsid w:val="00456558"/>
    <w:rsid w:val="004770AC"/>
    <w:rsid w:val="0048643A"/>
    <w:rsid w:val="0049453B"/>
    <w:rsid w:val="00494E7C"/>
    <w:rsid w:val="004C4063"/>
    <w:rsid w:val="004D4802"/>
    <w:rsid w:val="004E7227"/>
    <w:rsid w:val="00520315"/>
    <w:rsid w:val="0052276C"/>
    <w:rsid w:val="005679A7"/>
    <w:rsid w:val="00570758"/>
    <w:rsid w:val="00571AFA"/>
    <w:rsid w:val="005C277E"/>
    <w:rsid w:val="005C61F8"/>
    <w:rsid w:val="005E1C1C"/>
    <w:rsid w:val="005E4764"/>
    <w:rsid w:val="0063256C"/>
    <w:rsid w:val="00652973"/>
    <w:rsid w:val="00656679"/>
    <w:rsid w:val="0067712D"/>
    <w:rsid w:val="00691289"/>
    <w:rsid w:val="00696A48"/>
    <w:rsid w:val="006C5DA9"/>
    <w:rsid w:val="007037A4"/>
    <w:rsid w:val="007170C2"/>
    <w:rsid w:val="00731EC8"/>
    <w:rsid w:val="00782085"/>
    <w:rsid w:val="00783F44"/>
    <w:rsid w:val="00787494"/>
    <w:rsid w:val="007A2079"/>
    <w:rsid w:val="007C3281"/>
    <w:rsid w:val="007C50A7"/>
    <w:rsid w:val="007E2D8C"/>
    <w:rsid w:val="00800A2B"/>
    <w:rsid w:val="00806C1C"/>
    <w:rsid w:val="00826757"/>
    <w:rsid w:val="00832BEE"/>
    <w:rsid w:val="00852661"/>
    <w:rsid w:val="00874DA5"/>
    <w:rsid w:val="00880E0C"/>
    <w:rsid w:val="008923B6"/>
    <w:rsid w:val="00894271"/>
    <w:rsid w:val="008C0A74"/>
    <w:rsid w:val="008F20BA"/>
    <w:rsid w:val="009058B5"/>
    <w:rsid w:val="009076FD"/>
    <w:rsid w:val="00933317"/>
    <w:rsid w:val="009461ED"/>
    <w:rsid w:val="009538E6"/>
    <w:rsid w:val="009704E4"/>
    <w:rsid w:val="009775C7"/>
    <w:rsid w:val="009C22BE"/>
    <w:rsid w:val="009E231A"/>
    <w:rsid w:val="009E2F64"/>
    <w:rsid w:val="00A0366B"/>
    <w:rsid w:val="00A10A6B"/>
    <w:rsid w:val="00A10E2B"/>
    <w:rsid w:val="00A21C59"/>
    <w:rsid w:val="00A30084"/>
    <w:rsid w:val="00A40456"/>
    <w:rsid w:val="00A50895"/>
    <w:rsid w:val="00A73318"/>
    <w:rsid w:val="00A93867"/>
    <w:rsid w:val="00AA44D4"/>
    <w:rsid w:val="00AC688A"/>
    <w:rsid w:val="00AE2FB4"/>
    <w:rsid w:val="00AF1005"/>
    <w:rsid w:val="00B01FBB"/>
    <w:rsid w:val="00B05F5C"/>
    <w:rsid w:val="00B41272"/>
    <w:rsid w:val="00B426FE"/>
    <w:rsid w:val="00B77043"/>
    <w:rsid w:val="00B8358D"/>
    <w:rsid w:val="00B86D06"/>
    <w:rsid w:val="00BB113D"/>
    <w:rsid w:val="00BC770A"/>
    <w:rsid w:val="00BC7C47"/>
    <w:rsid w:val="00BF690E"/>
    <w:rsid w:val="00C053D5"/>
    <w:rsid w:val="00C34DD8"/>
    <w:rsid w:val="00C37003"/>
    <w:rsid w:val="00C54125"/>
    <w:rsid w:val="00C63294"/>
    <w:rsid w:val="00C77DC6"/>
    <w:rsid w:val="00C801DA"/>
    <w:rsid w:val="00C8151C"/>
    <w:rsid w:val="00C877D6"/>
    <w:rsid w:val="00C926F0"/>
    <w:rsid w:val="00C9656D"/>
    <w:rsid w:val="00CA4AFC"/>
    <w:rsid w:val="00CC04B7"/>
    <w:rsid w:val="00CD5F32"/>
    <w:rsid w:val="00CE146C"/>
    <w:rsid w:val="00D20191"/>
    <w:rsid w:val="00D43B5F"/>
    <w:rsid w:val="00D806B0"/>
    <w:rsid w:val="00D8551E"/>
    <w:rsid w:val="00DB599C"/>
    <w:rsid w:val="00DC5F5C"/>
    <w:rsid w:val="00DE11E0"/>
    <w:rsid w:val="00DE2C71"/>
    <w:rsid w:val="00E06B95"/>
    <w:rsid w:val="00E123CB"/>
    <w:rsid w:val="00E14FA9"/>
    <w:rsid w:val="00E236D0"/>
    <w:rsid w:val="00E365F8"/>
    <w:rsid w:val="00E45A10"/>
    <w:rsid w:val="00E52313"/>
    <w:rsid w:val="00E56EC1"/>
    <w:rsid w:val="00E70A37"/>
    <w:rsid w:val="00E81A91"/>
    <w:rsid w:val="00E95812"/>
    <w:rsid w:val="00E95948"/>
    <w:rsid w:val="00ED4D6D"/>
    <w:rsid w:val="00EE42D9"/>
    <w:rsid w:val="00EE67B3"/>
    <w:rsid w:val="00F0499A"/>
    <w:rsid w:val="00F16E0C"/>
    <w:rsid w:val="00F60BA5"/>
    <w:rsid w:val="00F93048"/>
    <w:rsid w:val="00FA79F7"/>
    <w:rsid w:val="00FB44B7"/>
    <w:rsid w:val="00FE3F74"/>
    <w:rsid w:val="00FE4A2D"/>
    <w:rsid w:val="00FE4D5A"/>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qFormat="1"/>
    <w:lsdException w:name="index 8" w:uiPriority="0"/>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annotation text" w:uiPriority="0"/>
    <w:lsdException w:name="header" w:uiPriority="0" w:unhideWhenUsed="1"/>
    <w:lsdException w:name="footer" w:uiPriority="0" w:unhideWhenUsed="1"/>
    <w:lsdException w:name="caption" w:uiPriority="35" w:qFormat="1"/>
    <w:lsdException w:name="table of figures" w:unhideWhenUsed="1"/>
    <w:lsdException w:name="footnote reference" w:uiPriority="0"/>
    <w:lsdException w:name="annotation reference" w:uiPriority="0"/>
    <w:lsdException w:name="page number" w:uiPriority="0" w:unhideWhenUsed="1"/>
    <w:lsdException w:name="endnote reference" w:uiPriority="0"/>
    <w:lsdException w:name="endnote text" w:uiPriority="0"/>
    <w:lsdException w:name="Title" w:uiPriority="10" w:qFormat="1"/>
    <w:lsdException w:name="Default Paragraph Font" w:uiPriority="1" w:unhideWhenUsed="1"/>
    <w:lsdException w:name="Body Text" w:uiPriority="0"/>
    <w:lsdException w:name="Body Text Indent" w:uiPriority="0"/>
    <w:lsdException w:name="List Continue 3" w:uiPriority="0"/>
    <w:lsdException w:name="Subtitle" w:uiPriority="11" w:qFormat="1"/>
    <w:lsdException w:name="Body Text 2" w:uiPriority="0"/>
    <w:lsdException w:name="Hyperlink" w:uiPriority="0" w:unhideWhenUsed="1"/>
    <w:lsdException w:name="FollowedHyperlink" w:uiPriority="0"/>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CE146C"/>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0B7A89"/>
    <w:pPr>
      <w:keepNext/>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qFormat/>
    <w:rsid w:val="00691289"/>
    <w:pPr>
      <w:keepNext/>
      <w:spacing w:before="0" w:line="240" w:lineRule="auto"/>
      <w:ind w:firstLine="2977"/>
      <w:outlineLvl w:val="8"/>
    </w:pPr>
    <w:rPr>
      <w:rFonts w:ascii="Garamond" w:hAnsi="Garamond"/>
      <w:sz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customStyle="1" w:styleId="Heading1Char">
    <w:name w:val="Heading 1 Char"/>
    <w:basedOn w:val="DefaultParagraphFont"/>
    <w:link w:val="Heading1"/>
    <w:rsid w:val="00691289"/>
    <w:rPr>
      <w:rFonts w:ascii="Tahoma" w:hAnsi="Tahoma" w:cs="Tahoma"/>
      <w:color w:val="000000"/>
      <w:kern w:val="28"/>
      <w:sz w:val="56"/>
      <w:szCs w:val="56"/>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customStyle="1" w:styleId="Heading9Char">
    <w:name w:val="Heading 9 Char"/>
    <w:basedOn w:val="DefaultParagraphFont"/>
    <w:link w:val="Heading9"/>
    <w:rsid w:val="00691289"/>
    <w:rPr>
      <w:rFonts w:ascii="Garamond" w:hAnsi="Garamond"/>
      <w:sz w:val="36"/>
      <w:lang w:val="en-AU" w:eastAsia="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uiPriority w:val="99"/>
    <w:rsid w:val="00150874"/>
    <w:pPr>
      <w:spacing w:before="360" w:after="80"/>
      <w:ind w:left="851" w:hanging="851"/>
    </w:pPr>
    <w:rPr>
      <w:rFonts w:ascii="Tahoma" w:hAnsi="Tahoma"/>
      <w:b/>
      <w:sz w:val="17"/>
      <w:lang w:val="en-AU"/>
    </w:rPr>
  </w:style>
  <w:style w:type="paragraph" w:customStyle="1" w:styleId="Tabletext">
    <w:name w:val="Table text"/>
    <w:next w:val="Text"/>
    <w:uiPriority w:val="99"/>
    <w:rsid w:val="00A10A6B"/>
    <w:pPr>
      <w:spacing w:before="40" w:after="40"/>
    </w:pPr>
    <w:rPr>
      <w:rFonts w:ascii="Arial" w:hAnsi="Arial"/>
      <w:sz w:val="16"/>
      <w:lang w:val="en-AU"/>
    </w:rPr>
  </w:style>
  <w:style w:type="paragraph" w:customStyle="1" w:styleId="Tablehead1">
    <w:name w:val="Tablehead1"/>
    <w:uiPriority w:val="99"/>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571AFA"/>
    <w:pPr>
      <w:numPr>
        <w:numId w:val="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71AFA"/>
    <w:pPr>
      <w:numPr>
        <w:numId w:val="7"/>
      </w:numPr>
      <w:tabs>
        <w:tab w:val="clear" w:pos="284"/>
        <w:tab w:val="left" w:pos="567"/>
      </w:tabs>
      <w:ind w:left="568" w:hanging="284"/>
    </w:pPr>
  </w:style>
  <w:style w:type="paragraph" w:customStyle="1" w:styleId="NumberedListContinuing0">
    <w:name w:val="NumberedListContinuing"/>
    <w:rsid w:val="00520315"/>
    <w:pPr>
      <w:tabs>
        <w:tab w:val="num" w:pos="284"/>
      </w:tabs>
      <w:spacing w:before="120" w:line="300" w:lineRule="exact"/>
    </w:pPr>
    <w:rPr>
      <w:rFonts w:ascii="Trebuchet MS" w:hAnsi="Trebuchet MS"/>
      <w:sz w:val="19"/>
      <w:lang w:val="en-AU" w:eastAsia="en-AU"/>
    </w:rPr>
  </w:style>
  <w:style w:type="paragraph" w:customStyle="1" w:styleId="Source">
    <w:name w:val="Source"/>
    <w:uiPriority w:val="99"/>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99"/>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uiPriority w:val="99"/>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rsid w:val="00E95812"/>
    <w:rPr>
      <w:color w:val="800080" w:themeColor="followedHyperlink"/>
      <w:u w:val="single"/>
    </w:rPr>
  </w:style>
  <w:style w:type="paragraph" w:styleId="Index8">
    <w:name w:val="index 8"/>
    <w:basedOn w:val="Text"/>
    <w:next w:val="Normal"/>
    <w:autoRedefine/>
    <w:semiHidden/>
    <w:rsid w:val="00691289"/>
    <w:pPr>
      <w:spacing w:before="200" w:line="260" w:lineRule="exact"/>
      <w:ind w:right="0"/>
    </w:pPr>
    <w:rPr>
      <w:rFonts w:ascii="Garamond" w:hAnsi="Garamond"/>
      <w:sz w:val="22"/>
      <w:lang w:eastAsia="en-AU"/>
    </w:rPr>
  </w:style>
  <w:style w:type="paragraph" w:styleId="TOC5">
    <w:name w:val="toc 5"/>
    <w:basedOn w:val="Normal"/>
    <w:next w:val="Normal"/>
    <w:autoRedefine/>
    <w:semiHidden/>
    <w:rsid w:val="00691289"/>
    <w:pPr>
      <w:spacing w:before="200" w:line="240" w:lineRule="auto"/>
      <w:ind w:left="880"/>
    </w:pPr>
    <w:rPr>
      <w:rFonts w:ascii="Times New Roman" w:hAnsi="Times New Roman"/>
      <w:sz w:val="24"/>
      <w:lang w:eastAsia="en-AU"/>
    </w:rPr>
  </w:style>
  <w:style w:type="paragraph" w:styleId="TOC6">
    <w:name w:val="toc 6"/>
    <w:basedOn w:val="Normal"/>
    <w:next w:val="Normal"/>
    <w:autoRedefine/>
    <w:semiHidden/>
    <w:rsid w:val="00691289"/>
    <w:pPr>
      <w:spacing w:before="200" w:line="240" w:lineRule="auto"/>
      <w:ind w:left="1100"/>
    </w:pPr>
    <w:rPr>
      <w:rFonts w:ascii="Times New Roman" w:hAnsi="Times New Roman"/>
      <w:sz w:val="24"/>
      <w:lang w:eastAsia="en-AU"/>
    </w:rPr>
  </w:style>
  <w:style w:type="paragraph" w:styleId="TOC7">
    <w:name w:val="toc 7"/>
    <w:basedOn w:val="Normal"/>
    <w:next w:val="Normal"/>
    <w:autoRedefine/>
    <w:semiHidden/>
    <w:rsid w:val="00691289"/>
    <w:pPr>
      <w:spacing w:before="200" w:line="240" w:lineRule="auto"/>
      <w:ind w:left="1320"/>
    </w:pPr>
    <w:rPr>
      <w:rFonts w:ascii="Times New Roman" w:hAnsi="Times New Roman"/>
      <w:sz w:val="24"/>
      <w:lang w:eastAsia="en-AU"/>
    </w:rPr>
  </w:style>
  <w:style w:type="paragraph" w:styleId="TOC8">
    <w:name w:val="toc 8"/>
    <w:basedOn w:val="Normal"/>
    <w:next w:val="Normal"/>
    <w:autoRedefine/>
    <w:semiHidden/>
    <w:rsid w:val="00691289"/>
    <w:pPr>
      <w:spacing w:before="200" w:line="240" w:lineRule="auto"/>
      <w:ind w:left="1540"/>
    </w:pPr>
    <w:rPr>
      <w:rFonts w:ascii="Times New Roman" w:hAnsi="Times New Roman"/>
      <w:sz w:val="24"/>
      <w:lang w:eastAsia="en-AU"/>
    </w:rPr>
  </w:style>
  <w:style w:type="paragraph" w:styleId="TOC9">
    <w:name w:val="toc 9"/>
    <w:basedOn w:val="Normal"/>
    <w:next w:val="Normal"/>
    <w:autoRedefine/>
    <w:semiHidden/>
    <w:rsid w:val="00691289"/>
    <w:pPr>
      <w:spacing w:before="200" w:line="240" w:lineRule="auto"/>
      <w:ind w:left="1760"/>
    </w:pPr>
    <w:rPr>
      <w:rFonts w:ascii="Times New Roman" w:hAnsi="Times New Roman"/>
      <w:sz w:val="24"/>
      <w:lang w:eastAsia="en-AU"/>
    </w:rPr>
  </w:style>
  <w:style w:type="paragraph" w:customStyle="1" w:styleId="contents0">
    <w:name w:val="contents"/>
    <w:rsid w:val="00691289"/>
    <w:pPr>
      <w:pBdr>
        <w:bottom w:val="single" w:sz="4" w:space="1" w:color="auto"/>
      </w:pBdr>
      <w:jc w:val="right"/>
    </w:pPr>
    <w:rPr>
      <w:rFonts w:ascii="Garamond" w:hAnsi="Garamond"/>
      <w:kern w:val="28"/>
      <w:sz w:val="60"/>
      <w:lang w:val="en-AU" w:eastAsia="en-AU"/>
    </w:rPr>
  </w:style>
  <w:style w:type="paragraph" w:customStyle="1" w:styleId="Abstract">
    <w:name w:val="Abstract"/>
    <w:basedOn w:val="Text"/>
    <w:rsid w:val="00691289"/>
    <w:pPr>
      <w:spacing w:before="120" w:line="260" w:lineRule="exact"/>
      <w:ind w:right="0" w:firstLine="2977"/>
    </w:pPr>
    <w:rPr>
      <w:rFonts w:ascii="Garamond" w:hAnsi="Garamond"/>
      <w:smallCaps/>
      <w:sz w:val="20"/>
      <w:lang w:eastAsia="en-AU"/>
    </w:rPr>
  </w:style>
  <w:style w:type="paragraph" w:customStyle="1" w:styleId="Aboutresearch">
    <w:name w:val="About research"/>
    <w:rsid w:val="00691289"/>
    <w:pPr>
      <w:spacing w:before="440"/>
    </w:pPr>
    <w:rPr>
      <w:rFonts w:ascii="Garamond" w:hAnsi="Garamond"/>
      <w:kern w:val="28"/>
      <w:sz w:val="60"/>
      <w:lang w:val="en-AU" w:eastAsia="en-AU"/>
    </w:rPr>
  </w:style>
  <w:style w:type="paragraph" w:customStyle="1" w:styleId="Numberedlistcontinuing">
    <w:name w:val="Numbered list continuing"/>
    <w:basedOn w:val="Normal"/>
    <w:rsid w:val="00691289"/>
    <w:pPr>
      <w:numPr>
        <w:numId w:val="4"/>
      </w:numPr>
      <w:spacing w:before="0" w:line="240" w:lineRule="auto"/>
    </w:pPr>
    <w:rPr>
      <w:rFonts w:ascii="Times New Roman" w:hAnsi="Times New Roman"/>
      <w:sz w:val="24"/>
      <w:lang w:eastAsia="en-AU"/>
    </w:rPr>
  </w:style>
  <w:style w:type="character" w:styleId="HTMLCite">
    <w:name w:val="HTML Cite"/>
    <w:basedOn w:val="DefaultParagraphFont"/>
    <w:uiPriority w:val="99"/>
    <w:rsid w:val="00691289"/>
    <w:rPr>
      <w:i/>
      <w:iCs/>
    </w:rPr>
  </w:style>
  <w:style w:type="paragraph" w:customStyle="1" w:styleId="Default">
    <w:name w:val="Default"/>
    <w:rsid w:val="00691289"/>
    <w:pPr>
      <w:autoSpaceDE w:val="0"/>
      <w:autoSpaceDN w:val="0"/>
      <w:adjustRightInd w:val="0"/>
    </w:pPr>
    <w:rPr>
      <w:rFonts w:ascii="Franklin Gothic Book" w:hAnsi="Franklin Gothic Book" w:cs="Franklin Gothic Book"/>
      <w:color w:val="000000"/>
      <w:sz w:val="24"/>
      <w:szCs w:val="24"/>
      <w:lang w:val="en-AU" w:eastAsia="en-AU"/>
    </w:rPr>
  </w:style>
  <w:style w:type="character" w:styleId="CommentReference">
    <w:name w:val="annotation reference"/>
    <w:basedOn w:val="DefaultParagraphFont"/>
    <w:rsid w:val="00691289"/>
    <w:rPr>
      <w:sz w:val="16"/>
      <w:szCs w:val="16"/>
    </w:rPr>
  </w:style>
  <w:style w:type="paragraph" w:styleId="CommentText">
    <w:name w:val="annotation text"/>
    <w:basedOn w:val="Normal"/>
    <w:link w:val="CommentTextChar"/>
    <w:rsid w:val="00691289"/>
    <w:pPr>
      <w:spacing w:before="200" w:line="240" w:lineRule="auto"/>
    </w:pPr>
    <w:rPr>
      <w:rFonts w:ascii="Times New Roman" w:hAnsi="Times New Roman"/>
      <w:sz w:val="20"/>
      <w:lang w:eastAsia="en-AU"/>
    </w:rPr>
  </w:style>
  <w:style w:type="character" w:customStyle="1" w:styleId="CommentTextChar">
    <w:name w:val="Comment Text Char"/>
    <w:basedOn w:val="DefaultParagraphFont"/>
    <w:link w:val="CommentText"/>
    <w:rsid w:val="00691289"/>
    <w:rPr>
      <w:lang w:val="en-AU" w:eastAsia="en-AU"/>
    </w:rPr>
  </w:style>
  <w:style w:type="character" w:styleId="Emphasis">
    <w:name w:val="Emphasis"/>
    <w:basedOn w:val="DefaultParagraphFont"/>
    <w:uiPriority w:val="20"/>
    <w:qFormat/>
    <w:rsid w:val="00691289"/>
    <w:rPr>
      <w:i/>
      <w:iCs/>
    </w:rPr>
  </w:style>
  <w:style w:type="character" w:customStyle="1" w:styleId="highlightedsearchterm">
    <w:name w:val="highlightedsearchterm"/>
    <w:basedOn w:val="DefaultParagraphFont"/>
    <w:rsid w:val="00691289"/>
  </w:style>
  <w:style w:type="paragraph" w:customStyle="1" w:styleId="CharChar1Char">
    <w:name w:val="Char Char1 Char"/>
    <w:basedOn w:val="Normal"/>
    <w:rsid w:val="00691289"/>
    <w:pPr>
      <w:spacing w:before="0" w:line="240" w:lineRule="auto"/>
    </w:pPr>
    <w:rPr>
      <w:rFonts w:ascii="Arial" w:hAnsi="Arial" w:cs="Arial"/>
      <w:sz w:val="22"/>
      <w:szCs w:val="22"/>
    </w:rPr>
  </w:style>
  <w:style w:type="paragraph" w:customStyle="1" w:styleId="Headin2">
    <w:name w:val="Headin 2"/>
    <w:basedOn w:val="Heading1"/>
    <w:rsid w:val="00691289"/>
    <w:pPr>
      <w:pBdr>
        <w:bottom w:val="single" w:sz="4" w:space="1" w:color="auto"/>
      </w:pBdr>
      <w:spacing w:before="440" w:after="60"/>
      <w:jc w:val="right"/>
    </w:pPr>
    <w:rPr>
      <w:rFonts w:ascii="Garamond" w:hAnsi="Garamond" w:cs="Times New Roman"/>
      <w:color w:val="auto"/>
      <w:sz w:val="60"/>
      <w:szCs w:val="20"/>
    </w:rPr>
  </w:style>
  <w:style w:type="paragraph" w:customStyle="1" w:styleId="Tabletitle0">
    <w:name w:val="Table title"/>
    <w:basedOn w:val="Normal"/>
    <w:link w:val="TabletitleChar"/>
    <w:rsid w:val="00691289"/>
    <w:pPr>
      <w:spacing w:before="200" w:line="240" w:lineRule="auto"/>
    </w:pPr>
    <w:rPr>
      <w:rFonts w:ascii="Calibri" w:hAnsi="Calibri"/>
      <w:sz w:val="22"/>
      <w:szCs w:val="22"/>
      <w:lang w:eastAsia="en-AU"/>
    </w:rPr>
  </w:style>
  <w:style w:type="character" w:customStyle="1" w:styleId="TabletitleChar">
    <w:name w:val="Table title Char"/>
    <w:basedOn w:val="DefaultParagraphFont"/>
    <w:link w:val="Tabletitle0"/>
    <w:rsid w:val="00691289"/>
    <w:rPr>
      <w:rFonts w:ascii="Calibri" w:hAnsi="Calibri"/>
      <w:sz w:val="22"/>
      <w:szCs w:val="22"/>
      <w:lang w:val="en-AU" w:eastAsia="en-AU"/>
    </w:rPr>
  </w:style>
  <w:style w:type="paragraph" w:customStyle="1" w:styleId="tabletext0">
    <w:name w:val="table text"/>
    <w:basedOn w:val="Normal"/>
    <w:link w:val="tabletextChar"/>
    <w:rsid w:val="00691289"/>
    <w:pPr>
      <w:spacing w:before="40" w:after="40" w:line="240" w:lineRule="auto"/>
    </w:pPr>
    <w:rPr>
      <w:rFonts w:ascii="Arial" w:hAnsi="Arial"/>
      <w:sz w:val="18"/>
      <w:szCs w:val="24"/>
      <w:lang w:eastAsia="en-AU"/>
    </w:rPr>
  </w:style>
  <w:style w:type="character" w:customStyle="1" w:styleId="tabletextChar">
    <w:name w:val="table text Char"/>
    <w:basedOn w:val="DefaultParagraphFont"/>
    <w:link w:val="tabletext0"/>
    <w:rsid w:val="00691289"/>
    <w:rPr>
      <w:rFonts w:ascii="Arial" w:hAnsi="Arial"/>
      <w:sz w:val="18"/>
      <w:szCs w:val="24"/>
      <w:lang w:val="en-AU" w:eastAsia="en-AU"/>
    </w:rPr>
  </w:style>
  <w:style w:type="paragraph" w:styleId="EndnoteText">
    <w:name w:val="endnote text"/>
    <w:basedOn w:val="Normal"/>
    <w:link w:val="EndnoteTextChar"/>
    <w:semiHidden/>
    <w:rsid w:val="00691289"/>
    <w:pPr>
      <w:spacing w:before="0" w:line="280" w:lineRule="atLeast"/>
    </w:pPr>
    <w:rPr>
      <w:rFonts w:ascii="Sylfaen" w:hAnsi="Sylfaen"/>
      <w:sz w:val="20"/>
      <w:lang w:eastAsia="en-AU"/>
    </w:rPr>
  </w:style>
  <w:style w:type="character" w:customStyle="1" w:styleId="EndnoteTextChar">
    <w:name w:val="Endnote Text Char"/>
    <w:basedOn w:val="DefaultParagraphFont"/>
    <w:link w:val="EndnoteText"/>
    <w:semiHidden/>
    <w:rsid w:val="00691289"/>
    <w:rPr>
      <w:rFonts w:ascii="Sylfaen" w:hAnsi="Sylfaen"/>
      <w:lang w:val="en-AU" w:eastAsia="en-AU"/>
    </w:rPr>
  </w:style>
  <w:style w:type="paragraph" w:styleId="ListContinue3">
    <w:name w:val="List Continue 3"/>
    <w:basedOn w:val="Heading1"/>
    <w:rsid w:val="00691289"/>
    <w:pPr>
      <w:pBdr>
        <w:bottom w:val="single" w:sz="4" w:space="1" w:color="auto"/>
      </w:pBdr>
      <w:spacing w:before="440" w:after="60"/>
      <w:jc w:val="right"/>
    </w:pPr>
    <w:rPr>
      <w:rFonts w:ascii="Garamond" w:hAnsi="Garamond" w:cs="Times New Roman"/>
      <w:color w:val="auto"/>
      <w:sz w:val="60"/>
      <w:szCs w:val="20"/>
    </w:rPr>
  </w:style>
  <w:style w:type="character" w:styleId="FootnoteReference">
    <w:name w:val="footnote reference"/>
    <w:basedOn w:val="DefaultParagraphFont"/>
    <w:rsid w:val="00691289"/>
    <w:rPr>
      <w:rFonts w:ascii="Garamond" w:hAnsi="Garamond"/>
      <w:sz w:val="22"/>
      <w:vertAlign w:val="superscript"/>
    </w:rPr>
  </w:style>
  <w:style w:type="paragraph" w:styleId="CommentSubject">
    <w:name w:val="annotation subject"/>
    <w:basedOn w:val="CommentText"/>
    <w:next w:val="CommentText"/>
    <w:link w:val="CommentSubjectChar"/>
    <w:rsid w:val="00691289"/>
    <w:rPr>
      <w:b/>
      <w:bCs/>
    </w:rPr>
  </w:style>
  <w:style w:type="character" w:customStyle="1" w:styleId="CommentSubjectChar">
    <w:name w:val="Comment Subject Char"/>
    <w:basedOn w:val="CommentTextChar"/>
    <w:link w:val="CommentSubject"/>
    <w:rsid w:val="00691289"/>
    <w:rPr>
      <w:b/>
      <w:bCs/>
    </w:rPr>
  </w:style>
  <w:style w:type="paragraph" w:customStyle="1" w:styleId="reference">
    <w:name w:val="reference"/>
    <w:basedOn w:val="Normal"/>
    <w:uiPriority w:val="99"/>
    <w:rsid w:val="00691289"/>
    <w:pPr>
      <w:widowControl w:val="0"/>
      <w:spacing w:before="0" w:line="240" w:lineRule="auto"/>
      <w:ind w:left="284" w:hanging="284"/>
      <w:jc w:val="both"/>
    </w:pPr>
    <w:rPr>
      <w:rFonts w:ascii="Times New Roman" w:hAnsi="Times New Roman"/>
      <w:sz w:val="24"/>
    </w:rPr>
  </w:style>
  <w:style w:type="paragraph" w:customStyle="1" w:styleId="textlessb4">
    <w:name w:val="text less# b4"/>
    <w:basedOn w:val="Text"/>
    <w:rsid w:val="00CE146C"/>
    <w:pPr>
      <w:spacing w:before="80"/>
      <w:ind w:right="0"/>
    </w:pPr>
  </w:style>
  <w:style w:type="paragraph" w:customStyle="1" w:styleId="Endnotes">
    <w:name w:val="Endnotes"/>
    <w:link w:val="EndnotesChar"/>
    <w:rsid w:val="00691289"/>
    <w:pPr>
      <w:spacing w:after="60"/>
    </w:pPr>
    <w:rPr>
      <w:szCs w:val="24"/>
      <w:lang w:val="en-AU" w:eastAsia="en-AU"/>
    </w:rPr>
  </w:style>
  <w:style w:type="character" w:customStyle="1" w:styleId="EndnotesChar">
    <w:name w:val="Endnotes Char"/>
    <w:basedOn w:val="DefaultParagraphFont"/>
    <w:link w:val="Endnotes"/>
    <w:rsid w:val="00691289"/>
    <w:rPr>
      <w:szCs w:val="24"/>
      <w:lang w:val="en-AU" w:eastAsia="en-AU"/>
    </w:rPr>
  </w:style>
  <w:style w:type="paragraph" w:customStyle="1" w:styleId="Textmorebefore">
    <w:name w:val="Text more # before"/>
    <w:basedOn w:val="Text"/>
    <w:uiPriority w:val="1"/>
    <w:qFormat/>
    <w:rsid w:val="00CE146C"/>
    <w:pPr>
      <w:spacing w:before="360"/>
      <w:ind w:right="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www.womeninmining.net/%20pdf/fifo_women.pdf" TargetMode="External"/><Relationship Id="rId26" Type="http://schemas.openxmlformats.org/officeDocument/2006/relationships/hyperlink" Target="http://www.deewr.gov.au/Skills/Programs/National/nrset/Pages/%20ResourcingtheFuture.aspx" TargetMode="External"/><Relationship Id="rId3" Type="http://schemas.openxmlformats.org/officeDocument/2006/relationships/styles" Target="styles.xml"/><Relationship Id="rId21" Type="http://schemas.openxmlformats.org/officeDocument/2006/relationships/hyperlink" Target="http://www.mining-technology.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eopleforthefuture.com.au/files/files/20_FIFO_Report.pdf" TargetMode="External"/><Relationship Id="rId25" Type="http://schemas.openxmlformats.org/officeDocument/2006/relationships/hyperlink" Target="http://mpra.ub.uni-muenchen.de/13301/MPRA%20Paper%20No.%2013301" TargetMode="External"/><Relationship Id="rId2" Type="http://schemas.openxmlformats.org/officeDocument/2006/relationships/numbering" Target="numbering.xml"/><Relationship Id="rId16" Type="http://schemas.openxmlformats.org/officeDocument/2006/relationships/hyperlink" Target="http://www.longwalls.com" TargetMode="External"/><Relationship Id="rId20" Type="http://schemas.openxmlformats.org/officeDocument/2006/relationships/hyperlink" Target="http://www.deewr.gov.au/%20EarlyChildhood/.../Quality%20%20Consultation%20Findings.pdf"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hyperlink" Target="http://www.encyclopedia.com/doc/1O88-Goldthorpeclassscheme.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lhmu.org.au/news" TargetMode="External"/><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yperlink" Target="http://www.workcover.nsw.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footer" Target="footer3.xml"/><Relationship Id="rId22" Type="http://schemas.openxmlformats.org/officeDocument/2006/relationships/hyperlink" Target="http://www.lhmu.org.au/news" TargetMode="External"/><Relationship Id="rId27" Type="http://schemas.openxmlformats.org/officeDocument/2006/relationships/hyperlink" Target="http://mpra.ub.uni-muenchen.de/%20229/MPRA%20Paper%20No.229"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ublicati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2C3E8-D4F6-428A-9D90-98642A56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PublicationTemplate.dotx</Template>
  <TotalTime>157</TotalTime>
  <Pages>41</Pages>
  <Words>16301</Words>
  <Characters>92920</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109003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paulineackland</dc:creator>
  <cp:keywords/>
  <dc:description/>
  <cp:lastModifiedBy>sarawilson</cp:lastModifiedBy>
  <cp:revision>18</cp:revision>
  <cp:lastPrinted>2011-08-03T05:38:00Z</cp:lastPrinted>
  <dcterms:created xsi:type="dcterms:W3CDTF">2011-08-11T03:58:00Z</dcterms:created>
  <dcterms:modified xsi:type="dcterms:W3CDTF">2011-09-23T07:34:00Z</dcterms:modified>
</cp:coreProperties>
</file>