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CD6780" w:rsidP="00177827">
      <w:pPr>
        <w:pStyle w:val="PublicationTitle"/>
        <w:spacing w:before="0"/>
      </w:pPr>
      <w:bookmarkStart w:id="0" w:name="_Toc296423677"/>
      <w:bookmarkStart w:id="1" w:name="_Toc296497508"/>
      <w:r>
        <w:rPr>
          <w:noProof/>
          <w:lang w:eastAsia="en-AU"/>
        </w:rPr>
        <w:drawing>
          <wp:anchor distT="0" distB="0" distL="114300" distR="114300" simplePos="0" relativeHeight="251664384" behindDoc="0" locked="0" layoutInCell="1" allowOverlap="1">
            <wp:simplePos x="0" y="0"/>
            <wp:positionH relativeFrom="column">
              <wp:posOffset>-424180</wp:posOffset>
            </wp:positionH>
            <wp:positionV relativeFrom="paragraph">
              <wp:posOffset>954405</wp:posOffset>
            </wp:positionV>
            <wp:extent cx="4224020" cy="744220"/>
            <wp:effectExtent l="19050" t="0" r="5080" b="0"/>
            <wp:wrapSquare wrapText="bothSides"/>
            <wp:docPr id="4" name="Picture 2" descr="P:\PublicationComponents\logos\DIICCSRTE\CS5 logos\DIICCSRTE_2 line_strip_CS5.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IICCSRTE\CS5 logos\DIICCSRTE_2 line_strip_CS5.5.eps"/>
                    <pic:cNvPicPr>
                      <a:picLocks noChangeAspect="1" noChangeArrowheads="1"/>
                    </pic:cNvPicPr>
                  </pic:nvPicPr>
                  <pic:blipFill>
                    <a:blip r:embed="rId8" cstate="print"/>
                    <a:srcRect/>
                    <a:stretch>
                      <a:fillRect/>
                    </a:stretch>
                  </pic:blipFill>
                  <pic:spPr bwMode="auto">
                    <a:xfrm>
                      <a:off x="0" y="0"/>
                      <a:ext cx="4224020" cy="744220"/>
                    </a:xfrm>
                    <a:prstGeom prst="rect">
                      <a:avLst/>
                    </a:prstGeom>
                    <a:noFill/>
                    <a:ln w="9525">
                      <a:noFill/>
                      <a:miter lim="800000"/>
                      <a:headEnd/>
                      <a:tailEnd/>
                    </a:ln>
                  </pic:spPr>
                </pic:pic>
              </a:graphicData>
            </a:graphic>
          </wp:anchor>
        </w:drawing>
      </w:r>
      <w:r w:rsidR="00091DA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95250</wp:posOffset>
            </wp:positionV>
            <wp:extent cx="2390775" cy="560705"/>
            <wp:effectExtent l="19050" t="0" r="9525"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0775" cy="560705"/>
                    </a:xfrm>
                    <a:prstGeom prst="rect">
                      <a:avLst/>
                    </a:prstGeom>
                    <a:noFill/>
                    <a:ln w="9525">
                      <a:noFill/>
                      <a:miter lim="800000"/>
                      <a:headEnd/>
                      <a:tailEnd/>
                    </a:ln>
                  </pic:spPr>
                </pic:pic>
              </a:graphicData>
            </a:graphic>
          </wp:anchor>
        </w:drawing>
      </w:r>
    </w:p>
    <w:p w:rsidR="00177827" w:rsidRDefault="00177827" w:rsidP="006464C4">
      <w:pPr>
        <w:pStyle w:val="PublicationTitle"/>
        <w:spacing w:before="0" w:after="1200"/>
      </w:pPr>
    </w:p>
    <w:p w:rsidR="006A204A" w:rsidRPr="00091DA7" w:rsidRDefault="006A204A" w:rsidP="006A204A">
      <w:pPr>
        <w:pStyle w:val="PublicationTitle"/>
        <w:spacing w:before="0"/>
        <w:rPr>
          <w:sz w:val="52"/>
          <w:szCs w:val="52"/>
        </w:rPr>
      </w:pPr>
      <w:r w:rsidRPr="00091DA7">
        <w:rPr>
          <w:sz w:val="52"/>
          <w:szCs w:val="52"/>
        </w:rPr>
        <w:t>Hurdling the barriers</w:t>
      </w:r>
      <w:r w:rsidR="00806C1C" w:rsidRPr="00091DA7">
        <w:rPr>
          <w:sz w:val="52"/>
          <w:szCs w:val="52"/>
        </w:rPr>
        <w:t>:</w:t>
      </w:r>
      <w:r w:rsidRPr="00091DA7">
        <w:rPr>
          <w:sz w:val="52"/>
          <w:szCs w:val="52"/>
        </w:rPr>
        <w:t xml:space="preserve"> enabling </w:t>
      </w:r>
      <w:bookmarkStart w:id="2" w:name="_Toc98394874"/>
      <w:bookmarkStart w:id="3" w:name="_Toc296423678"/>
      <w:bookmarkStart w:id="4" w:name="_Toc296497509"/>
      <w:bookmarkEnd w:id="0"/>
      <w:bookmarkEnd w:id="1"/>
      <w:r w:rsidRPr="00091DA7">
        <w:rPr>
          <w:sz w:val="52"/>
          <w:szCs w:val="52"/>
        </w:rPr>
        <w:t xml:space="preserve">student pathways from </w:t>
      </w:r>
      <w:r w:rsidR="006464C4">
        <w:rPr>
          <w:sz w:val="52"/>
          <w:szCs w:val="52"/>
        </w:rPr>
        <w:t>VET</w:t>
      </w:r>
      <w:r w:rsidR="004A6A86" w:rsidRPr="00091DA7">
        <w:rPr>
          <w:sz w:val="52"/>
          <w:szCs w:val="52"/>
        </w:rPr>
        <w:t xml:space="preserve"> to </w:t>
      </w:r>
      <w:r w:rsidR="009F3F0C" w:rsidRPr="00091DA7">
        <w:rPr>
          <w:sz w:val="52"/>
          <w:szCs w:val="52"/>
        </w:rPr>
        <w:t>higher education</w:t>
      </w:r>
      <w:r w:rsidR="004A6A86" w:rsidRPr="00091DA7">
        <w:rPr>
          <w:sz w:val="52"/>
          <w:szCs w:val="52"/>
        </w:rPr>
        <w:t xml:space="preserve"> in building and construc</w:t>
      </w:r>
      <w:r w:rsidRPr="00091DA7">
        <w:rPr>
          <w:sz w:val="52"/>
          <w:szCs w:val="52"/>
        </w:rPr>
        <w:t>t</w:t>
      </w:r>
      <w:r w:rsidR="004A6A86" w:rsidRPr="00091DA7">
        <w:rPr>
          <w:sz w:val="52"/>
          <w:szCs w:val="52"/>
        </w:rPr>
        <w:t>i</w:t>
      </w:r>
      <w:r w:rsidRPr="00091DA7">
        <w:rPr>
          <w:sz w:val="52"/>
          <w:szCs w:val="52"/>
        </w:rPr>
        <w:t>on</w:t>
      </w:r>
      <w:r w:rsidR="00502BB8" w:rsidRPr="00091DA7">
        <w:rPr>
          <w:sz w:val="52"/>
          <w:szCs w:val="52"/>
        </w:rPr>
        <w:t xml:space="preserve"> management</w:t>
      </w:r>
    </w:p>
    <w:bookmarkEnd w:id="2"/>
    <w:p w:rsidR="00681F35" w:rsidRPr="00681F35" w:rsidRDefault="00681F35" w:rsidP="00681F35">
      <w:pPr>
        <w:pStyle w:val="Authors"/>
      </w:pPr>
      <w:r w:rsidRPr="00681F35">
        <w:t>Anthony Mills</w:t>
      </w:r>
    </w:p>
    <w:p w:rsidR="00681F35" w:rsidRPr="009A2B69" w:rsidRDefault="00681F35" w:rsidP="00681F35">
      <w:pPr>
        <w:pStyle w:val="Authors"/>
        <w:rPr>
          <w:sz w:val="24"/>
        </w:rPr>
      </w:pPr>
      <w:r>
        <w:rPr>
          <w:sz w:val="24"/>
        </w:rPr>
        <w:t>Deakin University, Geelong</w:t>
      </w:r>
    </w:p>
    <w:p w:rsidR="00681F35" w:rsidRDefault="00681F35" w:rsidP="00091DA7">
      <w:pPr>
        <w:pStyle w:val="Authors"/>
        <w:spacing w:before="80"/>
        <w:ind w:right="0"/>
      </w:pPr>
      <w:r>
        <w:t>Patricia McLaughlin</w:t>
      </w:r>
    </w:p>
    <w:p w:rsidR="00681F35" w:rsidRDefault="00681F35" w:rsidP="00681F35">
      <w:pPr>
        <w:pStyle w:val="Authors"/>
        <w:rPr>
          <w:sz w:val="24"/>
        </w:rPr>
      </w:pPr>
      <w:r>
        <w:rPr>
          <w:sz w:val="24"/>
        </w:rPr>
        <w:t>RMIT University, Melbourne</w:t>
      </w:r>
    </w:p>
    <w:p w:rsidR="00502BB8" w:rsidRPr="00277176" w:rsidRDefault="00FA7C27" w:rsidP="00091DA7">
      <w:pPr>
        <w:pStyle w:val="Authors"/>
        <w:spacing w:before="80"/>
        <w:ind w:right="0"/>
        <w:rPr>
          <w:lang w:val="fr-FR"/>
        </w:rPr>
      </w:pPr>
      <w:r>
        <w:rPr>
          <w:lang w:val="fr-FR"/>
        </w:rPr>
        <w:t>J</w:t>
      </w:r>
      <w:r w:rsidR="003958D3" w:rsidRPr="00277176">
        <w:rPr>
          <w:lang w:val="fr-FR"/>
        </w:rPr>
        <w:t>ane Carnegie</w:t>
      </w:r>
    </w:p>
    <w:p w:rsidR="00502BB8" w:rsidRDefault="00502BB8" w:rsidP="00681F35">
      <w:pPr>
        <w:pStyle w:val="Authors"/>
        <w:rPr>
          <w:sz w:val="24"/>
          <w:lang w:val="fr-FR"/>
        </w:rPr>
      </w:pPr>
      <w:r w:rsidRPr="00277176">
        <w:rPr>
          <w:sz w:val="24"/>
          <w:lang w:val="fr-FR"/>
        </w:rPr>
        <w:t>Jane Carnegie Consulting</w:t>
      </w:r>
    </w:p>
    <w:bookmarkEnd w:id="3"/>
    <w:bookmarkEnd w:id="4"/>
    <w:p w:rsidR="00B356A8" w:rsidRDefault="00B356A8" w:rsidP="0006125F">
      <w:pPr>
        <w:pStyle w:val="Heading3"/>
        <w:ind w:right="-1"/>
      </w:pPr>
    </w:p>
    <w:p w:rsidR="00B356A8" w:rsidRDefault="000A635C" w:rsidP="00B356A8">
      <w:pPr>
        <w:pStyle w:val="Text"/>
        <w:rPr>
          <w:rFonts w:ascii="Tahoma" w:hAnsi="Tahoma" w:cs="Tahoma"/>
          <w:color w:val="000000"/>
          <w:sz w:val="24"/>
        </w:rPr>
      </w:pPr>
      <w:r w:rsidRPr="000A635C">
        <w:rPr>
          <w:noProof/>
          <w:lang w:eastAsia="en-AU"/>
        </w:rPr>
        <w:pict>
          <v:shapetype id="_x0000_t202" coordsize="21600,21600" o:spt="202" path="m,l,21600r21600,l21600,xe">
            <v:stroke joinstyle="miter"/>
            <v:path gradientshapeok="t" o:connecttype="rect"/>
          </v:shapetype>
          <v:shape id="_x0000_s1036" type="#_x0000_t202" style="position:absolute;margin-left:79.25pt;margin-top:551.15pt;width:264.8pt;height:83pt;z-index:251667456;mso-position-vertical-relative:margin" o:regroupid="1" filled="f" stroked="f">
            <v:textbox style="mso-next-textbox:#_x0000_s1036">
              <w:txbxContent>
                <w:p w:rsidR="00026DCE" w:rsidRPr="00B356A8" w:rsidRDefault="00026DCE" w:rsidP="00B356A8">
                  <w:pPr>
                    <w:pStyle w:val="Heading3"/>
                    <w:rPr>
                      <w:rFonts w:ascii="Trebuchet MS" w:hAnsi="Trebuchet MS"/>
                    </w:rPr>
                  </w:pPr>
                  <w:r w:rsidRPr="00B356A8">
                    <w:rPr>
                      <w:rFonts w:ascii="Trebuchet MS" w:hAnsi="Trebuchet MS"/>
                    </w:rPr>
                    <w:t>NATIONAL VOCATIONAL EDUCATION AND</w:t>
                  </w:r>
                  <w:r>
                    <w:rPr>
                      <w:rFonts w:ascii="Trebuchet MS" w:hAnsi="Trebuchet MS"/>
                    </w:rPr>
                    <w:t> </w:t>
                  </w:r>
                  <w:r w:rsidRPr="00B356A8">
                    <w:rPr>
                      <w:rFonts w:ascii="Trebuchet MS" w:hAnsi="Trebuchet MS"/>
                    </w:rPr>
                    <w:t xml:space="preserve">TRAINING RESEARCH PROGRAM </w:t>
                  </w:r>
                </w:p>
                <w:p w:rsidR="00026DCE" w:rsidRDefault="00026DCE" w:rsidP="00B356A8">
                  <w:pPr>
                    <w:pStyle w:val="Heading3"/>
                    <w:spacing w:before="80"/>
                  </w:pPr>
                  <w:r w:rsidRPr="00B356A8">
                    <w:rPr>
                      <w:rFonts w:ascii="Trebuchet MS" w:hAnsi="Trebuchet MS"/>
                      <w:b/>
                    </w:rPr>
                    <w:t>RESEARCH REPORT</w:t>
                  </w:r>
                </w:p>
              </w:txbxContent>
            </v:textbox>
            <w10:wrap anchory="margin"/>
          </v:shape>
        </w:pict>
      </w:r>
      <w:r w:rsidRPr="000A635C">
        <w:rPr>
          <w:noProof/>
          <w:lang w:eastAsia="en-AU"/>
        </w:rPr>
        <w:pict>
          <v:shape id="_x0000_s1034" type="#_x0000_t202" style="position:absolute;margin-left:72.4pt;margin-top:649.55pt;width:357pt;height:83pt;z-index:251666432;mso-position-vertical-relative:margin" o:regroupid="1" filled="f" stroked="f">
            <v:textbox style="mso-next-textbox:#_x0000_s1034">
              <w:txbxContent>
                <w:p w:rsidR="00026DCE" w:rsidRDefault="00026DCE"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026DCE" w:rsidRPr="00B356A8" w:rsidRDefault="00026DCE" w:rsidP="00B356A8">
                  <w:pPr>
                    <w:pStyle w:val="Imprint"/>
                    <w:spacing w:before="120"/>
                    <w:ind w:left="142" w:right="10"/>
                    <w:rPr>
                      <w:color w:val="000000"/>
                    </w:rPr>
                  </w:pPr>
                  <w:r w:rsidRPr="005C2FCF">
                    <w:rPr>
                      <w:color w:val="000000"/>
                    </w:rPr>
                    <w:t>Any interpretation of data is the responsibility of the author/project team.</w:t>
                  </w:r>
                </w:p>
              </w:txbxContent>
            </v:textbox>
            <w10:wrap anchory="margin"/>
          </v:shape>
        </w:pict>
      </w:r>
      <w:r w:rsidR="00B356A8">
        <w:br w:type="page"/>
      </w:r>
    </w:p>
    <w:p w:rsidR="009E231A" w:rsidRPr="005C2FCF" w:rsidRDefault="00FE4A2D" w:rsidP="0006125F">
      <w:pPr>
        <w:pStyle w:val="Heading3"/>
        <w:ind w:right="-1"/>
      </w:pPr>
      <w:r w:rsidRPr="005C2FCF">
        <w:lastRenderedPageBreak/>
        <w:t>Publisher’s note</w:t>
      </w:r>
    </w:p>
    <w:p w:rsidR="00233BFA" w:rsidRDefault="00233BFA" w:rsidP="00BD4621">
      <w:pPr>
        <w:pStyle w:val="Imprint"/>
        <w:ind w:right="1558"/>
      </w:pPr>
      <w:r>
        <w:t>To find other material of interest, search VOCED (the UNESCO/NCVER international database &lt;</w:t>
      </w:r>
      <w:hyperlink r:id="rId10" w:history="1">
        <w:r w:rsidR="00BD4621" w:rsidRPr="007D2D93">
          <w:rPr>
            <w:rStyle w:val="Hyperlink"/>
            <w:sz w:val="16"/>
          </w:rPr>
          <w:t>www.voced.edu.au</w:t>
        </w:r>
      </w:hyperlink>
      <w:r>
        <w:t>&gt;) using the following keywords:</w:t>
      </w:r>
      <w:r w:rsidR="00D66835">
        <w:t xml:space="preserve"> </w:t>
      </w:r>
      <w:r w:rsidR="00D66835" w:rsidRPr="00D66835">
        <w:t>higher education; industry; pathways; providers of education and training; qualifications; skill development; student mobility; vocational education and training</w:t>
      </w:r>
      <w:r w:rsidR="006F0EE6">
        <w:t>.</w:t>
      </w:r>
    </w:p>
    <w:p w:rsidR="009E231A" w:rsidRPr="00C77DC6" w:rsidRDefault="000A635C" w:rsidP="0009309C">
      <w:pPr>
        <w:pStyle w:val="Abouttheresearch"/>
      </w:pPr>
      <w:r>
        <w:pict>
          <v:shape id="_x0000_s1038" type="#_x0000_t202" style="position:absolute;margin-left:0;margin-top:75.35pt;width:378.55pt;height:546.1pt;z-index:251661312;v-text-anchor:bottom" filled="f" stroked="f">
            <v:textbox style="mso-next-textbox:#_x0000_s1038" inset="0,,0">
              <w:txbxContent>
                <w:p w:rsidR="00026DCE" w:rsidRPr="00F301D8" w:rsidRDefault="00026DCE" w:rsidP="00BD4621">
                  <w:pPr>
                    <w:pStyle w:val="Imprint"/>
                    <w:rPr>
                      <w:b/>
                    </w:rPr>
                  </w:pPr>
                  <w:r w:rsidRPr="00F301D8">
                    <w:rPr>
                      <w:b/>
                    </w:rPr>
                    <w:t>© Commonwealth of Australia, 2013</w:t>
                  </w:r>
                </w:p>
                <w:p w:rsidR="00026DCE" w:rsidRDefault="00026DCE" w:rsidP="00BD4621">
                  <w:pPr>
                    <w:pStyle w:val="Imprint"/>
                    <w:rPr>
                      <w:sz w:val="20"/>
                    </w:rPr>
                  </w:pPr>
                  <w:r w:rsidRPr="00E80270">
                    <w:rPr>
                      <w:noProof/>
                      <w:sz w:val="20"/>
                      <w:lang w:eastAsia="en-AU"/>
                    </w:rPr>
                    <w:drawing>
                      <wp:inline distT="0" distB="0" distL="0" distR="0">
                        <wp:extent cx="850265" cy="302895"/>
                        <wp:effectExtent l="19050" t="0" r="6985" b="0"/>
                        <wp:docPr id="1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26DCE" w:rsidRPr="00A021FC" w:rsidRDefault="00026DCE" w:rsidP="00BD4621">
                  <w:pPr>
                    <w:pStyle w:val="Imprint"/>
                  </w:pPr>
                  <w:r w:rsidRPr="00A021FC">
                    <w:t>With the exception of the Commonwealth Coat of Arms, the Department’s logo, any material protected by a trade mark and where otherwise noted all material presented in this document is provided under a Creative Commons At</w:t>
                  </w:r>
                  <w:r>
                    <w:t>tribution 3.0 Australia &lt;</w:t>
                  </w:r>
                  <w:r w:rsidRPr="00A021FC">
                    <w:t xml:space="preserve">creativecommons.org/licenses/by/3.0/au&gt; licence. </w:t>
                  </w:r>
                </w:p>
                <w:p w:rsidR="00026DCE" w:rsidRPr="00A021FC" w:rsidRDefault="00026DCE" w:rsidP="00BD4621">
                  <w:pPr>
                    <w:pStyle w:val="Imprint"/>
                    <w:spacing w:before="80"/>
                  </w:pPr>
                  <w:r w:rsidRPr="00A021FC">
                    <w:t xml:space="preserve">The details of the relevant licence conditions are available on the Creative Commons website (accessible using the links provided) as is the full legal code for </w:t>
                  </w:r>
                  <w:r>
                    <w:t>the CC BY 3.0 AU licence &lt;</w:t>
                  </w:r>
                  <w:r w:rsidRPr="00A021FC">
                    <w:t>creativecommons.org/licenses/by/3.0/</w:t>
                  </w:r>
                  <w:proofErr w:type="spellStart"/>
                  <w:r w:rsidRPr="00A021FC">
                    <w:t>legalcode</w:t>
                  </w:r>
                  <w:proofErr w:type="spellEnd"/>
                  <w:r w:rsidRPr="00A021FC">
                    <w:t>&gt;.</w:t>
                  </w:r>
                </w:p>
                <w:p w:rsidR="00026DCE" w:rsidRPr="00A021FC" w:rsidRDefault="00026DCE" w:rsidP="00BD4621">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026DCE" w:rsidRPr="00A021FC" w:rsidRDefault="00026DCE" w:rsidP="00BD4621">
                  <w:pPr>
                    <w:pStyle w:val="Imprint"/>
                    <w:spacing w:before="80"/>
                  </w:pPr>
                  <w:r w:rsidRPr="00A021FC">
                    <w:t xml:space="preserve">This document should be attributed as </w:t>
                  </w:r>
                  <w:r>
                    <w:t xml:space="preserve">Mills, </w:t>
                  </w:r>
                  <w:proofErr w:type="gramStart"/>
                  <w:r>
                    <w:t>A</w:t>
                  </w:r>
                  <w:proofErr w:type="gramEnd"/>
                  <w:r>
                    <w:t>, McLaughlin, P &amp; Carnegie, J 2013,</w:t>
                  </w:r>
                  <w:r w:rsidRPr="005540A8">
                    <w:t xml:space="preserve"> </w:t>
                  </w:r>
                  <w:r>
                    <w:rPr>
                      <w:i/>
                    </w:rPr>
                    <w:t>Hurdling the barriers: enabling student pathways from VET to higher education in building and construction management</w:t>
                  </w:r>
                  <w:r w:rsidRPr="00A021FC">
                    <w:rPr>
                      <w:i/>
                    </w:rPr>
                    <w:t>,</w:t>
                  </w:r>
                  <w:r w:rsidRPr="00A021FC">
                    <w:t xml:space="preserve"> NCVER, Adelaide.</w:t>
                  </w:r>
                </w:p>
                <w:p w:rsidR="00026DCE" w:rsidRPr="00EC29E3" w:rsidRDefault="00026DCE" w:rsidP="00BD4621">
                  <w:pPr>
                    <w:pStyle w:val="Imprint"/>
                    <w:ind w:right="1700"/>
                    <w:rPr>
                      <w:smallCaps/>
                      <w:color w:val="000000"/>
                    </w:rPr>
                  </w:pPr>
                  <w:r>
                    <w:rPr>
                      <w:smallCaps/>
                      <w:color w:val="000000"/>
                    </w:rPr>
                    <w:t>COVER IMAGE: GETTY IMAGES/THINKSTOCK</w:t>
                  </w:r>
                </w:p>
                <w:p w:rsidR="00026DCE" w:rsidRPr="005C2FCF" w:rsidRDefault="00026DCE" w:rsidP="00A30084">
                  <w:pPr>
                    <w:pStyle w:val="Imprint"/>
                    <w:rPr>
                      <w:color w:val="000000"/>
                    </w:rPr>
                  </w:pPr>
                  <w:r w:rsidRPr="005C2FCF">
                    <w:rPr>
                      <w:color w:val="000000"/>
                    </w:rPr>
                    <w:t>ISBN</w:t>
                  </w:r>
                  <w:r w:rsidRPr="005C2FCF">
                    <w:rPr>
                      <w:color w:val="000000"/>
                    </w:rPr>
                    <w:tab/>
                  </w:r>
                  <w:r w:rsidRPr="00C93079">
                    <w:rPr>
                      <w:color w:val="000000"/>
                    </w:rPr>
                    <w:t>978 1 922056 60 3</w:t>
                  </w:r>
                  <w:r>
                    <w:rPr>
                      <w:color w:val="000000"/>
                    </w:rPr>
                    <w:br/>
                  </w:r>
                  <w:r w:rsidRPr="005C2FCF">
                    <w:rPr>
                      <w:color w:val="000000"/>
                    </w:rPr>
                    <w:t>TD/TNC</w:t>
                  </w:r>
                  <w:r w:rsidRPr="005C2FCF">
                    <w:rPr>
                      <w:color w:val="000000"/>
                    </w:rPr>
                    <w:tab/>
                  </w:r>
                  <w:r>
                    <w:rPr>
                      <w:color w:val="000000"/>
                    </w:rPr>
                    <w:t>112.21</w:t>
                  </w:r>
                </w:p>
                <w:p w:rsidR="00026DCE" w:rsidRPr="005C2FCF" w:rsidRDefault="00026DCE" w:rsidP="00BD4621">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026DCE" w:rsidRPr="005C2FCF" w:rsidRDefault="00026DCE" w:rsidP="00BD4621">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26DCE" w:rsidRDefault="00026DCE" w:rsidP="00BD4621">
                  <w:pPr>
                    <w:pStyle w:val="Imprint"/>
                    <w:spacing w:before="80"/>
                    <w:rPr>
                      <w:color w:val="000000"/>
                    </w:rPr>
                  </w:pPr>
                  <w:r w:rsidRPr="005540A8">
                    <w:rPr>
                      <w:b/>
                      <w:color w:val="000000"/>
                    </w:rPr>
                    <w:t>P</w:t>
                  </w:r>
                  <w:r w:rsidRPr="005C2FCF">
                    <w:rPr>
                      <w:color w:val="000000"/>
                    </w:rPr>
                    <w:t xml:space="preserve"> +61 8 8230 8400 </w:t>
                  </w:r>
                  <w:r>
                    <w:rPr>
                      <w:color w:val="000000"/>
                    </w:rPr>
                    <w:t xml:space="preserve">  </w:t>
                  </w:r>
                  <w:r w:rsidRPr="005540A8">
                    <w:rPr>
                      <w:b/>
                      <w:color w:val="000000"/>
                    </w:rPr>
                    <w:t>F</w:t>
                  </w:r>
                  <w:r w:rsidRPr="005C2FCF">
                    <w:rPr>
                      <w:color w:val="000000"/>
                    </w:rPr>
                    <w:t xml:space="preserve"> +61 8 8212 3436</w:t>
                  </w:r>
                  <w:r>
                    <w:rPr>
                      <w:color w:val="000000"/>
                    </w:rPr>
                    <w:t xml:space="preserve">   </w:t>
                  </w:r>
                  <w:r w:rsidRPr="005540A8">
                    <w:rPr>
                      <w:b/>
                      <w:color w:val="000000"/>
                    </w:rPr>
                    <w:t>E</w:t>
                  </w:r>
                  <w:r w:rsidRPr="005C2FCF">
                    <w:rPr>
                      <w:color w:val="000000"/>
                    </w:rPr>
                    <w:t xml:space="preserve"> </w:t>
                  </w:r>
                  <w:hyperlink r:id="rId12" w:history="1">
                    <w:r w:rsidRPr="00441898">
                      <w:rPr>
                        <w:rStyle w:val="Hyperlink"/>
                        <w:sz w:val="16"/>
                      </w:rPr>
                      <w:t>ncver@ncver.edu.au</w:t>
                    </w:r>
                  </w:hyperlink>
                  <w:r>
                    <w:rPr>
                      <w:color w:val="000000"/>
                    </w:rPr>
                    <w:t xml:space="preserve">   </w:t>
                  </w:r>
                  <w:r w:rsidRPr="005540A8">
                    <w:rPr>
                      <w:b/>
                      <w:color w:val="000000"/>
                    </w:rPr>
                    <w:t>W</w:t>
                  </w:r>
                  <w:r>
                    <w:rPr>
                      <w:color w:val="000000"/>
                    </w:rPr>
                    <w:t xml:space="preserve"> </w:t>
                  </w:r>
                  <w:r w:rsidRPr="005C2FCF">
                    <w:rPr>
                      <w:color w:val="000000"/>
                    </w:rPr>
                    <w:t>&lt;www.ncver.edu.au&gt;</w:t>
                  </w:r>
                  <w:r>
                    <w:rPr>
                      <w:color w:val="000000"/>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 xml:space="preserve">About the </w:t>
      </w:r>
      <w:r w:rsidR="00FE4A2D" w:rsidRPr="0009309C">
        <w:t>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0D1B9C" w:rsidP="0009309C">
      <w:pPr>
        <w:pStyle w:val="Abouttheresearchpubtitle"/>
        <w:spacing w:line="360" w:lineRule="exact"/>
      </w:pPr>
      <w:bookmarkStart w:id="22" w:name="_Toc296423680"/>
      <w:bookmarkStart w:id="23" w:name="_Toc296497511"/>
      <w:bookmarkStart w:id="24" w:name="_Toc98394877"/>
      <w:r>
        <w:t>Hurdling the barriers:</w:t>
      </w:r>
      <w:r w:rsidR="000B5CD9">
        <w:t xml:space="preserve"> </w:t>
      </w:r>
      <w:bookmarkEnd w:id="22"/>
      <w:bookmarkEnd w:id="23"/>
      <w:r>
        <w:t xml:space="preserve">enabling </w:t>
      </w:r>
      <w:r w:rsidR="000B5CD9">
        <w:t xml:space="preserve">student pathways from </w:t>
      </w:r>
      <w:r w:rsidR="006F0EE6">
        <w:t>VET</w:t>
      </w:r>
      <w:r w:rsidR="009F3F0C">
        <w:t xml:space="preserve"> </w:t>
      </w:r>
      <w:r w:rsidR="000B5CD9">
        <w:t xml:space="preserve">to </w:t>
      </w:r>
      <w:r w:rsidR="009F3F0C">
        <w:t>higher educatio</w:t>
      </w:r>
      <w:r w:rsidR="000B5CD9">
        <w:t xml:space="preserve">n </w:t>
      </w:r>
      <w:r w:rsidR="006F0EE6">
        <w:t xml:space="preserve">in </w:t>
      </w:r>
      <w:r w:rsidR="000B5CD9" w:rsidRPr="0009309C">
        <w:t>building</w:t>
      </w:r>
      <w:r w:rsidR="000B5CD9">
        <w:t xml:space="preserve"> and construction</w:t>
      </w:r>
      <w:r w:rsidR="00FC2245">
        <w:t xml:space="preserve"> management</w:t>
      </w:r>
    </w:p>
    <w:p w:rsidR="009E231A" w:rsidRPr="001B43CF" w:rsidRDefault="000B5CD9" w:rsidP="00874DA5">
      <w:pPr>
        <w:pStyle w:val="Heading3"/>
      </w:pPr>
      <w:bookmarkStart w:id="25" w:name="_Toc296423681"/>
      <w:bookmarkStart w:id="26" w:name="_Toc296497512"/>
      <w:r>
        <w:t>Anthony Mills, Deakin University</w:t>
      </w:r>
      <w:r w:rsidR="00C02237">
        <w:t>,</w:t>
      </w:r>
      <w:r>
        <w:t xml:space="preserve"> Patricia McLaughlin, RMIT University</w:t>
      </w:r>
      <w:r w:rsidR="006F0EE6">
        <w:t>,</w:t>
      </w:r>
      <w:r w:rsidR="00C02237">
        <w:t xml:space="preserve"> and </w:t>
      </w:r>
      <w:r w:rsidR="00FA7C27">
        <w:br/>
      </w:r>
      <w:r w:rsidR="00C02237">
        <w:t>Jane Carnegie, Jane Carnegie Consulting</w:t>
      </w:r>
      <w:r w:rsidR="00510D3B">
        <w:t xml:space="preserve"> </w:t>
      </w:r>
      <w:bookmarkEnd w:id="24"/>
      <w:bookmarkEnd w:id="25"/>
      <w:bookmarkEnd w:id="26"/>
    </w:p>
    <w:p w:rsidR="001E6818" w:rsidRPr="00117948" w:rsidRDefault="00364B19" w:rsidP="0009309C">
      <w:pPr>
        <w:pStyle w:val="Text"/>
        <w:spacing w:before="360"/>
        <w:ind w:right="0"/>
      </w:pPr>
      <w:r>
        <w:t>This project investigates</w:t>
      </w:r>
      <w:r w:rsidR="00A4029E">
        <w:t xml:space="preserve"> student</w:t>
      </w:r>
      <w:r w:rsidR="00642A0C">
        <w:t xml:space="preserve"> transfer from </w:t>
      </w:r>
      <w:r w:rsidR="009F3F0C">
        <w:t>vocational education and training (</w:t>
      </w:r>
      <w:r w:rsidR="00642A0C">
        <w:t>VET</w:t>
      </w:r>
      <w:r w:rsidR="009F3F0C">
        <w:t>)</w:t>
      </w:r>
      <w:r w:rsidR="00642A0C">
        <w:t xml:space="preserve"> to </w:t>
      </w:r>
      <w:r w:rsidR="00BB0A33">
        <w:t>higher education</w:t>
      </w:r>
      <w:r w:rsidR="006F0EE6">
        <w:t>,</w:t>
      </w:r>
      <w:r w:rsidR="006157B0">
        <w:t xml:space="preserve"> </w:t>
      </w:r>
      <w:r w:rsidR="006F0EE6">
        <w:t xml:space="preserve">that is, from </w:t>
      </w:r>
      <w:r w:rsidR="00642A0C">
        <w:t>diploma to degree</w:t>
      </w:r>
      <w:r w:rsidR="006F0EE6">
        <w:t>,</w:t>
      </w:r>
      <w:r w:rsidR="00642A0C">
        <w:t xml:space="preserve"> in the building </w:t>
      </w:r>
      <w:r w:rsidR="00D816B4">
        <w:t xml:space="preserve">and construction </w:t>
      </w:r>
      <w:r w:rsidR="00117948">
        <w:t>industry</w:t>
      </w:r>
      <w:r w:rsidR="00642A0C">
        <w:t>.</w:t>
      </w:r>
      <w:r w:rsidR="00510D3B">
        <w:t xml:space="preserve"> </w:t>
      </w:r>
      <w:r w:rsidR="00DF6176">
        <w:t>Thirty-six</w:t>
      </w:r>
      <w:r w:rsidR="00A641FF">
        <w:t xml:space="preserve"> VET diploma students </w:t>
      </w:r>
      <w:r w:rsidR="008B70F6">
        <w:t>currently</w:t>
      </w:r>
      <w:r w:rsidR="00A641FF">
        <w:t xml:space="preserve"> studying a degree </w:t>
      </w:r>
      <w:r w:rsidR="00530105">
        <w:t xml:space="preserve">in construction management and related qualifications </w:t>
      </w:r>
      <w:r w:rsidR="00A641FF">
        <w:t xml:space="preserve">were interviewed across </w:t>
      </w:r>
      <w:r w:rsidR="00DF6176">
        <w:t xml:space="preserve">eight </w:t>
      </w:r>
      <w:r w:rsidR="00A641FF">
        <w:t xml:space="preserve">universities to identify </w:t>
      </w:r>
      <w:r w:rsidR="00BD1283">
        <w:t>what</w:t>
      </w:r>
      <w:r w:rsidR="00D816B4">
        <w:t xml:space="preserve"> helped them </w:t>
      </w:r>
      <w:r w:rsidR="006F0EE6">
        <w:t xml:space="preserve">to </w:t>
      </w:r>
      <w:r w:rsidR="00D816B4">
        <w:t>make the transition</w:t>
      </w:r>
      <w:r w:rsidR="00A641FF">
        <w:t xml:space="preserve">. </w:t>
      </w:r>
      <w:r w:rsidR="00117948">
        <w:t>While previous research on pathways has considered the question of enablers, limited research has been undertaken from the perspective of students.</w:t>
      </w:r>
    </w:p>
    <w:p w:rsidR="00DF2A95" w:rsidRDefault="00FE4A2D" w:rsidP="0009309C">
      <w:pPr>
        <w:pStyle w:val="Keymessages"/>
      </w:pPr>
      <w:bookmarkStart w:id="27" w:name="_Toc98394878"/>
      <w:bookmarkStart w:id="28" w:name="_Toc296423682"/>
      <w:bookmarkStart w:id="29" w:name="_Toc296497513"/>
      <w:r w:rsidRPr="005C2FCF">
        <w:t>Key messages</w:t>
      </w:r>
      <w:bookmarkEnd w:id="27"/>
      <w:bookmarkEnd w:id="28"/>
      <w:bookmarkEnd w:id="29"/>
    </w:p>
    <w:p w:rsidR="004E4298" w:rsidRDefault="0038008F" w:rsidP="0009309C">
      <w:pPr>
        <w:pStyle w:val="Text"/>
      </w:pPr>
      <w:r>
        <w:t xml:space="preserve">Students who have used a pathway from </w:t>
      </w:r>
      <w:r w:rsidR="001E6818">
        <w:t xml:space="preserve">a </w:t>
      </w:r>
      <w:r w:rsidR="00032A36">
        <w:t xml:space="preserve">building </w:t>
      </w:r>
      <w:r>
        <w:t>diploma to</w:t>
      </w:r>
      <w:r w:rsidR="001E6818">
        <w:t xml:space="preserve"> a</w:t>
      </w:r>
      <w:r>
        <w:t xml:space="preserve"> </w:t>
      </w:r>
      <w:r w:rsidR="00032A36">
        <w:t xml:space="preserve">construction </w:t>
      </w:r>
      <w:r>
        <w:t xml:space="preserve">degree identified </w:t>
      </w:r>
      <w:r w:rsidR="008B70F6">
        <w:t xml:space="preserve">various </w:t>
      </w:r>
      <w:r w:rsidR="00981A9F">
        <w:t>enablers</w:t>
      </w:r>
      <w:r w:rsidR="00032A36">
        <w:t>. The most common were:</w:t>
      </w:r>
    </w:p>
    <w:p w:rsidR="00DF2A95" w:rsidRDefault="001E6818" w:rsidP="00102983">
      <w:pPr>
        <w:pStyle w:val="Dotpoint1"/>
      </w:pPr>
      <w:r>
        <w:t>p</w:t>
      </w:r>
      <w:r w:rsidR="00981A9F">
        <w:t>eople</w:t>
      </w:r>
      <w:r>
        <w:t xml:space="preserve"> </w:t>
      </w:r>
      <w:r w:rsidR="009D4710">
        <w:t xml:space="preserve">who provided guidance, support </w:t>
      </w:r>
      <w:r>
        <w:t>and</w:t>
      </w:r>
      <w:r w:rsidR="009D4710">
        <w:t xml:space="preserve"> knowledge of pathways</w:t>
      </w:r>
      <w:r>
        <w:t xml:space="preserve"> (particularly VET teachers)</w:t>
      </w:r>
    </w:p>
    <w:p w:rsidR="00CF4369" w:rsidRDefault="009D4710" w:rsidP="00102983">
      <w:pPr>
        <w:pStyle w:val="Dotpoint1"/>
      </w:pPr>
      <w:r>
        <w:t xml:space="preserve">positive </w:t>
      </w:r>
      <w:r w:rsidR="00981A9F">
        <w:t xml:space="preserve">VET </w:t>
      </w:r>
      <w:r w:rsidR="00510D3B">
        <w:t>learning experiences, which</w:t>
      </w:r>
      <w:r w:rsidR="00A4017A">
        <w:t xml:space="preserve"> </w:t>
      </w:r>
      <w:r w:rsidR="00981A9F">
        <w:t>built</w:t>
      </w:r>
      <w:r w:rsidR="003430C9">
        <w:t xml:space="preserve"> </w:t>
      </w:r>
      <w:r w:rsidR="00A96862">
        <w:t>confidence and motivation</w:t>
      </w:r>
      <w:r w:rsidR="00981A9F">
        <w:t xml:space="preserve"> for ongoing learning</w:t>
      </w:r>
      <w:r w:rsidR="00DF6176">
        <w:t xml:space="preserve"> and </w:t>
      </w:r>
      <w:r w:rsidR="00981A9F">
        <w:t xml:space="preserve">the </w:t>
      </w:r>
      <w:r w:rsidR="00A96862">
        <w:t xml:space="preserve">development of self-directed learning </w:t>
      </w:r>
      <w:r w:rsidR="001E6818">
        <w:t xml:space="preserve">skills </w:t>
      </w:r>
    </w:p>
    <w:p w:rsidR="00DF6176" w:rsidRDefault="00DF6176" w:rsidP="00102983">
      <w:pPr>
        <w:pStyle w:val="Dotpoint1"/>
      </w:pPr>
      <w:proofErr w:type="gramStart"/>
      <w:r>
        <w:t>the</w:t>
      </w:r>
      <w:proofErr w:type="gramEnd"/>
      <w:r>
        <w:t xml:space="preserve"> recognition given for prior VET studies through admission and credi</w:t>
      </w:r>
      <w:r w:rsidR="00BD1283">
        <w:t>t by the receiving universities</w:t>
      </w:r>
      <w:r w:rsidR="00510D3B">
        <w:t>.</w:t>
      </w:r>
      <w:r>
        <w:t xml:space="preserve"> </w:t>
      </w:r>
    </w:p>
    <w:p w:rsidR="00117948" w:rsidRPr="00102983" w:rsidRDefault="00BD1283" w:rsidP="00102983">
      <w:pPr>
        <w:pStyle w:val="Text"/>
      </w:pPr>
      <w:r>
        <w:t>While the research identified various enablers, the pathway from a building diploma to a construction degree is seriously constrained by the low</w:t>
      </w:r>
      <w:r w:rsidR="00510D3B">
        <w:t xml:space="preserve"> numbers of students in diploma-</w:t>
      </w:r>
      <w:r>
        <w:t>level building studies</w:t>
      </w:r>
      <w:r w:rsidR="00117948">
        <w:t>.</w:t>
      </w:r>
      <w:r>
        <w:t xml:space="preserve"> </w:t>
      </w:r>
      <w:r w:rsidRPr="00102983">
        <w:t>Improving recognition of prior learning for industry employees would help to expand the potential pool of students who could take this path.</w:t>
      </w:r>
      <w:r w:rsidR="00117948" w:rsidRPr="00102983">
        <w:t xml:space="preserve"> </w:t>
      </w:r>
    </w:p>
    <w:p w:rsidR="00BD1283" w:rsidRPr="00102983" w:rsidRDefault="00BD1283" w:rsidP="00102983">
      <w:pPr>
        <w:pStyle w:val="Text"/>
      </w:pPr>
    </w:p>
    <w:p w:rsidR="009E231A" w:rsidRPr="005C2FCF" w:rsidRDefault="00FE4A2D" w:rsidP="00102983">
      <w:pPr>
        <w:pStyle w:val="Text"/>
      </w:pPr>
      <w:r w:rsidRPr="00102983">
        <w:t>Tom Karmel</w:t>
      </w:r>
      <w:r w:rsidRPr="00102983">
        <w:br/>
        <w:t>Managing</w:t>
      </w:r>
      <w:r w:rsidRPr="005C2FCF">
        <w:t xml:space="preserve"> Director, NCVER</w:t>
      </w:r>
    </w:p>
    <w:p w:rsidR="00DF6176" w:rsidRDefault="00DF6176" w:rsidP="00874DA5">
      <w:pPr>
        <w:pStyle w:val="Contents"/>
      </w:pPr>
    </w:p>
    <w:p w:rsidR="00BD1283" w:rsidRDefault="00BD1283">
      <w:pPr>
        <w:spacing w:before="0" w:line="240" w:lineRule="auto"/>
        <w:rPr>
          <w:rFonts w:ascii="Tahoma" w:hAnsi="Tahoma" w:cs="Tahoma"/>
          <w:color w:val="000000"/>
          <w:kern w:val="28"/>
          <w:sz w:val="56"/>
          <w:szCs w:val="56"/>
        </w:rPr>
      </w:pPr>
      <w:r>
        <w:br w:type="page"/>
      </w:r>
    </w:p>
    <w:p w:rsidR="00177827" w:rsidRDefault="00510D3B" w:rsidP="00102983">
      <w:pPr>
        <w:pStyle w:val="Contents"/>
      </w:pPr>
      <w:r w:rsidRPr="00102983">
        <w:lastRenderedPageBreak/>
        <w:t>Acknowledg</w:t>
      </w:r>
      <w:r w:rsidR="004B6F64" w:rsidRPr="00102983">
        <w:t>ments</w:t>
      </w:r>
    </w:p>
    <w:p w:rsidR="004B6F64" w:rsidRPr="00D82F67" w:rsidRDefault="004B6F64" w:rsidP="00426532">
      <w:pPr>
        <w:pStyle w:val="Text"/>
      </w:pPr>
      <w:r w:rsidRPr="00D82F67">
        <w:t>The authors would like to acknowledge the generous support</w:t>
      </w:r>
      <w:r w:rsidR="0036710A" w:rsidRPr="00D82F67">
        <w:t xml:space="preserve"> and work </w:t>
      </w:r>
      <w:r w:rsidRPr="00D82F67">
        <w:t>of</w:t>
      </w:r>
      <w:r w:rsidR="003B4D96">
        <w:t>:</w:t>
      </w:r>
    </w:p>
    <w:p w:rsidR="003B4D96" w:rsidRPr="00102983" w:rsidRDefault="00502BB8" w:rsidP="00102983">
      <w:pPr>
        <w:pStyle w:val="Dotpoint1"/>
      </w:pPr>
      <w:r w:rsidRPr="003B4D96">
        <w:t>t</w:t>
      </w:r>
      <w:r w:rsidR="004B6F64" w:rsidRPr="003B4D96">
        <w:t>he</w:t>
      </w:r>
      <w:r w:rsidR="0036710A" w:rsidRPr="003B4D96">
        <w:t xml:space="preserve"> </w:t>
      </w:r>
      <w:r w:rsidR="00426532">
        <w:t>i</w:t>
      </w:r>
      <w:r w:rsidR="0036710A" w:rsidRPr="003B4D96">
        <w:t xml:space="preserve">ndustry </w:t>
      </w:r>
      <w:r w:rsidR="003B4D96" w:rsidRPr="003B4D96">
        <w:t xml:space="preserve">and </w:t>
      </w:r>
      <w:r w:rsidR="003B4D96" w:rsidRPr="00102983">
        <w:t xml:space="preserve">other </w:t>
      </w:r>
      <w:r w:rsidR="00426532" w:rsidRPr="00102983">
        <w:t>r</w:t>
      </w:r>
      <w:r w:rsidR="0036710A" w:rsidRPr="00102983">
        <w:t>oundtable participants, who gave their time</w:t>
      </w:r>
      <w:r w:rsidR="003B4D96" w:rsidRPr="00102983">
        <w:t xml:space="preserve"> </w:t>
      </w:r>
      <w:r w:rsidR="00510D3B" w:rsidRPr="00102983">
        <w:t>generously</w:t>
      </w:r>
    </w:p>
    <w:p w:rsidR="00502BB8" w:rsidRPr="00102983" w:rsidRDefault="00502BB8" w:rsidP="00102983">
      <w:pPr>
        <w:pStyle w:val="Dotpoint1"/>
      </w:pPr>
      <w:r w:rsidRPr="00102983">
        <w:t xml:space="preserve">the students and staff at the various tertiary institutions </w:t>
      </w:r>
      <w:r w:rsidR="003B4D96" w:rsidRPr="00102983">
        <w:t>during the data collection (</w:t>
      </w:r>
      <w:r w:rsidRPr="00102983">
        <w:t>interview)</w:t>
      </w:r>
      <w:r w:rsidR="00102983">
        <w:t> </w:t>
      </w:r>
      <w:r w:rsidRPr="00102983">
        <w:t>phase</w:t>
      </w:r>
    </w:p>
    <w:p w:rsidR="003B4D96" w:rsidRPr="00102983" w:rsidRDefault="003B4D96" w:rsidP="00102983">
      <w:pPr>
        <w:pStyle w:val="Dotpoint1"/>
      </w:pPr>
      <w:r w:rsidRPr="00102983">
        <w:t xml:space="preserve">Sofia </w:t>
      </w:r>
      <w:proofErr w:type="spellStart"/>
      <w:r w:rsidRPr="00102983">
        <w:t>Georgiadis</w:t>
      </w:r>
      <w:proofErr w:type="spellEnd"/>
      <w:r w:rsidRPr="00102983">
        <w:t>, RMIT, project administration</w:t>
      </w:r>
    </w:p>
    <w:p w:rsidR="003B4D96" w:rsidRPr="00102983" w:rsidRDefault="003B4D96" w:rsidP="00102983">
      <w:pPr>
        <w:pStyle w:val="Dotpoint1"/>
      </w:pPr>
      <w:r w:rsidRPr="00102983">
        <w:t>Jo</w:t>
      </w:r>
      <w:r w:rsidR="00D82F67" w:rsidRPr="00102983">
        <w:t xml:space="preserve"> Hargreaves, NCVER</w:t>
      </w:r>
      <w:r w:rsidRPr="00102983">
        <w:t xml:space="preserve"> project manager</w:t>
      </w:r>
    </w:p>
    <w:p w:rsidR="003C3190" w:rsidRPr="00102983" w:rsidRDefault="00502BB8" w:rsidP="00102983">
      <w:pPr>
        <w:pStyle w:val="Dotpoint1"/>
      </w:pPr>
      <w:r w:rsidRPr="00102983">
        <w:t>Pip</w:t>
      </w:r>
      <w:r w:rsidR="00727879" w:rsidRPr="00102983">
        <w:t xml:space="preserve"> Skurra</w:t>
      </w:r>
      <w:r w:rsidR="003B4D96" w:rsidRPr="00102983">
        <w:t>y, NCVER, for assistance on NCVER data</w:t>
      </w:r>
    </w:p>
    <w:p w:rsidR="003B4D96" w:rsidRDefault="003C3190" w:rsidP="00102983">
      <w:pPr>
        <w:pStyle w:val="Dotpoint1"/>
      </w:pPr>
      <w:r w:rsidRPr="00102983">
        <w:t xml:space="preserve">Phil Toner, </w:t>
      </w:r>
      <w:r w:rsidR="003B4D96" w:rsidRPr="00102983">
        <w:t>project</w:t>
      </w:r>
      <w:r w:rsidR="003B4D96">
        <w:t xml:space="preserve"> </w:t>
      </w:r>
      <w:r w:rsidR="00502BB8">
        <w:t xml:space="preserve">critical friend, </w:t>
      </w:r>
      <w:r w:rsidR="00C32FD0">
        <w:t>University of Sydney</w:t>
      </w:r>
      <w:r w:rsidR="003B4D96">
        <w:t>.</w:t>
      </w:r>
    </w:p>
    <w:p w:rsidR="00102983" w:rsidRDefault="00102983" w:rsidP="00102983">
      <w:pPr>
        <w:pStyle w:val="Contents"/>
      </w:pPr>
    </w:p>
    <w:p w:rsidR="004B6F64" w:rsidRPr="004B6F64" w:rsidRDefault="004B6F64" w:rsidP="00874DA5">
      <w:pPr>
        <w:pStyle w:val="Contents"/>
        <w:rPr>
          <w:rFonts w:ascii="Trebuchet MS" w:hAnsi="Trebuchet MS"/>
          <w:sz w:val="18"/>
          <w:szCs w:val="18"/>
        </w:rPr>
        <w:sectPr w:rsidR="004B6F64" w:rsidRPr="004B6F64">
          <w:footerReference w:type="even" r:id="rId13"/>
          <w:pgSz w:w="11907" w:h="16840" w:code="9"/>
          <w:pgMar w:top="1276" w:right="1701" w:bottom="1276" w:left="1418" w:header="709" w:footer="556" w:gutter="0"/>
          <w:cols w:space="708"/>
          <w:docGrid w:linePitch="360"/>
        </w:sectPr>
      </w:pPr>
      <w:r>
        <w:rPr>
          <w:rFonts w:ascii="Trebuchet MS" w:hAnsi="Trebuchet MS"/>
          <w:sz w:val="18"/>
          <w:szCs w:val="18"/>
        </w:rPr>
        <w:t xml:space="preserve"> </w:t>
      </w:r>
    </w:p>
    <w:p w:rsidR="009E231A" w:rsidRPr="00DC5F5C" w:rsidRDefault="00FE4A2D" w:rsidP="00874DA5">
      <w:pPr>
        <w:pStyle w:val="Contents"/>
      </w:pPr>
      <w:bookmarkStart w:id="30" w:name="_Toc98394880"/>
      <w:bookmarkStart w:id="31" w:name="_Toc296423683"/>
      <w:bookmarkStart w:id="32" w:name="_Toc296497514"/>
      <w:r w:rsidRPr="00DC5F5C">
        <w:lastRenderedPageBreak/>
        <w:t>Contents</w:t>
      </w:r>
      <w:bookmarkEnd w:id="30"/>
      <w:bookmarkEnd w:id="31"/>
      <w:bookmarkEnd w:id="32"/>
    </w:p>
    <w:p w:rsidR="009A6DD7" w:rsidRDefault="000A635C">
      <w:pPr>
        <w:pStyle w:val="TOC1"/>
        <w:rPr>
          <w:rFonts w:asciiTheme="minorHAnsi" w:eastAsiaTheme="minorEastAsia" w:hAnsiTheme="minorHAnsi" w:cstheme="minorBidi"/>
          <w:color w:val="auto"/>
          <w:sz w:val="22"/>
          <w:szCs w:val="22"/>
          <w:lang w:eastAsia="en-AU"/>
        </w:rPr>
      </w:pPr>
      <w:r w:rsidRPr="000A635C">
        <w:rPr>
          <w:rFonts w:ascii="Avant Garde" w:hAnsi="Avant Garde"/>
        </w:rPr>
        <w:fldChar w:fldCharType="begin"/>
      </w:r>
      <w:r w:rsidR="00FE4A2D" w:rsidRPr="009775C7">
        <w:rPr>
          <w:rFonts w:ascii="Avant Garde" w:hAnsi="Avant Garde"/>
        </w:rPr>
        <w:instrText xml:space="preserve"> TOC \o "1-2" </w:instrText>
      </w:r>
      <w:r w:rsidRPr="000A635C">
        <w:rPr>
          <w:rFonts w:ascii="Avant Garde" w:hAnsi="Avant Garde"/>
        </w:rPr>
        <w:fldChar w:fldCharType="separate"/>
      </w:r>
      <w:r w:rsidR="004A6274">
        <w:t xml:space="preserve">Tables </w:t>
      </w:r>
      <w:r w:rsidR="009A6DD7">
        <w:tab/>
      </w:r>
      <w:r>
        <w:fldChar w:fldCharType="begin"/>
      </w:r>
      <w:r w:rsidR="009A6DD7">
        <w:instrText xml:space="preserve"> PAGEREF _Toc358115566 \h </w:instrText>
      </w:r>
      <w:r>
        <w:fldChar w:fldCharType="separate"/>
      </w:r>
      <w:r w:rsidR="00880191">
        <w:t>6</w:t>
      </w:r>
      <w:r>
        <w:fldChar w:fldCharType="end"/>
      </w:r>
    </w:p>
    <w:p w:rsidR="009A6DD7" w:rsidRDefault="009A6DD7">
      <w:pPr>
        <w:pStyle w:val="TOC1"/>
        <w:rPr>
          <w:rFonts w:asciiTheme="minorHAnsi" w:eastAsiaTheme="minorEastAsia" w:hAnsiTheme="minorHAnsi" w:cstheme="minorBidi"/>
          <w:color w:val="auto"/>
          <w:sz w:val="22"/>
          <w:szCs w:val="22"/>
          <w:lang w:eastAsia="en-AU"/>
        </w:rPr>
      </w:pPr>
      <w:r>
        <w:t>Executive summary</w:t>
      </w:r>
      <w:r>
        <w:tab/>
      </w:r>
      <w:r w:rsidR="000A635C">
        <w:fldChar w:fldCharType="begin"/>
      </w:r>
      <w:r>
        <w:instrText xml:space="preserve"> PAGEREF _Toc358115569 \h </w:instrText>
      </w:r>
      <w:r w:rsidR="000A635C">
        <w:fldChar w:fldCharType="separate"/>
      </w:r>
      <w:r w:rsidR="00880191">
        <w:t>7</w:t>
      </w:r>
      <w:r w:rsidR="000A635C">
        <w:fldChar w:fldCharType="end"/>
      </w:r>
    </w:p>
    <w:p w:rsidR="009A6DD7" w:rsidRDefault="009A6DD7">
      <w:pPr>
        <w:pStyle w:val="TOC1"/>
        <w:rPr>
          <w:rFonts w:asciiTheme="minorHAnsi" w:eastAsiaTheme="minorEastAsia" w:hAnsiTheme="minorHAnsi" w:cstheme="minorBidi"/>
          <w:color w:val="auto"/>
          <w:sz w:val="22"/>
          <w:szCs w:val="22"/>
          <w:lang w:eastAsia="en-AU"/>
        </w:rPr>
      </w:pPr>
      <w:r>
        <w:t>Introduction</w:t>
      </w:r>
      <w:r>
        <w:tab/>
      </w:r>
      <w:r w:rsidR="000A635C">
        <w:fldChar w:fldCharType="begin"/>
      </w:r>
      <w:r>
        <w:instrText xml:space="preserve"> PAGEREF _Toc358115570 \h </w:instrText>
      </w:r>
      <w:r w:rsidR="000A635C">
        <w:fldChar w:fldCharType="separate"/>
      </w:r>
      <w:r w:rsidR="00880191">
        <w:t>10</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Previous research on ‘enablers’</w:t>
      </w:r>
      <w:r>
        <w:tab/>
      </w:r>
      <w:r w:rsidR="000A635C">
        <w:fldChar w:fldCharType="begin"/>
      </w:r>
      <w:r>
        <w:instrText xml:space="preserve"> PAGEREF _Toc358115571 \h </w:instrText>
      </w:r>
      <w:r w:rsidR="000A635C">
        <w:fldChar w:fldCharType="separate"/>
      </w:r>
      <w:r w:rsidR="00880191">
        <w:t>11</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Purpose of the research</w:t>
      </w:r>
      <w:r>
        <w:tab/>
      </w:r>
      <w:r w:rsidR="000A635C">
        <w:fldChar w:fldCharType="begin"/>
      </w:r>
      <w:r>
        <w:instrText xml:space="preserve"> PAGEREF _Toc358115572 \h </w:instrText>
      </w:r>
      <w:r w:rsidR="000A635C">
        <w:fldChar w:fldCharType="separate"/>
      </w:r>
      <w:r w:rsidR="00880191">
        <w:t>12</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Research questions and themes</w:t>
      </w:r>
      <w:r>
        <w:tab/>
      </w:r>
      <w:r w:rsidR="000A635C">
        <w:fldChar w:fldCharType="begin"/>
      </w:r>
      <w:r>
        <w:instrText xml:space="preserve"> PAGEREF _Toc358115573 \h </w:instrText>
      </w:r>
      <w:r w:rsidR="000A635C">
        <w:fldChar w:fldCharType="separate"/>
      </w:r>
      <w:r w:rsidR="00880191">
        <w:t>13</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Methodology</w:t>
      </w:r>
      <w:r>
        <w:tab/>
      </w:r>
      <w:r w:rsidR="000A635C">
        <w:fldChar w:fldCharType="begin"/>
      </w:r>
      <w:r>
        <w:instrText xml:space="preserve"> PAGEREF _Toc358115574 \h </w:instrText>
      </w:r>
      <w:r w:rsidR="000A635C">
        <w:fldChar w:fldCharType="separate"/>
      </w:r>
      <w:r w:rsidR="00880191">
        <w:t>13</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Scope and limitations of the study</w:t>
      </w:r>
      <w:r>
        <w:tab/>
      </w:r>
      <w:r w:rsidR="000A635C">
        <w:fldChar w:fldCharType="begin"/>
      </w:r>
      <w:r>
        <w:instrText xml:space="preserve"> PAGEREF _Toc358115575 \h </w:instrText>
      </w:r>
      <w:r w:rsidR="000A635C">
        <w:fldChar w:fldCharType="separate"/>
      </w:r>
      <w:r w:rsidR="00880191">
        <w:t>14</w:t>
      </w:r>
      <w:r w:rsidR="000A635C">
        <w:fldChar w:fldCharType="end"/>
      </w:r>
    </w:p>
    <w:p w:rsidR="009A6DD7" w:rsidRDefault="009A6DD7">
      <w:pPr>
        <w:pStyle w:val="TOC1"/>
        <w:rPr>
          <w:rFonts w:asciiTheme="minorHAnsi" w:eastAsiaTheme="minorEastAsia" w:hAnsiTheme="minorHAnsi" w:cstheme="minorBidi"/>
          <w:color w:val="auto"/>
          <w:sz w:val="22"/>
          <w:szCs w:val="22"/>
          <w:lang w:eastAsia="en-AU"/>
        </w:rPr>
      </w:pPr>
      <w:r>
        <w:t>Industry and education context</w:t>
      </w:r>
      <w:r>
        <w:tab/>
      </w:r>
      <w:r w:rsidR="000A635C">
        <w:fldChar w:fldCharType="begin"/>
      </w:r>
      <w:r>
        <w:instrText xml:space="preserve"> PAGEREF _Toc358115576 \h </w:instrText>
      </w:r>
      <w:r w:rsidR="000A635C">
        <w:fldChar w:fldCharType="separate"/>
      </w:r>
      <w:r w:rsidR="00880191">
        <w:t>16</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The building and construction industry</w:t>
      </w:r>
      <w:r>
        <w:tab/>
      </w:r>
      <w:r w:rsidR="000A635C">
        <w:fldChar w:fldCharType="begin"/>
      </w:r>
      <w:r>
        <w:instrText xml:space="preserve"> PAGEREF _Toc358115577 \h </w:instrText>
      </w:r>
      <w:r w:rsidR="000A635C">
        <w:fldChar w:fldCharType="separate"/>
      </w:r>
      <w:r w:rsidR="00880191">
        <w:t>16</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Skills shortages in construction management</w:t>
      </w:r>
      <w:r>
        <w:tab/>
      </w:r>
      <w:r w:rsidR="000A635C">
        <w:fldChar w:fldCharType="begin"/>
      </w:r>
      <w:r>
        <w:instrText xml:space="preserve"> PAGEREF _Toc358115578 \h </w:instrText>
      </w:r>
      <w:r w:rsidR="000A635C">
        <w:fldChar w:fldCharType="separate"/>
      </w:r>
      <w:r w:rsidR="00880191">
        <w:t>17</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Skills and qualifications profile</w:t>
      </w:r>
      <w:r>
        <w:tab/>
      </w:r>
      <w:r w:rsidR="000A635C">
        <w:fldChar w:fldCharType="begin"/>
      </w:r>
      <w:r>
        <w:instrText xml:space="preserve"> PAGEREF _Toc358115579 \h </w:instrText>
      </w:r>
      <w:r w:rsidR="000A635C">
        <w:fldChar w:fldCharType="separate"/>
      </w:r>
      <w:r w:rsidR="00880191">
        <w:t>17</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Pathways</w:t>
      </w:r>
      <w:r>
        <w:tab/>
      </w:r>
      <w:r w:rsidR="000A635C">
        <w:fldChar w:fldCharType="begin"/>
      </w:r>
      <w:r>
        <w:instrText xml:space="preserve"> PAGEREF _Toc358115580 \h </w:instrText>
      </w:r>
      <w:r w:rsidR="000A635C">
        <w:fldChar w:fldCharType="separate"/>
      </w:r>
      <w:r w:rsidR="00880191">
        <w:t>19</w:t>
      </w:r>
      <w:r w:rsidR="000A635C">
        <w:fldChar w:fldCharType="end"/>
      </w:r>
    </w:p>
    <w:p w:rsidR="009A6DD7" w:rsidRDefault="009A6DD7">
      <w:pPr>
        <w:pStyle w:val="TOC1"/>
        <w:rPr>
          <w:rFonts w:asciiTheme="minorHAnsi" w:eastAsiaTheme="minorEastAsia" w:hAnsiTheme="minorHAnsi" w:cstheme="minorBidi"/>
          <w:color w:val="auto"/>
          <w:sz w:val="22"/>
          <w:szCs w:val="22"/>
          <w:lang w:eastAsia="en-AU"/>
        </w:rPr>
      </w:pPr>
      <w:r>
        <w:t>Identifying the enablers of pathways: a student perspective</w:t>
      </w:r>
      <w:r>
        <w:tab/>
      </w:r>
      <w:r w:rsidR="000A635C">
        <w:fldChar w:fldCharType="begin"/>
      </w:r>
      <w:r>
        <w:instrText xml:space="preserve"> PAGEREF _Toc358115581 \h </w:instrText>
      </w:r>
      <w:r w:rsidR="000A635C">
        <w:fldChar w:fldCharType="separate"/>
      </w:r>
      <w:r w:rsidR="00880191">
        <w:t>22</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The students in this study</w:t>
      </w:r>
      <w:r>
        <w:tab/>
      </w:r>
      <w:r w:rsidR="000A635C">
        <w:fldChar w:fldCharType="begin"/>
      </w:r>
      <w:r>
        <w:instrText xml:space="preserve"> PAGEREF _Toc358115582 \h </w:instrText>
      </w:r>
      <w:r w:rsidR="000A635C">
        <w:fldChar w:fldCharType="separate"/>
      </w:r>
      <w:r w:rsidR="00880191">
        <w:t>22</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Interview analysis tool: the Design and Evaluation Matrix for Outreach</w:t>
      </w:r>
      <w:r>
        <w:tab/>
      </w:r>
      <w:r w:rsidR="000A635C">
        <w:fldChar w:fldCharType="begin"/>
      </w:r>
      <w:r>
        <w:instrText xml:space="preserve"> PAGEREF _Toc358115583 \h </w:instrText>
      </w:r>
      <w:r w:rsidR="000A635C">
        <w:fldChar w:fldCharType="separate"/>
      </w:r>
      <w:r w:rsidR="00880191">
        <w:t>23</w:t>
      </w:r>
      <w:r w:rsidR="000A635C">
        <w:fldChar w:fldCharType="end"/>
      </w:r>
    </w:p>
    <w:p w:rsidR="009A6DD7" w:rsidRDefault="009A6DD7">
      <w:pPr>
        <w:pStyle w:val="TOC2"/>
        <w:rPr>
          <w:rFonts w:asciiTheme="minorHAnsi" w:eastAsiaTheme="minorEastAsia" w:hAnsiTheme="minorHAnsi" w:cstheme="minorBidi"/>
          <w:color w:val="auto"/>
          <w:sz w:val="22"/>
          <w:szCs w:val="22"/>
          <w:lang w:eastAsia="en-AU"/>
        </w:rPr>
      </w:pPr>
      <w:r>
        <w:t>Analysing the student interviews</w:t>
      </w:r>
      <w:r>
        <w:tab/>
      </w:r>
      <w:r w:rsidR="000A635C">
        <w:fldChar w:fldCharType="begin"/>
      </w:r>
      <w:r>
        <w:instrText xml:space="preserve"> PAGEREF _Toc358115584 \h </w:instrText>
      </w:r>
      <w:r w:rsidR="000A635C">
        <w:fldChar w:fldCharType="separate"/>
      </w:r>
      <w:r w:rsidR="00880191">
        <w:t>25</w:t>
      </w:r>
      <w:r w:rsidR="000A635C">
        <w:fldChar w:fldCharType="end"/>
      </w:r>
    </w:p>
    <w:p w:rsidR="009A6DD7" w:rsidRDefault="009A6DD7">
      <w:pPr>
        <w:pStyle w:val="TOC1"/>
        <w:rPr>
          <w:rFonts w:asciiTheme="minorHAnsi" w:eastAsiaTheme="minorEastAsia" w:hAnsiTheme="minorHAnsi" w:cstheme="minorBidi"/>
          <w:color w:val="auto"/>
          <w:sz w:val="22"/>
          <w:szCs w:val="22"/>
          <w:lang w:eastAsia="en-AU"/>
        </w:rPr>
      </w:pPr>
      <w:r>
        <w:t>Perspectives from industry representatives and other stakeholders</w:t>
      </w:r>
      <w:r>
        <w:tab/>
      </w:r>
      <w:r w:rsidR="000A635C">
        <w:fldChar w:fldCharType="begin"/>
      </w:r>
      <w:r>
        <w:instrText xml:space="preserve"> PAGEREF _Toc358115585 \h </w:instrText>
      </w:r>
      <w:r w:rsidR="000A635C">
        <w:fldChar w:fldCharType="separate"/>
      </w:r>
      <w:r w:rsidR="00880191">
        <w:t>36</w:t>
      </w:r>
      <w:r w:rsidR="000A635C">
        <w:fldChar w:fldCharType="end"/>
      </w:r>
    </w:p>
    <w:p w:rsidR="009A6DD7" w:rsidRDefault="009A6DD7">
      <w:pPr>
        <w:pStyle w:val="TOC1"/>
        <w:rPr>
          <w:rFonts w:asciiTheme="minorHAnsi" w:eastAsiaTheme="minorEastAsia" w:hAnsiTheme="minorHAnsi" w:cstheme="minorBidi"/>
          <w:color w:val="auto"/>
          <w:sz w:val="22"/>
          <w:szCs w:val="22"/>
          <w:lang w:eastAsia="en-AU"/>
        </w:rPr>
      </w:pPr>
      <w:r>
        <w:t>Conclusions</w:t>
      </w:r>
      <w:r>
        <w:tab/>
      </w:r>
      <w:r w:rsidR="000A635C">
        <w:fldChar w:fldCharType="begin"/>
      </w:r>
      <w:r>
        <w:instrText xml:space="preserve"> PAGEREF _Toc358115586 \h </w:instrText>
      </w:r>
      <w:r w:rsidR="000A635C">
        <w:fldChar w:fldCharType="separate"/>
      </w:r>
      <w:r w:rsidR="00880191">
        <w:t>38</w:t>
      </w:r>
      <w:r w:rsidR="000A635C">
        <w:fldChar w:fldCharType="end"/>
      </w:r>
    </w:p>
    <w:p w:rsidR="009A6DD7" w:rsidRDefault="009A6DD7">
      <w:pPr>
        <w:pStyle w:val="TOC1"/>
        <w:rPr>
          <w:rFonts w:asciiTheme="minorHAnsi" w:eastAsiaTheme="minorEastAsia" w:hAnsiTheme="minorHAnsi" w:cstheme="minorBidi"/>
          <w:color w:val="auto"/>
          <w:sz w:val="22"/>
          <w:szCs w:val="22"/>
          <w:lang w:eastAsia="en-AU"/>
        </w:rPr>
      </w:pPr>
      <w:r>
        <w:t>References</w:t>
      </w:r>
      <w:r>
        <w:tab/>
      </w:r>
      <w:r w:rsidR="000A635C">
        <w:fldChar w:fldCharType="begin"/>
      </w:r>
      <w:r>
        <w:instrText xml:space="preserve"> PAGEREF _Toc358115587 \h </w:instrText>
      </w:r>
      <w:r w:rsidR="000A635C">
        <w:fldChar w:fldCharType="separate"/>
      </w:r>
      <w:r w:rsidR="00880191">
        <w:t>41</w:t>
      </w:r>
      <w:r w:rsidR="000A635C">
        <w:fldChar w:fldCharType="end"/>
      </w:r>
    </w:p>
    <w:p w:rsidR="009A6DD7" w:rsidRDefault="009A6DD7" w:rsidP="009A6DD7">
      <w:pPr>
        <w:pStyle w:val="TOC1"/>
        <w:rPr>
          <w:rFonts w:asciiTheme="minorHAnsi" w:eastAsiaTheme="minorEastAsia" w:hAnsiTheme="minorHAnsi" w:cstheme="minorBidi"/>
          <w:color w:val="auto"/>
          <w:sz w:val="22"/>
          <w:szCs w:val="22"/>
          <w:lang w:eastAsia="en-AU"/>
        </w:rPr>
      </w:pPr>
      <w:r>
        <w:t xml:space="preserve">Appendix: Additional data on students, qualifications and providers in </w:t>
      </w:r>
      <w:r>
        <w:br/>
        <w:t>the field of architecture and building</w:t>
      </w:r>
      <w:r>
        <w:tab/>
      </w:r>
      <w:r w:rsidR="000A635C">
        <w:fldChar w:fldCharType="begin"/>
      </w:r>
      <w:r>
        <w:instrText xml:space="preserve"> PAGEREF _Toc358115589 \h </w:instrText>
      </w:r>
      <w:r w:rsidR="000A635C">
        <w:fldChar w:fldCharType="separate"/>
      </w:r>
      <w:r w:rsidR="00880191">
        <w:t>44</w:t>
      </w:r>
      <w:r w:rsidR="000A635C">
        <w:fldChar w:fldCharType="end"/>
      </w:r>
    </w:p>
    <w:p w:rsidR="009A6DD7" w:rsidRDefault="00B73DCD">
      <w:pPr>
        <w:pStyle w:val="TOC1"/>
        <w:rPr>
          <w:rFonts w:asciiTheme="minorHAnsi" w:eastAsiaTheme="minorEastAsia" w:hAnsiTheme="minorHAnsi" w:cstheme="minorBidi"/>
          <w:color w:val="auto"/>
          <w:sz w:val="22"/>
          <w:szCs w:val="22"/>
          <w:lang w:eastAsia="en-AU"/>
        </w:rPr>
      </w:pPr>
      <w:r>
        <w:t>NVETR P</w:t>
      </w:r>
      <w:r w:rsidR="009A6DD7">
        <w:t>rogram funding</w:t>
      </w:r>
      <w:r w:rsidR="009A6DD7">
        <w:tab/>
      </w:r>
      <w:r w:rsidR="000A635C">
        <w:fldChar w:fldCharType="begin"/>
      </w:r>
      <w:r w:rsidR="009A6DD7">
        <w:instrText xml:space="preserve"> PAGEREF _Toc358115590 \h </w:instrText>
      </w:r>
      <w:r w:rsidR="000A635C">
        <w:fldChar w:fldCharType="separate"/>
      </w:r>
      <w:r w:rsidR="00880191">
        <w:t>48</w:t>
      </w:r>
      <w:r w:rsidR="000A635C">
        <w:fldChar w:fldCharType="end"/>
      </w:r>
    </w:p>
    <w:p w:rsidR="004E7227" w:rsidRDefault="000A635C" w:rsidP="0048643A">
      <w:pPr>
        <w:pStyle w:val="Text"/>
      </w:pPr>
      <w:r w:rsidRPr="009775C7">
        <w:fldChar w:fldCharType="end"/>
      </w:r>
    </w:p>
    <w:p w:rsidR="00D82F67" w:rsidRDefault="00D82F67">
      <w:pPr>
        <w:spacing w:before="0" w:line="240" w:lineRule="auto"/>
        <w:rPr>
          <w:rFonts w:ascii="Tahoma" w:hAnsi="Tahoma" w:cs="Tahoma"/>
          <w:color w:val="000000"/>
          <w:kern w:val="28"/>
          <w:sz w:val="56"/>
          <w:szCs w:val="56"/>
        </w:rPr>
      </w:pPr>
      <w:bookmarkStart w:id="33" w:name="_Toc298162800"/>
      <w:r>
        <w:br w:type="page"/>
      </w:r>
    </w:p>
    <w:p w:rsidR="004E7227" w:rsidRDefault="004E7227" w:rsidP="004E7227">
      <w:pPr>
        <w:pStyle w:val="Heading1"/>
      </w:pPr>
      <w:bookmarkStart w:id="34" w:name="_Toc358115566"/>
      <w:r>
        <w:lastRenderedPageBreak/>
        <w:t xml:space="preserve">Tables </w:t>
      </w:r>
      <w:bookmarkEnd w:id="33"/>
      <w:bookmarkEnd w:id="34"/>
    </w:p>
    <w:bookmarkStart w:id="35" w:name="_Toc296497517"/>
    <w:bookmarkStart w:id="36" w:name="_Toc298162802"/>
    <w:p w:rsidR="00597DAA" w:rsidRDefault="000A635C">
      <w:pPr>
        <w:pStyle w:val="TableofFigures"/>
        <w:tabs>
          <w:tab w:val="left" w:pos="880"/>
        </w:tabs>
        <w:rPr>
          <w:rFonts w:asciiTheme="minorHAnsi" w:eastAsiaTheme="minorEastAsia" w:hAnsiTheme="minorHAnsi" w:cstheme="minorBidi"/>
          <w:color w:val="auto"/>
          <w:sz w:val="22"/>
          <w:szCs w:val="22"/>
          <w:lang w:eastAsia="en-AU"/>
        </w:rPr>
      </w:pPr>
      <w:r w:rsidRPr="000A635C">
        <w:rPr>
          <w:rFonts w:ascii="Garamond" w:hAnsi="Garamond"/>
          <w:sz w:val="22"/>
        </w:rPr>
        <w:fldChar w:fldCharType="begin"/>
      </w:r>
      <w:r w:rsidR="00597DAA">
        <w:rPr>
          <w:rFonts w:ascii="Garamond" w:hAnsi="Garamond"/>
          <w:sz w:val="22"/>
        </w:rPr>
        <w:instrText xml:space="preserve"> TOC \t "tabletitle" \c </w:instrText>
      </w:r>
      <w:r w:rsidRPr="000A635C">
        <w:rPr>
          <w:rFonts w:ascii="Garamond" w:hAnsi="Garamond"/>
          <w:sz w:val="22"/>
        </w:rPr>
        <w:fldChar w:fldCharType="separate"/>
      </w:r>
      <w:r w:rsidR="00597DAA">
        <w:t>1</w:t>
      </w:r>
      <w:r w:rsidR="00597DAA">
        <w:rPr>
          <w:rFonts w:asciiTheme="minorHAnsi" w:eastAsiaTheme="minorEastAsia" w:hAnsiTheme="minorHAnsi" w:cstheme="minorBidi"/>
          <w:color w:val="auto"/>
          <w:sz w:val="22"/>
          <w:szCs w:val="22"/>
          <w:lang w:eastAsia="en-AU"/>
        </w:rPr>
        <w:tab/>
      </w:r>
      <w:r w:rsidR="00597DAA">
        <w:t>Four strategies and ten characteristics of the DEMO model</w:t>
      </w:r>
      <w:r w:rsidR="00597DAA">
        <w:tab/>
      </w:r>
      <w:r>
        <w:fldChar w:fldCharType="begin"/>
      </w:r>
      <w:r w:rsidR="00597DAA">
        <w:instrText xml:space="preserve"> PAGEREF _Toc358115449 \h </w:instrText>
      </w:r>
      <w:r>
        <w:fldChar w:fldCharType="separate"/>
      </w:r>
      <w:r w:rsidR="00880191">
        <w:t>24</w:t>
      </w:r>
      <w:r>
        <w:fldChar w:fldCharType="end"/>
      </w:r>
    </w:p>
    <w:p w:rsidR="00597DAA" w:rsidRDefault="00597DAA">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 xml:space="preserve">VET enrolments, architecture and building, diplomas and </w:t>
      </w:r>
      <w:r w:rsidR="009A6DD7">
        <w:br/>
      </w:r>
      <w:r>
        <w:t>advanced diplomas, 2007—11</w:t>
      </w:r>
      <w:r>
        <w:tab/>
      </w:r>
      <w:r w:rsidR="000A635C">
        <w:fldChar w:fldCharType="begin"/>
      </w:r>
      <w:r>
        <w:instrText xml:space="preserve"> PAGEREF _Toc358115450 \h </w:instrText>
      </w:r>
      <w:r w:rsidR="000A635C">
        <w:fldChar w:fldCharType="separate"/>
      </w:r>
      <w:r w:rsidR="00880191">
        <w:t>45</w:t>
      </w:r>
      <w:r w:rsidR="000A635C">
        <w:fldChar w:fldCharType="end"/>
      </w:r>
    </w:p>
    <w:p w:rsidR="00597DAA" w:rsidRDefault="00597DAA">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 xml:space="preserve">VET enrolments, all fields of education, diplomas and </w:t>
      </w:r>
      <w:r w:rsidR="009A6DD7">
        <w:br/>
      </w:r>
      <w:r>
        <w:t>advanced diplomas, 2007—11</w:t>
      </w:r>
      <w:r>
        <w:tab/>
      </w:r>
      <w:r w:rsidR="000A635C">
        <w:fldChar w:fldCharType="begin"/>
      </w:r>
      <w:r>
        <w:instrText xml:space="preserve"> PAGEREF _Toc358115451 \h </w:instrText>
      </w:r>
      <w:r w:rsidR="000A635C">
        <w:fldChar w:fldCharType="separate"/>
      </w:r>
      <w:r w:rsidR="00880191">
        <w:t>45</w:t>
      </w:r>
      <w:r w:rsidR="000A635C">
        <w:fldChar w:fldCharType="end"/>
      </w:r>
    </w:p>
    <w:p w:rsidR="00597DAA" w:rsidRDefault="00597DAA">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 xml:space="preserve">Actual student load in the field of architecture and building </w:t>
      </w:r>
      <w:r w:rsidR="009A6DD7">
        <w:br/>
      </w:r>
      <w:r>
        <w:t>by higher education provider, 2011</w:t>
      </w:r>
      <w:r>
        <w:tab/>
      </w:r>
      <w:r w:rsidR="000A635C">
        <w:fldChar w:fldCharType="begin"/>
      </w:r>
      <w:r>
        <w:instrText xml:space="preserve"> PAGEREF _Toc358115452 \h </w:instrText>
      </w:r>
      <w:r w:rsidR="000A635C">
        <w:fldChar w:fldCharType="separate"/>
      </w:r>
      <w:r w:rsidR="00880191">
        <w:t>46</w:t>
      </w:r>
      <w:r w:rsidR="000A635C">
        <w:fldChar w:fldCharType="end"/>
      </w:r>
    </w:p>
    <w:p w:rsidR="00102983" w:rsidRPr="00102983" w:rsidRDefault="000A635C" w:rsidP="00E55F0C">
      <w:pPr>
        <w:pStyle w:val="Heading2"/>
      </w:pPr>
      <w:r>
        <w:rPr>
          <w:rFonts w:ascii="Garamond" w:hAnsi="Garamond"/>
          <w:sz w:val="22"/>
        </w:rPr>
        <w:fldChar w:fldCharType="end"/>
      </w:r>
      <w:bookmarkEnd w:id="35"/>
      <w:bookmarkEnd w:id="36"/>
      <w:r w:rsidR="00E55F0C" w:rsidRPr="00102983">
        <w:t xml:space="preserve"> </w:t>
      </w:r>
    </w:p>
    <w:p w:rsidR="004C75CA" w:rsidRDefault="004C75CA">
      <w:pPr>
        <w:spacing w:before="0" w:line="240" w:lineRule="auto"/>
        <w:rPr>
          <w:rFonts w:ascii="Tahoma" w:hAnsi="Tahoma" w:cs="Tahoma"/>
          <w:color w:val="000000"/>
          <w:kern w:val="28"/>
          <w:sz w:val="56"/>
          <w:szCs w:val="56"/>
        </w:rPr>
      </w:pPr>
      <w:bookmarkStart w:id="37" w:name="_Toc298162803"/>
      <w:r>
        <w:br w:type="page"/>
      </w:r>
    </w:p>
    <w:p w:rsidR="009E231A" w:rsidRPr="00B86D06" w:rsidRDefault="00FE4A2D" w:rsidP="00B72720">
      <w:pPr>
        <w:pStyle w:val="Heading1"/>
      </w:pPr>
      <w:bookmarkStart w:id="38" w:name="_Toc358115569"/>
      <w:r w:rsidRPr="00B86D06">
        <w:lastRenderedPageBreak/>
        <w:t>Executive summary</w:t>
      </w:r>
      <w:bookmarkEnd w:id="38"/>
      <w:r w:rsidR="00A50895">
        <w:t xml:space="preserve"> </w:t>
      </w:r>
      <w:bookmarkEnd w:id="37"/>
    </w:p>
    <w:p w:rsidR="001A3676" w:rsidRPr="00B72720" w:rsidRDefault="00BC0763" w:rsidP="00B72720">
      <w:pPr>
        <w:pStyle w:val="Text"/>
      </w:pPr>
      <w:r>
        <w:t xml:space="preserve">The </w:t>
      </w:r>
      <w:r w:rsidR="001A3676">
        <w:t xml:space="preserve">purpose and focus of this study is to investigate the ‘enablers’ that assist and support students in moving from building diplomas in </w:t>
      </w:r>
      <w:r w:rsidR="003C2C86">
        <w:t xml:space="preserve">vocational education and training (VET) </w:t>
      </w:r>
      <w:r w:rsidR="001A3676">
        <w:t>into construction management and related bachel</w:t>
      </w:r>
      <w:r w:rsidR="003C2C86">
        <w:t>or degrees in higher education</w:t>
      </w:r>
      <w:r w:rsidR="001A3676">
        <w:t xml:space="preserve">. These enablers are identified from the perspective of students who have moved </w:t>
      </w:r>
      <w:r w:rsidR="008B70F6">
        <w:t xml:space="preserve">in </w:t>
      </w:r>
      <w:r w:rsidR="008B70F6" w:rsidRPr="00B72720">
        <w:t xml:space="preserve">a linear pathway </w:t>
      </w:r>
      <w:r w:rsidR="001A3676" w:rsidRPr="00B72720">
        <w:t xml:space="preserve">from </w:t>
      </w:r>
      <w:r w:rsidR="00510D3B" w:rsidRPr="00B72720">
        <w:t>vocational education and training</w:t>
      </w:r>
      <w:r w:rsidR="001A3676" w:rsidRPr="00B72720">
        <w:t xml:space="preserve"> to </w:t>
      </w:r>
      <w:r w:rsidR="00510D3B" w:rsidRPr="00B72720">
        <w:t>higher education</w:t>
      </w:r>
      <w:r w:rsidR="001A3676" w:rsidRPr="00B72720">
        <w:t xml:space="preserve">. </w:t>
      </w:r>
    </w:p>
    <w:p w:rsidR="001A3676" w:rsidRPr="00B72720" w:rsidRDefault="001A3676" w:rsidP="00B72720">
      <w:pPr>
        <w:pStyle w:val="Text"/>
      </w:pPr>
      <w:r w:rsidRPr="00B72720">
        <w:t>A number of previous studies have inquired into pathway enablers bu</w:t>
      </w:r>
      <w:r w:rsidR="00E948D8" w:rsidRPr="00B72720">
        <w:t>t</w:t>
      </w:r>
      <w:r w:rsidR="008B70F6" w:rsidRPr="00B72720">
        <w:t>,</w:t>
      </w:r>
      <w:r w:rsidR="00E948D8" w:rsidRPr="00B72720">
        <w:t xml:space="preserve"> as noted by </w:t>
      </w:r>
      <w:proofErr w:type="spellStart"/>
      <w:r w:rsidR="00E948D8" w:rsidRPr="00B72720">
        <w:t>Wheelahan</w:t>
      </w:r>
      <w:proofErr w:type="spellEnd"/>
      <w:r w:rsidR="00E948D8" w:rsidRPr="00B72720">
        <w:t xml:space="preserve"> (2009c)</w:t>
      </w:r>
      <w:r w:rsidR="008B70F6" w:rsidRPr="00B72720">
        <w:t>,</w:t>
      </w:r>
      <w:r w:rsidRPr="00B72720">
        <w:t xml:space="preserve"> only limited research has been conducted from a student perspective. This project aims to contribute to our knowledge from this perspective within this </w:t>
      </w:r>
      <w:r w:rsidR="008B70F6" w:rsidRPr="00B72720">
        <w:t xml:space="preserve">subfield </w:t>
      </w:r>
      <w:r w:rsidRPr="00B72720">
        <w:t xml:space="preserve">of education. Improving our understanding of the enablers may also assist in </w:t>
      </w:r>
      <w:r w:rsidR="00E948D8" w:rsidRPr="00B72720">
        <w:t>the development of</w:t>
      </w:r>
      <w:r w:rsidRPr="00B72720">
        <w:t xml:space="preserve"> enhanced pathway initiatives.</w:t>
      </w:r>
    </w:p>
    <w:p w:rsidR="001A3676" w:rsidRPr="00B72720" w:rsidRDefault="001A3676" w:rsidP="00B72720">
      <w:pPr>
        <w:pStyle w:val="Text"/>
      </w:pPr>
      <w:r w:rsidRPr="00B72720">
        <w:t>The study is broadened by an examination of the current industry and education context. This context</w:t>
      </w:r>
      <w:r w:rsidR="00510D3B" w:rsidRPr="00B72720">
        <w:t xml:space="preserve"> </w:t>
      </w:r>
      <w:r w:rsidRPr="00B72720">
        <w:t>provides a rationale for strengthening pathways and clarifies some of the key issues.</w:t>
      </w:r>
      <w:r w:rsidR="00510D3B" w:rsidRPr="00B72720">
        <w:t xml:space="preserve"> </w:t>
      </w:r>
      <w:r w:rsidR="00626F66" w:rsidRPr="00B72720">
        <w:t>The project</w:t>
      </w:r>
      <w:r w:rsidRPr="00B72720">
        <w:t xml:space="preserve"> was conducted through a qualitative case study approach, supported by the identification and review </w:t>
      </w:r>
      <w:r w:rsidR="00BC0763" w:rsidRPr="00B72720">
        <w:t>of relevant published materials</w:t>
      </w:r>
      <w:r w:rsidRPr="00B72720">
        <w:t>.</w:t>
      </w:r>
    </w:p>
    <w:p w:rsidR="001A3676" w:rsidRPr="00B72720" w:rsidRDefault="001A3676" w:rsidP="00B72720">
      <w:pPr>
        <w:pStyle w:val="Text"/>
      </w:pPr>
      <w:r w:rsidRPr="00B72720">
        <w:t xml:space="preserve">The qualitative research component encompassed </w:t>
      </w:r>
      <w:r w:rsidR="006F0EE6">
        <w:t xml:space="preserve">the </w:t>
      </w:r>
      <w:r w:rsidRPr="00B72720">
        <w:t>selecti</w:t>
      </w:r>
      <w:r w:rsidR="006F0EE6">
        <w:t>o</w:t>
      </w:r>
      <w:r w:rsidRPr="00B72720">
        <w:t>n</w:t>
      </w:r>
      <w:r w:rsidR="006F0EE6">
        <w:t xml:space="preserve"> of</w:t>
      </w:r>
      <w:r w:rsidRPr="00B72720">
        <w:t xml:space="preserve"> </w:t>
      </w:r>
      <w:r w:rsidR="00510D3B" w:rsidRPr="00B72720">
        <w:t>higher education</w:t>
      </w:r>
      <w:r w:rsidRPr="00B72720">
        <w:t xml:space="preserve"> providers with known cohorts of pathway</w:t>
      </w:r>
      <w:r w:rsidR="004D5EEF" w:rsidRPr="00B72720">
        <w:t>s</w:t>
      </w:r>
      <w:r w:rsidRPr="00B72720">
        <w:t xml:space="preserve"> students in </w:t>
      </w:r>
      <w:r w:rsidR="009F29A1" w:rsidRPr="00B72720">
        <w:t xml:space="preserve">building and construction </w:t>
      </w:r>
      <w:r w:rsidRPr="00B72720">
        <w:t xml:space="preserve">management and seeking their </w:t>
      </w:r>
      <w:r w:rsidR="00626F66" w:rsidRPr="00B72720">
        <w:t xml:space="preserve">assistance </w:t>
      </w:r>
      <w:r w:rsidR="00E948D8" w:rsidRPr="00B72720">
        <w:t>to gain</w:t>
      </w:r>
      <w:r w:rsidR="00626F66" w:rsidRPr="00B72720">
        <w:t xml:space="preserve"> student access</w:t>
      </w:r>
      <w:r w:rsidRPr="00B72720">
        <w:t xml:space="preserve">. The </w:t>
      </w:r>
      <w:r w:rsidR="00626F66" w:rsidRPr="00B72720">
        <w:t xml:space="preserve">researchers were mindful of </w:t>
      </w:r>
      <w:r w:rsidRPr="00B72720">
        <w:t xml:space="preserve">the need for geographic diversity and </w:t>
      </w:r>
      <w:r w:rsidR="00E948D8" w:rsidRPr="00B72720">
        <w:t>the inclusion of</w:t>
      </w:r>
      <w:r w:rsidR="00626F66" w:rsidRPr="00B72720">
        <w:t xml:space="preserve"> </w:t>
      </w:r>
      <w:r w:rsidR="00510D3B" w:rsidRPr="00B72720">
        <w:t>higher education</w:t>
      </w:r>
      <w:r w:rsidRPr="00B72720">
        <w:t xml:space="preserve"> providers with rel</w:t>
      </w:r>
      <w:r w:rsidR="00BC0763" w:rsidRPr="00B72720">
        <w:t>atively high levels of students</w:t>
      </w:r>
      <w:r w:rsidRPr="00B72720">
        <w:t xml:space="preserve"> in this field.</w:t>
      </w:r>
    </w:p>
    <w:p w:rsidR="001A3676" w:rsidRPr="00B72720" w:rsidRDefault="00626F66" w:rsidP="00B72720">
      <w:pPr>
        <w:pStyle w:val="Text"/>
      </w:pPr>
      <w:r w:rsidRPr="00B72720">
        <w:t xml:space="preserve">A total of </w:t>
      </w:r>
      <w:r w:rsidR="00E948D8" w:rsidRPr="00B72720">
        <w:t>36</w:t>
      </w:r>
      <w:r w:rsidRPr="00B72720">
        <w:t xml:space="preserve"> students were interviewed from eight </w:t>
      </w:r>
      <w:r w:rsidR="00510D3B" w:rsidRPr="00B72720">
        <w:t>higher education</w:t>
      </w:r>
      <w:r w:rsidR="00E948D8" w:rsidRPr="00B72720">
        <w:t xml:space="preserve"> providers across five s</w:t>
      </w:r>
      <w:r w:rsidRPr="00B72720">
        <w:t xml:space="preserve">tates. </w:t>
      </w:r>
      <w:r w:rsidR="001A3676" w:rsidRPr="00B72720">
        <w:t>The information gathered from the interviews was recorded and then interpreted using the Design and Evaluation Matrix</w:t>
      </w:r>
      <w:r w:rsidR="00034B13" w:rsidRPr="00B72720">
        <w:t xml:space="preserve"> for Outreach</w:t>
      </w:r>
      <w:r w:rsidR="001A3676" w:rsidRPr="00B72720">
        <w:t xml:space="preserve"> (DEMO) developed by Gale et al. (2010).</w:t>
      </w:r>
      <w:r w:rsidR="00510D3B" w:rsidRPr="00B72720">
        <w:t xml:space="preserve"> </w:t>
      </w:r>
      <w:r w:rsidR="001A3676" w:rsidRPr="00B72720">
        <w:t>Although this tool wa</w:t>
      </w:r>
      <w:r w:rsidR="008B70F6" w:rsidRPr="00B72720">
        <w:t>s developed for another purpose — outreach —</w:t>
      </w:r>
      <w:r w:rsidR="001A3676" w:rsidRPr="00B72720">
        <w:t xml:space="preserve"> its structure provided a relevant and appropriate </w:t>
      </w:r>
      <w:r w:rsidR="00D30E00" w:rsidRPr="00B72720">
        <w:t>platform</w:t>
      </w:r>
      <w:r w:rsidR="001A3676" w:rsidRPr="00B72720">
        <w:t xml:space="preserve"> </w:t>
      </w:r>
      <w:r w:rsidR="002B7550" w:rsidRPr="00B72720">
        <w:t>for</w:t>
      </w:r>
      <w:r w:rsidR="001A3676" w:rsidRPr="00B72720">
        <w:t xml:space="preserve"> this study.</w:t>
      </w:r>
      <w:r w:rsidR="0041444E" w:rsidRPr="00B72720">
        <w:t xml:space="preserve"> </w:t>
      </w:r>
      <w:proofErr w:type="gramStart"/>
      <w:r w:rsidR="007654DE" w:rsidRPr="00B72720">
        <w:t>As the study</w:t>
      </w:r>
      <w:r w:rsidR="001A3676" w:rsidRPr="00B72720">
        <w:t xml:space="preserve"> is primarily interpre</w:t>
      </w:r>
      <w:r w:rsidR="000E4F11" w:rsidRPr="00B72720">
        <w:t>ta</w:t>
      </w:r>
      <w:r w:rsidR="001A3676" w:rsidRPr="00B72720">
        <w:t>tive</w:t>
      </w:r>
      <w:r w:rsidR="00813597" w:rsidRPr="00B72720">
        <w:t xml:space="preserve"> </w:t>
      </w:r>
      <w:r w:rsidR="001A3676" w:rsidRPr="00B72720">
        <w:t>and the number of interviewees relatively small</w:t>
      </w:r>
      <w:r w:rsidR="000E4F11" w:rsidRPr="00B72720">
        <w:t>,</w:t>
      </w:r>
      <w:r w:rsidR="001A3676" w:rsidRPr="00B72720">
        <w:t xml:space="preserve"> the findings should</w:t>
      </w:r>
      <w:r w:rsidR="007654DE" w:rsidRPr="00B72720">
        <w:t xml:space="preserve"> not be generalised.</w:t>
      </w:r>
      <w:proofErr w:type="gramEnd"/>
      <w:r w:rsidR="007654DE" w:rsidRPr="00B72720">
        <w:t xml:space="preserve"> However</w:t>
      </w:r>
      <w:r w:rsidR="00870613" w:rsidRPr="00B72720">
        <w:t>,</w:t>
      </w:r>
      <w:r w:rsidR="007654DE" w:rsidRPr="00B72720">
        <w:t xml:space="preserve"> it can be said that </w:t>
      </w:r>
      <w:r w:rsidR="001A3676" w:rsidRPr="00B72720">
        <w:t xml:space="preserve">the </w:t>
      </w:r>
      <w:r w:rsidR="00BC0763" w:rsidRPr="00B72720">
        <w:t>identified</w:t>
      </w:r>
      <w:r w:rsidR="00510D3B" w:rsidRPr="00B72720">
        <w:t xml:space="preserve"> </w:t>
      </w:r>
      <w:r w:rsidR="001A3676" w:rsidRPr="00B72720">
        <w:t>‘enablers’ represent markers for furt</w:t>
      </w:r>
      <w:r w:rsidR="00870613" w:rsidRPr="00B72720">
        <w:t>her and broader research, while</w:t>
      </w:r>
      <w:r w:rsidR="001A3676" w:rsidRPr="00B72720">
        <w:t xml:space="preserve"> the issues and </w:t>
      </w:r>
      <w:r w:rsidR="00BC0763" w:rsidRPr="00B72720">
        <w:t>options raised</w:t>
      </w:r>
      <w:r w:rsidR="001A3676" w:rsidRPr="00B72720">
        <w:t xml:space="preserve"> in the report for improving tertiary education pathways deserve further exploration.</w:t>
      </w:r>
    </w:p>
    <w:p w:rsidR="001A3676" w:rsidRPr="00B72720" w:rsidRDefault="007654DE" w:rsidP="00B72720">
      <w:pPr>
        <w:pStyle w:val="Text"/>
      </w:pPr>
      <w:r w:rsidRPr="00B72720">
        <w:t xml:space="preserve">To set the scene for investigating </w:t>
      </w:r>
      <w:r w:rsidR="001A3676" w:rsidRPr="00B72720">
        <w:t>pathway enablers</w:t>
      </w:r>
      <w:r w:rsidRPr="00B72720">
        <w:t xml:space="preserve">, </w:t>
      </w:r>
      <w:r w:rsidR="00C3534B" w:rsidRPr="00B72720">
        <w:t xml:space="preserve">a picture of the industry and education </w:t>
      </w:r>
      <w:r w:rsidRPr="00B72720">
        <w:t>context</w:t>
      </w:r>
      <w:r w:rsidR="00256504" w:rsidRPr="00B72720">
        <w:t xml:space="preserve"> is provided</w:t>
      </w:r>
      <w:r w:rsidR="00870613" w:rsidRPr="00B72720">
        <w:t xml:space="preserve"> using published data</w:t>
      </w:r>
      <w:r w:rsidR="00C3534B" w:rsidRPr="00B72720">
        <w:t>sets and industry reports</w:t>
      </w:r>
      <w:r w:rsidR="001A3676" w:rsidRPr="00B72720">
        <w:t xml:space="preserve">. The value of the industry both </w:t>
      </w:r>
      <w:r w:rsidRPr="00B72720">
        <w:t>in economic and employment terms</w:t>
      </w:r>
      <w:r w:rsidR="001A3676" w:rsidRPr="00B72720">
        <w:t xml:space="preserve"> </w:t>
      </w:r>
      <w:r w:rsidR="00256504" w:rsidRPr="00B72720">
        <w:t>is highlighted</w:t>
      </w:r>
      <w:r w:rsidR="00870613" w:rsidRPr="00B72720">
        <w:t>,</w:t>
      </w:r>
      <w:r w:rsidR="00256504" w:rsidRPr="00B72720">
        <w:t xml:space="preserve"> along with </w:t>
      </w:r>
      <w:r w:rsidR="001A3676" w:rsidRPr="00B72720">
        <w:t xml:space="preserve">the </w:t>
      </w:r>
      <w:r w:rsidR="00256504" w:rsidRPr="00B72720">
        <w:t xml:space="preserve">occupational and </w:t>
      </w:r>
      <w:r w:rsidR="001A3676" w:rsidRPr="00B72720">
        <w:t xml:space="preserve">qualifications profile </w:t>
      </w:r>
      <w:r w:rsidR="00256504" w:rsidRPr="00B72720">
        <w:t>of the industry</w:t>
      </w:r>
      <w:r w:rsidR="001A3676" w:rsidRPr="00B72720">
        <w:t xml:space="preserve">. </w:t>
      </w:r>
      <w:r w:rsidR="00870613" w:rsidRPr="00B72720">
        <w:t>These</w:t>
      </w:r>
      <w:r w:rsidR="00B47402" w:rsidRPr="00B72720">
        <w:t xml:space="preserve"> </w:t>
      </w:r>
      <w:r w:rsidR="00870613" w:rsidRPr="00B72720">
        <w:t>data provide</w:t>
      </w:r>
      <w:r w:rsidR="001A3676" w:rsidRPr="00B72720">
        <w:t xml:space="preserve"> mor</w:t>
      </w:r>
      <w:r w:rsidR="00256504" w:rsidRPr="00B72720">
        <w:t>e than back</w:t>
      </w:r>
      <w:r w:rsidR="00870613" w:rsidRPr="00B72720">
        <w:t>ground information; they influence</w:t>
      </w:r>
      <w:r w:rsidR="001A3676" w:rsidRPr="00B72720">
        <w:t xml:space="preserve"> the research findings</w:t>
      </w:r>
      <w:r w:rsidR="008B70F6" w:rsidRPr="00B72720">
        <w:t xml:space="preserve"> and provide</w:t>
      </w:r>
      <w:r w:rsidR="00BA2777" w:rsidRPr="00B72720">
        <w:t xml:space="preserve"> a key rationale for improving pathways and </w:t>
      </w:r>
      <w:r w:rsidR="00870613" w:rsidRPr="00B72720">
        <w:t>identifying</w:t>
      </w:r>
      <w:r w:rsidR="00BC0763" w:rsidRPr="00B72720">
        <w:t xml:space="preserve"> </w:t>
      </w:r>
      <w:r w:rsidR="00BA2777" w:rsidRPr="00B72720">
        <w:t>constraints</w:t>
      </w:r>
      <w:r w:rsidR="001A3676" w:rsidRPr="00B72720">
        <w:t>.</w:t>
      </w:r>
    </w:p>
    <w:p w:rsidR="001A3676" w:rsidRDefault="001A3676" w:rsidP="00B72720">
      <w:pPr>
        <w:pStyle w:val="Text"/>
      </w:pPr>
      <w:r w:rsidRPr="00B72720">
        <w:t xml:space="preserve">A number of recent reports highlight </w:t>
      </w:r>
      <w:r w:rsidR="00870613" w:rsidRPr="00B72720">
        <w:t xml:space="preserve">the </w:t>
      </w:r>
      <w:r w:rsidRPr="00B72720">
        <w:t>current skills needs and skills shortages in the industry (</w:t>
      </w:r>
      <w:r w:rsidR="00870613" w:rsidRPr="00B72720">
        <w:t>Department of Education, Employment and Wo</w:t>
      </w:r>
      <w:r w:rsidR="00870613">
        <w:t>rkplace Relations</w:t>
      </w:r>
      <w:r>
        <w:t xml:space="preserve"> </w:t>
      </w:r>
      <w:r w:rsidRPr="00A7284D">
        <w:t>20</w:t>
      </w:r>
      <w:r w:rsidR="003C2608" w:rsidRPr="00A7284D">
        <w:t>11</w:t>
      </w:r>
      <w:r w:rsidR="00A7284D" w:rsidRPr="00A7284D">
        <w:t>a</w:t>
      </w:r>
      <w:r w:rsidR="00A7284D">
        <w:t>;</w:t>
      </w:r>
      <w:r w:rsidR="007E2796">
        <w:t xml:space="preserve"> A</w:t>
      </w:r>
      <w:r w:rsidR="00580B58">
        <w:t>ustralian Workforce Productivity Agency</w:t>
      </w:r>
      <w:r w:rsidR="007E2796">
        <w:t xml:space="preserve"> 2012</w:t>
      </w:r>
      <w:r w:rsidR="00557B81">
        <w:t>a</w:t>
      </w:r>
      <w:r w:rsidR="00DB08AD">
        <w:t>;</w:t>
      </w:r>
      <w:r>
        <w:t xml:space="preserve"> </w:t>
      </w:r>
      <w:r w:rsidR="00580B58">
        <w:t>Construction and Property Services Industry Skills Council</w:t>
      </w:r>
      <w:r>
        <w:t xml:space="preserve"> 2011</w:t>
      </w:r>
      <w:r w:rsidR="00F84485">
        <w:t>)</w:t>
      </w:r>
      <w:r>
        <w:t>. In all of these reports construction management stands out</w:t>
      </w:r>
      <w:r w:rsidR="00D30E00">
        <w:t xml:space="preserve"> as a critical occupation. Recent growth has led to a designated skills shortage for this occupation, which is projected to continue. </w:t>
      </w:r>
      <w:r>
        <w:t>Construction management has become the fourth most important occupation by employment numbers in recent years, growing by 55%</w:t>
      </w:r>
      <w:r w:rsidR="00580B58">
        <w:t xml:space="preserve"> in the five years 2005—</w:t>
      </w:r>
      <w:r w:rsidR="00D37491">
        <w:t>10</w:t>
      </w:r>
      <w:r w:rsidR="00510D3B">
        <w:t xml:space="preserve"> </w:t>
      </w:r>
      <w:r w:rsidR="007E2796">
        <w:t>(</w:t>
      </w:r>
      <w:r w:rsidR="00580B58">
        <w:t>Australian Workforce Productivity Agency</w:t>
      </w:r>
      <w:r w:rsidR="007E2796">
        <w:t xml:space="preserve"> 2012</w:t>
      </w:r>
      <w:r w:rsidR="00557B81">
        <w:t>a</w:t>
      </w:r>
      <w:r w:rsidR="0017726F">
        <w:t>)</w:t>
      </w:r>
      <w:r w:rsidR="004D5EEF">
        <w:t>, with f</w:t>
      </w:r>
      <w:r w:rsidR="00D37491">
        <w:t>urther g</w:t>
      </w:r>
      <w:r>
        <w:t xml:space="preserve">rowth in the order of </w:t>
      </w:r>
      <w:r w:rsidR="00D37491">
        <w:t>3% per annum projected</w:t>
      </w:r>
      <w:r w:rsidR="007E2796">
        <w:t xml:space="preserve"> until 2025 (</w:t>
      </w:r>
      <w:r w:rsidR="00580B58">
        <w:t>Australian Workforce Productivity Agency</w:t>
      </w:r>
      <w:r w:rsidR="007E2796">
        <w:t xml:space="preserve"> 2012</w:t>
      </w:r>
      <w:r w:rsidR="00557B81">
        <w:t>a</w:t>
      </w:r>
      <w:r>
        <w:t>).</w:t>
      </w:r>
    </w:p>
    <w:p w:rsidR="001A3676" w:rsidRPr="00B72720" w:rsidRDefault="001A3676" w:rsidP="00B72720">
      <w:pPr>
        <w:pStyle w:val="Text"/>
      </w:pPr>
      <w:r>
        <w:lastRenderedPageBreak/>
        <w:t xml:space="preserve">This occupation is also designated as ‘specialised’ by the </w:t>
      </w:r>
      <w:r w:rsidR="00D37491">
        <w:t>Australia</w:t>
      </w:r>
      <w:r w:rsidR="00D0575E">
        <w:t>n Workforce Productivity Agency (2012b)</w:t>
      </w:r>
      <w:r>
        <w:t xml:space="preserve">, meaning it is of </w:t>
      </w:r>
      <w:r w:rsidR="00D30E00">
        <w:t>‘</w:t>
      </w:r>
      <w:r>
        <w:t>high value and contributes significantly to medium and long term skill</w:t>
      </w:r>
      <w:r w:rsidR="00D30E00">
        <w:t>s</w:t>
      </w:r>
      <w:r>
        <w:t xml:space="preserve"> developed through formal and extended education and training over a long lead time</w:t>
      </w:r>
      <w:r w:rsidR="00D30E00">
        <w:t>’</w:t>
      </w:r>
      <w:r>
        <w:t xml:space="preserve">. In other words it is a </w:t>
      </w:r>
      <w:r w:rsidR="0078671B">
        <w:t>degree-qualified</w:t>
      </w:r>
      <w:r>
        <w:t xml:space="preserve"> occupation. The </w:t>
      </w:r>
      <w:r w:rsidR="00580B58">
        <w:t>Australian Workforce Productivity Agency</w:t>
      </w:r>
      <w:r>
        <w:t xml:space="preserve"> (2012</w:t>
      </w:r>
      <w:r w:rsidR="00557B81">
        <w:t>a</w:t>
      </w:r>
      <w:r>
        <w:t>) project</w:t>
      </w:r>
      <w:r w:rsidR="00D30E00">
        <w:t>s</w:t>
      </w:r>
      <w:r>
        <w:t xml:space="preserve"> that the number of bachelor </w:t>
      </w:r>
      <w:r w:rsidRPr="00B72720">
        <w:t>degree holders will need to increase by at least 25% to meet industry needs to 2025.</w:t>
      </w:r>
    </w:p>
    <w:p w:rsidR="001A3676" w:rsidRPr="00B72720" w:rsidRDefault="001A3676" w:rsidP="00B72720">
      <w:pPr>
        <w:pStyle w:val="Text"/>
        <w:ind w:right="141"/>
      </w:pPr>
      <w:r w:rsidRPr="00B72720">
        <w:t>Meeting this projected increase in bachelor holders is problematic</w:t>
      </w:r>
      <w:r w:rsidR="00D0575E" w:rsidRPr="00B72720">
        <w:t>,</w:t>
      </w:r>
      <w:r w:rsidRPr="00B72720">
        <w:t xml:space="preserve"> given the low levels of </w:t>
      </w:r>
      <w:r w:rsidR="003C2608" w:rsidRPr="00B72720">
        <w:t xml:space="preserve">higher </w:t>
      </w:r>
      <w:r w:rsidRPr="00B72720">
        <w:t xml:space="preserve">education provision in this </w:t>
      </w:r>
      <w:r w:rsidR="008B70F6" w:rsidRPr="00B72720">
        <w:t>subfield</w:t>
      </w:r>
      <w:r w:rsidR="004D5EEF" w:rsidRPr="00B72720">
        <w:t xml:space="preserve"> </w:t>
      </w:r>
      <w:r w:rsidRPr="00B72720">
        <w:t>of education.</w:t>
      </w:r>
      <w:r w:rsidR="00510D3B" w:rsidRPr="00B72720">
        <w:t xml:space="preserve"> </w:t>
      </w:r>
      <w:r w:rsidRPr="00B72720">
        <w:t xml:space="preserve">Based on </w:t>
      </w:r>
      <w:r w:rsidR="00510D3B" w:rsidRPr="00B72720">
        <w:t>higher education</w:t>
      </w:r>
      <w:r w:rsidRPr="00B72720">
        <w:t xml:space="preserve"> data for 2011</w:t>
      </w:r>
      <w:r w:rsidR="0078671B" w:rsidRPr="00B72720">
        <w:t>, students</w:t>
      </w:r>
      <w:r w:rsidRPr="00B72720">
        <w:t xml:space="preserve"> </w:t>
      </w:r>
      <w:r w:rsidR="0078671B" w:rsidRPr="00B72720">
        <w:t xml:space="preserve">in </w:t>
      </w:r>
      <w:r w:rsidR="00557B81" w:rsidRPr="00B72720">
        <w:t>ar</w:t>
      </w:r>
      <w:r w:rsidR="003C2608" w:rsidRPr="00B72720">
        <w:t>c</w:t>
      </w:r>
      <w:r w:rsidR="00557B81" w:rsidRPr="00B72720">
        <w:t xml:space="preserve">hitecture and </w:t>
      </w:r>
      <w:r w:rsidR="0078671B" w:rsidRPr="00B72720">
        <w:t>building comprised</w:t>
      </w:r>
      <w:r w:rsidR="00D30E00" w:rsidRPr="00B72720">
        <w:t xml:space="preserve"> only 2.1</w:t>
      </w:r>
      <w:r w:rsidR="00557B81" w:rsidRPr="00B72720">
        <w:t xml:space="preserve">% of all </w:t>
      </w:r>
      <w:r w:rsidR="00510D3B" w:rsidRPr="00B72720">
        <w:t>higher education</w:t>
      </w:r>
      <w:r w:rsidR="00557B81" w:rsidRPr="00B72720">
        <w:t xml:space="preserve"> students, measured by student load</w:t>
      </w:r>
      <w:r w:rsidR="00D37491" w:rsidRPr="00B72720">
        <w:t xml:space="preserve">. Numbers in </w:t>
      </w:r>
      <w:r w:rsidR="00510D3B" w:rsidRPr="00B72720">
        <w:t>higher education</w:t>
      </w:r>
      <w:r w:rsidRPr="00B72720">
        <w:t xml:space="preserve"> remained static</w:t>
      </w:r>
      <w:r w:rsidR="00D0575E" w:rsidRPr="00B72720">
        <w:t xml:space="preserve"> in the three years 2009—</w:t>
      </w:r>
      <w:r w:rsidRPr="00B72720">
        <w:t>11</w:t>
      </w:r>
      <w:r w:rsidR="003C2608" w:rsidRPr="00B72720">
        <w:t xml:space="preserve"> (</w:t>
      </w:r>
      <w:r w:rsidR="00D06852" w:rsidRPr="00B72720">
        <w:t>Department of Industry, Innovation, Science, Research and Tertiary Education 2009, 2010, 2011</w:t>
      </w:r>
      <w:r w:rsidR="003C2608" w:rsidRPr="00B72720">
        <w:t>)</w:t>
      </w:r>
      <w:r w:rsidRPr="00B72720">
        <w:t>.</w:t>
      </w:r>
      <w:r w:rsidR="00510D3B" w:rsidRPr="00B72720">
        <w:t xml:space="preserve"> </w:t>
      </w:r>
      <w:r w:rsidRPr="00B72720">
        <w:t xml:space="preserve">Stakeholders </w:t>
      </w:r>
      <w:r w:rsidR="0078671B" w:rsidRPr="00B72720">
        <w:t>indicated specific</w:t>
      </w:r>
      <w:r w:rsidRPr="00B72720">
        <w:t xml:space="preserve"> </w:t>
      </w:r>
      <w:r w:rsidR="0078671B" w:rsidRPr="00B72720">
        <w:t>constraints</w:t>
      </w:r>
      <w:r w:rsidRPr="00B72720">
        <w:t xml:space="preserve"> to extending </w:t>
      </w:r>
      <w:r w:rsidR="0078671B" w:rsidRPr="00B72720">
        <w:t>provision</w:t>
      </w:r>
      <w:r w:rsidRPr="00B72720">
        <w:t xml:space="preserve"> within universities</w:t>
      </w:r>
      <w:r w:rsidR="000E4F11" w:rsidRPr="00B72720">
        <w:t>,</w:t>
      </w:r>
      <w:r w:rsidRPr="00B72720">
        <w:t xml:space="preserve"> including suitable staff and</w:t>
      </w:r>
      <w:r w:rsidR="00B72720">
        <w:t> </w:t>
      </w:r>
      <w:r w:rsidRPr="00B72720">
        <w:t xml:space="preserve">facilities. </w:t>
      </w:r>
    </w:p>
    <w:p w:rsidR="001A3676" w:rsidRPr="00B72720" w:rsidRDefault="001A3676" w:rsidP="00B72720">
      <w:pPr>
        <w:pStyle w:val="Text"/>
      </w:pPr>
      <w:r w:rsidRPr="00B72720">
        <w:t xml:space="preserve">One </w:t>
      </w:r>
      <w:r w:rsidR="0078671B" w:rsidRPr="00B72720">
        <w:t xml:space="preserve">mechanism </w:t>
      </w:r>
      <w:r w:rsidR="004D5EEF" w:rsidRPr="00B72720">
        <w:t>for</w:t>
      </w:r>
      <w:r w:rsidR="00D37491" w:rsidRPr="00B72720">
        <w:t xml:space="preserve"> meet</w:t>
      </w:r>
      <w:r w:rsidR="004D5EEF" w:rsidRPr="00B72720">
        <w:t>ing</w:t>
      </w:r>
      <w:r w:rsidR="00D37491" w:rsidRPr="00B72720">
        <w:t xml:space="preserve"> industry skills needs </w:t>
      </w:r>
      <w:r w:rsidR="0078671B" w:rsidRPr="00B72720">
        <w:t>is</w:t>
      </w:r>
      <w:r w:rsidRPr="00B72720">
        <w:t xml:space="preserve"> improved pathways into </w:t>
      </w:r>
      <w:r w:rsidR="00510D3B" w:rsidRPr="00B72720">
        <w:t>higher education</w:t>
      </w:r>
      <w:r w:rsidRPr="00B72720">
        <w:t xml:space="preserve"> for VET qualification holders. This mechanism is important because it provides </w:t>
      </w:r>
      <w:r w:rsidR="0078671B" w:rsidRPr="00B72720">
        <w:t>opportunities</w:t>
      </w:r>
      <w:r w:rsidRPr="00B72720">
        <w:t xml:space="preserve"> for </w:t>
      </w:r>
      <w:proofErr w:type="spellStart"/>
      <w:r w:rsidR="00D0575E" w:rsidRPr="00B72720">
        <w:t>up</w:t>
      </w:r>
      <w:r w:rsidR="0078671B" w:rsidRPr="00B72720">
        <w:t>skilling</w:t>
      </w:r>
      <w:proofErr w:type="spellEnd"/>
      <w:r w:rsidRPr="00B72720">
        <w:t xml:space="preserve"> by recent VET graduates and for </w:t>
      </w:r>
      <w:r w:rsidR="00D37491" w:rsidRPr="00B72720">
        <w:t xml:space="preserve">experienced </w:t>
      </w:r>
      <w:r w:rsidR="003C2608" w:rsidRPr="00B72720">
        <w:t>employees</w:t>
      </w:r>
      <w:r w:rsidR="006F0EE6">
        <w:t>,</w:t>
      </w:r>
      <w:r w:rsidRPr="00B72720">
        <w:t xml:space="preserve"> and builds on skills and knowledge already attained. It also provides </w:t>
      </w:r>
      <w:r w:rsidR="00510D3B" w:rsidRPr="00B72720">
        <w:t>higher education</w:t>
      </w:r>
      <w:r w:rsidRPr="00B72720">
        <w:t xml:space="preserve"> providers with a pipeline into </w:t>
      </w:r>
      <w:r w:rsidR="00D0575E" w:rsidRPr="00B72720">
        <w:t>second and third</w:t>
      </w:r>
      <w:r w:rsidRPr="00B72720">
        <w:t xml:space="preserve"> years.</w:t>
      </w:r>
      <w:r w:rsidR="00D37491" w:rsidRPr="00B72720">
        <w:t xml:space="preserve"> However, this mechanism is constrained by the low levels of </w:t>
      </w:r>
      <w:r w:rsidR="00510D3B" w:rsidRPr="00B72720">
        <w:t>higher education</w:t>
      </w:r>
      <w:r w:rsidR="00D37491" w:rsidRPr="00B72720">
        <w:t xml:space="preserve"> provision and the high demand for student places.</w:t>
      </w:r>
      <w:r w:rsidRPr="00B72720">
        <w:t xml:space="preserve"> </w:t>
      </w:r>
    </w:p>
    <w:p w:rsidR="001A3676" w:rsidRPr="00B72720" w:rsidRDefault="005C42CE" w:rsidP="00B72720">
      <w:pPr>
        <w:pStyle w:val="Text"/>
      </w:pPr>
      <w:r w:rsidRPr="00B72720">
        <w:t>Across all fields of education</w:t>
      </w:r>
      <w:r w:rsidR="006F0EE6">
        <w:t>,</w:t>
      </w:r>
      <w:r w:rsidRPr="00B72720">
        <w:t xml:space="preserve"> d</w:t>
      </w:r>
      <w:r w:rsidR="001A3676" w:rsidRPr="00B72720">
        <w:t xml:space="preserve">iploma graduates are more likely to continue into </w:t>
      </w:r>
      <w:r w:rsidR="00510D3B" w:rsidRPr="00B72720">
        <w:t>higher education</w:t>
      </w:r>
      <w:r w:rsidR="001A3676" w:rsidRPr="00B72720">
        <w:t xml:space="preserve"> than </w:t>
      </w:r>
      <w:r w:rsidR="0078671B" w:rsidRPr="00B72720">
        <w:t>graduates</w:t>
      </w:r>
      <w:r w:rsidR="001A3676" w:rsidRPr="00B72720">
        <w:t xml:space="preserve"> of </w:t>
      </w:r>
      <w:r w:rsidRPr="00B72720">
        <w:t>lo</w:t>
      </w:r>
      <w:r w:rsidR="00D0575E" w:rsidRPr="00B72720">
        <w:t>wer-</w:t>
      </w:r>
      <w:r w:rsidRPr="00B72720">
        <w:t xml:space="preserve">level </w:t>
      </w:r>
      <w:r w:rsidR="001A3676" w:rsidRPr="00B72720">
        <w:t xml:space="preserve">qualifications. This is also true </w:t>
      </w:r>
      <w:r w:rsidRPr="00B72720">
        <w:t>for this industry</w:t>
      </w:r>
      <w:r w:rsidR="00D0575E" w:rsidRPr="00B72720">
        <w:t>,</w:t>
      </w:r>
      <w:r w:rsidRPr="00B72720">
        <w:t xml:space="preserve"> with 16.5% of 2010 </w:t>
      </w:r>
      <w:r w:rsidR="001A3676" w:rsidRPr="00B72720">
        <w:t xml:space="preserve">graduates moving to a bachelor degree </w:t>
      </w:r>
      <w:r w:rsidRPr="00B72720">
        <w:t xml:space="preserve">in 2011, compared with 15.2 % of graduates in all fields </w:t>
      </w:r>
      <w:r w:rsidR="001A3676" w:rsidRPr="00B72720">
        <w:t>(NCVER 2011</w:t>
      </w:r>
      <w:r w:rsidR="003E5710" w:rsidRPr="00B72720">
        <w:t>a</w:t>
      </w:r>
      <w:r w:rsidR="001A3676" w:rsidRPr="00B72720">
        <w:t xml:space="preserve">). However 16.5% </w:t>
      </w:r>
      <w:r w:rsidRPr="00B72720">
        <w:t xml:space="preserve">of graduates represent just 464 persons out of an estimated </w:t>
      </w:r>
      <w:r w:rsidR="001A3676" w:rsidRPr="00B72720">
        <w:t xml:space="preserve">graduate pool in this field </w:t>
      </w:r>
      <w:r w:rsidRPr="00B72720">
        <w:t>of</w:t>
      </w:r>
      <w:r w:rsidR="001A3676" w:rsidRPr="00B72720">
        <w:t xml:space="preserve"> 2810</w:t>
      </w:r>
      <w:r w:rsidRPr="00B72720">
        <w:t>.</w:t>
      </w:r>
      <w:r w:rsidR="001A3676" w:rsidRPr="00B72720">
        <w:t xml:space="preserve"> </w:t>
      </w:r>
      <w:r w:rsidRPr="00B72720">
        <w:t>By comparison, the</w:t>
      </w:r>
      <w:r w:rsidR="001A3676" w:rsidRPr="00B72720">
        <w:t xml:space="preserve"> total graduate diploma pool </w:t>
      </w:r>
      <w:r w:rsidRPr="00B72720">
        <w:t xml:space="preserve">in </w:t>
      </w:r>
      <w:r w:rsidR="00510D3B" w:rsidRPr="00B72720">
        <w:t>vocational education and training</w:t>
      </w:r>
      <w:r w:rsidRPr="00B72720">
        <w:t xml:space="preserve"> in 2010 was estimated at</w:t>
      </w:r>
      <w:r w:rsidR="00D0575E" w:rsidRPr="00B72720">
        <w:t xml:space="preserve"> 81 </w:t>
      </w:r>
      <w:r w:rsidR="001A3676" w:rsidRPr="00B72720">
        <w:t xml:space="preserve">800 (NCVER </w:t>
      </w:r>
      <w:r w:rsidRPr="00B72720">
        <w:t>2011</w:t>
      </w:r>
      <w:r w:rsidR="003E5710" w:rsidRPr="00B72720">
        <w:t>a</w:t>
      </w:r>
      <w:r w:rsidRPr="00B72720">
        <w:t xml:space="preserve">). On a numerical basis, </w:t>
      </w:r>
      <w:r w:rsidR="001A3676" w:rsidRPr="00B72720">
        <w:t xml:space="preserve">pathway students from diploma to degree in </w:t>
      </w:r>
      <w:r w:rsidR="0078671B" w:rsidRPr="00B72720">
        <w:t>this field</w:t>
      </w:r>
      <w:r w:rsidRPr="00B72720">
        <w:t xml:space="preserve"> are miniscule</w:t>
      </w:r>
      <w:r w:rsidR="001A3676" w:rsidRPr="00B72720">
        <w:t xml:space="preserve">. </w:t>
      </w:r>
    </w:p>
    <w:p w:rsidR="001A3676" w:rsidRDefault="005C42CE" w:rsidP="00B72720">
      <w:pPr>
        <w:pStyle w:val="Text"/>
      </w:pPr>
      <w:r w:rsidRPr="00B72720">
        <w:t>B</w:t>
      </w:r>
      <w:r w:rsidR="001A3676" w:rsidRPr="00B72720">
        <w:t xml:space="preserve">oosting these </w:t>
      </w:r>
      <w:r w:rsidR="00DA0D2B" w:rsidRPr="00B72720">
        <w:t xml:space="preserve">graduate </w:t>
      </w:r>
      <w:r w:rsidR="001A3676" w:rsidRPr="00B72720">
        <w:t>numbers r</w:t>
      </w:r>
      <w:r w:rsidR="001A3676">
        <w:t>equire</w:t>
      </w:r>
      <w:r w:rsidR="00DA0D2B">
        <w:t>s</w:t>
      </w:r>
      <w:r w:rsidR="001A3676">
        <w:t>:</w:t>
      </w:r>
    </w:p>
    <w:p w:rsidR="001A3676" w:rsidRDefault="00DA0D2B" w:rsidP="001A3676">
      <w:pPr>
        <w:pStyle w:val="Dotpoint1"/>
      </w:pPr>
      <w:r>
        <w:t>identifying ways</w:t>
      </w:r>
      <w:r w:rsidR="001A3676">
        <w:t xml:space="preserve"> to increase </w:t>
      </w:r>
      <w:r w:rsidR="00510D3B">
        <w:t>higher education</w:t>
      </w:r>
      <w:r w:rsidR="001A3676">
        <w:t xml:space="preserve"> enrolments and </w:t>
      </w:r>
      <w:r w:rsidR="00D0575E">
        <w:t xml:space="preserve">to </w:t>
      </w:r>
      <w:r w:rsidR="001A3676">
        <w:t xml:space="preserve">address </w:t>
      </w:r>
      <w:r w:rsidR="00510D3B">
        <w:t>higher education</w:t>
      </w:r>
      <w:r>
        <w:t xml:space="preserve"> </w:t>
      </w:r>
      <w:r w:rsidR="001A3676">
        <w:t>constraints</w:t>
      </w:r>
      <w:r>
        <w:t xml:space="preserve"> in provision</w:t>
      </w:r>
    </w:p>
    <w:p w:rsidR="00EB75C5" w:rsidRDefault="00EB75C5" w:rsidP="00EB75C5">
      <w:pPr>
        <w:pStyle w:val="Dotpoint1"/>
      </w:pPr>
      <w:proofErr w:type="gramStart"/>
      <w:r>
        <w:t>improving</w:t>
      </w:r>
      <w:proofErr w:type="gramEnd"/>
      <w:r>
        <w:t xml:space="preserve"> pathways from certificate III/IV qualifications into diplomas and potentially into degrees. At these qualification levels both the percentage and numbers of students continuing with studies is significantly less than the average of all fields</w:t>
      </w:r>
    </w:p>
    <w:p w:rsidR="00D30E00" w:rsidRDefault="00D30E00" w:rsidP="00D30E00">
      <w:pPr>
        <w:pStyle w:val="Dotpoint1"/>
      </w:pPr>
      <w:r>
        <w:t>increasing the number of enrolments in diplomas (also low as a proportion of diploma enrolments)</w:t>
      </w:r>
    </w:p>
    <w:p w:rsidR="001A3676" w:rsidRDefault="001A3676" w:rsidP="001A3676">
      <w:pPr>
        <w:pStyle w:val="Dotpoint1"/>
      </w:pPr>
      <w:proofErr w:type="gramStart"/>
      <w:r>
        <w:t>increasing</w:t>
      </w:r>
      <w:proofErr w:type="gramEnd"/>
      <w:r>
        <w:t xml:space="preserve"> the number of graduates in diplomas</w:t>
      </w:r>
      <w:r w:rsidR="00D0575E">
        <w:t>.</w:t>
      </w:r>
    </w:p>
    <w:p w:rsidR="001A3676" w:rsidRPr="00B72720" w:rsidRDefault="009F29A1" w:rsidP="00B72720">
      <w:pPr>
        <w:pStyle w:val="Text"/>
        <w:ind w:right="-143"/>
      </w:pPr>
      <w:r>
        <w:t>I</w:t>
      </w:r>
      <w:r w:rsidR="001A3676">
        <w:t xml:space="preserve">n this context, the </w:t>
      </w:r>
      <w:r w:rsidR="00510D3B">
        <w:t>higher education</w:t>
      </w:r>
      <w:r w:rsidR="00DA0D2B">
        <w:t xml:space="preserve"> students in </w:t>
      </w:r>
      <w:r>
        <w:t xml:space="preserve">building and construction </w:t>
      </w:r>
      <w:r w:rsidR="00DA0D2B">
        <w:t xml:space="preserve">management who had been successful in navigating a pathway from </w:t>
      </w:r>
      <w:r w:rsidR="00510D3B">
        <w:t>vocational education and training</w:t>
      </w:r>
      <w:r>
        <w:t xml:space="preserve"> were interviewed</w:t>
      </w:r>
      <w:r w:rsidR="001A3676">
        <w:t xml:space="preserve">. </w:t>
      </w:r>
      <w:r w:rsidR="0078671B">
        <w:t xml:space="preserve">In essence, the interviewees formed two groups: those students for whom the VET diploma </w:t>
      </w:r>
      <w:r w:rsidR="0078671B" w:rsidRPr="00256219">
        <w:t>was always</w:t>
      </w:r>
      <w:r w:rsidR="0078671B">
        <w:t xml:space="preserve"> a pathway to the degree and those for whom the diploma </w:t>
      </w:r>
      <w:r w:rsidR="0078671B" w:rsidRPr="00256219">
        <w:t>became</w:t>
      </w:r>
      <w:r w:rsidR="0078671B" w:rsidRPr="0005687E">
        <w:t xml:space="preserve"> </w:t>
      </w:r>
      <w:r w:rsidR="0078671B">
        <w:t>a pathway to the degree.</w:t>
      </w:r>
      <w:r w:rsidR="00510D3B">
        <w:t xml:space="preserve"> </w:t>
      </w:r>
      <w:r w:rsidR="001A3676">
        <w:t xml:space="preserve">In identifying </w:t>
      </w:r>
      <w:r w:rsidR="00DA0D2B">
        <w:t xml:space="preserve">the </w:t>
      </w:r>
      <w:r w:rsidR="001A3676" w:rsidRPr="00B72720">
        <w:t>enablers</w:t>
      </w:r>
      <w:r w:rsidR="00D0575E" w:rsidRPr="00B72720">
        <w:t>,</w:t>
      </w:r>
      <w:r w:rsidR="006E3E0E" w:rsidRPr="00B72720">
        <w:t xml:space="preserve"> slightly discerni</w:t>
      </w:r>
      <w:r w:rsidR="001A3676" w:rsidRPr="00B72720">
        <w:t xml:space="preserve">ble differences in emphasis were evident between these two groups. </w:t>
      </w:r>
    </w:p>
    <w:p w:rsidR="001A3676" w:rsidRDefault="001A3676" w:rsidP="00B72720">
      <w:pPr>
        <w:pStyle w:val="Text"/>
      </w:pPr>
      <w:r w:rsidRPr="00B72720">
        <w:t>The student responses</w:t>
      </w:r>
      <w:r>
        <w:t xml:space="preserve"> were mapped and categorised to each of the ten characteristics and </w:t>
      </w:r>
      <w:r w:rsidR="00D0575E">
        <w:t>four</w:t>
      </w:r>
      <w:r>
        <w:t xml:space="preserve"> strategies making up the </w:t>
      </w:r>
      <w:r w:rsidR="006E3E0E">
        <w:t>Design and Evaluation Matrix for Outreach</w:t>
      </w:r>
      <w:r w:rsidR="00DA0D2B">
        <w:t xml:space="preserve"> (Gale et al</w:t>
      </w:r>
      <w:r w:rsidR="006E3E0E">
        <w:t>.</w:t>
      </w:r>
      <w:r w:rsidR="00DA0D2B">
        <w:t xml:space="preserve"> 2010) and the</w:t>
      </w:r>
      <w:r w:rsidR="008A6D06">
        <w:t xml:space="preserve"> findings </w:t>
      </w:r>
      <w:r>
        <w:lastRenderedPageBreak/>
        <w:t>detailed in the report.</w:t>
      </w:r>
      <w:r w:rsidR="00510D3B">
        <w:t xml:space="preserve"> </w:t>
      </w:r>
      <w:r>
        <w:t>In summary</w:t>
      </w:r>
      <w:r w:rsidR="00D00BBF">
        <w:t>,</w:t>
      </w:r>
      <w:r>
        <w:t xml:space="preserve"> </w:t>
      </w:r>
      <w:r w:rsidR="0078671B">
        <w:t>the key</w:t>
      </w:r>
      <w:r>
        <w:t xml:space="preserve"> enablers identified </w:t>
      </w:r>
      <w:r w:rsidR="0078671B">
        <w:t>(and</w:t>
      </w:r>
      <w:r>
        <w:t xml:space="preserve"> expressed in the terminology of the matrix</w:t>
      </w:r>
      <w:r w:rsidR="0078671B">
        <w:t>) are</w:t>
      </w:r>
      <w:r>
        <w:t>:</w:t>
      </w:r>
    </w:p>
    <w:p w:rsidR="001A3676" w:rsidRDefault="001A3676" w:rsidP="00B72720">
      <w:pPr>
        <w:pStyle w:val="Dotpoint1"/>
        <w:ind w:right="-143"/>
      </w:pPr>
      <w:r>
        <w:t>‘</w:t>
      </w:r>
      <w:r w:rsidR="006E3E0E">
        <w:t>p</w:t>
      </w:r>
      <w:r w:rsidRPr="00266CA3">
        <w:t>eople-rich resources</w:t>
      </w:r>
      <w:r w:rsidR="006E3E0E">
        <w:t>’</w:t>
      </w:r>
      <w:r>
        <w:t xml:space="preserve">, the most significant being the teachers and other staff in </w:t>
      </w:r>
      <w:r w:rsidR="00510D3B">
        <w:t>vocational education and training</w:t>
      </w:r>
      <w:r>
        <w:t xml:space="preserve"> who gave guidance and advice to these students in </w:t>
      </w:r>
      <w:r w:rsidR="006E3E0E">
        <w:t xml:space="preserve">areas </w:t>
      </w:r>
      <w:r w:rsidR="009F29A1">
        <w:t xml:space="preserve">such as future study, </w:t>
      </w:r>
      <w:proofErr w:type="spellStart"/>
      <w:r w:rsidR="006E3E0E">
        <w:t>up</w:t>
      </w:r>
      <w:r w:rsidR="009F29A1">
        <w:t>skilling</w:t>
      </w:r>
      <w:proofErr w:type="spellEnd"/>
      <w:r w:rsidR="009F29A1">
        <w:t xml:space="preserve"> options and</w:t>
      </w:r>
      <w:r>
        <w:t xml:space="preserve"> </w:t>
      </w:r>
      <w:r w:rsidR="009F29A1">
        <w:t>career opportunities for higher-level qualifications, and</w:t>
      </w:r>
      <w:r>
        <w:t xml:space="preserve"> information on universities, credit and other relevant i</w:t>
      </w:r>
      <w:r w:rsidR="009F29A1">
        <w:t>ssues</w:t>
      </w:r>
      <w:r>
        <w:t xml:space="preserve">. This enabler was evident across all student </w:t>
      </w:r>
      <w:r w:rsidR="0078671B">
        <w:t>responses</w:t>
      </w:r>
    </w:p>
    <w:p w:rsidR="001A3676" w:rsidRDefault="006E3E0E" w:rsidP="00B72720">
      <w:pPr>
        <w:pStyle w:val="Dotpoint1"/>
        <w:ind w:right="-143"/>
      </w:pPr>
      <w:r>
        <w:t>‘</w:t>
      </w:r>
      <w:proofErr w:type="gramStart"/>
      <w:r>
        <w:t>r</w:t>
      </w:r>
      <w:r w:rsidR="001A3676" w:rsidRPr="00266CA3">
        <w:t>ecognition</w:t>
      </w:r>
      <w:proofErr w:type="gramEnd"/>
      <w:r w:rsidR="001A3676" w:rsidRPr="00266CA3">
        <w:t xml:space="preserve"> of difference’</w:t>
      </w:r>
      <w:r w:rsidR="001A3676">
        <w:t>, expressed through recognition for prior VET studies given by the desti</w:t>
      </w:r>
      <w:r w:rsidR="009F29A1">
        <w:t>nation universities in the form</w:t>
      </w:r>
      <w:r w:rsidR="001A3676">
        <w:t xml:space="preserve"> of credit and guaranteed entry (where provided) or ease of admission</w:t>
      </w:r>
      <w:r w:rsidR="006F0EE6">
        <w:t>,</w:t>
      </w:r>
      <w:r w:rsidR="001A3676">
        <w:t xml:space="preserve"> and the support given to transition students as individual learners. This enabler was more important to those students who</w:t>
      </w:r>
      <w:r w:rsidR="008A6D06">
        <w:t xml:space="preserve"> had intended</w:t>
      </w:r>
      <w:r w:rsidR="001A3676">
        <w:t xml:space="preserve"> </w:t>
      </w:r>
      <w:r w:rsidR="00510D3B">
        <w:t>vocational education and training</w:t>
      </w:r>
      <w:r w:rsidR="009F29A1">
        <w:t xml:space="preserve"> as a pathway</w:t>
      </w:r>
    </w:p>
    <w:p w:rsidR="001A3676" w:rsidRDefault="006E3E0E" w:rsidP="001A3676">
      <w:pPr>
        <w:pStyle w:val="Dotpoint1"/>
      </w:pPr>
      <w:r>
        <w:t>t</w:t>
      </w:r>
      <w:r w:rsidR="001A3676" w:rsidRPr="003D0049">
        <w:t xml:space="preserve">he </w:t>
      </w:r>
      <w:r w:rsidR="001A3676">
        <w:t>‘</w:t>
      </w:r>
      <w:r w:rsidR="001A3676" w:rsidRPr="003D0049">
        <w:t xml:space="preserve">engagement of </w:t>
      </w:r>
      <w:r w:rsidR="0078671B" w:rsidRPr="003D0049">
        <w:t>learners</w:t>
      </w:r>
      <w:r w:rsidR="0078671B">
        <w:t>’</w:t>
      </w:r>
      <w:r w:rsidR="0078671B" w:rsidRPr="003D0049">
        <w:t>,</w:t>
      </w:r>
      <w:r w:rsidR="001A3676" w:rsidRPr="003D0049">
        <w:t xml:space="preserve"> represented primarily through </w:t>
      </w:r>
      <w:r w:rsidR="001A3676">
        <w:t>‘</w:t>
      </w:r>
      <w:r w:rsidR="001A3676" w:rsidRPr="003D0049">
        <w:t xml:space="preserve">positive learning experiences in </w:t>
      </w:r>
      <w:r w:rsidR="00510D3B">
        <w:t>vocational education and training</w:t>
      </w:r>
      <w:r w:rsidR="001A3676">
        <w:t xml:space="preserve">’, which gave these students the skills and confidence to go </w:t>
      </w:r>
      <w:r w:rsidR="004D5EEF">
        <w:t>on to</w:t>
      </w:r>
      <w:r w:rsidR="001A3676">
        <w:t xml:space="preserve"> higher education. This enabler was more relevant </w:t>
      </w:r>
      <w:r w:rsidR="0078671B">
        <w:t>to students</w:t>
      </w:r>
      <w:r w:rsidR="001A3676">
        <w:t xml:space="preserve"> who decided to continue studying as a </w:t>
      </w:r>
      <w:r w:rsidR="0078671B">
        <w:t>consequence</w:t>
      </w:r>
      <w:r w:rsidR="001A3676">
        <w:t xml:space="preserve"> of their VET studies</w:t>
      </w:r>
      <w:r w:rsidR="008A6D06">
        <w:t xml:space="preserve"> but was evident in both groups</w:t>
      </w:r>
      <w:r w:rsidR="001A3676">
        <w:t xml:space="preserve"> </w:t>
      </w:r>
    </w:p>
    <w:p w:rsidR="001A3676" w:rsidRDefault="006E3E0E" w:rsidP="001A3676">
      <w:pPr>
        <w:pStyle w:val="Dotpoint1"/>
      </w:pPr>
      <w:r>
        <w:t>‘c</w:t>
      </w:r>
      <w:r w:rsidR="001A3676">
        <w:t xml:space="preserve">ollaboration and communication’ between the </w:t>
      </w:r>
      <w:r>
        <w:t>VET</w:t>
      </w:r>
      <w:r w:rsidR="001A3676">
        <w:t xml:space="preserve"> and </w:t>
      </w:r>
      <w:r w:rsidR="00510D3B">
        <w:t>higher education</w:t>
      </w:r>
      <w:r w:rsidR="001A3676">
        <w:t xml:space="preserve"> providers</w:t>
      </w:r>
      <w:r>
        <w:t>,</w:t>
      </w:r>
      <w:r w:rsidR="001A3676">
        <w:t xml:space="preserve"> expressed through familiarity activities such as orientations, strong co</w:t>
      </w:r>
      <w:r w:rsidR="009F29A1">
        <w:t>mmunication</w:t>
      </w:r>
      <w:r>
        <w:t xml:space="preserve"> between staff and ‘link’</w:t>
      </w:r>
      <w:r w:rsidR="009F29A1">
        <w:t xml:space="preserve"> personnel in both institutions</w:t>
      </w:r>
    </w:p>
    <w:p w:rsidR="001A3676" w:rsidRDefault="006E3E0E" w:rsidP="001A3676">
      <w:pPr>
        <w:pStyle w:val="Dotpoint1"/>
      </w:pPr>
      <w:proofErr w:type="gramStart"/>
      <w:r>
        <w:t>t</w:t>
      </w:r>
      <w:r w:rsidR="001A3676" w:rsidRPr="00263EFD">
        <w:t>he</w:t>
      </w:r>
      <w:proofErr w:type="gramEnd"/>
      <w:r w:rsidR="001A3676" w:rsidRPr="00263EFD">
        <w:t xml:space="preserve"> </w:t>
      </w:r>
      <w:r w:rsidR="001A3676">
        <w:t>‘</w:t>
      </w:r>
      <w:r w:rsidR="001A3676" w:rsidRPr="00263EFD">
        <w:t>building of confidence</w:t>
      </w:r>
      <w:r w:rsidR="001A3676">
        <w:t>’</w:t>
      </w:r>
      <w:r w:rsidR="001A3676" w:rsidRPr="00263EFD">
        <w:t xml:space="preserve"> in lear</w:t>
      </w:r>
      <w:r w:rsidR="001A3676">
        <w:t>ners through VET studies and experiences, which engendered a high motivation to study and succeed at university and a clear fo</w:t>
      </w:r>
      <w:r w:rsidR="008A6D06">
        <w:t>cus on the value of the degree and the career of construction management</w:t>
      </w:r>
      <w:r w:rsidR="001A3676">
        <w:t xml:space="preserve">. This enabler was evidenced in the responses of </w:t>
      </w:r>
      <w:r w:rsidR="0078671B">
        <w:t>students</w:t>
      </w:r>
      <w:r w:rsidR="001A3676">
        <w:t xml:space="preserve"> from both groups.</w:t>
      </w:r>
    </w:p>
    <w:p w:rsidR="001A3676" w:rsidRDefault="00B47402" w:rsidP="00B72720">
      <w:pPr>
        <w:pStyle w:val="Text"/>
      </w:pPr>
      <w:r>
        <w:t>Stakeholder forums conducted as part of this study</w:t>
      </w:r>
      <w:r w:rsidR="00305BBB">
        <w:t xml:space="preserve"> provided</w:t>
      </w:r>
      <w:r w:rsidR="001A3676">
        <w:t xml:space="preserve"> the opportunity to share and discuss the research findings and to consider ideas and options to strengthen pathways in this field. The value and relevance </w:t>
      </w:r>
      <w:r w:rsidR="00305BBB">
        <w:t>of contextualising the research</w:t>
      </w:r>
      <w:r w:rsidR="001A3676">
        <w:t xml:space="preserve"> </w:t>
      </w:r>
      <w:r w:rsidR="006F0EE6">
        <w:t>to</w:t>
      </w:r>
      <w:r w:rsidR="00305BBB">
        <w:t xml:space="preserve"> industry needs </w:t>
      </w:r>
      <w:r w:rsidR="001A3676">
        <w:t>w</w:t>
      </w:r>
      <w:r w:rsidR="00305BBB">
        <w:t>as confirmed by stakeholders</w:t>
      </w:r>
      <w:r w:rsidR="006F368F">
        <w:t>, with</w:t>
      </w:r>
      <w:r w:rsidR="00305BBB">
        <w:t xml:space="preserve"> i</w:t>
      </w:r>
      <w:r w:rsidR="001A3676">
        <w:t>ndustry re</w:t>
      </w:r>
      <w:r w:rsidR="006F368F">
        <w:t>presentatives strongly supporting</w:t>
      </w:r>
      <w:r w:rsidR="001A3676">
        <w:t xml:space="preserve"> </w:t>
      </w:r>
      <w:r w:rsidR="00305BBB">
        <w:t xml:space="preserve">greater involvement </w:t>
      </w:r>
      <w:r w:rsidR="001A3676">
        <w:t xml:space="preserve">in </w:t>
      </w:r>
      <w:r w:rsidR="009F29A1">
        <w:t>the development of</w:t>
      </w:r>
      <w:r w:rsidR="001A3676">
        <w:t xml:space="preserve"> pathways. </w:t>
      </w:r>
    </w:p>
    <w:p w:rsidR="001A3676" w:rsidRDefault="00305BBB" w:rsidP="00B72720">
      <w:pPr>
        <w:pStyle w:val="Text"/>
      </w:pPr>
      <w:r>
        <w:t>O</w:t>
      </w:r>
      <w:r w:rsidR="001A3676">
        <w:t xml:space="preserve">ptions </w:t>
      </w:r>
      <w:r w:rsidR="0078671B">
        <w:t>and ideas</w:t>
      </w:r>
      <w:r w:rsidR="001A3676">
        <w:t xml:space="preserve"> to emerge from the forums included: </w:t>
      </w:r>
    </w:p>
    <w:p w:rsidR="001A3676" w:rsidRPr="00B72720" w:rsidRDefault="001A3676" w:rsidP="00B72720">
      <w:pPr>
        <w:pStyle w:val="Dotpoint1"/>
      </w:pPr>
      <w:r>
        <w:t xml:space="preserve">the need </w:t>
      </w:r>
      <w:r w:rsidR="007D7E5D">
        <w:t>to</w:t>
      </w:r>
      <w:r>
        <w:t xml:space="preserve"> build better pathways </w:t>
      </w:r>
      <w:r w:rsidRPr="00B72720">
        <w:t xml:space="preserve">within </w:t>
      </w:r>
      <w:r w:rsidR="00510D3B" w:rsidRPr="00B72720">
        <w:t>vocational education and training</w:t>
      </w:r>
      <w:r w:rsidR="009F29A1" w:rsidRPr="00B72720">
        <w:t xml:space="preserve"> from c</w:t>
      </w:r>
      <w:r w:rsidRPr="00B72720">
        <w:t xml:space="preserve">ertificate III/IV into diplomas </w:t>
      </w:r>
    </w:p>
    <w:p w:rsidR="00305BBB" w:rsidRPr="00B72720" w:rsidRDefault="009F29A1" w:rsidP="00B72720">
      <w:pPr>
        <w:pStyle w:val="Dotpoint1"/>
      </w:pPr>
      <w:r w:rsidRPr="00B72720">
        <w:t>greater flexibility</w:t>
      </w:r>
      <w:r w:rsidR="001A3676" w:rsidRPr="00B72720">
        <w:t xml:space="preserve"> in qualifications and </w:t>
      </w:r>
      <w:r w:rsidR="00305BBB" w:rsidRPr="00B72720">
        <w:t xml:space="preserve">combinations </w:t>
      </w:r>
      <w:r w:rsidRPr="00B72720">
        <w:t xml:space="preserve">of qualifications </w:t>
      </w:r>
      <w:r w:rsidR="00305BBB" w:rsidRPr="00B72720">
        <w:t xml:space="preserve">between </w:t>
      </w:r>
      <w:r w:rsidR="00510D3B" w:rsidRPr="00B72720">
        <w:t>vocational education and training</w:t>
      </w:r>
      <w:r w:rsidR="00305BBB" w:rsidRPr="00B72720">
        <w:t xml:space="preserve"> and </w:t>
      </w:r>
      <w:r w:rsidR="00510D3B" w:rsidRPr="00B72720">
        <w:t>higher education</w:t>
      </w:r>
    </w:p>
    <w:p w:rsidR="001A3676" w:rsidRPr="00B72720" w:rsidRDefault="001A3676" w:rsidP="00B72720">
      <w:pPr>
        <w:pStyle w:val="Dotpoint1"/>
      </w:pPr>
      <w:r w:rsidRPr="00B72720">
        <w:t xml:space="preserve">improved </w:t>
      </w:r>
      <w:r w:rsidR="006F368F" w:rsidRPr="00B72720">
        <w:t>recognition of prior learning</w:t>
      </w:r>
      <w:r w:rsidRPr="00B72720">
        <w:t xml:space="preserve"> in </w:t>
      </w:r>
      <w:r w:rsidR="00510D3B" w:rsidRPr="00B72720">
        <w:t>higher education</w:t>
      </w:r>
      <w:r w:rsidRPr="00B72720">
        <w:t xml:space="preserve"> for existing workers with skills and experience </w:t>
      </w:r>
    </w:p>
    <w:p w:rsidR="0041444E" w:rsidRDefault="001A3676" w:rsidP="00B72720">
      <w:pPr>
        <w:pStyle w:val="Dotpoint1"/>
      </w:pPr>
      <w:proofErr w:type="gramStart"/>
      <w:r w:rsidRPr="00B72720">
        <w:t>greater</w:t>
      </w:r>
      <w:proofErr w:type="gramEnd"/>
      <w:r w:rsidRPr="00B72720">
        <w:t xml:space="preserve"> use of work-based and integrated</w:t>
      </w:r>
      <w:r>
        <w:t xml:space="preserve"> learning to support industry involvement and, perhaps, to assist in enabling further growth in </w:t>
      </w:r>
      <w:r w:rsidR="00510D3B">
        <w:t>higher education</w:t>
      </w:r>
      <w:r>
        <w:t xml:space="preserve"> provision.</w:t>
      </w:r>
    </w:p>
    <w:p w:rsidR="00B72720" w:rsidRDefault="001A3676" w:rsidP="00B72720">
      <w:pPr>
        <w:pStyle w:val="Text"/>
      </w:pPr>
      <w:r>
        <w:t>This research has con</w:t>
      </w:r>
      <w:r w:rsidR="009F29A1">
        <w:t>tributed to a wider understanding</w:t>
      </w:r>
      <w:r>
        <w:t xml:space="preserve"> of the importance </w:t>
      </w:r>
      <w:r w:rsidR="009F29A1">
        <w:t>of VET</w:t>
      </w:r>
      <w:r>
        <w:t xml:space="preserve"> to </w:t>
      </w:r>
      <w:r w:rsidR="00510D3B">
        <w:t>higher education</w:t>
      </w:r>
      <w:r>
        <w:t xml:space="preserve"> pathways </w:t>
      </w:r>
      <w:r w:rsidR="006F0EE6">
        <w:t>to</w:t>
      </w:r>
      <w:r>
        <w:t xml:space="preserve"> workforce needs in the building and construction industry. It has </w:t>
      </w:r>
      <w:r w:rsidR="007639B0">
        <w:t>highlighted</w:t>
      </w:r>
      <w:r w:rsidR="006F368F">
        <w:t xml:space="preserve"> the factors/</w:t>
      </w:r>
      <w:r w:rsidR="00B72720">
        <w:t xml:space="preserve"> </w:t>
      </w:r>
      <w:r w:rsidR="006F368F">
        <w:t xml:space="preserve">enablers </w:t>
      </w:r>
      <w:r>
        <w:t xml:space="preserve">which assist students </w:t>
      </w:r>
      <w:r w:rsidR="007639B0">
        <w:t>to use</w:t>
      </w:r>
      <w:r>
        <w:t xml:space="preserve"> these pathways and </w:t>
      </w:r>
      <w:r w:rsidR="00305BBB">
        <w:t xml:space="preserve">identified </w:t>
      </w:r>
      <w:r>
        <w:t xml:space="preserve">further </w:t>
      </w:r>
      <w:r w:rsidR="006F0EE6">
        <w:t>ways by</w:t>
      </w:r>
      <w:r>
        <w:t xml:space="preserve"> which</w:t>
      </w:r>
      <w:r w:rsidR="00B72720">
        <w:t xml:space="preserve"> to build and improve pathways.</w:t>
      </w:r>
    </w:p>
    <w:p w:rsidR="000E4F11" w:rsidRDefault="000E4F11" w:rsidP="00B72720">
      <w:pPr>
        <w:pStyle w:val="Text"/>
      </w:pPr>
      <w:r>
        <w:br w:type="page"/>
      </w:r>
    </w:p>
    <w:p w:rsidR="00DC71CB" w:rsidRDefault="00DC71CB" w:rsidP="00B72720">
      <w:pPr>
        <w:pStyle w:val="Heading1"/>
      </w:pPr>
      <w:bookmarkStart w:id="39" w:name="_Toc358115570"/>
      <w:r>
        <w:lastRenderedPageBreak/>
        <w:t>Introduction</w:t>
      </w:r>
      <w:bookmarkEnd w:id="39"/>
    </w:p>
    <w:p w:rsidR="00F308A0" w:rsidRPr="00B72720" w:rsidRDefault="0025001B" w:rsidP="00B72720">
      <w:pPr>
        <w:pStyle w:val="Text"/>
      </w:pPr>
      <w:r>
        <w:t xml:space="preserve">Building </w:t>
      </w:r>
      <w:r w:rsidR="00617B21">
        <w:t xml:space="preserve">effective </w:t>
      </w:r>
      <w:r>
        <w:t>p</w:t>
      </w:r>
      <w:r w:rsidR="00DC71CB">
        <w:t xml:space="preserve">athways </w:t>
      </w:r>
      <w:r>
        <w:t xml:space="preserve">for students </w:t>
      </w:r>
      <w:r w:rsidR="005443C0">
        <w:t xml:space="preserve">to transfer from and </w:t>
      </w:r>
      <w:r w:rsidR="00652F24">
        <w:t xml:space="preserve">between education sectors and qualifications </w:t>
      </w:r>
      <w:r w:rsidR="00DC71CB">
        <w:t xml:space="preserve">has been the subject of </w:t>
      </w:r>
      <w:r w:rsidR="00F308A0">
        <w:t>extensive</w:t>
      </w:r>
      <w:r w:rsidR="00DC71CB">
        <w:t xml:space="preserve"> research, policy development and practice</w:t>
      </w:r>
      <w:r w:rsidR="00F308A0">
        <w:t xml:space="preserve"> over the last </w:t>
      </w:r>
      <w:r w:rsidR="006F368F">
        <w:t>20</w:t>
      </w:r>
      <w:r w:rsidR="00F308A0">
        <w:t xml:space="preserve"> years</w:t>
      </w:r>
      <w:r w:rsidR="009D77D6">
        <w:t>,</w:t>
      </w:r>
      <w:r w:rsidR="00F308A0">
        <w:t xml:space="preserve"> both in Australia and internationally</w:t>
      </w:r>
      <w:r w:rsidR="00DC71CB">
        <w:t>.</w:t>
      </w:r>
      <w:r w:rsidR="00510D3B">
        <w:t xml:space="preserve"> </w:t>
      </w:r>
      <w:r w:rsidR="00DC71CB">
        <w:t>D</w:t>
      </w:r>
      <w:r w:rsidR="006F368F">
        <w:t>ifferent researchers and policy-</w:t>
      </w:r>
      <w:r w:rsidR="00DC71CB">
        <w:t xml:space="preserve">makers have </w:t>
      </w:r>
      <w:r w:rsidR="00811B9A">
        <w:t>examined</w:t>
      </w:r>
      <w:r w:rsidR="00DC71CB">
        <w:t xml:space="preserve"> </w:t>
      </w:r>
      <w:r w:rsidR="00F308A0">
        <w:t xml:space="preserve">this topic </w:t>
      </w:r>
      <w:r w:rsidR="00DC71CB">
        <w:t xml:space="preserve">from various angles, but all from </w:t>
      </w:r>
      <w:r w:rsidR="006F0EE6">
        <w:t>the</w:t>
      </w:r>
      <w:r w:rsidR="00DC71CB">
        <w:t xml:space="preserve"> perspective that </w:t>
      </w:r>
      <w:r w:rsidR="00F308A0">
        <w:t xml:space="preserve">improved </w:t>
      </w:r>
      <w:r w:rsidR="00DC71CB">
        <w:t xml:space="preserve">pathways </w:t>
      </w:r>
      <w:r w:rsidR="00D62114">
        <w:t>constitute</w:t>
      </w:r>
      <w:r w:rsidR="00DC71CB">
        <w:t xml:space="preserve"> an essential </w:t>
      </w:r>
      <w:r w:rsidR="00DC71CB" w:rsidRPr="00B72720">
        <w:t>feature in a more flexible and integrated tertiary education</w:t>
      </w:r>
      <w:r w:rsidR="00EC5B20" w:rsidRPr="00B72720">
        <w:t xml:space="preserve"> system. </w:t>
      </w:r>
    </w:p>
    <w:p w:rsidR="00F308A0" w:rsidRDefault="00CC317E" w:rsidP="00B72720">
      <w:pPr>
        <w:pStyle w:val="Text"/>
      </w:pPr>
      <w:r w:rsidRPr="00B72720">
        <w:t>The breadth</w:t>
      </w:r>
      <w:r w:rsidR="0025001B" w:rsidRPr="00B72720">
        <w:t xml:space="preserve"> of </w:t>
      </w:r>
      <w:r w:rsidRPr="00B72720">
        <w:t>pas</w:t>
      </w:r>
      <w:r>
        <w:t xml:space="preserve">t </w:t>
      </w:r>
      <w:r w:rsidR="0025001B">
        <w:t xml:space="preserve">research has </w:t>
      </w:r>
      <w:r w:rsidR="00505B00">
        <w:t>included</w:t>
      </w:r>
      <w:r w:rsidR="00A01C5D">
        <w:t xml:space="preserve"> </w:t>
      </w:r>
      <w:r w:rsidR="005443C0">
        <w:t>(</w:t>
      </w:r>
      <w:r w:rsidR="005443C0" w:rsidRPr="007639B0">
        <w:rPr>
          <w:i/>
        </w:rPr>
        <w:t>inter alia</w:t>
      </w:r>
      <w:r w:rsidR="005443C0">
        <w:t>) consider</w:t>
      </w:r>
      <w:r w:rsidR="00A01C5D">
        <w:t>ation of</w:t>
      </w:r>
      <w:r w:rsidR="00BA27BD">
        <w:t>:</w:t>
      </w:r>
    </w:p>
    <w:p w:rsidR="00652F24" w:rsidRPr="00B72720" w:rsidRDefault="00DC71CB" w:rsidP="00B72720">
      <w:pPr>
        <w:pStyle w:val="Dotpoint1"/>
      </w:pPr>
      <w:r>
        <w:t>system</w:t>
      </w:r>
      <w:r w:rsidR="000210D4">
        <w:t xml:space="preserve"> </w:t>
      </w:r>
      <w:r>
        <w:t xml:space="preserve">and institutional </w:t>
      </w:r>
      <w:r w:rsidRPr="00B72720">
        <w:t>drivers</w:t>
      </w:r>
      <w:r w:rsidR="008B540B" w:rsidRPr="00B72720">
        <w:t xml:space="preserve"> and enablers </w:t>
      </w:r>
      <w:r w:rsidRPr="00B72720">
        <w:t>(Phillips KPA</w:t>
      </w:r>
      <w:r w:rsidR="00EC5B20" w:rsidRPr="00B72720">
        <w:t xml:space="preserve"> </w:t>
      </w:r>
      <w:r w:rsidRPr="00B72720">
        <w:t>2006</w:t>
      </w:r>
      <w:r w:rsidR="00D62114" w:rsidRPr="00B72720">
        <w:t>;</w:t>
      </w:r>
      <w:r w:rsidRPr="00B72720">
        <w:t xml:space="preserve"> </w:t>
      </w:r>
      <w:r w:rsidR="00811B9A" w:rsidRPr="00B72720">
        <w:t>Australian Qualifications Framework Council</w:t>
      </w:r>
      <w:r w:rsidR="005E2B60" w:rsidRPr="00B72720">
        <w:t xml:space="preserve"> </w:t>
      </w:r>
      <w:r w:rsidRPr="00B72720">
        <w:t>2009)</w:t>
      </w:r>
    </w:p>
    <w:p w:rsidR="00DF2A95" w:rsidRPr="00B72720" w:rsidRDefault="0078671B" w:rsidP="00B72720">
      <w:pPr>
        <w:pStyle w:val="Dotpoint1"/>
      </w:pPr>
      <w:r w:rsidRPr="00B72720">
        <w:t>system barriers</w:t>
      </w:r>
      <w:r w:rsidR="006F0EE6">
        <w:t>,</w:t>
      </w:r>
      <w:r w:rsidRPr="00B72720">
        <w:t xml:space="preserve"> including cultural and pedagogical differences between the sectors </w:t>
      </w:r>
      <w:r w:rsidR="00C16AB9" w:rsidRPr="00B72720">
        <w:t>(</w:t>
      </w:r>
      <w:r w:rsidR="005E0C29" w:rsidRPr="00B72720">
        <w:t>Phillips</w:t>
      </w:r>
      <w:r w:rsidRPr="00B72720">
        <w:t xml:space="preserve"> KPA 2006; </w:t>
      </w:r>
      <w:proofErr w:type="spellStart"/>
      <w:r w:rsidRPr="00B72720">
        <w:t>Wheelahan</w:t>
      </w:r>
      <w:proofErr w:type="spellEnd"/>
      <w:r w:rsidRPr="00B72720">
        <w:t xml:space="preserve"> 2009a; </w:t>
      </w:r>
      <w:r w:rsidR="007639B0" w:rsidRPr="00B72720">
        <w:t xml:space="preserve">Walls &amp; </w:t>
      </w:r>
      <w:proofErr w:type="spellStart"/>
      <w:r w:rsidR="007639B0" w:rsidRPr="00B72720">
        <w:t>Pardy</w:t>
      </w:r>
      <w:proofErr w:type="spellEnd"/>
      <w:r w:rsidR="00811B9A" w:rsidRPr="00B72720">
        <w:t xml:space="preserve"> 2010; King, Dowling &amp; Godfrey</w:t>
      </w:r>
      <w:r w:rsidRPr="00B72720">
        <w:t xml:space="preserve"> 2011)</w:t>
      </w:r>
    </w:p>
    <w:p w:rsidR="00DF2A95" w:rsidRPr="00B72720" w:rsidRDefault="009D77D6" w:rsidP="00B72720">
      <w:pPr>
        <w:pStyle w:val="Dotpoint1"/>
      </w:pPr>
      <w:r w:rsidRPr="00B72720">
        <w:t xml:space="preserve">different </w:t>
      </w:r>
      <w:r w:rsidR="00DC71CB" w:rsidRPr="00B72720">
        <w:t>types of pathways</w:t>
      </w:r>
      <w:r w:rsidR="00EC5B20" w:rsidRPr="00B72720">
        <w:t xml:space="preserve"> and emerging pathway models</w:t>
      </w:r>
      <w:r w:rsidR="007639B0" w:rsidRPr="00B72720">
        <w:t>,</w:t>
      </w:r>
      <w:r w:rsidR="007F6B51" w:rsidRPr="00B72720">
        <w:t xml:space="preserve"> including</w:t>
      </w:r>
      <w:r w:rsidR="004E3A46" w:rsidRPr="00B72720">
        <w:t xml:space="preserve"> integrated </w:t>
      </w:r>
      <w:r w:rsidR="007639B0" w:rsidRPr="00B72720">
        <w:t>VET</w:t>
      </w:r>
      <w:r w:rsidR="004E3A46" w:rsidRPr="00B72720">
        <w:t xml:space="preserve"> </w:t>
      </w:r>
      <w:r w:rsidR="007639B0" w:rsidRPr="00B72720">
        <w:t>and</w:t>
      </w:r>
      <w:r w:rsidR="004E3A46" w:rsidRPr="00B72720">
        <w:t xml:space="preserve"> </w:t>
      </w:r>
      <w:r w:rsidR="00510D3B" w:rsidRPr="00B72720">
        <w:t>higher education</w:t>
      </w:r>
      <w:r w:rsidR="004E3A46" w:rsidRPr="00B72720">
        <w:t xml:space="preserve"> qualifications</w:t>
      </w:r>
      <w:r w:rsidR="00EC5B20" w:rsidRPr="00B72720">
        <w:t xml:space="preserve"> (</w:t>
      </w:r>
      <w:r w:rsidR="00DC71CB" w:rsidRPr="00B72720">
        <w:t>Carnegie</w:t>
      </w:r>
      <w:r w:rsidR="000F6E98" w:rsidRPr="00B72720">
        <w:t xml:space="preserve"> </w:t>
      </w:r>
      <w:r w:rsidR="00EC5B20" w:rsidRPr="00B72720">
        <w:t>2009</w:t>
      </w:r>
      <w:r w:rsidR="000F6E98" w:rsidRPr="00B72720">
        <w:t>;</w:t>
      </w:r>
      <w:r w:rsidR="00EC5B20" w:rsidRPr="00B72720">
        <w:t xml:space="preserve"> Phillips KPA</w:t>
      </w:r>
      <w:r w:rsidR="000F6E98" w:rsidRPr="00B72720">
        <w:t xml:space="preserve"> </w:t>
      </w:r>
      <w:r w:rsidR="00EC5B20" w:rsidRPr="00B72720">
        <w:t>2010</w:t>
      </w:r>
      <w:r w:rsidR="00DC71CB" w:rsidRPr="00B72720">
        <w:t>)</w:t>
      </w:r>
      <w:r w:rsidR="00510D3B" w:rsidRPr="00B72720">
        <w:t xml:space="preserve"> </w:t>
      </w:r>
    </w:p>
    <w:p w:rsidR="00EB75C5" w:rsidRPr="00B72720" w:rsidRDefault="00EB75C5" w:rsidP="00B72720">
      <w:pPr>
        <w:pStyle w:val="Dotpoint1"/>
      </w:pPr>
      <w:r w:rsidRPr="00B72720">
        <w:t xml:space="preserve">patterns of student movement and transfer (Harris, Rainey </w:t>
      </w:r>
      <w:r w:rsidR="007639B0" w:rsidRPr="00B72720">
        <w:t>&amp;</w:t>
      </w:r>
      <w:r w:rsidRPr="00B72720">
        <w:t xml:space="preserve"> Sumner 2006; Curtis 2009;</w:t>
      </w:r>
      <w:r w:rsidR="00134FBD" w:rsidRPr="00B72720">
        <w:t xml:space="preserve"> </w:t>
      </w:r>
      <w:proofErr w:type="spellStart"/>
      <w:r w:rsidR="00134FBD" w:rsidRPr="00B72720">
        <w:t>Wheelahan</w:t>
      </w:r>
      <w:proofErr w:type="spellEnd"/>
      <w:r w:rsidR="00134FBD" w:rsidRPr="00B72720">
        <w:t xml:space="preserve"> 2009b; Moodie 2010;</w:t>
      </w:r>
      <w:r w:rsidRPr="00B72720">
        <w:t xml:space="preserve"> Guthrie, Stanwick &amp; Karmel 2011)</w:t>
      </w:r>
    </w:p>
    <w:p w:rsidR="00EB75C5" w:rsidRPr="00B72720" w:rsidRDefault="00EB75C5" w:rsidP="00B72720">
      <w:pPr>
        <w:pStyle w:val="Dotpoint1"/>
      </w:pPr>
      <w:r w:rsidRPr="00B72720">
        <w:t xml:space="preserve"> the changing landscape of institutional provision and the blurring of sect</w:t>
      </w:r>
      <w:r w:rsidR="00134FBD" w:rsidRPr="00B72720">
        <w:t>or boundaries (</w:t>
      </w:r>
      <w:proofErr w:type="spellStart"/>
      <w:r w:rsidR="00134FBD" w:rsidRPr="00B72720">
        <w:t>Wheelahan</w:t>
      </w:r>
      <w:proofErr w:type="spellEnd"/>
      <w:r w:rsidR="00B72720">
        <w:t> </w:t>
      </w:r>
      <w:r w:rsidR="00134FBD" w:rsidRPr="00B72720">
        <w:t>et al. 2009</w:t>
      </w:r>
      <w:r w:rsidR="006F0EE6">
        <w:t xml:space="preserve">; </w:t>
      </w:r>
      <w:proofErr w:type="spellStart"/>
      <w:r w:rsidR="006F0EE6">
        <w:t>Wheelahan</w:t>
      </w:r>
      <w:proofErr w:type="spellEnd"/>
      <w:r w:rsidR="006F0EE6">
        <w:t xml:space="preserve">, </w:t>
      </w:r>
      <w:proofErr w:type="spellStart"/>
      <w:r w:rsidR="006F0EE6">
        <w:t>Moodie</w:t>
      </w:r>
      <w:proofErr w:type="spellEnd"/>
      <w:r w:rsidR="006F0EE6">
        <w:t xml:space="preserve"> &amp; Buchanan</w:t>
      </w:r>
      <w:r w:rsidR="00134FBD" w:rsidRPr="00B72720">
        <w:t xml:space="preserve"> </w:t>
      </w:r>
      <w:r w:rsidRPr="00B72720">
        <w:t xml:space="preserve">2012) </w:t>
      </w:r>
    </w:p>
    <w:p w:rsidR="00DF2A95" w:rsidRPr="00B72720" w:rsidRDefault="00DC71CB" w:rsidP="00B72720">
      <w:pPr>
        <w:pStyle w:val="Dotpoint1"/>
      </w:pPr>
      <w:r w:rsidRPr="00B72720">
        <w:t xml:space="preserve">guidance on </w:t>
      </w:r>
      <w:r w:rsidR="0078671B" w:rsidRPr="00B72720">
        <w:t>building better</w:t>
      </w:r>
      <w:r w:rsidR="00E617B6" w:rsidRPr="00B72720">
        <w:t xml:space="preserve"> </w:t>
      </w:r>
      <w:r w:rsidR="007639B0" w:rsidRPr="00B72720">
        <w:t>pathways (</w:t>
      </w:r>
      <w:r w:rsidRPr="00B72720">
        <w:t>Integrated Articulat</w:t>
      </w:r>
      <w:r w:rsidR="00EC5C02" w:rsidRPr="00B72720">
        <w:t>ion and Credit Transfer Project</w:t>
      </w:r>
      <w:r w:rsidRPr="00B72720">
        <w:t xml:space="preserve"> 2011) </w:t>
      </w:r>
    </w:p>
    <w:p w:rsidR="00DF2A95" w:rsidRDefault="00DC71CB" w:rsidP="00B72720">
      <w:pPr>
        <w:pStyle w:val="Dotpoint1"/>
      </w:pPr>
      <w:proofErr w:type="gramStart"/>
      <w:r w:rsidRPr="00B72720">
        <w:t>more</w:t>
      </w:r>
      <w:proofErr w:type="gramEnd"/>
      <w:r w:rsidRPr="00B72720">
        <w:t xml:space="preserve"> specific research into</w:t>
      </w:r>
      <w:r>
        <w:t xml:space="preserve"> pathways by particular f</w:t>
      </w:r>
      <w:r w:rsidR="00EC5B20">
        <w:t xml:space="preserve">ields of education, </w:t>
      </w:r>
      <w:r w:rsidR="009575E4">
        <w:t xml:space="preserve">issues </w:t>
      </w:r>
      <w:r w:rsidR="00205896">
        <w:t xml:space="preserve">such as transition </w:t>
      </w:r>
      <w:r w:rsidR="009575E4">
        <w:t>for</w:t>
      </w:r>
      <w:r w:rsidR="004E5C03">
        <w:t> </w:t>
      </w:r>
      <w:r w:rsidR="009575E4">
        <w:t>students</w:t>
      </w:r>
      <w:r w:rsidR="007639B0">
        <w:t>,</w:t>
      </w:r>
      <w:r w:rsidR="009575E4">
        <w:t xml:space="preserve"> </w:t>
      </w:r>
      <w:r>
        <w:t>and</w:t>
      </w:r>
      <w:r w:rsidR="009575E4">
        <w:t xml:space="preserve"> </w:t>
      </w:r>
      <w:r>
        <w:t xml:space="preserve">institutional case studies. </w:t>
      </w:r>
    </w:p>
    <w:p w:rsidR="00DC71CB" w:rsidRPr="004E5C03" w:rsidRDefault="005E06CB" w:rsidP="004E5C03">
      <w:pPr>
        <w:pStyle w:val="Text"/>
      </w:pPr>
      <w:r>
        <w:t xml:space="preserve">The </w:t>
      </w:r>
      <w:r w:rsidR="00E56D67">
        <w:t>role</w:t>
      </w:r>
      <w:r>
        <w:t xml:space="preserve"> of</w:t>
      </w:r>
      <w:r w:rsidR="00E56D67">
        <w:t xml:space="preserve"> </w:t>
      </w:r>
      <w:r w:rsidR="00DC71CB">
        <w:t xml:space="preserve">industry </w:t>
      </w:r>
      <w:r>
        <w:t xml:space="preserve">in </w:t>
      </w:r>
      <w:r w:rsidR="00E56D67">
        <w:t>pathways</w:t>
      </w:r>
      <w:r>
        <w:t xml:space="preserve"> deve</w:t>
      </w:r>
      <w:r w:rsidR="00334B82">
        <w:t xml:space="preserve">lopment and the relationship </w:t>
      </w:r>
      <w:r w:rsidR="007639B0">
        <w:t xml:space="preserve">between pathways and </w:t>
      </w:r>
      <w:r>
        <w:t>workforce needs</w:t>
      </w:r>
      <w:r w:rsidR="007639B0">
        <w:t xml:space="preserve"> have</w:t>
      </w:r>
      <w:r w:rsidR="00334B82">
        <w:t xml:space="preserve"> also been </w:t>
      </w:r>
      <w:r w:rsidR="00CC317E">
        <w:t xml:space="preserve">recent </w:t>
      </w:r>
      <w:r w:rsidR="00D44709">
        <w:t xml:space="preserve">research </w:t>
      </w:r>
      <w:r w:rsidR="00334B82">
        <w:t>theme</w:t>
      </w:r>
      <w:r w:rsidR="007639B0">
        <w:t>s</w:t>
      </w:r>
      <w:r w:rsidR="00DC71CB">
        <w:t>.</w:t>
      </w:r>
      <w:r w:rsidR="00510D3B">
        <w:t xml:space="preserve"> </w:t>
      </w:r>
      <w:r w:rsidR="00DC71CB">
        <w:t xml:space="preserve">Phillips KPA (2006) reflected that employers </w:t>
      </w:r>
      <w:r w:rsidR="00334B82">
        <w:t xml:space="preserve">want </w:t>
      </w:r>
      <w:r w:rsidR="007639B0">
        <w:t>work-</w:t>
      </w:r>
      <w:r w:rsidR="00DC71CB">
        <w:t xml:space="preserve">ready graduates with a mix of vocational and higher education outcomes, a point echoed by Bradley </w:t>
      </w:r>
      <w:r w:rsidR="00205896">
        <w:t>et al</w:t>
      </w:r>
      <w:r w:rsidR="007639B0">
        <w:t>.</w:t>
      </w:r>
      <w:r w:rsidR="00205896">
        <w:t xml:space="preserve"> </w:t>
      </w:r>
      <w:r w:rsidR="00DC71CB">
        <w:t xml:space="preserve">(2008). More recently, the </w:t>
      </w:r>
      <w:r w:rsidR="00DC71CB" w:rsidRPr="00026DCE">
        <w:t xml:space="preserve">Australian Workforce Productivity Agency </w:t>
      </w:r>
      <w:r w:rsidR="00C12B41" w:rsidRPr="00026DCE">
        <w:t>(2012</w:t>
      </w:r>
      <w:r w:rsidR="00026DCE">
        <w:t>c</w:t>
      </w:r>
      <w:r w:rsidR="00617B21">
        <w:t>)</w:t>
      </w:r>
      <w:r w:rsidR="00835700">
        <w:t xml:space="preserve"> </w:t>
      </w:r>
      <w:r w:rsidR="00DC71CB">
        <w:t xml:space="preserve">called for a new partnership approach to workforce development that involves education institutions and industry, </w:t>
      </w:r>
      <w:r w:rsidR="00611A1D">
        <w:t>while</w:t>
      </w:r>
      <w:r w:rsidR="00DC71CB">
        <w:t xml:space="preserve"> </w:t>
      </w:r>
      <w:proofErr w:type="spellStart"/>
      <w:r w:rsidR="00A37F11">
        <w:t>Paez</w:t>
      </w:r>
      <w:proofErr w:type="spellEnd"/>
      <w:r w:rsidR="00A37F11">
        <w:t xml:space="preserve"> et al</w:t>
      </w:r>
      <w:r w:rsidR="00134FBD">
        <w:t>.</w:t>
      </w:r>
      <w:r w:rsidR="00A37F11">
        <w:t xml:space="preserve"> </w:t>
      </w:r>
      <w:r w:rsidR="00DC71CB">
        <w:t>(2010</w:t>
      </w:r>
      <w:r w:rsidR="00E760AD">
        <w:t>, p.</w:t>
      </w:r>
      <w:r w:rsidR="00A37F11">
        <w:t>7</w:t>
      </w:r>
      <w:r w:rsidR="00DC71CB">
        <w:t xml:space="preserve">) suggest the way forward </w:t>
      </w:r>
      <w:r w:rsidR="003D2401">
        <w:t xml:space="preserve">is to build </w:t>
      </w:r>
      <w:r w:rsidR="0078671B">
        <w:t>pathways around</w:t>
      </w:r>
      <w:r w:rsidR="003D2401">
        <w:t xml:space="preserve"> industry </w:t>
      </w:r>
      <w:r w:rsidR="00A37F11">
        <w:t>skills shortages</w:t>
      </w:r>
      <w:r w:rsidR="003D2401">
        <w:t xml:space="preserve">, skills </w:t>
      </w:r>
      <w:r w:rsidR="0078671B">
        <w:t>gaps and</w:t>
      </w:r>
      <w:r w:rsidR="00A37F11">
        <w:t xml:space="preserve"> </w:t>
      </w:r>
      <w:r w:rsidR="00DC71CB">
        <w:t xml:space="preserve">workforce </w:t>
      </w:r>
      <w:r w:rsidR="003D2401">
        <w:t xml:space="preserve">development </w:t>
      </w:r>
      <w:r w:rsidR="0078671B">
        <w:t>needs within</w:t>
      </w:r>
      <w:r w:rsidR="00510D3B">
        <w:t xml:space="preserve"> </w:t>
      </w:r>
      <w:r w:rsidR="003D2401">
        <w:t>‘</w:t>
      </w:r>
      <w:r w:rsidR="00A37F11">
        <w:t>an industry determined articulation model</w:t>
      </w:r>
      <w:r w:rsidR="003D2401">
        <w:t>’</w:t>
      </w:r>
      <w:r w:rsidR="00DC71CB">
        <w:t xml:space="preserve">. </w:t>
      </w:r>
      <w:r w:rsidR="003D2401">
        <w:t xml:space="preserve">One of the products of the </w:t>
      </w:r>
      <w:r w:rsidR="00DC71CB">
        <w:t>Integrated Articulation and Credit Transfer Project (2011</w:t>
      </w:r>
      <w:r w:rsidR="003D2401">
        <w:t>)</w:t>
      </w:r>
      <w:r w:rsidR="00DC71CB">
        <w:t xml:space="preserve"> </w:t>
      </w:r>
      <w:r w:rsidR="003D2401">
        <w:t xml:space="preserve">is </w:t>
      </w:r>
      <w:r w:rsidR="00205896">
        <w:t xml:space="preserve">the development of </w:t>
      </w:r>
      <w:r w:rsidR="00DC71CB">
        <w:t>such a</w:t>
      </w:r>
      <w:r w:rsidR="005443C0">
        <w:t xml:space="preserve"> model</w:t>
      </w:r>
      <w:r w:rsidR="0078671B">
        <w:t>, called</w:t>
      </w:r>
      <w:r w:rsidR="00617B21">
        <w:t xml:space="preserve"> </w:t>
      </w:r>
      <w:r w:rsidR="00A37552">
        <w:t>‘</w:t>
      </w:r>
      <w:r w:rsidR="00617B21">
        <w:t>3D articulation</w:t>
      </w:r>
      <w:r w:rsidR="00A37552">
        <w:t>’</w:t>
      </w:r>
      <w:r w:rsidR="00205896">
        <w:t>,</w:t>
      </w:r>
      <w:r w:rsidR="00617B21">
        <w:t xml:space="preserve"> </w:t>
      </w:r>
      <w:r w:rsidR="00DC71CB">
        <w:t xml:space="preserve">in which industry is seen as an equal ‘pathways’ player with </w:t>
      </w:r>
      <w:r w:rsidR="00134FBD">
        <w:t>VET</w:t>
      </w:r>
      <w:r w:rsidR="00DC71CB">
        <w:t xml:space="preserve"> and </w:t>
      </w:r>
      <w:r w:rsidR="00510D3B">
        <w:t xml:space="preserve">higher </w:t>
      </w:r>
      <w:r w:rsidR="00510D3B" w:rsidRPr="004E5C03">
        <w:t>education</w:t>
      </w:r>
      <w:r w:rsidR="00DC71CB" w:rsidRPr="004E5C03">
        <w:t xml:space="preserve"> institutions.</w:t>
      </w:r>
    </w:p>
    <w:p w:rsidR="00617B21" w:rsidRDefault="00134FBD" w:rsidP="004E5C03">
      <w:pPr>
        <w:pStyle w:val="Text"/>
        <w:rPr>
          <w:rFonts w:cs="Garamond"/>
        </w:rPr>
      </w:pPr>
      <w:r w:rsidRPr="004E5C03">
        <w:t>The work by King, Dowling and Godfrey</w:t>
      </w:r>
      <w:r w:rsidR="005443C0" w:rsidRPr="004E5C03">
        <w:t xml:space="preserve"> (2011) in</w:t>
      </w:r>
      <w:r w:rsidR="005443C0" w:rsidRPr="00CE6D2D">
        <w:t xml:space="preserve"> </w:t>
      </w:r>
      <w:r w:rsidR="005443C0">
        <w:t xml:space="preserve">the field of </w:t>
      </w:r>
      <w:r w:rsidR="005F0484">
        <w:t>engineering</w:t>
      </w:r>
      <w:r w:rsidR="005443C0" w:rsidRPr="00CE6D2D">
        <w:t xml:space="preserve"> </w:t>
      </w:r>
      <w:r>
        <w:t>pathways</w:t>
      </w:r>
      <w:r w:rsidR="005443C0">
        <w:t xml:space="preserve"> </w:t>
      </w:r>
      <w:r w:rsidR="005443C0" w:rsidRPr="00CE6D2D">
        <w:t xml:space="preserve">has </w:t>
      </w:r>
      <w:r w:rsidR="005443C0">
        <w:t xml:space="preserve">also proposed </w:t>
      </w:r>
      <w:r w:rsidR="005443C0" w:rsidRPr="00CE6D2D">
        <w:t>closer and more effective collaboration with industry and professional bodies to build better pathways</w:t>
      </w:r>
      <w:r w:rsidR="005443C0">
        <w:t xml:space="preserve"> from </w:t>
      </w:r>
      <w:r w:rsidR="00510D3B">
        <w:t>vocational education and training</w:t>
      </w:r>
      <w:r w:rsidR="005443C0">
        <w:t xml:space="preserve"> into bachelor degrees</w:t>
      </w:r>
      <w:r w:rsidR="005443C0" w:rsidRPr="00CE6D2D">
        <w:t xml:space="preserve">. </w:t>
      </w:r>
      <w:r w:rsidR="005443C0">
        <w:t xml:space="preserve">Another recent study (also in engineering) </w:t>
      </w:r>
      <w:r w:rsidR="005443C0" w:rsidRPr="00CE6D2D">
        <w:t xml:space="preserve">by Watson and McIntyre </w:t>
      </w:r>
      <w:r w:rsidR="00C12B41">
        <w:t>(2011</w:t>
      </w:r>
      <w:r w:rsidR="005443C0">
        <w:t xml:space="preserve">) </w:t>
      </w:r>
      <w:r w:rsidR="000710FC">
        <w:t xml:space="preserve">focused </w:t>
      </w:r>
      <w:r w:rsidR="005F0484">
        <w:t xml:space="preserve">on skills shortages </w:t>
      </w:r>
      <w:r w:rsidR="005443C0">
        <w:t xml:space="preserve">and the need to build </w:t>
      </w:r>
      <w:r w:rsidR="00617B21">
        <w:t xml:space="preserve">industry </w:t>
      </w:r>
      <w:r w:rsidR="005443C0">
        <w:t>capacity, arguing that</w:t>
      </w:r>
      <w:r w:rsidR="005443C0" w:rsidRPr="00CE6D2D">
        <w:t xml:space="preserve"> </w:t>
      </w:r>
      <w:r w:rsidR="005443C0">
        <w:t>‘</w:t>
      </w:r>
      <w:r w:rsidR="005443C0" w:rsidRPr="00CE6D2D">
        <w:rPr>
          <w:rFonts w:cs="Garamond"/>
        </w:rPr>
        <w:t>meeting the requirements of employers through the industry-led model of course delivery is a strong potential driver of improved pathway</w:t>
      </w:r>
      <w:r w:rsidR="005443C0">
        <w:rPr>
          <w:rFonts w:cs="Garamond"/>
        </w:rPr>
        <w:t>s</w:t>
      </w:r>
      <w:r w:rsidR="00E00031">
        <w:rPr>
          <w:rFonts w:cs="Garamond"/>
        </w:rPr>
        <w:t>’ (Watson &amp; McIntyre 2012</w:t>
      </w:r>
      <w:r w:rsidR="00E760AD">
        <w:rPr>
          <w:rFonts w:cs="Garamond"/>
        </w:rPr>
        <w:t>, p.</w:t>
      </w:r>
      <w:r w:rsidR="005443C0">
        <w:rPr>
          <w:rFonts w:cs="Garamond"/>
        </w:rPr>
        <w:t>64).</w:t>
      </w:r>
      <w:r w:rsidR="00510D3B">
        <w:rPr>
          <w:rFonts w:cs="Garamond"/>
        </w:rPr>
        <w:t xml:space="preserve"> </w:t>
      </w:r>
      <w:r w:rsidR="00D47637" w:rsidRPr="00FC5F43">
        <w:t>Eddington</w:t>
      </w:r>
      <w:r w:rsidR="00D47637">
        <w:t xml:space="preserve"> and Toner’s </w:t>
      </w:r>
      <w:r w:rsidR="00D47637" w:rsidRPr="00FC5F43">
        <w:t xml:space="preserve">overview and evaluation </w:t>
      </w:r>
      <w:r w:rsidR="007639B0">
        <w:t>of skills formation stra</w:t>
      </w:r>
      <w:r w:rsidR="007639B0" w:rsidRPr="00FC5F43">
        <w:t xml:space="preserve">tegies </w:t>
      </w:r>
      <w:r w:rsidR="00D47637" w:rsidRPr="00FC5F43">
        <w:t xml:space="preserve">in Queensland (2012) </w:t>
      </w:r>
      <w:r w:rsidR="00D47637">
        <w:t xml:space="preserve">also links the building of educational pathways </w:t>
      </w:r>
      <w:r w:rsidR="007639B0">
        <w:t>to</w:t>
      </w:r>
      <w:r w:rsidR="00D47637">
        <w:t xml:space="preserve"> broader industry models to meet skills shortages and needs. </w:t>
      </w:r>
      <w:r w:rsidR="007639B0">
        <w:rPr>
          <w:rFonts w:cs="Garamond"/>
        </w:rPr>
        <w:t>Current work on v</w:t>
      </w:r>
      <w:r w:rsidR="005443C0">
        <w:rPr>
          <w:rFonts w:cs="Garamond"/>
        </w:rPr>
        <w:t xml:space="preserve">ocations </w:t>
      </w:r>
      <w:r w:rsidR="00E00031">
        <w:rPr>
          <w:rFonts w:cs="Garamond"/>
        </w:rPr>
        <w:t xml:space="preserve">by </w:t>
      </w:r>
      <w:proofErr w:type="spellStart"/>
      <w:r w:rsidR="00E00031">
        <w:rPr>
          <w:rFonts w:cs="Garamond"/>
        </w:rPr>
        <w:t>Wheelahan</w:t>
      </w:r>
      <w:proofErr w:type="spellEnd"/>
      <w:r w:rsidR="002B482F">
        <w:rPr>
          <w:rFonts w:cs="Garamond"/>
        </w:rPr>
        <w:t xml:space="preserve">, </w:t>
      </w:r>
      <w:proofErr w:type="spellStart"/>
      <w:r w:rsidR="002B482F">
        <w:rPr>
          <w:rFonts w:cs="Garamond"/>
        </w:rPr>
        <w:t>Moodie</w:t>
      </w:r>
      <w:proofErr w:type="spellEnd"/>
      <w:r w:rsidR="002B482F">
        <w:rPr>
          <w:rFonts w:cs="Garamond"/>
        </w:rPr>
        <w:t xml:space="preserve"> and Buchanan</w:t>
      </w:r>
      <w:r w:rsidR="00E00031">
        <w:rPr>
          <w:rFonts w:cs="Garamond"/>
        </w:rPr>
        <w:t xml:space="preserve"> (2012) </w:t>
      </w:r>
      <w:r w:rsidR="005443C0">
        <w:rPr>
          <w:rFonts w:cs="Garamond"/>
        </w:rPr>
        <w:t xml:space="preserve">for </w:t>
      </w:r>
      <w:r w:rsidR="002B482F">
        <w:rPr>
          <w:rFonts w:cs="Garamond"/>
        </w:rPr>
        <w:t xml:space="preserve">the National Centre </w:t>
      </w:r>
      <w:r w:rsidR="002B482F">
        <w:rPr>
          <w:rFonts w:cs="Garamond"/>
        </w:rPr>
        <w:lastRenderedPageBreak/>
        <w:t>for Vocational Education Research (</w:t>
      </w:r>
      <w:r w:rsidR="005443C0">
        <w:rPr>
          <w:rFonts w:cs="Garamond"/>
        </w:rPr>
        <w:t>NCVER</w:t>
      </w:r>
      <w:r w:rsidR="002B482F">
        <w:rPr>
          <w:rFonts w:cs="Garamond"/>
        </w:rPr>
        <w:t>)</w:t>
      </w:r>
      <w:r w:rsidR="005443C0">
        <w:rPr>
          <w:rFonts w:cs="Garamond"/>
        </w:rPr>
        <w:t xml:space="preserve"> is also investigating </w:t>
      </w:r>
      <w:r w:rsidR="00A37552">
        <w:rPr>
          <w:rFonts w:cs="Garamond"/>
        </w:rPr>
        <w:t xml:space="preserve">the </w:t>
      </w:r>
      <w:r w:rsidR="005443C0">
        <w:rPr>
          <w:rFonts w:cs="Garamond"/>
        </w:rPr>
        <w:t>links between vocations, occupations and improved educational and occupational pathways.</w:t>
      </w:r>
      <w:r w:rsidR="00427FC7">
        <w:rPr>
          <w:rFonts w:cs="Garamond"/>
        </w:rPr>
        <w:t xml:space="preserve"> </w:t>
      </w:r>
    </w:p>
    <w:p w:rsidR="00427FC7" w:rsidRDefault="00617B21" w:rsidP="00C4751C">
      <w:pPr>
        <w:pStyle w:val="Text"/>
        <w:rPr>
          <w:rFonts w:cs="Garamond"/>
        </w:rPr>
      </w:pPr>
      <w:r>
        <w:rPr>
          <w:rFonts w:cs="Garamond"/>
        </w:rPr>
        <w:t>Identifying the</w:t>
      </w:r>
      <w:r w:rsidR="00427FC7">
        <w:rPr>
          <w:rFonts w:cs="Garamond"/>
        </w:rPr>
        <w:t xml:space="preserve"> relationship between skills shortages and pathways </w:t>
      </w:r>
      <w:r w:rsidR="00723266">
        <w:rPr>
          <w:rFonts w:cs="Garamond"/>
        </w:rPr>
        <w:t>is also relevant to this study</w:t>
      </w:r>
      <w:r w:rsidR="00427FC7">
        <w:rPr>
          <w:rFonts w:cs="Garamond"/>
        </w:rPr>
        <w:t>.</w:t>
      </w:r>
    </w:p>
    <w:p w:rsidR="00135C6F" w:rsidRDefault="00135C6F" w:rsidP="00135C6F">
      <w:pPr>
        <w:pStyle w:val="Heading2"/>
      </w:pPr>
      <w:bookmarkStart w:id="40" w:name="_Toc358115571"/>
      <w:r>
        <w:t xml:space="preserve">Previous </w:t>
      </w:r>
      <w:r w:rsidR="00206994">
        <w:t>r</w:t>
      </w:r>
      <w:r>
        <w:t>esearch on ‘enablers’</w:t>
      </w:r>
      <w:bookmarkEnd w:id="40"/>
      <w:r>
        <w:t xml:space="preserve"> </w:t>
      </w:r>
    </w:p>
    <w:p w:rsidR="0074007A" w:rsidRDefault="00906BE1" w:rsidP="0074007A">
      <w:pPr>
        <w:pStyle w:val="Text"/>
      </w:pPr>
      <w:proofErr w:type="gramStart"/>
      <w:r>
        <w:rPr>
          <w:rFonts w:cs="Garamond"/>
        </w:rPr>
        <w:t xml:space="preserve">Previous research on </w:t>
      </w:r>
      <w:r w:rsidR="002B482F">
        <w:rPr>
          <w:rFonts w:cs="Garamond"/>
        </w:rPr>
        <w:t xml:space="preserve">the </w:t>
      </w:r>
      <w:r>
        <w:rPr>
          <w:rFonts w:cs="Garamond"/>
        </w:rPr>
        <w:t>‘</w:t>
      </w:r>
      <w:r w:rsidR="002B482F">
        <w:rPr>
          <w:rFonts w:cs="Garamond"/>
        </w:rPr>
        <w:t>enab</w:t>
      </w:r>
      <w:r w:rsidR="007639B0">
        <w:rPr>
          <w:rFonts w:cs="Garamond"/>
        </w:rPr>
        <w:t>lers’;</w:t>
      </w:r>
      <w:r w:rsidR="002B482F">
        <w:rPr>
          <w:rFonts w:cs="Garamond"/>
        </w:rPr>
        <w:t xml:space="preserve"> that is,</w:t>
      </w:r>
      <w:r w:rsidR="00646E53">
        <w:rPr>
          <w:rFonts w:cs="Garamond"/>
        </w:rPr>
        <w:t xml:space="preserve"> the factors that facilitate pathways for students</w:t>
      </w:r>
      <w:r w:rsidR="0074007A">
        <w:rPr>
          <w:rFonts w:cs="Garamond"/>
        </w:rPr>
        <w:t>, has been undertaken</w:t>
      </w:r>
      <w:r w:rsidR="00646E53">
        <w:rPr>
          <w:rFonts w:cs="Garamond"/>
        </w:rPr>
        <w:t xml:space="preserve"> by a number of authors.</w:t>
      </w:r>
      <w:proofErr w:type="gramEnd"/>
      <w:r w:rsidR="00646E53">
        <w:rPr>
          <w:rFonts w:cs="Garamond"/>
        </w:rPr>
        <w:t xml:space="preserve"> </w:t>
      </w:r>
      <w:r w:rsidR="0074007A">
        <w:t>In their final report, Phillips KPA (2006</w:t>
      </w:r>
      <w:r w:rsidR="00E760AD">
        <w:t>,</w:t>
      </w:r>
      <w:r w:rsidR="0074007A">
        <w:t xml:space="preserve"> p</w:t>
      </w:r>
      <w:r w:rsidR="00E760AD">
        <w:t>p.</w:t>
      </w:r>
      <w:r w:rsidR="002B482F">
        <w:t>8—</w:t>
      </w:r>
      <w:r w:rsidR="0074007A">
        <w:t>10) elicited five main enablers from their research findings:</w:t>
      </w:r>
    </w:p>
    <w:p w:rsidR="0074007A" w:rsidRDefault="0074007A" w:rsidP="0074007A">
      <w:pPr>
        <w:pStyle w:val="Dotpoint1"/>
      </w:pPr>
      <w:r>
        <w:t xml:space="preserve">people </w:t>
      </w:r>
    </w:p>
    <w:p w:rsidR="0074007A" w:rsidRDefault="0074007A" w:rsidP="0074007A">
      <w:pPr>
        <w:pStyle w:val="Dotpoint1"/>
      </w:pPr>
      <w:r>
        <w:t>systems</w:t>
      </w:r>
    </w:p>
    <w:p w:rsidR="0074007A" w:rsidRDefault="0074007A" w:rsidP="0074007A">
      <w:pPr>
        <w:pStyle w:val="Dotpoint1"/>
      </w:pPr>
      <w:r>
        <w:t xml:space="preserve">mutual respect and trust </w:t>
      </w:r>
    </w:p>
    <w:p w:rsidR="0074007A" w:rsidRDefault="0074007A" w:rsidP="0074007A">
      <w:pPr>
        <w:pStyle w:val="Dotpoint1"/>
      </w:pPr>
      <w:r>
        <w:t>effect</w:t>
      </w:r>
      <w:r w:rsidR="00906BE1">
        <w:t>ive information provision</w:t>
      </w:r>
    </w:p>
    <w:p w:rsidR="0074007A" w:rsidRDefault="0074007A" w:rsidP="0074007A">
      <w:pPr>
        <w:pStyle w:val="Dotpoint1"/>
      </w:pPr>
      <w:proofErr w:type="gramStart"/>
      <w:r>
        <w:t>organised</w:t>
      </w:r>
      <w:proofErr w:type="gramEnd"/>
      <w:r>
        <w:t xml:space="preserve"> transition arrangements.</w:t>
      </w:r>
    </w:p>
    <w:p w:rsidR="00FB27A0" w:rsidRPr="004E5C03" w:rsidRDefault="0074007A" w:rsidP="004E5C03">
      <w:pPr>
        <w:pStyle w:val="Text"/>
      </w:pPr>
      <w:r>
        <w:t xml:space="preserve">The ‘people enablers’ were categorised </w:t>
      </w:r>
      <w:r w:rsidR="00A36D44">
        <w:t xml:space="preserve">by Phillips KPA </w:t>
      </w:r>
      <w:r w:rsidR="002B482F">
        <w:t>into four types:</w:t>
      </w:r>
      <w:r>
        <w:t xml:space="preserve"> leaders, doers, evaluators and </w:t>
      </w:r>
      <w:r w:rsidR="0078671B">
        <w:t>promoters</w:t>
      </w:r>
      <w:r>
        <w:t>.</w:t>
      </w:r>
      <w:r w:rsidR="00A36D44">
        <w:t xml:space="preserve"> </w:t>
      </w:r>
      <w:r>
        <w:t xml:space="preserve">The </w:t>
      </w:r>
      <w:r w:rsidR="002B482F">
        <w:t>‘</w:t>
      </w:r>
      <w:r>
        <w:t>leaders</w:t>
      </w:r>
      <w:r w:rsidR="002B482F">
        <w:t>’</w:t>
      </w:r>
      <w:r>
        <w:t xml:space="preserve"> included </w:t>
      </w:r>
      <w:r w:rsidR="007639B0">
        <w:t xml:space="preserve">the </w:t>
      </w:r>
      <w:r>
        <w:t xml:space="preserve">senior management staff of </w:t>
      </w:r>
      <w:r w:rsidR="002B482F">
        <w:t>VET</w:t>
      </w:r>
      <w:r>
        <w:t xml:space="preserve"> and </w:t>
      </w:r>
      <w:r w:rsidR="00510D3B">
        <w:t>higher education</w:t>
      </w:r>
      <w:r>
        <w:t xml:space="preserve"> institutions</w:t>
      </w:r>
      <w:r w:rsidR="002B482F">
        <w:t>,</w:t>
      </w:r>
      <w:r>
        <w:t xml:space="preserve"> as well as leaders and cham</w:t>
      </w:r>
      <w:r w:rsidR="00535252">
        <w:t>p</w:t>
      </w:r>
      <w:r>
        <w:t xml:space="preserve">ions at other levels </w:t>
      </w:r>
      <w:r w:rsidR="00A36D44">
        <w:t>in organisations</w:t>
      </w:r>
      <w:r w:rsidR="00535252">
        <w:t xml:space="preserve">. The ‘doers’ referred to the staff </w:t>
      </w:r>
      <w:r w:rsidR="002B482F">
        <w:t>who</w:t>
      </w:r>
      <w:r w:rsidR="00535252">
        <w:t xml:space="preserve"> </w:t>
      </w:r>
      <w:r w:rsidR="00A36D44">
        <w:t xml:space="preserve">develop </w:t>
      </w:r>
      <w:r w:rsidR="00FB27A0">
        <w:t xml:space="preserve">and implement </w:t>
      </w:r>
      <w:r w:rsidR="00A36D44">
        <w:t>the</w:t>
      </w:r>
      <w:r w:rsidR="00535252">
        <w:t xml:space="preserve"> </w:t>
      </w:r>
      <w:r w:rsidR="00FB27A0">
        <w:t>pathways</w:t>
      </w:r>
      <w:r w:rsidR="00535252">
        <w:t xml:space="preserve">. The </w:t>
      </w:r>
      <w:r w:rsidR="00A36D44">
        <w:t>‘</w:t>
      </w:r>
      <w:r w:rsidR="00535252">
        <w:t>evaluators</w:t>
      </w:r>
      <w:r w:rsidR="00A36D44">
        <w:t>’</w:t>
      </w:r>
      <w:r w:rsidR="00535252">
        <w:t xml:space="preserve"> </w:t>
      </w:r>
      <w:r w:rsidR="002B482F">
        <w:t>encompass</w:t>
      </w:r>
      <w:r w:rsidR="00535252">
        <w:t xml:space="preserve"> staff providing reports and analyses on the effectiveness of pathways</w:t>
      </w:r>
      <w:r w:rsidR="002B482F">
        <w:t>,</w:t>
      </w:r>
      <w:r w:rsidR="00535252">
        <w:t xml:space="preserve"> including progress and retention statistics. The </w:t>
      </w:r>
      <w:r w:rsidR="002B482F">
        <w:t>‘</w:t>
      </w:r>
      <w:r w:rsidR="0078671B">
        <w:t>promoters</w:t>
      </w:r>
      <w:r w:rsidR="002B482F">
        <w:t>’</w:t>
      </w:r>
      <w:r w:rsidR="00535252">
        <w:t xml:space="preserve"> are </w:t>
      </w:r>
      <w:r w:rsidR="002B482F">
        <w:t>those</w:t>
      </w:r>
      <w:r w:rsidR="00535252">
        <w:t xml:space="preserve"> who </w:t>
      </w:r>
      <w:r w:rsidR="00535252" w:rsidRPr="004E5C03">
        <w:t xml:space="preserve">develop and maintain websites and other information </w:t>
      </w:r>
      <w:r w:rsidR="002B482F" w:rsidRPr="004E5C03">
        <w:t>for</w:t>
      </w:r>
      <w:r w:rsidR="00535252" w:rsidRPr="004E5C03">
        <w:t xml:space="preserve"> students detailing the pathways available. In</w:t>
      </w:r>
      <w:r w:rsidR="00EB75C5" w:rsidRPr="004E5C03">
        <w:t xml:space="preserve"> some institutions the </w:t>
      </w:r>
      <w:r w:rsidR="002B482F" w:rsidRPr="004E5C03">
        <w:t>leader</w:t>
      </w:r>
      <w:r w:rsidR="00EB75C5" w:rsidRPr="004E5C03">
        <w:t>, doer, evaluator</w:t>
      </w:r>
      <w:r w:rsidR="00535252" w:rsidRPr="004E5C03">
        <w:t xml:space="preserve"> and </w:t>
      </w:r>
      <w:r w:rsidR="00EB75C5" w:rsidRPr="004E5C03">
        <w:t>promoter</w:t>
      </w:r>
      <w:r w:rsidR="00535252" w:rsidRPr="004E5C03">
        <w:t xml:space="preserve"> may</w:t>
      </w:r>
      <w:r w:rsidR="002B482F" w:rsidRPr="004E5C03">
        <w:t xml:space="preserve"> </w:t>
      </w:r>
      <w:r w:rsidR="00535252" w:rsidRPr="004E5C03">
        <w:t>be a single staff member.</w:t>
      </w:r>
      <w:r w:rsidR="00911B20" w:rsidRPr="004E5C03">
        <w:t xml:space="preserve"> </w:t>
      </w:r>
    </w:p>
    <w:p w:rsidR="00535252" w:rsidRPr="004E5C03" w:rsidRDefault="00911B20" w:rsidP="004E5C03">
      <w:pPr>
        <w:pStyle w:val="Text"/>
      </w:pPr>
      <w:r w:rsidRPr="004E5C03">
        <w:t xml:space="preserve">As </w:t>
      </w:r>
      <w:proofErr w:type="spellStart"/>
      <w:r w:rsidRPr="004E5C03">
        <w:t>W</w:t>
      </w:r>
      <w:r w:rsidR="00A36D44" w:rsidRPr="004E5C03">
        <w:t>heelahan</w:t>
      </w:r>
      <w:proofErr w:type="spellEnd"/>
      <w:r w:rsidR="00A36D44" w:rsidRPr="004E5C03">
        <w:t xml:space="preserve"> </w:t>
      </w:r>
      <w:r w:rsidRPr="004E5C03">
        <w:t>(2009</w:t>
      </w:r>
      <w:r w:rsidR="008A1DD5" w:rsidRPr="004E5C03">
        <w:t>c</w:t>
      </w:r>
      <w:r w:rsidRPr="004E5C03">
        <w:t xml:space="preserve">, </w:t>
      </w:r>
      <w:r w:rsidR="00484320" w:rsidRPr="004E5C03">
        <w:t>p</w:t>
      </w:r>
      <w:r w:rsidR="002B482F" w:rsidRPr="004E5C03">
        <w:t>.</w:t>
      </w:r>
      <w:r w:rsidR="00484320" w:rsidRPr="004E5C03">
        <w:t xml:space="preserve">39) </w:t>
      </w:r>
      <w:r w:rsidR="00A36D44" w:rsidRPr="004E5C03">
        <w:t>noted</w:t>
      </w:r>
      <w:r w:rsidR="002B482F" w:rsidRPr="004E5C03">
        <w:t>,</w:t>
      </w:r>
      <w:r w:rsidR="00A36D44" w:rsidRPr="004E5C03">
        <w:t xml:space="preserve"> </w:t>
      </w:r>
      <w:r w:rsidR="00484320" w:rsidRPr="004E5C03">
        <w:t>the role of teachers as ‘people enablers’ has been relatively ignored in cross-sectoral research.</w:t>
      </w:r>
      <w:r w:rsidR="00205896" w:rsidRPr="004E5C03">
        <w:t xml:space="preserve"> This enabler is considered further as part of this study. </w:t>
      </w:r>
    </w:p>
    <w:p w:rsidR="008A1DD5" w:rsidRDefault="00A36D44" w:rsidP="004E5C03">
      <w:pPr>
        <w:pStyle w:val="Text"/>
      </w:pPr>
      <w:r w:rsidRPr="004E5C03">
        <w:t>The ‘systems’ enablers inclu</w:t>
      </w:r>
      <w:r w:rsidR="00FB27A0" w:rsidRPr="004E5C03">
        <w:t>de</w:t>
      </w:r>
      <w:r w:rsidRPr="004E5C03">
        <w:t xml:space="preserve"> the development of </w:t>
      </w:r>
      <w:r w:rsidR="00484320" w:rsidRPr="004E5C03">
        <w:t xml:space="preserve">national and </w:t>
      </w:r>
      <w:r w:rsidR="002B482F" w:rsidRPr="004E5C03">
        <w:t>institution-</w:t>
      </w:r>
      <w:r w:rsidRPr="004E5C03">
        <w:t>wide</w:t>
      </w:r>
      <w:r w:rsidR="0074007A" w:rsidRPr="004E5C03">
        <w:t xml:space="preserve"> poli</w:t>
      </w:r>
      <w:r w:rsidRPr="004E5C03">
        <w:t xml:space="preserve">cies, structures and resources. </w:t>
      </w:r>
      <w:r w:rsidR="008A1DD5" w:rsidRPr="004E5C03">
        <w:t>Establishing and maintaining</w:t>
      </w:r>
      <w:r w:rsidR="0074007A">
        <w:t xml:space="preserve"> mutual trust and respect </w:t>
      </w:r>
      <w:r w:rsidR="008A1DD5">
        <w:t>between sectors and institutions is identified as the key to successful pathways development (</w:t>
      </w:r>
      <w:proofErr w:type="spellStart"/>
      <w:r w:rsidR="008A1DD5">
        <w:t>Wheelahan</w:t>
      </w:r>
      <w:proofErr w:type="spellEnd"/>
      <w:r w:rsidR="008A1DD5">
        <w:t xml:space="preserve"> 2009c, p</w:t>
      </w:r>
      <w:r w:rsidR="002B482F">
        <w:t>.</w:t>
      </w:r>
      <w:r w:rsidR="008A1DD5">
        <w:t xml:space="preserve">31) and is </w:t>
      </w:r>
      <w:r w:rsidR="0078671B">
        <w:t>built through</w:t>
      </w:r>
      <w:r w:rsidR="008A1DD5">
        <w:t>:</w:t>
      </w:r>
    </w:p>
    <w:p w:rsidR="00DF2A95" w:rsidRDefault="00B009D6">
      <w:pPr>
        <w:pStyle w:val="Dotpoint1"/>
      </w:pPr>
      <w:r>
        <w:t>confidence in each sector’s</w:t>
      </w:r>
      <w:r w:rsidR="008A1DD5">
        <w:t xml:space="preserve"> education systems </w:t>
      </w:r>
      <w:r>
        <w:t>and institutions and the educational outcomes (qualifications) they supply</w:t>
      </w:r>
    </w:p>
    <w:p w:rsidR="00DF2A95" w:rsidRDefault="008A1DD5">
      <w:pPr>
        <w:pStyle w:val="Dotpoint1"/>
      </w:pPr>
      <w:proofErr w:type="gramStart"/>
      <w:r>
        <w:t>collaboration</w:t>
      </w:r>
      <w:proofErr w:type="gramEnd"/>
      <w:r>
        <w:t xml:space="preserve"> </w:t>
      </w:r>
      <w:r w:rsidR="0074007A">
        <w:t>between staff in both sectors</w:t>
      </w:r>
      <w:r w:rsidR="00B009D6">
        <w:t xml:space="preserve"> in developing pathways</w:t>
      </w:r>
      <w:r>
        <w:t xml:space="preserve">. </w:t>
      </w:r>
    </w:p>
    <w:p w:rsidR="0074007A" w:rsidRPr="004E5C03" w:rsidRDefault="00B009D6" w:rsidP="004E5C03">
      <w:pPr>
        <w:pStyle w:val="Text"/>
        <w:ind w:right="141"/>
      </w:pPr>
      <w:r>
        <w:t>Collaboration at the second level removes some of the barriers to pathways</w:t>
      </w:r>
      <w:r w:rsidR="002B482F">
        <w:t>,</w:t>
      </w:r>
      <w:r>
        <w:t xml:space="preserve"> including </w:t>
      </w:r>
      <w:r w:rsidR="0074007A">
        <w:t>cultural attitudes and misunderstandings</w:t>
      </w:r>
      <w:r w:rsidR="007639B0">
        <w:t>,</w:t>
      </w:r>
      <w:r>
        <w:t xml:space="preserve"> and pedagogical differences</w:t>
      </w:r>
      <w:r w:rsidR="00E760AD">
        <w:t xml:space="preserve"> </w:t>
      </w:r>
      <w:r w:rsidR="0074007A">
        <w:t>(Phillips KPA 2006</w:t>
      </w:r>
      <w:r w:rsidR="00E760AD">
        <w:t>;</w:t>
      </w:r>
      <w:r w:rsidR="0074007A">
        <w:t xml:space="preserve"> </w:t>
      </w:r>
      <w:proofErr w:type="spellStart"/>
      <w:r w:rsidR="0074007A">
        <w:t>Wheelahan</w:t>
      </w:r>
      <w:proofErr w:type="spellEnd"/>
      <w:r w:rsidR="0074007A">
        <w:t xml:space="preserve"> 2009</w:t>
      </w:r>
      <w:r w:rsidR="008A1DD5">
        <w:t>c</w:t>
      </w:r>
      <w:r w:rsidR="0078671B">
        <w:t>; King</w:t>
      </w:r>
      <w:r w:rsidR="003D4FB9">
        <w:t xml:space="preserve">, Dowling </w:t>
      </w:r>
      <w:r w:rsidR="007639B0">
        <w:t>&amp;</w:t>
      </w:r>
      <w:r w:rsidR="003D4FB9">
        <w:t xml:space="preserve"> Godfrey</w:t>
      </w:r>
      <w:r w:rsidR="00FB27A0">
        <w:t xml:space="preserve"> 2011)</w:t>
      </w:r>
      <w:r w:rsidR="00E760AD">
        <w:t>.</w:t>
      </w:r>
      <w:r w:rsidR="0074007A">
        <w:t xml:space="preserve"> Collaboration in </w:t>
      </w:r>
      <w:r>
        <w:t xml:space="preserve">joint </w:t>
      </w:r>
      <w:r w:rsidR="0074007A">
        <w:t xml:space="preserve">curriculum development through integrated or blended qualifications has also been seen </w:t>
      </w:r>
      <w:r w:rsidR="0074007A" w:rsidRPr="004E5C03">
        <w:t>as a strong enabler of effective pathways. As noted by Cram and Watson (2008)</w:t>
      </w:r>
      <w:r w:rsidR="003D4FB9" w:rsidRPr="004E5C03">
        <w:t>,</w:t>
      </w:r>
      <w:r w:rsidR="0074007A" w:rsidRPr="004E5C03">
        <w:t xml:space="preserve"> cross-sectoral collaboration in curriculum </w:t>
      </w:r>
      <w:r w:rsidR="00184D79" w:rsidRPr="004E5C03">
        <w:t>‘</w:t>
      </w:r>
      <w:r w:rsidR="0074007A" w:rsidRPr="004E5C03">
        <w:t>pays of</w:t>
      </w:r>
      <w:r w:rsidR="00184D79" w:rsidRPr="004E5C03">
        <w:t>f’</w:t>
      </w:r>
      <w:r w:rsidR="0074007A" w:rsidRPr="004E5C03">
        <w:t xml:space="preserve"> for both institutions and students.</w:t>
      </w:r>
    </w:p>
    <w:p w:rsidR="0074007A" w:rsidRDefault="00B009D6" w:rsidP="004E5C03">
      <w:pPr>
        <w:pStyle w:val="Text"/>
      </w:pPr>
      <w:r w:rsidRPr="004E5C03">
        <w:t>E</w:t>
      </w:r>
      <w:r w:rsidR="0074007A" w:rsidRPr="004E5C03">
        <w:t>ffective information provision ensures that</w:t>
      </w:r>
      <w:r w:rsidR="0074007A">
        <w:t xml:space="preserve"> students are aware of and have access to relevant, transparent and accessible information to make informed decisions about pathways and credit arrangements. This enabler has been </w:t>
      </w:r>
      <w:r w:rsidR="003D4FB9">
        <w:t>embedded</w:t>
      </w:r>
      <w:r w:rsidR="0074007A">
        <w:t xml:space="preserve"> in government policies since 2006. </w:t>
      </w:r>
    </w:p>
    <w:p w:rsidR="00C12B41" w:rsidRDefault="0074007A" w:rsidP="0074007A">
      <w:pPr>
        <w:pStyle w:val="Text"/>
      </w:pPr>
      <w:r>
        <w:lastRenderedPageBreak/>
        <w:t>Transition has also figured as both an enabler and barrier in the research following Phillips KPA</w:t>
      </w:r>
      <w:r w:rsidR="00723266">
        <w:t xml:space="preserve"> (2006)</w:t>
      </w:r>
      <w:r>
        <w:t xml:space="preserve">. Some researchers have identified the need to recognise the special challenges faced by </w:t>
      </w:r>
      <w:r w:rsidR="004D5EEF">
        <w:t>‘</w:t>
      </w:r>
      <w:r>
        <w:t>pathways</w:t>
      </w:r>
      <w:r w:rsidR="004D5EEF">
        <w:t>’</w:t>
      </w:r>
      <w:r>
        <w:t xml:space="preserve"> students and to put in place specific arrangements both before and after transfer into higher education</w:t>
      </w:r>
      <w:r w:rsidR="00510D3B">
        <w:t xml:space="preserve"> </w:t>
      </w:r>
      <w:r>
        <w:t>(Brown et al</w:t>
      </w:r>
      <w:r w:rsidR="00322AC6">
        <w:t>.</w:t>
      </w:r>
      <w:r>
        <w:t xml:space="preserve"> 2011</w:t>
      </w:r>
      <w:r w:rsidR="00AD2F4A">
        <w:t>;</w:t>
      </w:r>
      <w:r>
        <w:t xml:space="preserve"> Abbot-Chapman</w:t>
      </w:r>
      <w:r w:rsidR="00A74812">
        <w:t xml:space="preserve"> </w:t>
      </w:r>
      <w:r>
        <w:t>2011)</w:t>
      </w:r>
      <w:r w:rsidR="00EB75C5">
        <w:t>.</w:t>
      </w:r>
      <w:r>
        <w:t xml:space="preserve"> Others have considered </w:t>
      </w:r>
      <w:r w:rsidR="00AD2F4A">
        <w:t xml:space="preserve">the </w:t>
      </w:r>
      <w:r>
        <w:t>implications of credit provision and the need for bridging skills (</w:t>
      </w:r>
      <w:r w:rsidR="003D4FB9">
        <w:t>King, Dowling &amp; Godfrey</w:t>
      </w:r>
      <w:r w:rsidR="007639B0">
        <w:t xml:space="preserve"> </w:t>
      </w:r>
      <w:r>
        <w:t>2011)</w:t>
      </w:r>
      <w:r w:rsidR="00AD2F4A">
        <w:t>.</w:t>
      </w:r>
      <w:r w:rsidR="00C12B41">
        <w:t xml:space="preserve"> </w:t>
      </w:r>
    </w:p>
    <w:p w:rsidR="00187AF4" w:rsidRDefault="0074007A" w:rsidP="0074007A">
      <w:pPr>
        <w:pStyle w:val="Text"/>
      </w:pPr>
      <w:r>
        <w:t>Significa</w:t>
      </w:r>
      <w:r w:rsidR="003D4FB9">
        <w:t>ntly, little research has focus</w:t>
      </w:r>
      <w:r>
        <w:t xml:space="preserve">ed on the enablers from the students’ perspective. </w:t>
      </w:r>
      <w:proofErr w:type="spellStart"/>
      <w:r w:rsidR="00B009D6">
        <w:t>Wheelahan</w:t>
      </w:r>
      <w:proofErr w:type="spellEnd"/>
      <w:r w:rsidR="00B009D6">
        <w:t xml:space="preserve"> (2009c, p</w:t>
      </w:r>
      <w:r w:rsidR="003D4FB9">
        <w:t>.</w:t>
      </w:r>
      <w:r w:rsidR="00B009D6">
        <w:t xml:space="preserve">34) notes this as </w:t>
      </w:r>
      <w:r w:rsidR="00A6504E">
        <w:t>‘</w:t>
      </w:r>
      <w:r w:rsidR="00B009D6">
        <w:t>an extraordinary gap</w:t>
      </w:r>
      <w:r w:rsidR="00187AF4">
        <w:t xml:space="preserve"> in the literature</w:t>
      </w:r>
      <w:r w:rsidR="00A6504E">
        <w:t>’</w:t>
      </w:r>
      <w:r w:rsidR="00B009D6">
        <w:t>.</w:t>
      </w:r>
      <w:r w:rsidR="008A7C40">
        <w:t xml:space="preserve"> </w:t>
      </w:r>
      <w:proofErr w:type="spellStart"/>
      <w:r w:rsidR="00187AF4">
        <w:t>Wheelahan</w:t>
      </w:r>
      <w:proofErr w:type="spellEnd"/>
      <w:r w:rsidR="00187AF4">
        <w:t xml:space="preserve"> (2009c</w:t>
      </w:r>
      <w:r w:rsidR="00322AC6">
        <w:t>,</w:t>
      </w:r>
      <w:r w:rsidR="00A6504E">
        <w:t xml:space="preserve"> </w:t>
      </w:r>
      <w:r w:rsidR="00187AF4">
        <w:t>p</w:t>
      </w:r>
      <w:r w:rsidR="003D4FB9">
        <w:t>.</w:t>
      </w:r>
      <w:r w:rsidR="00187AF4">
        <w:t>35)</w:t>
      </w:r>
      <w:r w:rsidR="008A7C40">
        <w:t xml:space="preserve"> </w:t>
      </w:r>
      <w:r w:rsidR="00AD2F4A">
        <w:t>notes</w:t>
      </w:r>
      <w:r w:rsidR="008A7C40">
        <w:t xml:space="preserve"> the following </w:t>
      </w:r>
      <w:r w:rsidR="00AD2F4A">
        <w:t>as student</w:t>
      </w:r>
      <w:r w:rsidR="00906BE1">
        <w:t>-</w:t>
      </w:r>
      <w:r w:rsidR="003D4FB9">
        <w:t>focus</w:t>
      </w:r>
      <w:r w:rsidR="006E7508">
        <w:t>ed</w:t>
      </w:r>
      <w:r w:rsidR="00AD2F4A">
        <w:t xml:space="preserve"> </w:t>
      </w:r>
      <w:r w:rsidR="008A7C40">
        <w:t>enablers</w:t>
      </w:r>
      <w:r w:rsidR="00187AF4">
        <w:t>:</w:t>
      </w:r>
    </w:p>
    <w:p w:rsidR="003241B1" w:rsidRDefault="008A7C40" w:rsidP="003241B1">
      <w:pPr>
        <w:pStyle w:val="Dotpoint1"/>
      </w:pPr>
      <w:r>
        <w:t xml:space="preserve">student </w:t>
      </w:r>
      <w:r w:rsidR="00187AF4">
        <w:t xml:space="preserve">preparation by TAFE </w:t>
      </w:r>
      <w:r w:rsidR="003D4FB9">
        <w:t xml:space="preserve">(technical and further education) </w:t>
      </w:r>
      <w:r w:rsidR="00187AF4">
        <w:t>teachers before entering higher education</w:t>
      </w:r>
    </w:p>
    <w:p w:rsidR="003241B1" w:rsidRDefault="008A7C40" w:rsidP="003241B1">
      <w:pPr>
        <w:pStyle w:val="Dotpoint1"/>
      </w:pPr>
      <w:r>
        <w:t xml:space="preserve">student </w:t>
      </w:r>
      <w:r w:rsidR="00187AF4">
        <w:t xml:space="preserve">preparation in the TAFE course through the </w:t>
      </w:r>
      <w:r w:rsidR="003D4FB9">
        <w:t>acquisition</w:t>
      </w:r>
      <w:r w:rsidR="00187AF4">
        <w:t xml:space="preserve"> of knowledge</w:t>
      </w:r>
      <w:r w:rsidR="003D4FB9">
        <w:t xml:space="preserve"> and skills within the</w:t>
      </w:r>
      <w:r w:rsidR="004E5C03">
        <w:t> </w:t>
      </w:r>
      <w:r w:rsidR="003D4FB9">
        <w:t>field</w:t>
      </w:r>
      <w:r w:rsidR="00187AF4">
        <w:t xml:space="preserve"> </w:t>
      </w:r>
    </w:p>
    <w:p w:rsidR="003241B1" w:rsidRDefault="00187AF4" w:rsidP="003241B1">
      <w:pPr>
        <w:pStyle w:val="Dotpoint1"/>
      </w:pPr>
      <w:proofErr w:type="gramStart"/>
      <w:r>
        <w:t>a</w:t>
      </w:r>
      <w:proofErr w:type="gramEnd"/>
      <w:r>
        <w:t xml:space="preserve"> </w:t>
      </w:r>
      <w:r w:rsidR="008A7C40">
        <w:t>‘</w:t>
      </w:r>
      <w:r>
        <w:t>good fit</w:t>
      </w:r>
      <w:r w:rsidR="008A7C40">
        <w:t>’</w:t>
      </w:r>
      <w:r>
        <w:t xml:space="preserve"> between the TAFE and higher education program</w:t>
      </w:r>
      <w:r w:rsidR="007639B0">
        <w:t>s</w:t>
      </w:r>
      <w:r>
        <w:t>.</w:t>
      </w:r>
    </w:p>
    <w:p w:rsidR="002A3136" w:rsidRDefault="0074007A" w:rsidP="00C4751C">
      <w:pPr>
        <w:pStyle w:val="Text"/>
      </w:pPr>
      <w:r>
        <w:t xml:space="preserve">A survey </w:t>
      </w:r>
      <w:r w:rsidR="002A3136">
        <w:t>investigating student awareness and knowledge of pathways</w:t>
      </w:r>
      <w:r w:rsidR="006E7508">
        <w:t xml:space="preserve"> </w:t>
      </w:r>
      <w:r w:rsidR="00AD2F4A">
        <w:t xml:space="preserve">by </w:t>
      </w:r>
      <w:r w:rsidR="002A3136">
        <w:t>Byrnes et al</w:t>
      </w:r>
      <w:r w:rsidR="00C937E8">
        <w:t>.</w:t>
      </w:r>
      <w:r w:rsidR="00135C6F">
        <w:t xml:space="preserve"> </w:t>
      </w:r>
      <w:r w:rsidR="002A3136">
        <w:t>(2010)</w:t>
      </w:r>
      <w:r w:rsidR="008A7C40">
        <w:t xml:space="preserve"> </w:t>
      </w:r>
      <w:r>
        <w:t>for the Integrated Articulation and Credit Transfer Project</w:t>
      </w:r>
      <w:r w:rsidR="008A7C40">
        <w:t xml:space="preserve"> found</w:t>
      </w:r>
      <w:r>
        <w:t xml:space="preserve"> that students were </w:t>
      </w:r>
      <w:r w:rsidR="00B706F3">
        <w:t>‘</w:t>
      </w:r>
      <w:r>
        <w:t>on the whole</w:t>
      </w:r>
      <w:r w:rsidR="00B706F3">
        <w:t xml:space="preserve"> </w:t>
      </w:r>
      <w:r>
        <w:t>more aware than expected’</w:t>
      </w:r>
      <w:r w:rsidR="00C16AB9">
        <w:t>.</w:t>
      </w:r>
      <w:r w:rsidR="008A7C40">
        <w:t xml:space="preserve"> </w:t>
      </w:r>
      <w:r w:rsidR="006E7508">
        <w:t>The researchers also found that</w:t>
      </w:r>
      <w:r>
        <w:t xml:space="preserve"> th</w:t>
      </w:r>
      <w:r w:rsidR="006E7508">
        <w:t>is</w:t>
      </w:r>
      <w:r>
        <w:t xml:space="preserve"> awareness </w:t>
      </w:r>
      <w:r w:rsidR="006E7508">
        <w:t xml:space="preserve">came </w:t>
      </w:r>
      <w:r>
        <w:t>pri</w:t>
      </w:r>
      <w:r w:rsidR="001D2223">
        <w:t xml:space="preserve">ncipally from </w:t>
      </w:r>
      <w:r w:rsidR="006E7508">
        <w:t xml:space="preserve">teachers rather than </w:t>
      </w:r>
      <w:r w:rsidR="001D2223">
        <w:t xml:space="preserve">the web or other </w:t>
      </w:r>
      <w:r>
        <w:t xml:space="preserve">information sources. </w:t>
      </w:r>
    </w:p>
    <w:p w:rsidR="00C4751C" w:rsidRDefault="0074007A" w:rsidP="00C4751C">
      <w:pPr>
        <w:pStyle w:val="Text"/>
      </w:pPr>
      <w:r>
        <w:t>Our research focuses on the</w:t>
      </w:r>
      <w:r w:rsidR="008A7C40">
        <w:t>se and other enablers. It also focuses</w:t>
      </w:r>
      <w:r>
        <w:t xml:space="preserve"> </w:t>
      </w:r>
      <w:r w:rsidR="008A7C40">
        <w:t>on vertical</w:t>
      </w:r>
      <w:r w:rsidR="00C4751C">
        <w:t xml:space="preserve"> pathways from </w:t>
      </w:r>
      <w:r w:rsidR="00510D3B">
        <w:t>vocational</w:t>
      </w:r>
      <w:r w:rsidR="004E5C03">
        <w:t> </w:t>
      </w:r>
      <w:r w:rsidR="00510D3B">
        <w:t>education and training</w:t>
      </w:r>
      <w:r w:rsidR="00C4751C">
        <w:t xml:space="preserve"> to </w:t>
      </w:r>
      <w:r w:rsidR="00510D3B">
        <w:t>higher education</w:t>
      </w:r>
      <w:r w:rsidR="00C4751C">
        <w:t>, particularly from diploma quali</w:t>
      </w:r>
      <w:r w:rsidR="008A7C40">
        <w:t xml:space="preserve">fications into bachelor degrees. </w:t>
      </w:r>
    </w:p>
    <w:p w:rsidR="00CC576F" w:rsidRDefault="00C4751C" w:rsidP="00C4751C">
      <w:pPr>
        <w:pStyle w:val="Text"/>
      </w:pPr>
      <w:r>
        <w:t xml:space="preserve">It </w:t>
      </w:r>
      <w:r w:rsidR="008A7C40">
        <w:t>could be argued that improving</w:t>
      </w:r>
      <w:r w:rsidR="00510D3B">
        <w:t xml:space="preserve"> </w:t>
      </w:r>
      <w:r w:rsidR="008A7C40">
        <w:t>‘diploma to degree’ pathways has</w:t>
      </w:r>
      <w:r w:rsidR="00427FC7">
        <w:t xml:space="preserve"> become more significant </w:t>
      </w:r>
      <w:r w:rsidR="00B706F3">
        <w:t xml:space="preserve">following </w:t>
      </w:r>
      <w:r w:rsidR="00C937E8">
        <w:t>Bradley et al.’s 2008 r</w:t>
      </w:r>
      <w:r>
        <w:t xml:space="preserve">eview of </w:t>
      </w:r>
      <w:r w:rsidR="00C937E8">
        <w:t>higher education</w:t>
      </w:r>
      <w:r w:rsidR="009B62F1">
        <w:t xml:space="preserve"> </w:t>
      </w:r>
      <w:r w:rsidR="007639B0">
        <w:t xml:space="preserve">in Australia </w:t>
      </w:r>
      <w:r w:rsidR="009B62F1">
        <w:t>and the setting</w:t>
      </w:r>
      <w:r>
        <w:t xml:space="preserve"> of national education targets </w:t>
      </w:r>
      <w:r w:rsidR="00427FC7">
        <w:t xml:space="preserve">by Australian governments. The current </w:t>
      </w:r>
      <w:r>
        <w:t>targe</w:t>
      </w:r>
      <w:r w:rsidR="00427FC7">
        <w:t>ts</w:t>
      </w:r>
      <w:r>
        <w:t xml:space="preserve"> include increasing the number of bachelor d</w:t>
      </w:r>
      <w:r w:rsidR="00C937E8">
        <w:t>egree graduates (to 40% of 25 to 34-</w:t>
      </w:r>
      <w:r>
        <w:t>y</w:t>
      </w:r>
      <w:r w:rsidR="00C937E8">
        <w:t>ear-</w:t>
      </w:r>
      <w:r w:rsidR="00CC576F">
        <w:t>olds by 2025) and a doubling of diploma graduates by 2020,</w:t>
      </w:r>
      <w:r>
        <w:t xml:space="preserve"> along with </w:t>
      </w:r>
      <w:r w:rsidR="00CC576F">
        <w:t xml:space="preserve">new </w:t>
      </w:r>
      <w:r>
        <w:t>equity targets</w:t>
      </w:r>
      <w:r w:rsidR="00C937E8">
        <w:t xml:space="preserve"> for students from lower socio</w:t>
      </w:r>
      <w:r>
        <w:t>economic backgrounds.</w:t>
      </w:r>
      <w:r w:rsidR="00510D3B">
        <w:t xml:space="preserve"> </w:t>
      </w:r>
      <w:r>
        <w:t xml:space="preserve">As noted by </w:t>
      </w:r>
      <w:proofErr w:type="spellStart"/>
      <w:r>
        <w:t>Wheelahan</w:t>
      </w:r>
      <w:proofErr w:type="spellEnd"/>
      <w:r>
        <w:t xml:space="preserve"> (2010</w:t>
      </w:r>
      <w:r w:rsidR="00A16FB7">
        <w:t>, p.</w:t>
      </w:r>
      <w:r>
        <w:t>3), if these participation and equity targets are to be met, pathways must become centre stage in a coherent tertiary education policy ‘because</w:t>
      </w:r>
      <w:r>
        <w:rPr>
          <w:lang w:val="en-US"/>
        </w:rPr>
        <w:t xml:space="preserve"> there needs to be a bigger pool of qualified applicants at every level to </w:t>
      </w:r>
      <w:proofErr w:type="spellStart"/>
      <w:r>
        <w:rPr>
          <w:lang w:val="en-US"/>
        </w:rPr>
        <w:t>fulfil</w:t>
      </w:r>
      <w:proofErr w:type="spellEnd"/>
      <w:r>
        <w:rPr>
          <w:lang w:val="en-US"/>
        </w:rPr>
        <w:t xml:space="preserve"> </w:t>
      </w:r>
      <w:r w:rsidR="00CC576F">
        <w:rPr>
          <w:lang w:val="en-US"/>
        </w:rPr>
        <w:t xml:space="preserve">the </w:t>
      </w:r>
      <w:r>
        <w:rPr>
          <w:lang w:val="en-US"/>
        </w:rPr>
        <w:t>higher level targets’</w:t>
      </w:r>
      <w:r>
        <w:t>.</w:t>
      </w:r>
      <w:r w:rsidR="00510D3B">
        <w:t xml:space="preserve"> </w:t>
      </w:r>
      <w:proofErr w:type="spellStart"/>
      <w:r>
        <w:t>Whe</w:t>
      </w:r>
      <w:r w:rsidR="00F751FC">
        <w:t>elahan</w:t>
      </w:r>
      <w:proofErr w:type="spellEnd"/>
      <w:r w:rsidR="00F751FC">
        <w:t xml:space="preserve"> also identifies diplomas</w:t>
      </w:r>
      <w:r>
        <w:t xml:space="preserve"> as the key qualifications </w:t>
      </w:r>
      <w:r w:rsidR="00CC576F">
        <w:t xml:space="preserve">in pathways </w:t>
      </w:r>
      <w:r>
        <w:t xml:space="preserve">because </w:t>
      </w:r>
      <w:r w:rsidR="00F751FC">
        <w:t>they are the most sign</w:t>
      </w:r>
      <w:r w:rsidR="00D42C49">
        <w:t xml:space="preserve">ificant </w:t>
      </w:r>
      <w:r>
        <w:t xml:space="preserve">in providing vertical pathways from </w:t>
      </w:r>
      <w:r w:rsidR="00510D3B">
        <w:t>vocational education and training</w:t>
      </w:r>
      <w:r>
        <w:t xml:space="preserve"> to higher education.</w:t>
      </w:r>
      <w:r w:rsidR="00427FC7">
        <w:t xml:space="preserve"> </w:t>
      </w:r>
    </w:p>
    <w:p w:rsidR="00DC71CB" w:rsidRDefault="00DC71CB" w:rsidP="00F751FC">
      <w:pPr>
        <w:pStyle w:val="Heading2"/>
      </w:pPr>
      <w:bookmarkStart w:id="41" w:name="_Toc358115572"/>
      <w:r>
        <w:t xml:space="preserve">Purpose of the </w:t>
      </w:r>
      <w:r w:rsidR="00206994">
        <w:t>r</w:t>
      </w:r>
      <w:r>
        <w:t>esearch</w:t>
      </w:r>
      <w:bookmarkEnd w:id="41"/>
    </w:p>
    <w:p w:rsidR="00DC71CB" w:rsidRDefault="00D42C49" w:rsidP="00DC71CB">
      <w:pPr>
        <w:pStyle w:val="Text"/>
      </w:pPr>
      <w:r>
        <w:t xml:space="preserve">Against this </w:t>
      </w:r>
      <w:r w:rsidR="00413E14">
        <w:t xml:space="preserve">research </w:t>
      </w:r>
      <w:r>
        <w:t>background, t</w:t>
      </w:r>
      <w:r w:rsidR="00CE4DB7">
        <w:t xml:space="preserve">he </w:t>
      </w:r>
      <w:r w:rsidR="00F751FC">
        <w:t xml:space="preserve">principal </w:t>
      </w:r>
      <w:r w:rsidR="00DC71CB">
        <w:t xml:space="preserve">purpose of </w:t>
      </w:r>
      <w:r w:rsidR="00CE4DB7">
        <w:t>this</w:t>
      </w:r>
      <w:r w:rsidR="00DC71CB">
        <w:t xml:space="preserve"> </w:t>
      </w:r>
      <w:r w:rsidR="00C31C5C">
        <w:t xml:space="preserve">study </w:t>
      </w:r>
      <w:r w:rsidR="00DC71CB">
        <w:t>was</w:t>
      </w:r>
      <w:r w:rsidR="00DC71CB" w:rsidRPr="00530388">
        <w:t xml:space="preserve"> to investigate </w:t>
      </w:r>
      <w:r w:rsidR="00DC71CB">
        <w:t xml:space="preserve">and evaluate </w:t>
      </w:r>
      <w:r w:rsidR="00DC71CB" w:rsidRPr="00530388">
        <w:t xml:space="preserve">the </w:t>
      </w:r>
      <w:r w:rsidR="00C937E8">
        <w:t>student-</w:t>
      </w:r>
      <w:r w:rsidR="00C31C5C">
        <w:t>identified enablers</w:t>
      </w:r>
      <w:r w:rsidR="00DC71CB" w:rsidRPr="00530388">
        <w:t xml:space="preserve"> that </w:t>
      </w:r>
      <w:r w:rsidR="00C31C5C">
        <w:t xml:space="preserve">support </w:t>
      </w:r>
      <w:r w:rsidR="00DC71CB" w:rsidRPr="00530388">
        <w:t xml:space="preserve">tertiary student pathways from </w:t>
      </w:r>
      <w:r w:rsidR="00DC71CB">
        <w:t xml:space="preserve">VET diplomas </w:t>
      </w:r>
      <w:r w:rsidR="00DC71CB" w:rsidRPr="00530388">
        <w:t xml:space="preserve">into </w:t>
      </w:r>
      <w:r w:rsidR="00CC317E">
        <w:t xml:space="preserve">bachelor </w:t>
      </w:r>
      <w:r w:rsidR="00DC71CB">
        <w:t xml:space="preserve">degrees in </w:t>
      </w:r>
      <w:r w:rsidR="00CC317E">
        <w:t xml:space="preserve">construction management and related degrees (within </w:t>
      </w:r>
      <w:r w:rsidR="00C937E8">
        <w:t>the f</w:t>
      </w:r>
      <w:r w:rsidR="00DC71CB">
        <w:t xml:space="preserve">ield of </w:t>
      </w:r>
      <w:r w:rsidR="00C937E8">
        <w:t>architecture and building</w:t>
      </w:r>
      <w:r w:rsidR="00CC317E">
        <w:rPr>
          <w:rStyle w:val="FootnoteReference"/>
        </w:rPr>
        <w:footnoteReference w:id="1"/>
      </w:r>
      <w:r w:rsidR="00CC317E">
        <w:t>)</w:t>
      </w:r>
      <w:r w:rsidR="00DC71CB">
        <w:t xml:space="preserve">. </w:t>
      </w:r>
    </w:p>
    <w:p w:rsidR="00DC71CB" w:rsidRDefault="00DC71CB" w:rsidP="00DC71CB">
      <w:pPr>
        <w:pStyle w:val="Text"/>
      </w:pPr>
      <w:r>
        <w:lastRenderedPageBreak/>
        <w:t xml:space="preserve">The </w:t>
      </w:r>
      <w:r w:rsidR="00F751FC">
        <w:t>specific</w:t>
      </w:r>
      <w:r>
        <w:t xml:space="preserve"> project objectives were to:</w:t>
      </w:r>
    </w:p>
    <w:p w:rsidR="00DC71CB" w:rsidRPr="00DE0A82" w:rsidRDefault="00CA6AC2" w:rsidP="00DC71CB">
      <w:pPr>
        <w:pStyle w:val="Dotpoint1"/>
      </w:pPr>
      <w:r>
        <w:t>research the</w:t>
      </w:r>
      <w:r w:rsidR="00DC71CB">
        <w:t xml:space="preserve"> enablers that support pathways </w:t>
      </w:r>
      <w:r w:rsidR="00EE5193">
        <w:t xml:space="preserve">from </w:t>
      </w:r>
      <w:r w:rsidR="00DC71CB" w:rsidRPr="00DE0A82">
        <w:t xml:space="preserve">VET </w:t>
      </w:r>
      <w:r w:rsidR="00EE5193">
        <w:t>diplomas into</w:t>
      </w:r>
      <w:r w:rsidR="00DC71CB" w:rsidRPr="00DE0A82">
        <w:t xml:space="preserve"> </w:t>
      </w:r>
      <w:r w:rsidR="00EE5193">
        <w:t>higher education bachelor degrees</w:t>
      </w:r>
      <w:r w:rsidR="00DC71CB" w:rsidRPr="00DE0A82">
        <w:t xml:space="preserve"> in </w:t>
      </w:r>
      <w:r w:rsidR="00EE5193">
        <w:t xml:space="preserve">this field of education </w:t>
      </w:r>
      <w:r w:rsidR="0078671B">
        <w:t>from a</w:t>
      </w:r>
      <w:r w:rsidR="00907CFE">
        <w:t xml:space="preserve"> student persp</w:t>
      </w:r>
      <w:r>
        <w:t xml:space="preserve">ective </w:t>
      </w:r>
    </w:p>
    <w:p w:rsidR="00DC71CB" w:rsidRPr="00DE0A82" w:rsidRDefault="00CA6AC2" w:rsidP="00DC71CB">
      <w:pPr>
        <w:pStyle w:val="Dotpoint1"/>
      </w:pPr>
      <w:r>
        <w:t xml:space="preserve">map and </w:t>
      </w:r>
      <w:r w:rsidR="00DC71CB">
        <w:t>e</w:t>
      </w:r>
      <w:r w:rsidR="00DC71CB" w:rsidRPr="00DE0A82">
        <w:t xml:space="preserve">valuate these </w:t>
      </w:r>
      <w:r>
        <w:t xml:space="preserve">enablers </w:t>
      </w:r>
      <w:r w:rsidR="00DC71CB" w:rsidRPr="00DE0A82">
        <w:t xml:space="preserve">using </w:t>
      </w:r>
      <w:r w:rsidR="00DC71CB">
        <w:t>the Design and Evalu</w:t>
      </w:r>
      <w:r w:rsidR="00C21C2C">
        <w:t>ation Matrix for Outreach</w:t>
      </w:r>
      <w:r w:rsidR="00DC71CB">
        <w:t>, developed by Gale et</w:t>
      </w:r>
      <w:r w:rsidR="003F5F6A">
        <w:t xml:space="preserve"> </w:t>
      </w:r>
      <w:r w:rsidR="00DC71CB">
        <w:t>al</w:t>
      </w:r>
      <w:r w:rsidR="00C21C2C">
        <w:t>.</w:t>
      </w:r>
      <w:r w:rsidR="00DC71CB">
        <w:t xml:space="preserve"> (2010) </w:t>
      </w:r>
    </w:p>
    <w:p w:rsidR="00DF2A95" w:rsidRDefault="007639B0">
      <w:pPr>
        <w:pStyle w:val="Dotpoint1"/>
        <w:rPr>
          <w:i/>
        </w:rPr>
      </w:pPr>
      <w:proofErr w:type="gramStart"/>
      <w:r>
        <w:t>based</w:t>
      </w:r>
      <w:proofErr w:type="gramEnd"/>
      <w:r>
        <w:t xml:space="preserve"> on the student voices, </w:t>
      </w:r>
      <w:r w:rsidR="00907CFE">
        <w:t>identify</w:t>
      </w:r>
      <w:r w:rsidR="00DC71CB" w:rsidRPr="00DE0A82">
        <w:t xml:space="preserve"> the </w:t>
      </w:r>
      <w:r w:rsidR="00A80C02">
        <w:t xml:space="preserve">critical </w:t>
      </w:r>
      <w:r w:rsidR="00907CFE">
        <w:t>enablers</w:t>
      </w:r>
      <w:r w:rsidR="00B81B9E">
        <w:t>.</w:t>
      </w:r>
    </w:p>
    <w:p w:rsidR="00DC71CB" w:rsidRPr="00D818C8" w:rsidRDefault="00DC71CB" w:rsidP="00EE5193">
      <w:pPr>
        <w:pStyle w:val="Heading2"/>
      </w:pPr>
      <w:bookmarkStart w:id="42" w:name="_Toc358115573"/>
      <w:r w:rsidRPr="00D818C8">
        <w:t xml:space="preserve">Research </w:t>
      </w:r>
      <w:r w:rsidR="00206994">
        <w:t>q</w:t>
      </w:r>
      <w:r w:rsidRPr="00D818C8">
        <w:t>uestion</w:t>
      </w:r>
      <w:r>
        <w:t xml:space="preserve">s and </w:t>
      </w:r>
      <w:r w:rsidR="00206994">
        <w:t>themes</w:t>
      </w:r>
      <w:bookmarkEnd w:id="42"/>
    </w:p>
    <w:p w:rsidR="00DC71CB" w:rsidRDefault="00EE5193" w:rsidP="004E5C03">
      <w:pPr>
        <w:pStyle w:val="Text"/>
      </w:pPr>
      <w:r>
        <w:t xml:space="preserve">In accord with </w:t>
      </w:r>
      <w:r w:rsidRPr="004E5C03">
        <w:t>this</w:t>
      </w:r>
      <w:r>
        <w:t xml:space="preserve"> </w:t>
      </w:r>
      <w:r w:rsidR="00B81B9E">
        <w:t xml:space="preserve">project </w:t>
      </w:r>
      <w:r>
        <w:t>purpose</w:t>
      </w:r>
      <w:r w:rsidR="001A457B">
        <w:t xml:space="preserve"> and objectives, the following</w:t>
      </w:r>
      <w:r w:rsidR="00DC71CB">
        <w:t xml:space="preserve"> </w:t>
      </w:r>
      <w:r w:rsidR="00B96AF1">
        <w:t xml:space="preserve">research </w:t>
      </w:r>
      <w:r w:rsidR="00DC71CB">
        <w:t xml:space="preserve">questions </w:t>
      </w:r>
      <w:r w:rsidR="007639B0">
        <w:t xml:space="preserve">were identified. These </w:t>
      </w:r>
      <w:r w:rsidR="00DC71CB">
        <w:t>inform</w:t>
      </w:r>
      <w:r w:rsidR="007639B0">
        <w:t>ed</w:t>
      </w:r>
      <w:r w:rsidR="003F5F6A">
        <w:t xml:space="preserve"> both the research process and the </w:t>
      </w:r>
      <w:r w:rsidR="00B81B9E">
        <w:t xml:space="preserve">project </w:t>
      </w:r>
      <w:r w:rsidR="003F5F6A">
        <w:t>findings</w:t>
      </w:r>
      <w:r w:rsidR="00B96AF1">
        <w:t>:</w:t>
      </w:r>
    </w:p>
    <w:p w:rsidR="00DC71CB" w:rsidRDefault="00DC71CB" w:rsidP="00DC71CB">
      <w:pPr>
        <w:pStyle w:val="Dotpoint1"/>
      </w:pPr>
      <w:r>
        <w:t>What are the main areas of skill need in</w:t>
      </w:r>
      <w:r w:rsidR="003F5F6A">
        <w:t xml:space="preserve"> this industry and where do these skills</w:t>
      </w:r>
      <w:r>
        <w:t xml:space="preserve"> sit in the qualifications spectrum?</w:t>
      </w:r>
    </w:p>
    <w:p w:rsidR="00DC71CB" w:rsidRDefault="00DC71CB" w:rsidP="00DC71CB">
      <w:pPr>
        <w:pStyle w:val="Dotpoint1"/>
      </w:pPr>
      <w:r>
        <w:t>What are the main ‘pathway’ qualifications in this industry and how do</w:t>
      </w:r>
      <w:r w:rsidR="00B81B9E">
        <w:t xml:space="preserve"> these</w:t>
      </w:r>
      <w:r>
        <w:t xml:space="preserve"> compare with all industries?</w:t>
      </w:r>
    </w:p>
    <w:p w:rsidR="00DC71CB" w:rsidRDefault="00DC71CB" w:rsidP="00DC71CB">
      <w:pPr>
        <w:pStyle w:val="Dotpoint1"/>
      </w:pPr>
      <w:r>
        <w:t xml:space="preserve">What is the size of </w:t>
      </w:r>
      <w:r w:rsidR="00C21C2C">
        <w:t>VET</w:t>
      </w:r>
      <w:r>
        <w:t xml:space="preserve"> and </w:t>
      </w:r>
      <w:r w:rsidR="00510D3B">
        <w:t>higher education</w:t>
      </w:r>
      <w:r>
        <w:t xml:space="preserve"> provision in this industry and what are the implications for pathways?</w:t>
      </w:r>
    </w:p>
    <w:p w:rsidR="00F44AA1" w:rsidRDefault="003F5F6A" w:rsidP="00DC71CB">
      <w:pPr>
        <w:pStyle w:val="Dotpoint1"/>
      </w:pPr>
      <w:r>
        <w:t xml:space="preserve">What or who assisted the </w:t>
      </w:r>
      <w:r w:rsidR="00DC71CB">
        <w:t xml:space="preserve">students </w:t>
      </w:r>
      <w:r>
        <w:t xml:space="preserve">interviewed </w:t>
      </w:r>
      <w:r w:rsidR="00742458">
        <w:t>for</w:t>
      </w:r>
      <w:r>
        <w:t xml:space="preserve"> th</w:t>
      </w:r>
      <w:r w:rsidR="00742458">
        <w:t>is</w:t>
      </w:r>
      <w:r>
        <w:t xml:space="preserve"> study </w:t>
      </w:r>
      <w:r w:rsidR="00DC71CB">
        <w:t>in</w:t>
      </w:r>
      <w:r w:rsidR="00742458">
        <w:t xml:space="preserve"> </w:t>
      </w:r>
      <w:r w:rsidR="0078671B">
        <w:t xml:space="preserve">continuing </w:t>
      </w:r>
      <w:r w:rsidR="004D5EEF">
        <w:t>on to</w:t>
      </w:r>
      <w:r w:rsidR="00DC71CB">
        <w:t xml:space="preserve"> a degree and </w:t>
      </w:r>
      <w:r w:rsidR="00742458">
        <w:t xml:space="preserve">in selecting destination </w:t>
      </w:r>
      <w:r w:rsidR="00B81B9E">
        <w:t>universitie</w:t>
      </w:r>
      <w:r w:rsidR="00DC71CB">
        <w:t xml:space="preserve">s? </w:t>
      </w:r>
    </w:p>
    <w:p w:rsidR="00DC71CB" w:rsidRDefault="00F44AA1" w:rsidP="00DC71CB">
      <w:pPr>
        <w:pStyle w:val="Dotpoint1"/>
      </w:pPr>
      <w:r>
        <w:t>Which enablers were</w:t>
      </w:r>
      <w:r w:rsidR="00DC71CB">
        <w:t xml:space="preserve"> the most </w:t>
      </w:r>
      <w:r>
        <w:t xml:space="preserve">evident and how did these relate to the selected </w:t>
      </w:r>
      <w:r w:rsidR="00B81B9E">
        <w:t xml:space="preserve">evaluation </w:t>
      </w:r>
      <w:r>
        <w:t>tool?</w:t>
      </w:r>
    </w:p>
    <w:p w:rsidR="00DC71CB" w:rsidRDefault="00DC71CB" w:rsidP="00DC71CB">
      <w:pPr>
        <w:pStyle w:val="Dotpoint1"/>
      </w:pPr>
      <w:r>
        <w:t xml:space="preserve">How did the students find the transition from </w:t>
      </w:r>
      <w:r w:rsidR="00C21C2C">
        <w:t>VET</w:t>
      </w:r>
      <w:r>
        <w:t xml:space="preserve"> into </w:t>
      </w:r>
      <w:r w:rsidR="00510D3B">
        <w:t>higher education</w:t>
      </w:r>
      <w:r>
        <w:t xml:space="preserve"> studies in this </w:t>
      </w:r>
      <w:r w:rsidR="00B81B9E">
        <w:t>f</w:t>
      </w:r>
      <w:r>
        <w:t>ield?</w:t>
      </w:r>
    </w:p>
    <w:p w:rsidR="00DC71CB" w:rsidRDefault="00DC71CB" w:rsidP="00DC71CB">
      <w:pPr>
        <w:pStyle w:val="Dotpoint1"/>
      </w:pPr>
      <w:r>
        <w:t>What role can industry play in supporting pathways?</w:t>
      </w:r>
    </w:p>
    <w:p w:rsidR="00DC71CB" w:rsidRPr="00D818C8" w:rsidRDefault="00DC71CB" w:rsidP="00DC71CB">
      <w:pPr>
        <w:pStyle w:val="Heading2"/>
      </w:pPr>
      <w:bookmarkStart w:id="43" w:name="_Toc358115574"/>
      <w:r>
        <w:t>Methodology</w:t>
      </w:r>
      <w:bookmarkEnd w:id="43"/>
    </w:p>
    <w:p w:rsidR="00424082" w:rsidRPr="004E5C03" w:rsidRDefault="00826660" w:rsidP="004E5C03">
      <w:pPr>
        <w:pStyle w:val="Text"/>
      </w:pPr>
      <w:r>
        <w:t>This</w:t>
      </w:r>
      <w:r w:rsidR="005F2E02">
        <w:t xml:space="preserve"> </w:t>
      </w:r>
      <w:r>
        <w:t xml:space="preserve">project </w:t>
      </w:r>
      <w:r w:rsidR="00793C3D">
        <w:t>was</w:t>
      </w:r>
      <w:r w:rsidR="00424082">
        <w:t xml:space="preserve"> </w:t>
      </w:r>
      <w:r w:rsidR="00190B31">
        <w:t xml:space="preserve">undertaken </w:t>
      </w:r>
      <w:r w:rsidR="00424082">
        <w:t xml:space="preserve">in two </w:t>
      </w:r>
      <w:r w:rsidR="00413E14">
        <w:t xml:space="preserve">overlapping </w:t>
      </w:r>
      <w:r w:rsidR="00424082">
        <w:t>stages using different research methods. The first stage involv</w:t>
      </w:r>
      <w:r w:rsidR="00A37552">
        <w:t xml:space="preserve">ed a review of </w:t>
      </w:r>
      <w:r w:rsidR="00C21C2C">
        <w:t xml:space="preserve">the </w:t>
      </w:r>
      <w:r w:rsidR="00424082">
        <w:t>relevan</w:t>
      </w:r>
      <w:r w:rsidR="00C21C2C">
        <w:t>t</w:t>
      </w:r>
      <w:r w:rsidR="00A37552">
        <w:t xml:space="preserve"> published quantitative data </w:t>
      </w:r>
      <w:r w:rsidR="00424082">
        <w:t xml:space="preserve">on students and a </w:t>
      </w:r>
      <w:r w:rsidR="008D5699">
        <w:t>brief</w:t>
      </w:r>
      <w:r w:rsidR="005F7C03">
        <w:t xml:space="preserve"> review</w:t>
      </w:r>
      <w:r w:rsidR="00EE31F9">
        <w:t xml:space="preserve"> of </w:t>
      </w:r>
      <w:r w:rsidR="00424082">
        <w:t xml:space="preserve">past research on pathways and </w:t>
      </w:r>
      <w:r w:rsidR="005F7C03">
        <w:t xml:space="preserve">background information on </w:t>
      </w:r>
      <w:r w:rsidR="00424082">
        <w:t>the building and construction industry.</w:t>
      </w:r>
      <w:r w:rsidR="00510D3B">
        <w:t xml:space="preserve"> </w:t>
      </w:r>
      <w:r w:rsidR="00424082">
        <w:t>The second stage</w:t>
      </w:r>
      <w:r w:rsidR="00A37552">
        <w:t xml:space="preserve"> entailed </w:t>
      </w:r>
      <w:r w:rsidR="005F2E02">
        <w:t>qualitative</w:t>
      </w:r>
      <w:r w:rsidR="00424082">
        <w:t xml:space="preserve"> research</w:t>
      </w:r>
      <w:r>
        <w:t xml:space="preserve">, involving interviews with ‘pathways’ students and </w:t>
      </w:r>
      <w:r w:rsidR="00793C3D">
        <w:t>the i</w:t>
      </w:r>
      <w:r>
        <w:t xml:space="preserve">nterpretation and evaluation of </w:t>
      </w:r>
      <w:r w:rsidR="00EE31F9" w:rsidRPr="004E5C03">
        <w:t xml:space="preserve">the </w:t>
      </w:r>
      <w:r w:rsidR="00A33D8C" w:rsidRPr="004E5C03">
        <w:t>collated</w:t>
      </w:r>
      <w:r w:rsidR="00793C3D" w:rsidRPr="004E5C03">
        <w:t xml:space="preserve"> </w:t>
      </w:r>
      <w:r w:rsidR="008D5699" w:rsidRPr="004E5C03">
        <w:t xml:space="preserve">student </w:t>
      </w:r>
      <w:r w:rsidRPr="004E5C03">
        <w:t>interview data</w:t>
      </w:r>
      <w:r w:rsidR="00A37552" w:rsidRPr="004E5C03">
        <w:t xml:space="preserve">. Stakeholder forums on the research findings supported each stage. </w:t>
      </w:r>
    </w:p>
    <w:p w:rsidR="00DC71CB" w:rsidRPr="004E5C03" w:rsidRDefault="008D5699" w:rsidP="004E5C03">
      <w:pPr>
        <w:pStyle w:val="Text"/>
      </w:pPr>
      <w:r w:rsidRPr="004E5C03">
        <w:t xml:space="preserve">In the first stage, </w:t>
      </w:r>
      <w:r w:rsidR="009B62F1" w:rsidRPr="004E5C03">
        <w:t xml:space="preserve">published </w:t>
      </w:r>
      <w:r w:rsidRPr="004E5C03">
        <w:t>d</w:t>
      </w:r>
      <w:r w:rsidR="00DC71CB" w:rsidRPr="004E5C03">
        <w:t>ata</w:t>
      </w:r>
      <w:r w:rsidR="00C21C2C" w:rsidRPr="004E5C03">
        <w:t xml:space="preserve"> were</w:t>
      </w:r>
      <w:r w:rsidRPr="004E5C03">
        <w:t xml:space="preserve"> examined to provide an </w:t>
      </w:r>
      <w:r w:rsidR="00A33D8C" w:rsidRPr="004E5C03">
        <w:t>industry and education snapshot</w:t>
      </w:r>
      <w:r w:rsidRPr="004E5C03">
        <w:t xml:space="preserve"> relevant to the project scope</w:t>
      </w:r>
      <w:r w:rsidR="00DC71CB" w:rsidRPr="004E5C03">
        <w:t>.</w:t>
      </w:r>
      <w:r w:rsidR="00A641FF" w:rsidRPr="004E5C03">
        <w:t xml:space="preserve"> </w:t>
      </w:r>
      <w:r w:rsidRPr="004E5C03">
        <w:t>D</w:t>
      </w:r>
      <w:r w:rsidR="00DC71CB" w:rsidRPr="004E5C03">
        <w:t>ata sources included, inter alia</w:t>
      </w:r>
      <w:r w:rsidR="00742458" w:rsidRPr="004E5C03">
        <w:t>:</w:t>
      </w:r>
      <w:r w:rsidR="00DC71CB" w:rsidRPr="004E5C03">
        <w:t xml:space="preserve"> NCVER</w:t>
      </w:r>
      <w:r w:rsidR="00742458" w:rsidRPr="004E5C03">
        <w:t>;</w:t>
      </w:r>
      <w:r w:rsidR="00DC71CB" w:rsidRPr="004E5C03">
        <w:t xml:space="preserve"> </w:t>
      </w:r>
      <w:r w:rsidR="001B5090" w:rsidRPr="004E5C03">
        <w:t>the Australian Bureau of Statistics</w:t>
      </w:r>
      <w:r w:rsidR="00510D3B" w:rsidRPr="004E5C03">
        <w:t xml:space="preserve"> </w:t>
      </w:r>
      <w:r w:rsidR="001B5090" w:rsidRPr="004E5C03">
        <w:t>(</w:t>
      </w:r>
      <w:r w:rsidR="00DC71CB" w:rsidRPr="004E5C03">
        <w:t>ABS</w:t>
      </w:r>
      <w:r w:rsidR="001B5090" w:rsidRPr="004E5C03">
        <w:t>)</w:t>
      </w:r>
      <w:r w:rsidR="00742458" w:rsidRPr="004E5C03">
        <w:t>;</w:t>
      </w:r>
      <w:r w:rsidR="00DC71CB" w:rsidRPr="004E5C03">
        <w:t xml:space="preserve"> </w:t>
      </w:r>
      <w:r w:rsidR="001B5090" w:rsidRPr="004E5C03">
        <w:t>the Department of Employment, Education and Workplace Relations (</w:t>
      </w:r>
      <w:r w:rsidR="00DC71CB" w:rsidRPr="004E5C03">
        <w:t>DEEWR</w:t>
      </w:r>
      <w:r w:rsidR="00742458" w:rsidRPr="004E5C03">
        <w:t>)</w:t>
      </w:r>
      <w:r w:rsidR="00937911" w:rsidRPr="004E5C03">
        <w:t>;</w:t>
      </w:r>
      <w:r w:rsidR="00742458" w:rsidRPr="004E5C03">
        <w:t xml:space="preserve"> the </w:t>
      </w:r>
      <w:r w:rsidR="00937911" w:rsidRPr="004E5C03">
        <w:t xml:space="preserve">Department of </w:t>
      </w:r>
      <w:r w:rsidR="00C12B41" w:rsidRPr="004E5C03">
        <w:t xml:space="preserve">Industry, </w:t>
      </w:r>
      <w:r w:rsidR="00937911" w:rsidRPr="004E5C03">
        <w:t xml:space="preserve">Innovation, </w:t>
      </w:r>
      <w:r w:rsidR="00C12B41" w:rsidRPr="004E5C03">
        <w:t xml:space="preserve">Climate Change, Research, </w:t>
      </w:r>
      <w:r w:rsidR="00937911" w:rsidRPr="004E5C03">
        <w:t xml:space="preserve">Science and </w:t>
      </w:r>
      <w:r w:rsidR="00C12B41" w:rsidRPr="004E5C03">
        <w:t xml:space="preserve">Tertiary Education (DIICCSRTE); </w:t>
      </w:r>
      <w:r w:rsidR="00DC71CB" w:rsidRPr="004E5C03">
        <w:t xml:space="preserve">the </w:t>
      </w:r>
      <w:r w:rsidR="00C633C6" w:rsidRPr="004E5C03">
        <w:t xml:space="preserve">Construction and Property Services Industry </w:t>
      </w:r>
      <w:r w:rsidR="00DC71CB" w:rsidRPr="004E5C03">
        <w:t xml:space="preserve">Skills Council </w:t>
      </w:r>
      <w:r w:rsidR="00C633C6" w:rsidRPr="004E5C03">
        <w:t xml:space="preserve">(CPSISC) </w:t>
      </w:r>
      <w:r w:rsidR="00DC71CB" w:rsidRPr="004E5C03">
        <w:t xml:space="preserve">and the </w:t>
      </w:r>
      <w:r w:rsidR="001B5090" w:rsidRPr="004E5C03">
        <w:t>Australian Workforce Producti</w:t>
      </w:r>
      <w:r w:rsidR="00C633C6" w:rsidRPr="004E5C03">
        <w:t>vi</w:t>
      </w:r>
      <w:r w:rsidR="001B5090" w:rsidRPr="004E5C03">
        <w:t xml:space="preserve">ty </w:t>
      </w:r>
      <w:r w:rsidR="00D33F16" w:rsidRPr="004E5C03">
        <w:t>Agency</w:t>
      </w:r>
      <w:r w:rsidR="00C633C6" w:rsidRPr="004E5C03">
        <w:t xml:space="preserve"> (</w:t>
      </w:r>
      <w:r w:rsidR="00DC71CB" w:rsidRPr="004E5C03">
        <w:t>AWPA</w:t>
      </w:r>
      <w:r w:rsidR="00C633C6" w:rsidRPr="004E5C03">
        <w:t>)</w:t>
      </w:r>
      <w:r w:rsidR="00DC71CB" w:rsidRPr="004E5C03">
        <w:t xml:space="preserve">. </w:t>
      </w:r>
    </w:p>
    <w:p w:rsidR="00DC71CB" w:rsidRDefault="00DC71CB" w:rsidP="004E5C03">
      <w:pPr>
        <w:pStyle w:val="Text"/>
      </w:pPr>
      <w:r w:rsidRPr="004E5C03">
        <w:t xml:space="preserve">The qualitative research </w:t>
      </w:r>
      <w:r w:rsidR="00F15986" w:rsidRPr="004E5C03">
        <w:t xml:space="preserve">stage </w:t>
      </w:r>
      <w:r w:rsidRPr="004E5C03">
        <w:t>was</w:t>
      </w:r>
      <w:r>
        <w:t xml:space="preserve"> conducted </w:t>
      </w:r>
      <w:r w:rsidR="00F15986">
        <w:t xml:space="preserve">through a case study approach involving </w:t>
      </w:r>
      <w:r w:rsidRPr="00970406">
        <w:t xml:space="preserve">in-depth, </w:t>
      </w:r>
      <w:r w:rsidR="004E5C03">
        <w:br/>
      </w:r>
      <w:r w:rsidRPr="00970406">
        <w:t>semi-structured intervi</w:t>
      </w:r>
      <w:r>
        <w:t xml:space="preserve">ews with students who had transitioned </w:t>
      </w:r>
      <w:r w:rsidRPr="00970406">
        <w:t xml:space="preserve">from </w:t>
      </w:r>
      <w:r w:rsidR="00510D3B">
        <w:t>vocational education and training</w:t>
      </w:r>
      <w:r w:rsidRPr="00970406">
        <w:t xml:space="preserve"> to </w:t>
      </w:r>
      <w:r w:rsidR="00510D3B">
        <w:t>higher education</w:t>
      </w:r>
      <w:r w:rsidRPr="00970406">
        <w:t xml:space="preserve"> </w:t>
      </w:r>
      <w:r w:rsidR="00DE025A">
        <w:t xml:space="preserve">in this field, supported by </w:t>
      </w:r>
      <w:r>
        <w:t xml:space="preserve">two </w:t>
      </w:r>
      <w:r w:rsidR="00684D72">
        <w:t>cons</w:t>
      </w:r>
      <w:r w:rsidR="00DE025A">
        <w:t>u</w:t>
      </w:r>
      <w:r w:rsidR="00684D72">
        <w:t>l</w:t>
      </w:r>
      <w:r w:rsidR="00DE025A">
        <w:t xml:space="preserve">tative forums with </w:t>
      </w:r>
      <w:r>
        <w:t>industry and other stakeholders.</w:t>
      </w:r>
    </w:p>
    <w:p w:rsidR="00DC71CB" w:rsidRPr="000E558A" w:rsidRDefault="00DC71CB" w:rsidP="00DC71CB">
      <w:pPr>
        <w:pStyle w:val="Text"/>
      </w:pPr>
      <w:r>
        <w:lastRenderedPageBreak/>
        <w:t xml:space="preserve">A total of </w:t>
      </w:r>
      <w:r w:rsidRPr="000E558A">
        <w:t xml:space="preserve">36 </w:t>
      </w:r>
      <w:r>
        <w:t xml:space="preserve">bachelor degree </w:t>
      </w:r>
      <w:r w:rsidRPr="000E558A">
        <w:t>students</w:t>
      </w:r>
      <w:r w:rsidR="00F15986">
        <w:t xml:space="preserve"> were interviewed</w:t>
      </w:r>
      <w:r w:rsidR="001A2211">
        <w:t xml:space="preserve"> for the project</w:t>
      </w:r>
      <w:r w:rsidRPr="000E558A">
        <w:t xml:space="preserve"> </w:t>
      </w:r>
      <w:r w:rsidR="00F15986">
        <w:t>(</w:t>
      </w:r>
      <w:r w:rsidRPr="00624EA4">
        <w:t>including one graduate, 13 final year students and 22 second/third year students</w:t>
      </w:r>
      <w:r w:rsidR="00F15986" w:rsidRPr="00624EA4">
        <w:t>)</w:t>
      </w:r>
      <w:r w:rsidRPr="000E558A">
        <w:t>. All were male, with one exception.</w:t>
      </w:r>
      <w:r w:rsidR="00510D3B">
        <w:t xml:space="preserve"> </w:t>
      </w:r>
      <w:r w:rsidR="00684D72">
        <w:t xml:space="preserve">These students </w:t>
      </w:r>
      <w:r w:rsidR="00F15986">
        <w:t xml:space="preserve">were </w:t>
      </w:r>
      <w:r w:rsidR="001A2211">
        <w:t>nominated by participating universities and were selected on the basis of student records as a prior VET student. All interviews were conducted in accord with RMIT</w:t>
      </w:r>
      <w:r w:rsidR="00D33F16">
        <w:t xml:space="preserve"> University</w:t>
      </w:r>
      <w:r w:rsidR="001A2211">
        <w:t xml:space="preserve"> </w:t>
      </w:r>
      <w:r w:rsidR="00074D42">
        <w:t>ethics</w:t>
      </w:r>
      <w:r w:rsidR="001A2211">
        <w:t xml:space="preserve"> requirements. The students came </w:t>
      </w:r>
      <w:r w:rsidR="00C16AB9">
        <w:t xml:space="preserve">from </w:t>
      </w:r>
      <w:r w:rsidR="00F15986">
        <w:t xml:space="preserve">eight higher education </w:t>
      </w:r>
      <w:r w:rsidRPr="000E558A">
        <w:t>institutions</w:t>
      </w:r>
      <w:r w:rsidR="00684D72">
        <w:t xml:space="preserve"> offering degrees in construction management</w:t>
      </w:r>
      <w:r w:rsidR="005633CE">
        <w:t xml:space="preserve"> or related qualifications</w:t>
      </w:r>
      <w:r w:rsidR="00F15986">
        <w:t>. The</w:t>
      </w:r>
      <w:r w:rsidR="001A2211">
        <w:t>se were</w:t>
      </w:r>
      <w:r w:rsidR="00F15986">
        <w:t>:</w:t>
      </w:r>
    </w:p>
    <w:p w:rsidR="00DC71CB" w:rsidRPr="000E558A" w:rsidRDefault="00DC71CB" w:rsidP="00DC71CB">
      <w:pPr>
        <w:pStyle w:val="Dotpoint1"/>
      </w:pPr>
      <w:r w:rsidRPr="000E558A">
        <w:t>RMIT University, Vic</w:t>
      </w:r>
      <w:r w:rsidR="00D33F16">
        <w:t>.</w:t>
      </w:r>
      <w:r w:rsidR="00510D3B">
        <w:t xml:space="preserve"> </w:t>
      </w:r>
    </w:p>
    <w:p w:rsidR="00074D42" w:rsidRDefault="00DC71CB" w:rsidP="00DC71CB">
      <w:pPr>
        <w:pStyle w:val="Dotpoint1"/>
      </w:pPr>
      <w:r>
        <w:t xml:space="preserve">Curtin </w:t>
      </w:r>
      <w:r w:rsidR="00D33F16">
        <w:t>University</w:t>
      </w:r>
      <w:r w:rsidR="00A33D8C">
        <w:t xml:space="preserve"> of Technology</w:t>
      </w:r>
      <w:r w:rsidR="00D33F16">
        <w:t>, W</w:t>
      </w:r>
      <w:r w:rsidRPr="000E558A">
        <w:t>A</w:t>
      </w:r>
      <w:r w:rsidR="0078671B">
        <w:t xml:space="preserve"> </w:t>
      </w:r>
    </w:p>
    <w:p w:rsidR="00DC71CB" w:rsidRPr="000E558A" w:rsidRDefault="00DC71CB" w:rsidP="00DC71CB">
      <w:pPr>
        <w:pStyle w:val="Dotpoint1"/>
      </w:pPr>
      <w:r w:rsidRPr="000E558A">
        <w:t xml:space="preserve">University </w:t>
      </w:r>
      <w:r w:rsidR="00FB27A0">
        <w:t xml:space="preserve">of </w:t>
      </w:r>
      <w:r w:rsidRPr="000E558A">
        <w:t>West</w:t>
      </w:r>
      <w:r w:rsidR="00D33F16">
        <w:t>ern Sydney,</w:t>
      </w:r>
      <w:r w:rsidR="00FB27A0">
        <w:t xml:space="preserve"> </w:t>
      </w:r>
      <w:r w:rsidR="00D33F16">
        <w:t>NS</w:t>
      </w:r>
      <w:r w:rsidRPr="000E558A">
        <w:t>W</w:t>
      </w:r>
      <w:r w:rsidR="0078671B">
        <w:t xml:space="preserve"> </w:t>
      </w:r>
    </w:p>
    <w:p w:rsidR="00DC71CB" w:rsidRPr="000E558A" w:rsidRDefault="00DC71CB" w:rsidP="00DC71CB">
      <w:pPr>
        <w:pStyle w:val="Dotpoint1"/>
      </w:pPr>
      <w:r w:rsidRPr="000E558A">
        <w:t xml:space="preserve">University </w:t>
      </w:r>
      <w:r w:rsidR="00C32FD0">
        <w:t xml:space="preserve">of </w:t>
      </w:r>
      <w:r w:rsidRPr="000E558A">
        <w:t>South Australia,</w:t>
      </w:r>
      <w:r w:rsidR="00D33F16">
        <w:t xml:space="preserve"> SA </w:t>
      </w:r>
    </w:p>
    <w:p w:rsidR="00DC71CB" w:rsidRPr="000E558A" w:rsidRDefault="00DC71CB" w:rsidP="00DC71CB">
      <w:pPr>
        <w:pStyle w:val="Dotpoint1"/>
      </w:pPr>
      <w:r w:rsidRPr="000E558A">
        <w:t>Holmesglen Institute, Vic</w:t>
      </w:r>
      <w:r w:rsidR="00D33F16">
        <w:t xml:space="preserve">. </w:t>
      </w:r>
    </w:p>
    <w:p w:rsidR="00DC71CB" w:rsidRPr="000E558A" w:rsidRDefault="00DC71CB" w:rsidP="00DC71CB">
      <w:pPr>
        <w:pStyle w:val="Dotpoint1"/>
      </w:pPr>
      <w:r w:rsidRPr="000E558A">
        <w:t xml:space="preserve">University </w:t>
      </w:r>
      <w:r w:rsidR="00C32FD0">
        <w:t xml:space="preserve">of </w:t>
      </w:r>
      <w:r w:rsidR="00D33F16">
        <w:t>Technology Sydney,</w:t>
      </w:r>
      <w:r w:rsidR="00FB27A0">
        <w:t xml:space="preserve"> </w:t>
      </w:r>
      <w:r w:rsidR="00D33F16">
        <w:t>NS</w:t>
      </w:r>
      <w:r w:rsidRPr="000E558A">
        <w:t>W</w:t>
      </w:r>
      <w:r w:rsidR="0078671B">
        <w:t xml:space="preserve"> </w:t>
      </w:r>
    </w:p>
    <w:p w:rsidR="00DC71CB" w:rsidRPr="000E558A" w:rsidRDefault="00DC71CB" w:rsidP="00DC71CB">
      <w:pPr>
        <w:pStyle w:val="Dotpoint1"/>
      </w:pPr>
      <w:r>
        <w:t xml:space="preserve">University </w:t>
      </w:r>
      <w:r w:rsidR="00906BE1">
        <w:t xml:space="preserve">of </w:t>
      </w:r>
      <w:r>
        <w:t>Newcastle,</w:t>
      </w:r>
      <w:r w:rsidRPr="000E558A">
        <w:t xml:space="preserve"> </w:t>
      </w:r>
      <w:r w:rsidR="00D33F16">
        <w:t>NSW</w:t>
      </w:r>
      <w:r w:rsidR="0078671B">
        <w:t xml:space="preserve"> </w:t>
      </w:r>
    </w:p>
    <w:p w:rsidR="00DC71CB" w:rsidRDefault="00DC71CB" w:rsidP="00DC71CB">
      <w:pPr>
        <w:pStyle w:val="Dotpoint1"/>
      </w:pPr>
      <w:r w:rsidRPr="000E558A">
        <w:t>Deakin University, Vic</w:t>
      </w:r>
      <w:r w:rsidR="00611A1D">
        <w:t>.</w:t>
      </w:r>
    </w:p>
    <w:p w:rsidR="00DF2A95" w:rsidRDefault="0042371B">
      <w:pPr>
        <w:pStyle w:val="Text"/>
      </w:pPr>
      <w:r>
        <w:t xml:space="preserve">These higher education providers were selected </w:t>
      </w:r>
      <w:r w:rsidR="005633CE">
        <w:t xml:space="preserve">as the interview sites </w:t>
      </w:r>
      <w:r>
        <w:t>for a number of re</w:t>
      </w:r>
      <w:r w:rsidR="00646E53">
        <w:t>a</w:t>
      </w:r>
      <w:r>
        <w:t>sons including:</w:t>
      </w:r>
    </w:p>
    <w:p w:rsidR="00DC71CB" w:rsidRDefault="00DC71CB" w:rsidP="00DC71CB">
      <w:pPr>
        <w:pStyle w:val="Dotpoint1"/>
      </w:pPr>
      <w:r>
        <w:t xml:space="preserve">a history of providing sustained </w:t>
      </w:r>
      <w:r w:rsidR="00611A1D">
        <w:t>VET</w:t>
      </w:r>
      <w:r w:rsidRPr="000E558A">
        <w:t xml:space="preserve"> to </w:t>
      </w:r>
      <w:r w:rsidR="00510D3B">
        <w:t>higher education</w:t>
      </w:r>
      <w:r w:rsidRPr="000E558A">
        <w:t xml:space="preserve"> </w:t>
      </w:r>
      <w:r>
        <w:t xml:space="preserve">pathways </w:t>
      </w:r>
      <w:r w:rsidRPr="000E558A">
        <w:t>over a significant period of time</w:t>
      </w:r>
      <w:r>
        <w:t xml:space="preserve"> </w:t>
      </w:r>
    </w:p>
    <w:p w:rsidR="00DC71CB" w:rsidRDefault="00611A1D" w:rsidP="00DC71CB">
      <w:pPr>
        <w:pStyle w:val="Dotpoint1"/>
      </w:pPr>
      <w:r>
        <w:t>a mix of institutional type: stand-</w:t>
      </w:r>
      <w:r w:rsidR="00DC71CB">
        <w:t>alone higher educ</w:t>
      </w:r>
      <w:r>
        <w:t>ation, mixed provision and dual-</w:t>
      </w:r>
      <w:r w:rsidR="00DC71CB">
        <w:t>sector</w:t>
      </w:r>
    </w:p>
    <w:p w:rsidR="00DC71CB" w:rsidRPr="000E558A" w:rsidRDefault="00DC71CB" w:rsidP="00DC71CB">
      <w:pPr>
        <w:pStyle w:val="Dotpoint1"/>
      </w:pPr>
      <w:r w:rsidRPr="000E558A">
        <w:t xml:space="preserve">a </w:t>
      </w:r>
      <w:r>
        <w:t xml:space="preserve">known cohort </w:t>
      </w:r>
      <w:r w:rsidRPr="000E558A">
        <w:t>of cons</w:t>
      </w:r>
      <w:r w:rsidR="00684D72">
        <w:t>truction students moving from</w:t>
      </w:r>
      <w:r w:rsidRPr="000E558A">
        <w:t xml:space="preserve"> </w:t>
      </w:r>
      <w:r w:rsidR="00510D3B">
        <w:t>vocational education and training</w:t>
      </w:r>
      <w:r w:rsidRPr="000E558A">
        <w:t xml:space="preserve"> </w:t>
      </w:r>
      <w:r w:rsidR="00684D72">
        <w:t xml:space="preserve">into degrees </w:t>
      </w:r>
      <w:r w:rsidR="0078671B">
        <w:t>in these</w:t>
      </w:r>
      <w:r w:rsidR="00684D72">
        <w:t xml:space="preserve"> institutions</w:t>
      </w:r>
    </w:p>
    <w:p w:rsidR="00DC71CB" w:rsidRPr="000E558A" w:rsidRDefault="0091752F" w:rsidP="00DC71CB">
      <w:pPr>
        <w:pStyle w:val="Dotpoint1"/>
      </w:pPr>
      <w:r>
        <w:t>t</w:t>
      </w:r>
      <w:r w:rsidR="0078671B">
        <w:t>he</w:t>
      </w:r>
      <w:r w:rsidR="00DC71CB">
        <w:t xml:space="preserve"> capacity to </w:t>
      </w:r>
      <w:r w:rsidR="0078671B" w:rsidRPr="000E558A">
        <w:t xml:space="preserve">identify </w:t>
      </w:r>
      <w:r w:rsidR="0078671B">
        <w:t>pathway</w:t>
      </w:r>
      <w:r w:rsidR="004D5EEF">
        <w:t>s</w:t>
      </w:r>
      <w:r w:rsidR="00DC71CB">
        <w:t xml:space="preserve"> students </w:t>
      </w:r>
      <w:r w:rsidR="00DC71CB" w:rsidRPr="000E558A">
        <w:t xml:space="preserve">within the project timeframe </w:t>
      </w:r>
      <w:r w:rsidR="00DC71CB">
        <w:t xml:space="preserve">through university contacts </w:t>
      </w:r>
    </w:p>
    <w:p w:rsidR="00DC71CB" w:rsidRPr="000E558A" w:rsidRDefault="00DC71CB" w:rsidP="00DC71CB">
      <w:pPr>
        <w:pStyle w:val="Dotpoint1"/>
      </w:pPr>
      <w:proofErr w:type="gramStart"/>
      <w:r>
        <w:t>broad</w:t>
      </w:r>
      <w:proofErr w:type="gramEnd"/>
      <w:r>
        <w:t xml:space="preserve"> national coverage</w:t>
      </w:r>
      <w:r w:rsidRPr="000E558A">
        <w:t xml:space="preserve">. </w:t>
      </w:r>
    </w:p>
    <w:p w:rsidR="00DC71CB" w:rsidRDefault="0089094D" w:rsidP="00DC71CB">
      <w:pPr>
        <w:pStyle w:val="Text"/>
      </w:pPr>
      <w:r>
        <w:t>The student interview responses</w:t>
      </w:r>
      <w:r w:rsidR="00DC71CB">
        <w:t xml:space="preserve"> were mapped against the </w:t>
      </w:r>
      <w:r w:rsidR="00DC71CB" w:rsidRPr="00322CDF">
        <w:t>Design and Evaluatio</w:t>
      </w:r>
      <w:r w:rsidR="00DC71CB">
        <w:t>n M</w:t>
      </w:r>
      <w:r w:rsidR="00611A1D">
        <w:t>atrix for Outreach</w:t>
      </w:r>
      <w:r w:rsidR="00DC71CB">
        <w:t>, developed by Gale</w:t>
      </w:r>
      <w:r w:rsidR="00DC71CB" w:rsidRPr="00322CDF">
        <w:t xml:space="preserve"> </w:t>
      </w:r>
      <w:r w:rsidR="000228E7">
        <w:t>et al</w:t>
      </w:r>
      <w:r w:rsidR="00611A1D">
        <w:t>.</w:t>
      </w:r>
      <w:r w:rsidR="000228E7">
        <w:t xml:space="preserve"> </w:t>
      </w:r>
      <w:r w:rsidR="00A33D8C">
        <w:t>(2010)</w:t>
      </w:r>
      <w:r w:rsidR="00DC71CB">
        <w:t xml:space="preserve"> </w:t>
      </w:r>
      <w:r w:rsidR="00BB7D60">
        <w:t>for</w:t>
      </w:r>
      <w:r w:rsidR="00DC71CB" w:rsidRPr="00322CDF">
        <w:t xml:space="preserve"> the National Centre for Student Equity in Higher Education.</w:t>
      </w:r>
      <w:r w:rsidR="00510D3B">
        <w:rPr>
          <w:rFonts w:cs="Arial"/>
          <w:sz w:val="22"/>
          <w:szCs w:val="22"/>
        </w:rPr>
        <w:t xml:space="preserve"> </w:t>
      </w:r>
      <w:r w:rsidRPr="0089094D">
        <w:t>The resea</w:t>
      </w:r>
      <w:r w:rsidR="003E258E">
        <w:t>r</w:t>
      </w:r>
      <w:r w:rsidRPr="0089094D">
        <w:t>chers selected</w:t>
      </w:r>
      <w:r>
        <w:rPr>
          <w:rFonts w:cs="Arial"/>
          <w:sz w:val="22"/>
          <w:szCs w:val="22"/>
        </w:rPr>
        <w:t xml:space="preserve"> </w:t>
      </w:r>
      <w:r w:rsidR="003958D3" w:rsidRPr="003958D3">
        <w:t>this tool</w:t>
      </w:r>
      <w:r w:rsidR="000228E7">
        <w:rPr>
          <w:rFonts w:cs="Arial"/>
          <w:sz w:val="22"/>
          <w:szCs w:val="22"/>
        </w:rPr>
        <w:t xml:space="preserve"> </w:t>
      </w:r>
      <w:r w:rsidR="0042371B">
        <w:t xml:space="preserve">because </w:t>
      </w:r>
      <w:r w:rsidR="00117C8C">
        <w:t>its structure</w:t>
      </w:r>
      <w:r w:rsidR="00684D72">
        <w:t xml:space="preserve"> and </w:t>
      </w:r>
      <w:r w:rsidR="003067CA">
        <w:t xml:space="preserve">features </w:t>
      </w:r>
      <w:r w:rsidR="0042371B">
        <w:t xml:space="preserve">form </w:t>
      </w:r>
      <w:r w:rsidR="00BB7D60">
        <w:t xml:space="preserve">a useful and meaningful </w:t>
      </w:r>
      <w:r w:rsidR="00D82F67">
        <w:t>scaffold</w:t>
      </w:r>
      <w:r w:rsidR="000228E7">
        <w:t xml:space="preserve"> </w:t>
      </w:r>
      <w:r w:rsidR="00611A1D">
        <w:t>for organising</w:t>
      </w:r>
      <w:r w:rsidR="000228E7">
        <w:t xml:space="preserve"> the diverse students’ responses and </w:t>
      </w:r>
      <w:r w:rsidR="00A33D8C">
        <w:t>for</w:t>
      </w:r>
      <w:r w:rsidR="00B51C52">
        <w:t xml:space="preserve"> </w:t>
      </w:r>
      <w:r w:rsidR="000228E7">
        <w:t>map</w:t>
      </w:r>
      <w:r w:rsidR="00A33D8C">
        <w:t>ping</w:t>
      </w:r>
      <w:r w:rsidR="000228E7">
        <w:t xml:space="preserve"> these into distinct ‘enablers’</w:t>
      </w:r>
      <w:r w:rsidR="00DC71CB" w:rsidRPr="00322CDF">
        <w:t>.</w:t>
      </w:r>
      <w:r w:rsidR="00510D3B">
        <w:t xml:space="preserve"> </w:t>
      </w:r>
      <w:r w:rsidR="00DC71CB">
        <w:t xml:space="preserve">Further information on the </w:t>
      </w:r>
      <w:r w:rsidR="00B9612E">
        <w:t xml:space="preserve">matrix </w:t>
      </w:r>
      <w:r w:rsidR="00DC71CB">
        <w:t>and its app</w:t>
      </w:r>
      <w:r>
        <w:t xml:space="preserve">lication is set </w:t>
      </w:r>
      <w:r w:rsidRPr="00074D42">
        <w:t xml:space="preserve">out </w:t>
      </w:r>
      <w:r w:rsidR="00C16AB9" w:rsidRPr="00074D42">
        <w:t>on page 2</w:t>
      </w:r>
      <w:r w:rsidR="0030552E" w:rsidRPr="00074D42">
        <w:t>3</w:t>
      </w:r>
      <w:r w:rsidR="00B62EB2" w:rsidRPr="00074D42">
        <w:t xml:space="preserve"> </w:t>
      </w:r>
      <w:r w:rsidR="000228E7" w:rsidRPr="00074D42">
        <w:t>of</w:t>
      </w:r>
      <w:r w:rsidR="000228E7" w:rsidRPr="00FA7C27">
        <w:t xml:space="preserve"> </w:t>
      </w:r>
      <w:r w:rsidRPr="00FA7C27">
        <w:t>this report</w:t>
      </w:r>
      <w:r w:rsidR="00DC71CB">
        <w:t>.</w:t>
      </w:r>
    </w:p>
    <w:p w:rsidR="00DC71CB" w:rsidRPr="000E558A" w:rsidRDefault="00611A1D" w:rsidP="00DC71CB">
      <w:pPr>
        <w:pStyle w:val="Text"/>
      </w:pPr>
      <w:r>
        <w:t>Two round</w:t>
      </w:r>
      <w:r w:rsidR="0089094D">
        <w:t>table consultative forums</w:t>
      </w:r>
      <w:r w:rsidR="00DC71CB">
        <w:t xml:space="preserve"> were held </w:t>
      </w:r>
      <w:r w:rsidR="000228E7">
        <w:t>(</w:t>
      </w:r>
      <w:r>
        <w:t>April 2012 and</w:t>
      </w:r>
      <w:r w:rsidR="00DC71CB">
        <w:t xml:space="preserve"> September 2012</w:t>
      </w:r>
      <w:r w:rsidR="000228E7">
        <w:t>)</w:t>
      </w:r>
      <w:r w:rsidR="00DC71CB">
        <w:t xml:space="preserve"> to consider the issues and question</w:t>
      </w:r>
      <w:r w:rsidR="00B3059C">
        <w:t>s</w:t>
      </w:r>
      <w:r w:rsidR="00DC71CB">
        <w:t xml:space="preserve"> arising from both the reviewed </w:t>
      </w:r>
      <w:r w:rsidR="003F71DB">
        <w:t>industry and statistical</w:t>
      </w:r>
      <w:r w:rsidR="00DC71CB">
        <w:t xml:space="preserve"> data and the student interviews. The invited participan</w:t>
      </w:r>
      <w:r>
        <w:t>ts were drawn from a wide cross-</w:t>
      </w:r>
      <w:r w:rsidR="00DC71CB">
        <w:t>section of industry and other stakeholders</w:t>
      </w:r>
      <w:r>
        <w:t>,</w:t>
      </w:r>
      <w:r w:rsidR="00DC71CB">
        <w:t xml:space="preserve"> including the Master Builders Association of</w:t>
      </w:r>
      <w:r w:rsidR="00B9612E">
        <w:t xml:space="preserve"> Australia</w:t>
      </w:r>
      <w:r w:rsidR="00DC71CB">
        <w:t>, individual construction companies, the national Indust</w:t>
      </w:r>
      <w:r w:rsidR="00117C8C">
        <w:t xml:space="preserve">ry Skills Council and </w:t>
      </w:r>
      <w:r>
        <w:t xml:space="preserve">the </w:t>
      </w:r>
      <w:r w:rsidR="000228E7">
        <w:t xml:space="preserve">relevant Victorian </w:t>
      </w:r>
      <w:r w:rsidR="00117C8C">
        <w:t xml:space="preserve">state </w:t>
      </w:r>
      <w:r w:rsidR="00A06C02">
        <w:t xml:space="preserve">training </w:t>
      </w:r>
      <w:r w:rsidR="00117C8C">
        <w:t>body,</w:t>
      </w:r>
      <w:r w:rsidR="00B9612E">
        <w:t xml:space="preserve"> industry</w:t>
      </w:r>
      <w:r w:rsidR="00117C8C">
        <w:t xml:space="preserve"> union</w:t>
      </w:r>
      <w:r w:rsidR="00B9612E">
        <w:t>s</w:t>
      </w:r>
      <w:r w:rsidR="00117C8C">
        <w:t xml:space="preserve">, </w:t>
      </w:r>
      <w:r w:rsidR="0089094D">
        <w:t>universities, VET providers and</w:t>
      </w:r>
      <w:r w:rsidR="00DC71CB">
        <w:t xml:space="preserve"> government agencies.</w:t>
      </w:r>
    </w:p>
    <w:p w:rsidR="00DC71CB" w:rsidRDefault="00DC71CB" w:rsidP="00DC71CB">
      <w:pPr>
        <w:pStyle w:val="Heading2"/>
      </w:pPr>
      <w:bookmarkStart w:id="44" w:name="_Toc358115575"/>
      <w:r>
        <w:t xml:space="preserve">Scope and limitations of the </w:t>
      </w:r>
      <w:r w:rsidR="00B3059C">
        <w:t>study</w:t>
      </w:r>
      <w:bookmarkEnd w:id="44"/>
    </w:p>
    <w:p w:rsidR="0030552E" w:rsidRDefault="00DC71CB">
      <w:pPr>
        <w:pStyle w:val="Text"/>
      </w:pPr>
      <w:r>
        <w:t xml:space="preserve">The findings of this project are drawn </w:t>
      </w:r>
      <w:r w:rsidR="0089094D">
        <w:t xml:space="preserve">principally </w:t>
      </w:r>
      <w:r>
        <w:t xml:space="preserve">from </w:t>
      </w:r>
      <w:r w:rsidR="0089094D">
        <w:t xml:space="preserve">the student </w:t>
      </w:r>
      <w:r w:rsidR="00414359">
        <w:t xml:space="preserve">interview </w:t>
      </w:r>
      <w:r w:rsidR="0078671B">
        <w:t>data, which</w:t>
      </w:r>
      <w:r w:rsidR="00414359">
        <w:t xml:space="preserve"> involved</w:t>
      </w:r>
      <w:r w:rsidR="0089094D">
        <w:t xml:space="preserve"> </w:t>
      </w:r>
      <w:r>
        <w:t xml:space="preserve">a </w:t>
      </w:r>
      <w:r w:rsidR="0089094D">
        <w:t xml:space="preserve">relatively </w:t>
      </w:r>
      <w:r>
        <w:t xml:space="preserve">small </w:t>
      </w:r>
      <w:r w:rsidR="00414359">
        <w:t>number</w:t>
      </w:r>
      <w:r>
        <w:t xml:space="preserve"> of </w:t>
      </w:r>
      <w:r w:rsidR="003F71DB">
        <w:t>participants</w:t>
      </w:r>
      <w:r w:rsidR="00611A1D">
        <w:t>. While</w:t>
      </w:r>
      <w:r>
        <w:t xml:space="preserve"> their perspectives have shed light</w:t>
      </w:r>
      <w:r w:rsidR="00414359">
        <w:t xml:space="preserve"> </w:t>
      </w:r>
      <w:r>
        <w:t>on the key enablers</w:t>
      </w:r>
      <w:r w:rsidR="00414359">
        <w:t xml:space="preserve">, </w:t>
      </w:r>
      <w:r>
        <w:t xml:space="preserve">it is not possible to generalise from this study. A more substantial </w:t>
      </w:r>
      <w:r w:rsidR="0089094D">
        <w:t xml:space="preserve">interview </w:t>
      </w:r>
      <w:r>
        <w:t xml:space="preserve">cohort would be needed </w:t>
      </w:r>
      <w:r w:rsidR="004E5C03">
        <w:br/>
      </w:r>
      <w:r>
        <w:lastRenderedPageBreak/>
        <w:t>and other studies undertaken to verify the findings. The perspectives of other key groups</w:t>
      </w:r>
      <w:r w:rsidR="0089094D">
        <w:t>,</w:t>
      </w:r>
      <w:r>
        <w:t xml:space="preserve"> </w:t>
      </w:r>
      <w:r w:rsidR="006F2A5D">
        <w:t xml:space="preserve">including staff in the original VET providers </w:t>
      </w:r>
      <w:r w:rsidR="00CE4DB7">
        <w:t xml:space="preserve">for </w:t>
      </w:r>
      <w:r w:rsidR="006F2A5D">
        <w:t>these pathways students and staff in the</w:t>
      </w:r>
      <w:r w:rsidR="00CE4DB7">
        <w:t>ir</w:t>
      </w:r>
      <w:r w:rsidR="006F2A5D">
        <w:t xml:space="preserve"> destination high</w:t>
      </w:r>
      <w:r w:rsidR="00CE4DB7">
        <w:t>er</w:t>
      </w:r>
      <w:r w:rsidR="006F2A5D">
        <w:t xml:space="preserve"> education provider</w:t>
      </w:r>
      <w:r w:rsidR="00CE4DB7">
        <w:t>,</w:t>
      </w:r>
      <w:r w:rsidR="006F2A5D">
        <w:t xml:space="preserve"> w</w:t>
      </w:r>
      <w:r w:rsidR="00611A1D">
        <w:t>ere</w:t>
      </w:r>
      <w:r w:rsidR="006F2A5D">
        <w:t xml:space="preserve"> also beyond scope.</w:t>
      </w:r>
      <w:r w:rsidR="00510D3B">
        <w:t xml:space="preserve"> </w:t>
      </w:r>
      <w:r w:rsidR="00A06C02">
        <w:t xml:space="preserve">The </w:t>
      </w:r>
      <w:r w:rsidR="00C12064">
        <w:t>perspectives from industry and other stakeholders are</w:t>
      </w:r>
      <w:r w:rsidR="00A06C02">
        <w:t xml:space="preserve"> limited t</w:t>
      </w:r>
      <w:r w:rsidR="00611A1D">
        <w:t>o the participants in the round</w:t>
      </w:r>
      <w:r w:rsidR="00A06C02">
        <w:t>table forums.</w:t>
      </w:r>
    </w:p>
    <w:p w:rsidR="00DA5573" w:rsidRDefault="00DC71CB">
      <w:pPr>
        <w:pStyle w:val="Text"/>
        <w:rPr>
          <w:rFonts w:ascii="Tahoma" w:hAnsi="Tahoma" w:cs="Tahoma"/>
          <w:sz w:val="28"/>
        </w:rPr>
      </w:pPr>
      <w:r>
        <w:br w:type="page"/>
      </w:r>
    </w:p>
    <w:p w:rsidR="00DC71CB" w:rsidRDefault="00525398" w:rsidP="004E5C03">
      <w:pPr>
        <w:pStyle w:val="Heading1"/>
        <w:spacing w:after="240"/>
      </w:pPr>
      <w:bookmarkStart w:id="45" w:name="_Toc358115576"/>
      <w:r>
        <w:lastRenderedPageBreak/>
        <w:t>Industry</w:t>
      </w:r>
      <w:r w:rsidR="00414359">
        <w:t xml:space="preserve"> and </w:t>
      </w:r>
      <w:r>
        <w:t xml:space="preserve">education </w:t>
      </w:r>
      <w:r w:rsidR="00414359">
        <w:t>context</w:t>
      </w:r>
      <w:bookmarkEnd w:id="45"/>
      <w:r w:rsidR="00DC71CB">
        <w:t xml:space="preserve"> </w:t>
      </w:r>
    </w:p>
    <w:p w:rsidR="00DC71CB" w:rsidRPr="00815770" w:rsidRDefault="00DC71CB" w:rsidP="004E5C03">
      <w:pPr>
        <w:pStyle w:val="Heading2"/>
        <w:spacing w:before="160"/>
      </w:pPr>
      <w:bookmarkStart w:id="46" w:name="_Toc358115577"/>
      <w:r>
        <w:t xml:space="preserve">The </w:t>
      </w:r>
      <w:r w:rsidR="00611A1D">
        <w:t>building and construction industry</w:t>
      </w:r>
      <w:bookmarkEnd w:id="46"/>
      <w:r w:rsidR="00611A1D">
        <w:t xml:space="preserve"> </w:t>
      </w:r>
    </w:p>
    <w:p w:rsidR="00DC71CB" w:rsidRPr="00770F8E" w:rsidRDefault="00DC71CB" w:rsidP="00770F8E">
      <w:pPr>
        <w:pStyle w:val="Text"/>
        <w:ind w:right="-143"/>
      </w:pPr>
      <w:r w:rsidRPr="00D53557">
        <w:t xml:space="preserve">The </w:t>
      </w:r>
      <w:r>
        <w:t xml:space="preserve">building and </w:t>
      </w:r>
      <w:r w:rsidRPr="00D53557">
        <w:t xml:space="preserve">construction industry is </w:t>
      </w:r>
      <w:r>
        <w:t>vital to the Australian econom</w:t>
      </w:r>
      <w:r w:rsidR="00D52353">
        <w:t xml:space="preserve">y. It </w:t>
      </w:r>
      <w:r w:rsidR="0078671B">
        <w:t>is a</w:t>
      </w:r>
      <w:r>
        <w:t xml:space="preserve"> </w:t>
      </w:r>
      <w:r w:rsidR="00414359">
        <w:t xml:space="preserve">significant </w:t>
      </w:r>
      <w:r>
        <w:t xml:space="preserve">contributor to economic </w:t>
      </w:r>
      <w:r w:rsidR="00D61C9F">
        <w:t xml:space="preserve">activity and </w:t>
      </w:r>
      <w:r>
        <w:t>growth</w:t>
      </w:r>
      <w:r w:rsidR="00A33D8C">
        <w:t>,</w:t>
      </w:r>
      <w:r w:rsidR="00D61DFF">
        <w:t xml:space="preserve"> as well as</w:t>
      </w:r>
      <w:r w:rsidR="0056798D">
        <w:t xml:space="preserve"> </w:t>
      </w:r>
      <w:r w:rsidR="00D52353">
        <w:t xml:space="preserve">being </w:t>
      </w:r>
      <w:r w:rsidR="0056798D">
        <w:t>a major source of employment</w:t>
      </w:r>
      <w:r>
        <w:t>.</w:t>
      </w:r>
      <w:r w:rsidR="00510D3B">
        <w:t xml:space="preserve"> </w:t>
      </w:r>
      <w:r>
        <w:t xml:space="preserve">According to the </w:t>
      </w:r>
      <w:r w:rsidR="00611A1D">
        <w:t>ABS</w:t>
      </w:r>
      <w:r w:rsidR="00770F8E">
        <w:t> </w:t>
      </w:r>
      <w:r w:rsidR="00725652">
        <w:t>(2012)</w:t>
      </w:r>
      <w:r w:rsidR="00611A1D">
        <w:t>,</w:t>
      </w:r>
      <w:r w:rsidR="00725652">
        <w:t xml:space="preserve"> the construction industry’s total share of the production of goods and services in Australia was 7.7% or </w:t>
      </w:r>
      <w:r w:rsidR="00D61DFF">
        <w:t>$</w:t>
      </w:r>
      <w:r w:rsidR="00611A1D">
        <w:t>102 billion dollars in 2010—</w:t>
      </w:r>
      <w:r w:rsidR="00725652">
        <w:t>11.</w:t>
      </w:r>
      <w:r w:rsidR="00316643">
        <w:t xml:space="preserve"> </w:t>
      </w:r>
      <w:r w:rsidR="00D61DFF">
        <w:t xml:space="preserve">This makes construction </w:t>
      </w:r>
      <w:r w:rsidR="0056798D">
        <w:t xml:space="preserve">the fourth largest industry </w:t>
      </w:r>
      <w:r w:rsidR="00D61C9F">
        <w:t>in Australia</w:t>
      </w:r>
      <w:r w:rsidR="007205AE">
        <w:t>,</w:t>
      </w:r>
      <w:r w:rsidR="00D61C9F">
        <w:t xml:space="preserve"> as measured by </w:t>
      </w:r>
      <w:r w:rsidR="0056798D">
        <w:t>economic value. T</w:t>
      </w:r>
      <w:r>
        <w:t>his industry</w:t>
      </w:r>
      <w:r w:rsidR="0056798D">
        <w:t xml:space="preserve"> is </w:t>
      </w:r>
      <w:r w:rsidR="00B7017B">
        <w:t xml:space="preserve">now </w:t>
      </w:r>
      <w:r w:rsidR="0056798D">
        <w:t>the third largest</w:t>
      </w:r>
      <w:r w:rsidR="00D61C9F">
        <w:t xml:space="preserve"> source of</w:t>
      </w:r>
      <w:r w:rsidR="0056798D">
        <w:t xml:space="preserve"> </w:t>
      </w:r>
      <w:r>
        <w:t>employment</w:t>
      </w:r>
      <w:r w:rsidR="00D61C9F">
        <w:t xml:space="preserve"> after</w:t>
      </w:r>
      <w:r>
        <w:t xml:space="preserve"> health care</w:t>
      </w:r>
      <w:r w:rsidR="00D065EC">
        <w:t>/</w:t>
      </w:r>
      <w:r>
        <w:t xml:space="preserve">social assistance and </w:t>
      </w:r>
      <w:r w:rsidR="0056798D">
        <w:t xml:space="preserve">retail trade </w:t>
      </w:r>
      <w:r w:rsidR="00B7017B">
        <w:t>and</w:t>
      </w:r>
      <w:r w:rsidR="00D61C9F">
        <w:t xml:space="preserve"> employs more people than manufacturing </w:t>
      </w:r>
      <w:r w:rsidR="00D52353">
        <w:t>(</w:t>
      </w:r>
      <w:r w:rsidR="0078671B">
        <w:t>ABS</w:t>
      </w:r>
      <w:r w:rsidR="00770F8E">
        <w:t> </w:t>
      </w:r>
      <w:r w:rsidR="0078671B">
        <w:t>2012</w:t>
      </w:r>
      <w:r>
        <w:t>)</w:t>
      </w:r>
      <w:r w:rsidR="00B7017B">
        <w:t xml:space="preserve">. </w:t>
      </w:r>
      <w:r w:rsidR="003E258E">
        <w:t>In 2011 the industry reached</w:t>
      </w:r>
      <w:r w:rsidR="007205AE">
        <w:t xml:space="preserve"> a high in employment of 1</w:t>
      </w:r>
      <w:r w:rsidR="00770F8E">
        <w:t> </w:t>
      </w:r>
      <w:r w:rsidR="007205AE">
        <w:t>043</w:t>
      </w:r>
      <w:r w:rsidR="00770F8E">
        <w:t> </w:t>
      </w:r>
      <w:r w:rsidR="00B7017B">
        <w:t>000, following ten consecutive years of growth</w:t>
      </w:r>
      <w:r w:rsidR="0078671B">
        <w:t>, or</w:t>
      </w:r>
      <w:r w:rsidR="00F84CDB">
        <w:t xml:space="preserve"> </w:t>
      </w:r>
      <w:r w:rsidR="00F84CDB" w:rsidRPr="00D53557">
        <w:t xml:space="preserve">9.1% of the total </w:t>
      </w:r>
      <w:r w:rsidR="003F71DB">
        <w:t xml:space="preserve">Australian </w:t>
      </w:r>
      <w:r w:rsidR="00F84CDB" w:rsidRPr="00D53557">
        <w:t>workforce</w:t>
      </w:r>
      <w:r w:rsidR="00B7017B">
        <w:t xml:space="preserve">. During this period construction </w:t>
      </w:r>
      <w:r w:rsidR="00D52353">
        <w:t>became</w:t>
      </w:r>
      <w:r w:rsidR="00B7017B">
        <w:t xml:space="preserve"> the third largest growth industry </w:t>
      </w:r>
      <w:r w:rsidR="00BF1FE2">
        <w:t>in employment</w:t>
      </w:r>
      <w:r w:rsidR="00F84CDB">
        <w:t xml:space="preserve"> terms</w:t>
      </w:r>
      <w:r w:rsidR="00B7017B">
        <w:t>. In 2012</w:t>
      </w:r>
      <w:r w:rsidR="007205AE">
        <w:t xml:space="preserve"> employment fell by 4.5% to 996</w:t>
      </w:r>
      <w:r w:rsidR="00770F8E">
        <w:t> </w:t>
      </w:r>
      <w:r w:rsidR="00B7017B">
        <w:t>800, reflecti</w:t>
      </w:r>
      <w:r w:rsidR="00BF1FE2">
        <w:t>ng a downturn in the industry d</w:t>
      </w:r>
      <w:r w:rsidR="00B7017B">
        <w:t xml:space="preserve">ue to global </w:t>
      </w:r>
      <w:r w:rsidR="00BF1FE2">
        <w:t>economic uncertainty and lower consumer demand</w:t>
      </w:r>
      <w:r w:rsidR="00F84CDB">
        <w:t xml:space="preserve"> </w:t>
      </w:r>
      <w:r w:rsidR="00BF1FE2">
        <w:t>(</w:t>
      </w:r>
      <w:r w:rsidR="007205AE" w:rsidRPr="00770F8E">
        <w:t>Department of Education, Employment and Workplace Relations</w:t>
      </w:r>
      <w:r w:rsidR="00B7017B" w:rsidRPr="00770F8E">
        <w:t xml:space="preserve"> 2012</w:t>
      </w:r>
      <w:r w:rsidR="00052A25" w:rsidRPr="00770F8E">
        <w:t>a</w:t>
      </w:r>
      <w:r w:rsidR="00BF1FE2" w:rsidRPr="00770F8E">
        <w:t xml:space="preserve">, </w:t>
      </w:r>
      <w:r w:rsidR="00F84CDB" w:rsidRPr="00770F8E">
        <w:t>p.</w:t>
      </w:r>
      <w:r w:rsidR="00BF1FE2" w:rsidRPr="00770F8E">
        <w:t>2</w:t>
      </w:r>
      <w:r w:rsidR="00B7017B" w:rsidRPr="00770F8E">
        <w:t>)</w:t>
      </w:r>
      <w:r w:rsidR="00F84CDB" w:rsidRPr="00770F8E">
        <w:t>.</w:t>
      </w:r>
    </w:p>
    <w:p w:rsidR="00DC71CB" w:rsidRDefault="00DC71CB" w:rsidP="00770F8E">
      <w:pPr>
        <w:pStyle w:val="Text"/>
      </w:pPr>
      <w:r w:rsidRPr="00770F8E">
        <w:t>The workforce profile, not surpr</w:t>
      </w:r>
      <w:r>
        <w:t xml:space="preserve">isingly, is </w:t>
      </w:r>
      <w:r w:rsidRPr="003D0559">
        <w:t>trade</w:t>
      </w:r>
      <w:r>
        <w:t>-</w:t>
      </w:r>
      <w:r w:rsidRPr="003D0559">
        <w:t>centric</w:t>
      </w:r>
      <w:r>
        <w:t xml:space="preserve">. The most significant occupations in the industry (by numbers employed) are, in order: </w:t>
      </w:r>
    </w:p>
    <w:p w:rsidR="00DC71CB" w:rsidRDefault="00DC71CB" w:rsidP="00DC71CB">
      <w:pPr>
        <w:pStyle w:val="Dotpoint1"/>
      </w:pPr>
      <w:r>
        <w:t xml:space="preserve">carpenters and joiners </w:t>
      </w:r>
    </w:p>
    <w:p w:rsidR="00DC71CB" w:rsidRDefault="00A33D8C" w:rsidP="00DC71CB">
      <w:pPr>
        <w:pStyle w:val="Dotpoint1"/>
      </w:pPr>
      <w:r>
        <w:t xml:space="preserve">electricians </w:t>
      </w:r>
    </w:p>
    <w:p w:rsidR="00DC71CB" w:rsidRDefault="00DC71CB" w:rsidP="00DC71CB">
      <w:pPr>
        <w:pStyle w:val="Dotpoint1"/>
      </w:pPr>
      <w:proofErr w:type="gramStart"/>
      <w:r>
        <w:t>plumbers</w:t>
      </w:r>
      <w:proofErr w:type="gramEnd"/>
      <w:r>
        <w:t xml:space="preserve">. </w:t>
      </w:r>
    </w:p>
    <w:p w:rsidR="00DC71CB" w:rsidRDefault="00DC71CB" w:rsidP="00DC71CB">
      <w:pPr>
        <w:pStyle w:val="Text"/>
      </w:pPr>
      <w:r>
        <w:t xml:space="preserve">Together, these occupations </w:t>
      </w:r>
      <w:r w:rsidR="00652654">
        <w:t>comprised</w:t>
      </w:r>
      <w:r>
        <w:t xml:space="preserve"> 2</w:t>
      </w:r>
      <w:r w:rsidR="00BF1FE2">
        <w:t>7</w:t>
      </w:r>
      <w:r>
        <w:t xml:space="preserve">.8% of </w:t>
      </w:r>
      <w:r w:rsidR="00BA27BD">
        <w:t>pe</w:t>
      </w:r>
      <w:r w:rsidR="007205AE">
        <w:t>ople</w:t>
      </w:r>
      <w:r w:rsidR="00BA27BD">
        <w:t xml:space="preserve"> employed</w:t>
      </w:r>
      <w:r>
        <w:t xml:space="preserve"> </w:t>
      </w:r>
      <w:r w:rsidR="00BF1FE2">
        <w:t xml:space="preserve">in the industry in 2011 </w:t>
      </w:r>
      <w:r>
        <w:t>and, when bricklayers and painting</w:t>
      </w:r>
      <w:r w:rsidR="007205AE">
        <w:t xml:space="preserve"> trades are added, the trades-</w:t>
      </w:r>
      <w:r w:rsidR="00652654">
        <w:t xml:space="preserve">related occupations form </w:t>
      </w:r>
      <w:r w:rsidR="00BF1FE2">
        <w:t xml:space="preserve">35% </w:t>
      </w:r>
      <w:r>
        <w:t>of the workforce</w:t>
      </w:r>
      <w:r w:rsidR="00F84CDB">
        <w:t xml:space="preserve"> </w:t>
      </w:r>
      <w:r>
        <w:t>(</w:t>
      </w:r>
      <w:r w:rsidR="007205AE">
        <w:t>Department of Education, Employment and Workplace Relations</w:t>
      </w:r>
      <w:r>
        <w:t xml:space="preserve"> 201</w:t>
      </w:r>
      <w:r w:rsidR="00BF1FE2">
        <w:t>2</w:t>
      </w:r>
      <w:r w:rsidR="00D52353">
        <w:t>a</w:t>
      </w:r>
      <w:r w:rsidR="00BF1FE2">
        <w:t xml:space="preserve">, </w:t>
      </w:r>
      <w:r w:rsidR="00F84CDB">
        <w:t>p.</w:t>
      </w:r>
      <w:r w:rsidR="00BF1FE2">
        <w:t>7</w:t>
      </w:r>
      <w:r>
        <w:t>).</w:t>
      </w:r>
      <w:r w:rsidR="00BF1FE2">
        <w:t xml:space="preserve"> </w:t>
      </w:r>
      <w:r>
        <w:t xml:space="preserve">The industry also employs large numbers of unskilled and semiskilled workers in such </w:t>
      </w:r>
      <w:r w:rsidR="00A33D8C">
        <w:t>roles as labourers</w:t>
      </w:r>
      <w:r w:rsidR="00D065EC">
        <w:t>,</w:t>
      </w:r>
      <w:r w:rsidR="00A33D8C">
        <w:t xml:space="preserve"> concreters</w:t>
      </w:r>
      <w:r>
        <w:t xml:space="preserve">, plant operators and truck drivers. </w:t>
      </w:r>
    </w:p>
    <w:p w:rsidR="00DC71CB" w:rsidRDefault="007205AE" w:rsidP="00DC71CB">
      <w:pPr>
        <w:pStyle w:val="Text"/>
      </w:pPr>
      <w:r>
        <w:t>At the professional and para</w:t>
      </w:r>
      <w:r w:rsidR="00DC71CB">
        <w:t>professional levels the main occupations are:</w:t>
      </w:r>
    </w:p>
    <w:p w:rsidR="00DC71CB" w:rsidRDefault="00DC71CB" w:rsidP="00DC71CB">
      <w:pPr>
        <w:pStyle w:val="Dotpoint1"/>
      </w:pPr>
      <w:r>
        <w:t>construction managers</w:t>
      </w:r>
      <w:r w:rsidR="00510D3B">
        <w:t xml:space="preserve"> </w:t>
      </w:r>
      <w:r>
        <w:t>(6.</w:t>
      </w:r>
      <w:r w:rsidR="00BF1FE2">
        <w:t>8</w:t>
      </w:r>
      <w:r>
        <w:t>% of the workforce</w:t>
      </w:r>
      <w:r w:rsidR="00BF1FE2">
        <w:t xml:space="preserve"> in 2011</w:t>
      </w:r>
      <w:r w:rsidR="00652654">
        <w:t>, compared with 6.6% in 2010</w:t>
      </w:r>
      <w:r>
        <w:t>)</w:t>
      </w:r>
    </w:p>
    <w:p w:rsidR="00DC71CB" w:rsidRDefault="00DC71CB" w:rsidP="00DC71CB">
      <w:pPr>
        <w:pStyle w:val="Dotpoint1"/>
      </w:pPr>
      <w:r>
        <w:t>a</w:t>
      </w:r>
      <w:r w:rsidRPr="003D0559">
        <w:t>rchitectural, building and survey tec</w:t>
      </w:r>
      <w:r>
        <w:t>hnicians</w:t>
      </w:r>
      <w:r w:rsidR="00510D3B">
        <w:t xml:space="preserve"> </w:t>
      </w:r>
      <w:r>
        <w:t>(</w:t>
      </w:r>
      <w:r w:rsidR="00BF1FE2">
        <w:t xml:space="preserve">2.8 </w:t>
      </w:r>
      <w:r>
        <w:t>% of the workforce</w:t>
      </w:r>
      <w:r w:rsidR="00652654">
        <w:t xml:space="preserve"> in 2011, compared with 3.1%</w:t>
      </w:r>
      <w:r w:rsidR="00A17302">
        <w:t> </w:t>
      </w:r>
      <w:r w:rsidR="00652654">
        <w:t>in 2010</w:t>
      </w:r>
      <w:r>
        <w:t>)</w:t>
      </w:r>
      <w:r w:rsidR="00652654">
        <w:t xml:space="preserve"> </w:t>
      </w:r>
    </w:p>
    <w:p w:rsidR="00D52353" w:rsidRDefault="00DC71CB" w:rsidP="00DC71CB">
      <w:pPr>
        <w:pStyle w:val="Dotpoint1"/>
      </w:pPr>
      <w:proofErr w:type="gramStart"/>
      <w:r>
        <w:t>civil</w:t>
      </w:r>
      <w:proofErr w:type="gramEnd"/>
      <w:r>
        <w:t xml:space="preserve"> engineering professionals (1.25% of the workforce</w:t>
      </w:r>
      <w:r w:rsidR="00652654">
        <w:t xml:space="preserve"> in 2010</w:t>
      </w:r>
      <w:r>
        <w:t>).</w:t>
      </w:r>
      <w:r w:rsidR="002F3017">
        <w:t xml:space="preserve"> </w:t>
      </w:r>
    </w:p>
    <w:p w:rsidR="00DC71CB" w:rsidRDefault="00652654" w:rsidP="00A17302">
      <w:pPr>
        <w:pStyle w:val="Dotpoint1"/>
        <w:numPr>
          <w:ilvl w:val="0"/>
          <w:numId w:val="0"/>
        </w:numPr>
        <w:spacing w:before="0"/>
        <w:jc w:val="right"/>
      </w:pPr>
      <w:r>
        <w:t>(</w:t>
      </w:r>
      <w:r w:rsidR="007205AE">
        <w:t>Department of Education, Employment and Workplace Relations</w:t>
      </w:r>
      <w:r w:rsidR="00624EA4">
        <w:t xml:space="preserve"> </w:t>
      </w:r>
      <w:r w:rsidR="007205AE" w:rsidRPr="00624EA4">
        <w:t>2011a</w:t>
      </w:r>
      <w:r w:rsidR="007205AE">
        <w:t>, p.3</w:t>
      </w:r>
      <w:r>
        <w:t>, 2012</w:t>
      </w:r>
      <w:r w:rsidR="00052A25">
        <w:t>a</w:t>
      </w:r>
      <w:r w:rsidR="007205AE">
        <w:t>,</w:t>
      </w:r>
      <w:r>
        <w:t xml:space="preserve"> p</w:t>
      </w:r>
      <w:r w:rsidR="00F84CDB">
        <w:t>.</w:t>
      </w:r>
      <w:r w:rsidR="007205AE">
        <w:t>7</w:t>
      </w:r>
      <w:r>
        <w:t>)</w:t>
      </w:r>
    </w:p>
    <w:p w:rsidR="00DC71CB" w:rsidRDefault="00DC71CB" w:rsidP="00DC71CB">
      <w:pPr>
        <w:pStyle w:val="Text"/>
      </w:pPr>
      <w:r w:rsidRPr="003D0559">
        <w:t>Cons</w:t>
      </w:r>
      <w:r>
        <w:t>truction management</w:t>
      </w:r>
      <w:r w:rsidR="002F3017">
        <w:t xml:space="preserve"> </w:t>
      </w:r>
      <w:r w:rsidR="00652654">
        <w:t xml:space="preserve">is </w:t>
      </w:r>
      <w:r w:rsidRPr="003D0559">
        <w:t>the fourth largest occupation</w:t>
      </w:r>
      <w:r>
        <w:t xml:space="preserve"> in the industry (after the three key trades)</w:t>
      </w:r>
      <w:r w:rsidR="00484E51">
        <w:t xml:space="preserve"> with 66</w:t>
      </w:r>
      <w:r w:rsidR="00A17302">
        <w:t> </w:t>
      </w:r>
      <w:r w:rsidR="00470FE6">
        <w:t>600 persons employed (</w:t>
      </w:r>
      <w:r w:rsidR="007205AE">
        <w:t>Department of Education, Employment and Workplace Relations</w:t>
      </w:r>
      <w:r w:rsidR="00470FE6">
        <w:t xml:space="preserve"> 2012a)</w:t>
      </w:r>
      <w:r>
        <w:t xml:space="preserve"> and showed the largest growth o</w:t>
      </w:r>
      <w:r w:rsidRPr="00047E86">
        <w:t>f all occupations</w:t>
      </w:r>
      <w:r w:rsidR="00047E86" w:rsidRPr="00047E86">
        <w:t xml:space="preserve"> in the industry</w:t>
      </w:r>
      <w:r w:rsidR="00EB75C5" w:rsidRPr="00047E86">
        <w:t xml:space="preserve"> </w:t>
      </w:r>
      <w:r w:rsidR="00E63004">
        <w:t>in recent years. In</w:t>
      </w:r>
      <w:r>
        <w:t xml:space="preserve"> the two years to 2010</w:t>
      </w:r>
      <w:r w:rsidR="00A33D8C">
        <w:t>,</w:t>
      </w:r>
      <w:r>
        <w:t xml:space="preserve"> </w:t>
      </w:r>
      <w:r w:rsidR="00E63004">
        <w:t xml:space="preserve">construction management grew by </w:t>
      </w:r>
      <w:r>
        <w:t>19.1% (</w:t>
      </w:r>
      <w:r w:rsidR="007205AE">
        <w:t>Department of Education, Employment and Workplace Relations</w:t>
      </w:r>
      <w:r>
        <w:t xml:space="preserve"> </w:t>
      </w:r>
      <w:r w:rsidR="00484E51" w:rsidRPr="00047E86">
        <w:t>2011a</w:t>
      </w:r>
      <w:r w:rsidR="00484E51">
        <w:t xml:space="preserve">, </w:t>
      </w:r>
      <w:r w:rsidR="00F84CDB">
        <w:t>p.</w:t>
      </w:r>
      <w:r w:rsidR="00B14D1C">
        <w:t>3</w:t>
      </w:r>
      <w:r>
        <w:t>)</w:t>
      </w:r>
      <w:r w:rsidR="00470FE6">
        <w:t>.</w:t>
      </w:r>
      <w:r>
        <w:t xml:space="preserve"> </w:t>
      </w:r>
      <w:r w:rsidR="00470FE6">
        <w:t>I</w:t>
      </w:r>
      <w:r w:rsidR="00484E51">
        <w:t>n the five years 2005—</w:t>
      </w:r>
      <w:r>
        <w:t xml:space="preserve">10 </w:t>
      </w:r>
      <w:r w:rsidR="00470FE6">
        <w:t>employment growth in this occupation was</w:t>
      </w:r>
      <w:r>
        <w:t xml:space="preserve"> 55% compared with total employment growth in the industry of 17.8%</w:t>
      </w:r>
      <w:r w:rsidR="00721420">
        <w:t xml:space="preserve"> in the same</w:t>
      </w:r>
      <w:r w:rsidR="00E63004">
        <w:t xml:space="preserve"> time period</w:t>
      </w:r>
      <w:r>
        <w:t xml:space="preserve"> (</w:t>
      </w:r>
      <w:r w:rsidR="00580B58">
        <w:t>Australian Workforce Productivity Agency</w:t>
      </w:r>
      <w:r>
        <w:t xml:space="preserve"> 201</w:t>
      </w:r>
      <w:r w:rsidR="00721420">
        <w:t>2</w:t>
      </w:r>
      <w:r w:rsidR="00692789">
        <w:t>a</w:t>
      </w:r>
      <w:r w:rsidR="00F84CDB">
        <w:t>,</w:t>
      </w:r>
      <w:r w:rsidR="00B14D1C">
        <w:t xml:space="preserve"> p</w:t>
      </w:r>
      <w:r w:rsidR="00F84CDB">
        <w:t>.</w:t>
      </w:r>
      <w:r w:rsidR="00721420">
        <w:t>4</w:t>
      </w:r>
      <w:r>
        <w:t>).</w:t>
      </w:r>
      <w:r w:rsidR="00510D3B">
        <w:t xml:space="preserve"> </w:t>
      </w:r>
      <w:r w:rsidR="006B7135">
        <w:t xml:space="preserve">Over this time industry </w:t>
      </w:r>
      <w:r>
        <w:t>technician jobs</w:t>
      </w:r>
      <w:r w:rsidR="007B6408">
        <w:t xml:space="preserve"> (</w:t>
      </w:r>
      <w:r w:rsidR="00484E51">
        <w:t>diploma-</w:t>
      </w:r>
      <w:r w:rsidR="00E92729">
        <w:t>level jobs</w:t>
      </w:r>
      <w:r w:rsidR="00484E51">
        <w:t>)</w:t>
      </w:r>
      <w:r w:rsidR="00E35044">
        <w:t xml:space="preserve"> </w:t>
      </w:r>
      <w:r>
        <w:t>fell by 11.3%, signalling much lower demand for these occupations.</w:t>
      </w:r>
    </w:p>
    <w:p w:rsidR="00DC71CB" w:rsidRDefault="00652654" w:rsidP="00DC71CB">
      <w:pPr>
        <w:pStyle w:val="Text"/>
      </w:pPr>
      <w:r>
        <w:t>As demonstrated by the slight d</w:t>
      </w:r>
      <w:r w:rsidR="00484E51">
        <w:t>ownturn in employment over 2011—</w:t>
      </w:r>
      <w:r>
        <w:t>12, t</w:t>
      </w:r>
      <w:r w:rsidR="00DC71CB">
        <w:t>his industry is cyclical and subject to significant shifts in emp</w:t>
      </w:r>
      <w:r w:rsidR="00484E51">
        <w:t>loyment</w:t>
      </w:r>
      <w:r w:rsidR="00DC71CB">
        <w:t xml:space="preserve"> </w:t>
      </w:r>
      <w:r w:rsidR="00E35044">
        <w:t xml:space="preserve">in response to broad economic circumstances, </w:t>
      </w:r>
      <w:r w:rsidR="00DC71CB">
        <w:t xml:space="preserve">particularly </w:t>
      </w:r>
      <w:r w:rsidR="00DC71CB">
        <w:lastRenderedPageBreak/>
        <w:t>for</w:t>
      </w:r>
      <w:r w:rsidR="00A33D8C">
        <w:t xml:space="preserve"> semi-skilled and skilled/trade-</w:t>
      </w:r>
      <w:r w:rsidR="00DC71CB">
        <w:t>level work.</w:t>
      </w:r>
      <w:r w:rsidR="00510D3B">
        <w:t xml:space="preserve"> </w:t>
      </w:r>
      <w:r w:rsidR="00DC71CB">
        <w:t>Thus</w:t>
      </w:r>
      <w:r w:rsidR="00E35044">
        <w:t>,</w:t>
      </w:r>
      <w:r w:rsidR="00DC71CB">
        <w:t xml:space="preserve"> </w:t>
      </w:r>
      <w:r w:rsidR="00611A1D">
        <w:t>while</w:t>
      </w:r>
      <w:r w:rsidR="00DC71CB">
        <w:t xml:space="preserve"> the trades grew in the five years</w:t>
      </w:r>
      <w:r w:rsidR="00484E51">
        <w:t xml:space="preserve"> to 2009—</w:t>
      </w:r>
      <w:r w:rsidR="00E35044">
        <w:t xml:space="preserve">10 in the order of 30%, </w:t>
      </w:r>
      <w:r w:rsidR="00DC71CB">
        <w:t>more r</w:t>
      </w:r>
      <w:r w:rsidR="00A33D8C">
        <w:t>ecent data show trade-</w:t>
      </w:r>
      <w:r w:rsidR="00DC71CB">
        <w:t>level employment fell by approxima</w:t>
      </w:r>
      <w:r w:rsidR="00484E51">
        <w:t>tely 10% over 2011—</w:t>
      </w:r>
      <w:r w:rsidR="00DC71CB">
        <w:t>12</w:t>
      </w:r>
      <w:r w:rsidR="00470FE6">
        <w:t xml:space="preserve"> </w:t>
      </w:r>
      <w:r w:rsidR="00613E82">
        <w:t>(</w:t>
      </w:r>
      <w:r w:rsidR="007205AE">
        <w:t>Department of Education, Employment and Workplace Relations</w:t>
      </w:r>
      <w:r w:rsidR="00613E82">
        <w:t xml:space="preserve"> 2012</w:t>
      </w:r>
      <w:r w:rsidR="00052A25">
        <w:t>b</w:t>
      </w:r>
      <w:r w:rsidR="00613E82">
        <w:t>)</w:t>
      </w:r>
      <w:r w:rsidR="00470FE6">
        <w:t>.</w:t>
      </w:r>
      <w:r w:rsidR="00DC71CB">
        <w:t xml:space="preserve"> </w:t>
      </w:r>
    </w:p>
    <w:p w:rsidR="00DF2A95" w:rsidRDefault="00E63004">
      <w:pPr>
        <w:pStyle w:val="Heading2"/>
      </w:pPr>
      <w:bookmarkStart w:id="47" w:name="_Toc358115578"/>
      <w:r>
        <w:t xml:space="preserve">Skills </w:t>
      </w:r>
      <w:r w:rsidR="00206994">
        <w:t>s</w:t>
      </w:r>
      <w:r>
        <w:t>hortages in construction management</w:t>
      </w:r>
      <w:bookmarkEnd w:id="47"/>
    </w:p>
    <w:p w:rsidR="006B7135" w:rsidRDefault="00DC71CB" w:rsidP="00DC71CB">
      <w:pPr>
        <w:pStyle w:val="Text"/>
      </w:pPr>
      <w:r>
        <w:t>Despite the softening of the labour market, t</w:t>
      </w:r>
      <w:r w:rsidRPr="00DE0A82">
        <w:t>he dem</w:t>
      </w:r>
      <w:r>
        <w:t xml:space="preserve">and for </w:t>
      </w:r>
      <w:r w:rsidR="006B7135">
        <w:t>skilled</w:t>
      </w:r>
      <w:r>
        <w:t xml:space="preserve"> professionals, in particular construction managers, remains high and is</w:t>
      </w:r>
      <w:r w:rsidRPr="00DE0A82">
        <w:t xml:space="preserve"> at the forefront of </w:t>
      </w:r>
      <w:r>
        <w:t xml:space="preserve">skills </w:t>
      </w:r>
      <w:r w:rsidRPr="00DE0A82">
        <w:t xml:space="preserve">shortages </w:t>
      </w:r>
      <w:r w:rsidR="00E63004">
        <w:t>in the industry</w:t>
      </w:r>
      <w:r w:rsidRPr="00DE0A82">
        <w:t>.</w:t>
      </w:r>
      <w:r w:rsidR="00510D3B">
        <w:t xml:space="preserve"> </w:t>
      </w:r>
    </w:p>
    <w:p w:rsidR="00DC71CB" w:rsidRDefault="00484E51" w:rsidP="00DC71CB">
      <w:pPr>
        <w:pStyle w:val="Text"/>
      </w:pPr>
      <w:r>
        <w:t xml:space="preserve">The </w:t>
      </w:r>
      <w:r w:rsidR="007205AE">
        <w:t>Department of Education, Employment and Workplace Relations</w:t>
      </w:r>
      <w:r w:rsidR="006B7135">
        <w:t xml:space="preserve"> </w:t>
      </w:r>
      <w:r w:rsidR="009F3BC2">
        <w:t>(2011</w:t>
      </w:r>
      <w:r w:rsidR="00504483">
        <w:t>a</w:t>
      </w:r>
      <w:r w:rsidR="00E82ACF">
        <w:t xml:space="preserve">, </w:t>
      </w:r>
      <w:r w:rsidR="00692789">
        <w:t>pp</w:t>
      </w:r>
      <w:r>
        <w:t>.</w:t>
      </w:r>
      <w:r w:rsidR="00504483">
        <w:t>6</w:t>
      </w:r>
      <w:r w:rsidR="00692789">
        <w:t>,</w:t>
      </w:r>
      <w:r>
        <w:t xml:space="preserve"> </w:t>
      </w:r>
      <w:r w:rsidR="0078671B">
        <w:t>7</w:t>
      </w:r>
      <w:r w:rsidR="009F3BC2">
        <w:t xml:space="preserve">) identified this occupation as </w:t>
      </w:r>
      <w:r w:rsidR="00777A2C">
        <w:t>a</w:t>
      </w:r>
      <w:r w:rsidR="00504483">
        <w:t xml:space="preserve"> </w:t>
      </w:r>
      <w:r w:rsidR="009F3BC2">
        <w:t xml:space="preserve">skills shortage in </w:t>
      </w:r>
      <w:r w:rsidR="00504483">
        <w:t xml:space="preserve">both </w:t>
      </w:r>
      <w:r w:rsidR="009F3BC2">
        <w:t>2010 and 2011</w:t>
      </w:r>
      <w:r w:rsidR="00DC71CB">
        <w:t xml:space="preserve"> </w:t>
      </w:r>
      <w:r w:rsidR="00504483">
        <w:t>and has only recently</w:t>
      </w:r>
      <w:r w:rsidR="00906BE1">
        <w:t>, in 2012,</w:t>
      </w:r>
      <w:r w:rsidR="00504483">
        <w:t xml:space="preserve"> downgraded </w:t>
      </w:r>
      <w:r w:rsidR="00A33D8C">
        <w:t>its</w:t>
      </w:r>
      <w:r w:rsidR="00504483">
        <w:t xml:space="preserve"> status to one of recruitment difficulty, due to the current downturn in the industry (2012a</w:t>
      </w:r>
      <w:r>
        <w:t>,</w:t>
      </w:r>
      <w:r w:rsidR="00504483">
        <w:t xml:space="preserve"> p</w:t>
      </w:r>
      <w:r>
        <w:t>.</w:t>
      </w:r>
      <w:r w:rsidR="00504483">
        <w:t>14).</w:t>
      </w:r>
      <w:r w:rsidR="00E92729">
        <w:t xml:space="preserve"> </w:t>
      </w:r>
      <w:r w:rsidR="007205AE">
        <w:t>Department of Education, Employment and Workplace Relations</w:t>
      </w:r>
      <w:r w:rsidR="00E92729">
        <w:t xml:space="preserve"> w</w:t>
      </w:r>
      <w:r w:rsidR="00504483">
        <w:t>orkforce</w:t>
      </w:r>
      <w:r w:rsidR="00DC71CB">
        <w:t xml:space="preserve"> f</w:t>
      </w:r>
      <w:r w:rsidR="00E35044">
        <w:t>orecast</w:t>
      </w:r>
      <w:r w:rsidR="00504483">
        <w:t>s suggest the downturn will be short</w:t>
      </w:r>
      <w:r>
        <w:t>, with</w:t>
      </w:r>
      <w:r w:rsidR="00504483">
        <w:t xml:space="preserve"> employment </w:t>
      </w:r>
      <w:r w:rsidR="00FA0D1F">
        <w:t xml:space="preserve">generally </w:t>
      </w:r>
      <w:r>
        <w:t>continuing</w:t>
      </w:r>
      <w:r w:rsidR="00504483">
        <w:t xml:space="preserve"> to </w:t>
      </w:r>
      <w:r w:rsidR="0078671B">
        <w:t>expand in</w:t>
      </w:r>
      <w:r w:rsidR="00FA0D1F">
        <w:t xml:space="preserve"> the industry over the five years to 2016</w:t>
      </w:r>
      <w:r>
        <w:t>—1</w:t>
      </w:r>
      <w:r w:rsidR="00FA0D1F">
        <w:t>7</w:t>
      </w:r>
      <w:r w:rsidR="003E258E">
        <w:t>,</w:t>
      </w:r>
      <w:r w:rsidR="00FA0D1F">
        <w:t xml:space="preserve"> in the order of 2.4%</w:t>
      </w:r>
      <w:r w:rsidR="00E92729">
        <w:t>.</w:t>
      </w:r>
      <w:r w:rsidR="00FA0D1F">
        <w:t xml:space="preserve"> </w:t>
      </w:r>
      <w:r w:rsidR="00E92729">
        <w:t>E</w:t>
      </w:r>
      <w:r w:rsidR="00DC71CB">
        <w:t xml:space="preserve">mployment growth </w:t>
      </w:r>
      <w:r w:rsidR="00E92729">
        <w:t xml:space="preserve">of </w:t>
      </w:r>
      <w:r w:rsidR="00DC71CB">
        <w:t xml:space="preserve">4.7% per annum </w:t>
      </w:r>
      <w:r w:rsidR="00E92729">
        <w:t xml:space="preserve">is projected </w:t>
      </w:r>
      <w:r w:rsidR="00FA0D1F">
        <w:t>for construction managers</w:t>
      </w:r>
      <w:r w:rsidR="00777A2C">
        <w:t>.</w:t>
      </w:r>
      <w:r w:rsidR="00510D3B">
        <w:t xml:space="preserve"> </w:t>
      </w:r>
      <w:r w:rsidR="00607B25">
        <w:t xml:space="preserve">Workforce projections by the </w:t>
      </w:r>
      <w:r w:rsidR="00DC71CB">
        <w:t xml:space="preserve">Australian Workforce Productivity Agency </w:t>
      </w:r>
      <w:r w:rsidR="00607B25">
        <w:t xml:space="preserve">suggest employment </w:t>
      </w:r>
      <w:r w:rsidR="00DC71CB">
        <w:t>growth for constru</w:t>
      </w:r>
      <w:r>
        <w:t xml:space="preserve">ction management of between 2.7 and </w:t>
      </w:r>
      <w:r w:rsidR="00DC71CB">
        <w:t>3% per annum</w:t>
      </w:r>
      <w:r w:rsidR="00607B25">
        <w:t xml:space="preserve"> over the </w:t>
      </w:r>
      <w:r>
        <w:t>15 years, 2010—</w:t>
      </w:r>
      <w:r w:rsidR="00607B25">
        <w:t>25</w:t>
      </w:r>
      <w:r w:rsidR="00DC71CB">
        <w:t>, depending on different economic scenarios</w:t>
      </w:r>
      <w:r w:rsidR="00613E82">
        <w:t xml:space="preserve"> (</w:t>
      </w:r>
      <w:r w:rsidR="00580B58">
        <w:t>Australian Workforce Productivity Agency</w:t>
      </w:r>
      <w:r w:rsidR="00DC71CB">
        <w:t xml:space="preserve"> 201</w:t>
      </w:r>
      <w:r w:rsidR="00607B25">
        <w:t>2</w:t>
      </w:r>
      <w:r w:rsidR="00241D1A">
        <w:t>a</w:t>
      </w:r>
      <w:r w:rsidR="003E258E">
        <w:t>,</w:t>
      </w:r>
      <w:r w:rsidR="00E82ACF">
        <w:t xml:space="preserve"> </w:t>
      </w:r>
      <w:r w:rsidR="00470FE6">
        <w:t>p</w:t>
      </w:r>
      <w:r>
        <w:t>.</w:t>
      </w:r>
      <w:r w:rsidR="00607B25">
        <w:t>6</w:t>
      </w:r>
      <w:r w:rsidR="00DC71CB">
        <w:t>)</w:t>
      </w:r>
      <w:r w:rsidR="003E258E">
        <w:t>. This represents</w:t>
      </w:r>
      <w:r>
        <w:t xml:space="preserve"> growth of between 60 000 and 85 </w:t>
      </w:r>
      <w:r w:rsidR="00607B25">
        <w:t xml:space="preserve">000 jobs over his period. </w:t>
      </w:r>
    </w:p>
    <w:p w:rsidR="00DC71CB" w:rsidRPr="00DE0A82" w:rsidRDefault="00DC71CB" w:rsidP="00DC71CB">
      <w:pPr>
        <w:pStyle w:val="Text"/>
      </w:pPr>
      <w:r>
        <w:t xml:space="preserve">The basis for this </w:t>
      </w:r>
      <w:r w:rsidR="00E82ACF">
        <w:t xml:space="preserve">projected </w:t>
      </w:r>
      <w:r w:rsidR="00470FE6">
        <w:t xml:space="preserve">future </w:t>
      </w:r>
      <w:r w:rsidR="00E82ACF">
        <w:t xml:space="preserve">growth in </w:t>
      </w:r>
      <w:r w:rsidR="00E92729">
        <w:t xml:space="preserve">employment </w:t>
      </w:r>
      <w:r w:rsidR="00470FE6">
        <w:t>demand</w:t>
      </w:r>
      <w:r w:rsidR="00E82ACF">
        <w:t xml:space="preserve"> and</w:t>
      </w:r>
      <w:r w:rsidR="003E258E">
        <w:t xml:space="preserve"> </w:t>
      </w:r>
      <w:r>
        <w:t>skills shortfa</w:t>
      </w:r>
      <w:r w:rsidR="00BF6D1E">
        <w:t xml:space="preserve">ll </w:t>
      </w:r>
      <w:r w:rsidR="00E92729">
        <w:t xml:space="preserve">in construction management </w:t>
      </w:r>
      <w:r w:rsidR="00BF6D1E">
        <w:t>includes a number of factors</w:t>
      </w:r>
      <w:r>
        <w:t>:</w:t>
      </w:r>
    </w:p>
    <w:p w:rsidR="00DC71CB" w:rsidRDefault="0078671B" w:rsidP="00DC71CB">
      <w:pPr>
        <w:pStyle w:val="Dotpoint1"/>
      </w:pPr>
      <w:r w:rsidRPr="006E0F0E">
        <w:t xml:space="preserve">changing </w:t>
      </w:r>
      <w:r>
        <w:t>qualification</w:t>
      </w:r>
      <w:r w:rsidR="00DC71CB">
        <w:t xml:space="preserve"> </w:t>
      </w:r>
      <w:r w:rsidR="00DC71CB" w:rsidRPr="006E0F0E">
        <w:t>requirements</w:t>
      </w:r>
      <w:r w:rsidR="00607B25">
        <w:t xml:space="preserve"> for construction management</w:t>
      </w:r>
      <w:r w:rsidR="00C81540">
        <w:t>:</w:t>
      </w:r>
      <w:r w:rsidR="00DC71CB">
        <w:t xml:space="preserve"> the industry</w:t>
      </w:r>
      <w:r w:rsidR="00C81540">
        <w:t xml:space="preserve"> is increasingly seeking degree-</w:t>
      </w:r>
      <w:r w:rsidR="00DC71CB">
        <w:t xml:space="preserve">qualified personnel in construction management jobs, whereas </w:t>
      </w:r>
      <w:r w:rsidR="00607B25">
        <w:t>in the past many jobs at this level were</w:t>
      </w:r>
      <w:r w:rsidR="00DC71CB">
        <w:t xml:space="preserve"> ‘experience based’</w:t>
      </w:r>
    </w:p>
    <w:p w:rsidR="00DC71CB" w:rsidRDefault="00DC71CB" w:rsidP="00DC71CB">
      <w:pPr>
        <w:pStyle w:val="Dotpoint1"/>
      </w:pPr>
      <w:r>
        <w:t xml:space="preserve">an ageing workforce, </w:t>
      </w:r>
      <w:r w:rsidR="0078671B">
        <w:t>particularly in</w:t>
      </w:r>
      <w:r w:rsidR="00C81540">
        <w:t xml:space="preserve"> experience-based</w:t>
      </w:r>
      <w:r>
        <w:t xml:space="preserve"> construction managers, with projected repla</w:t>
      </w:r>
      <w:r w:rsidR="00C81540">
        <w:t>cement needs in the order of 70 000—</w:t>
      </w:r>
      <w:r>
        <w:t>75</w:t>
      </w:r>
      <w:r w:rsidR="00A33D8C">
        <w:t xml:space="preserve"> </w:t>
      </w:r>
      <w:r>
        <w:t xml:space="preserve">000 </w:t>
      </w:r>
      <w:r w:rsidR="00C81540">
        <w:t>persons over the period 2010—</w:t>
      </w:r>
      <w:r>
        <w:t>25</w:t>
      </w:r>
    </w:p>
    <w:p w:rsidR="00DC71CB" w:rsidRDefault="00DC71CB" w:rsidP="00DC71CB">
      <w:pPr>
        <w:pStyle w:val="Dotpoint1"/>
      </w:pPr>
      <w:r>
        <w:t xml:space="preserve">increasing internationalisation </w:t>
      </w:r>
      <w:r w:rsidR="0078671B">
        <w:t>and globalisation</w:t>
      </w:r>
      <w:r>
        <w:t xml:space="preserve"> within parts of the industry and </w:t>
      </w:r>
      <w:r w:rsidR="00C81540">
        <w:t>the need</w:t>
      </w:r>
      <w:r>
        <w:t xml:space="preserve"> for suitably qualified staff</w:t>
      </w:r>
    </w:p>
    <w:p w:rsidR="00DC71CB" w:rsidRDefault="00C81540" w:rsidP="00DC71CB">
      <w:pPr>
        <w:pStyle w:val="Dotpoint1"/>
      </w:pPr>
      <w:r>
        <w:t>the increasing need</w:t>
      </w:r>
      <w:r w:rsidR="00DC71CB">
        <w:t xml:space="preserve"> for project managers for large infrastructure projects, particularly in the resources sector</w:t>
      </w:r>
    </w:p>
    <w:p w:rsidR="00DC71CB" w:rsidRDefault="00DC71CB" w:rsidP="00DC71CB">
      <w:pPr>
        <w:pStyle w:val="Dotpoint1"/>
      </w:pPr>
      <w:r>
        <w:t>increasing regulation and complexity of the industry, requiring staff with such skills</w:t>
      </w:r>
    </w:p>
    <w:p w:rsidR="00DC71CB" w:rsidRDefault="00DC71CB" w:rsidP="00DC71CB">
      <w:pPr>
        <w:pStyle w:val="Dotpoint1"/>
      </w:pPr>
      <w:proofErr w:type="gramStart"/>
      <w:r>
        <w:t>the</w:t>
      </w:r>
      <w:proofErr w:type="gramEnd"/>
      <w:r>
        <w:t xml:space="preserve"> gap </w:t>
      </w:r>
      <w:r w:rsidR="0078671B">
        <w:t>between current</w:t>
      </w:r>
      <w:r w:rsidR="00D22096">
        <w:t xml:space="preserve"> </w:t>
      </w:r>
      <w:r>
        <w:t xml:space="preserve">higher education provision in construction management </w:t>
      </w:r>
      <w:r w:rsidR="0078671B">
        <w:t>and industry</w:t>
      </w:r>
      <w:r>
        <w:t xml:space="preserve"> requirements for suitably qualified staff.</w:t>
      </w:r>
    </w:p>
    <w:p w:rsidR="00D22096" w:rsidRDefault="00D22096" w:rsidP="00D22096">
      <w:pPr>
        <w:pStyle w:val="Dotpoint1"/>
        <w:numPr>
          <w:ilvl w:val="0"/>
          <w:numId w:val="0"/>
        </w:numPr>
      </w:pPr>
      <w:r>
        <w:t>Addressing the</w:t>
      </w:r>
      <w:r w:rsidR="00F9007B">
        <w:t xml:space="preserve">se workforce projections and skills </w:t>
      </w:r>
      <w:r>
        <w:t xml:space="preserve">shortages in construction management </w:t>
      </w:r>
      <w:r w:rsidRPr="00DE0A82">
        <w:t>wi</w:t>
      </w:r>
      <w:r>
        <w:t>ll rely upon a number of factors and strategies</w:t>
      </w:r>
      <w:r w:rsidRPr="00DE0A82">
        <w:t xml:space="preserve">. </w:t>
      </w:r>
      <w:r w:rsidR="000A5F64">
        <w:t>It is likely that this would</w:t>
      </w:r>
      <w:r w:rsidR="00F9007B">
        <w:t xml:space="preserve"> </w:t>
      </w:r>
      <w:r>
        <w:t xml:space="preserve">include increasing the number of bachelor degree holders. </w:t>
      </w:r>
    </w:p>
    <w:p w:rsidR="00DF2A95" w:rsidRDefault="00D22096">
      <w:pPr>
        <w:pStyle w:val="Heading2"/>
      </w:pPr>
      <w:bookmarkStart w:id="48" w:name="_Toc358115579"/>
      <w:r>
        <w:t>Skill</w:t>
      </w:r>
      <w:r w:rsidR="00165651">
        <w:t>s</w:t>
      </w:r>
      <w:r>
        <w:t xml:space="preserve"> and qualification</w:t>
      </w:r>
      <w:r w:rsidR="00165651">
        <w:t>s</w:t>
      </w:r>
      <w:r>
        <w:t xml:space="preserve"> profile</w:t>
      </w:r>
      <w:bookmarkEnd w:id="48"/>
    </w:p>
    <w:p w:rsidR="00F9007B" w:rsidRDefault="00F9007B" w:rsidP="00A17302">
      <w:pPr>
        <w:pStyle w:val="Text"/>
        <w:ind w:right="141"/>
      </w:pPr>
      <w:r>
        <w:t xml:space="preserve">The Australian Workforce Productivity Agency defines construction management as a ‘specialised’ occupation </w:t>
      </w:r>
      <w:r w:rsidR="000A5F64">
        <w:t>requiring</w:t>
      </w:r>
      <w:r>
        <w:t xml:space="preserve"> specialised skills learned in formal, extended educatio</w:t>
      </w:r>
      <w:r w:rsidR="00C81540">
        <w:t xml:space="preserve">n and training over a long lead </w:t>
      </w:r>
      <w:r>
        <w:t>time (identif</w:t>
      </w:r>
      <w:r w:rsidR="00470FE6">
        <w:t>i</w:t>
      </w:r>
      <w:r>
        <w:t>ed as fo</w:t>
      </w:r>
      <w:r w:rsidR="00E82ACF">
        <w:t>ur years for a higher education</w:t>
      </w:r>
      <w:r>
        <w:t xml:space="preserve"> qualification). Specialised </w:t>
      </w:r>
      <w:r w:rsidR="00C81540">
        <w:t xml:space="preserve">occupations represent both high </w:t>
      </w:r>
      <w:r>
        <w:t xml:space="preserve">use (a </w:t>
      </w:r>
      <w:r w:rsidR="00C81540">
        <w:t xml:space="preserve">good occupational fit) and high </w:t>
      </w:r>
      <w:r>
        <w:t>risk, where</w:t>
      </w:r>
      <w:r w:rsidR="00A33D8C">
        <w:t>by</w:t>
      </w:r>
      <w:r>
        <w:t xml:space="preserve"> the impact of skills shortages imposes significant economic or community costs (</w:t>
      </w:r>
      <w:r w:rsidR="00580B58">
        <w:t>Australian Workforce Productivity Agency</w:t>
      </w:r>
      <w:r>
        <w:t xml:space="preserve"> 2012</w:t>
      </w:r>
      <w:r w:rsidR="003A6B19">
        <w:t>b</w:t>
      </w:r>
      <w:r w:rsidR="00470FE6">
        <w:t>,</w:t>
      </w:r>
      <w:r>
        <w:t xml:space="preserve"> p</w:t>
      </w:r>
      <w:r w:rsidR="00470FE6">
        <w:t>.</w:t>
      </w:r>
      <w:r>
        <w:t>12)</w:t>
      </w:r>
      <w:r w:rsidR="00470FE6">
        <w:t>.</w:t>
      </w:r>
    </w:p>
    <w:p w:rsidR="00BA27BD" w:rsidRDefault="00F9007B" w:rsidP="00BA27BD">
      <w:pPr>
        <w:pStyle w:val="Text"/>
      </w:pPr>
      <w:r>
        <w:lastRenderedPageBreak/>
        <w:t>At present</w:t>
      </w:r>
      <w:r w:rsidR="004B7926">
        <w:t>,</w:t>
      </w:r>
      <w:r>
        <w:t xml:space="preserve"> the percentage of persons holding a bachelor degree in this indust</w:t>
      </w:r>
      <w:r w:rsidR="004B7926">
        <w:t>ry is low</w:t>
      </w:r>
      <w:r w:rsidR="00165651">
        <w:t>,</w:t>
      </w:r>
      <w:r w:rsidR="004B7926">
        <w:t xml:space="preserve"> relative to all industries</w:t>
      </w:r>
      <w:r>
        <w:t xml:space="preserve">, at only 7% </w:t>
      </w:r>
      <w:r w:rsidR="003F3DA6">
        <w:t>(</w:t>
      </w:r>
      <w:r>
        <w:t xml:space="preserve">compared with an </w:t>
      </w:r>
      <w:r w:rsidR="00A33D8C">
        <w:t>all-</w:t>
      </w:r>
      <w:r>
        <w:t>industry average of 19.6%</w:t>
      </w:r>
      <w:r w:rsidR="003F3DA6">
        <w:t>)</w:t>
      </w:r>
      <w:r w:rsidR="004B7926">
        <w:t xml:space="preserve">. </w:t>
      </w:r>
      <w:r>
        <w:t>In part</w:t>
      </w:r>
      <w:r w:rsidR="004B7926">
        <w:t>,</w:t>
      </w:r>
      <w:r w:rsidR="000970CE">
        <w:t xml:space="preserve"> this </w:t>
      </w:r>
      <w:r>
        <w:t xml:space="preserve">rate reflects </w:t>
      </w:r>
      <w:r w:rsidR="004B7926">
        <w:t>the</w:t>
      </w:r>
      <w:r>
        <w:t xml:space="preserve"> broad </w:t>
      </w:r>
      <w:r w:rsidR="00BA27BD">
        <w:t>employment profile</w:t>
      </w:r>
      <w:r>
        <w:t xml:space="preserve"> </w:t>
      </w:r>
      <w:r w:rsidR="004B7926">
        <w:t>of the industry</w:t>
      </w:r>
      <w:r w:rsidR="00A33D8C">
        <w:t>,</w:t>
      </w:r>
      <w:r w:rsidR="004B7926">
        <w:t xml:space="preserve"> </w:t>
      </w:r>
      <w:r>
        <w:t>with its stro</w:t>
      </w:r>
      <w:r w:rsidR="00C81540">
        <w:t>ng emphasis on trades and lower-</w:t>
      </w:r>
      <w:r>
        <w:t>skilled work</w:t>
      </w:r>
      <w:r w:rsidR="00BA27BD">
        <w:t>. This translates into:</w:t>
      </w:r>
    </w:p>
    <w:p w:rsidR="00BA27BD" w:rsidRDefault="004B7926" w:rsidP="00BA27BD">
      <w:pPr>
        <w:pStyle w:val="Dotpoint1"/>
      </w:pPr>
      <w:r>
        <w:t>40.8</w:t>
      </w:r>
      <w:r w:rsidR="00C81540">
        <w:t>% of employees with a c</w:t>
      </w:r>
      <w:r w:rsidR="00BA27BD">
        <w:t>ertificate III/IV</w:t>
      </w:r>
      <w:r w:rsidR="00510D3B">
        <w:t xml:space="preserve"> </w:t>
      </w:r>
      <w:r>
        <w:t xml:space="preserve">(compared </w:t>
      </w:r>
      <w:r w:rsidR="00C81540">
        <w:t>with</w:t>
      </w:r>
      <w:r>
        <w:t xml:space="preserve"> 19.6% all industries)</w:t>
      </w:r>
    </w:p>
    <w:p w:rsidR="004B7926" w:rsidRDefault="004B7926" w:rsidP="004B7926">
      <w:pPr>
        <w:pStyle w:val="Dotpoint1"/>
      </w:pPr>
      <w:r>
        <w:t>38.0% with no pos</w:t>
      </w:r>
      <w:r w:rsidR="00C81540">
        <w:t>t-</w:t>
      </w:r>
      <w:r>
        <w:t>school qualifications</w:t>
      </w:r>
    </w:p>
    <w:p w:rsidR="00BA27BD" w:rsidRDefault="004B7926" w:rsidP="00BA27BD">
      <w:pPr>
        <w:pStyle w:val="Dotpoint1"/>
      </w:pPr>
      <w:r>
        <w:t>7.0</w:t>
      </w:r>
      <w:r w:rsidR="00BA27BD">
        <w:t>% with a bachelor degree and 1</w:t>
      </w:r>
      <w:r>
        <w:t>.5</w:t>
      </w:r>
      <w:r w:rsidR="00BA27BD">
        <w:t>% with postgraduate qualifications</w:t>
      </w:r>
    </w:p>
    <w:p w:rsidR="00BA27BD" w:rsidRDefault="004B7926" w:rsidP="00BA27BD">
      <w:pPr>
        <w:pStyle w:val="Dotpoint1"/>
      </w:pPr>
      <w:r>
        <w:t>5.2</w:t>
      </w:r>
      <w:r w:rsidR="00BA27BD">
        <w:t>% with a diploma/advanced diploma</w:t>
      </w:r>
    </w:p>
    <w:p w:rsidR="00BA27BD" w:rsidRDefault="004B7926" w:rsidP="00BA27BD">
      <w:pPr>
        <w:pStyle w:val="Dotpoint1"/>
      </w:pPr>
      <w:r>
        <w:t>7.5</w:t>
      </w:r>
      <w:r w:rsidR="00C81540">
        <w:t>% with a c</w:t>
      </w:r>
      <w:r w:rsidR="00BA27BD">
        <w:t xml:space="preserve">ertificate I/II or </w:t>
      </w:r>
      <w:r>
        <w:t xml:space="preserve">certificate </w:t>
      </w:r>
      <w:r w:rsidR="000970CE">
        <w:t xml:space="preserve">undefined </w:t>
      </w:r>
      <w:r w:rsidR="00E82ACF">
        <w:t>(</w:t>
      </w:r>
      <w:r w:rsidR="007205AE">
        <w:t>Department of Education, Employment and Workplace Relations</w:t>
      </w:r>
      <w:r>
        <w:t xml:space="preserve"> 2012a</w:t>
      </w:r>
      <w:r w:rsidR="003F3DA6">
        <w:t>,</w:t>
      </w:r>
      <w:r>
        <w:t xml:space="preserve"> p</w:t>
      </w:r>
      <w:r w:rsidR="003F3DA6">
        <w:t>.</w:t>
      </w:r>
      <w:r>
        <w:t>8).</w:t>
      </w:r>
    </w:p>
    <w:p w:rsidR="00F83DF9" w:rsidRDefault="00611A1D" w:rsidP="00DC71CB">
      <w:pPr>
        <w:pStyle w:val="Text"/>
      </w:pPr>
      <w:r>
        <w:t>While</w:t>
      </w:r>
      <w:r w:rsidR="00BA27BD">
        <w:t xml:space="preserve"> this qualifications structure may have reflected the industry’s </w:t>
      </w:r>
      <w:r w:rsidR="000970CE">
        <w:t xml:space="preserve">skills and education </w:t>
      </w:r>
      <w:r w:rsidR="00BA27BD">
        <w:t>needs of the past, the questio</w:t>
      </w:r>
      <w:r w:rsidR="00323FB1">
        <w:t xml:space="preserve">n </w:t>
      </w:r>
      <w:r w:rsidR="00F83DF9">
        <w:t xml:space="preserve">is </w:t>
      </w:r>
      <w:r w:rsidR="00323FB1">
        <w:t xml:space="preserve">now </w:t>
      </w:r>
      <w:r w:rsidR="00BA27BD">
        <w:t xml:space="preserve">how well </w:t>
      </w:r>
      <w:r w:rsidR="004C1D27">
        <w:t xml:space="preserve">does </w:t>
      </w:r>
      <w:r w:rsidR="00BA27BD">
        <w:t>it meet current and future skills needs and employment demand</w:t>
      </w:r>
      <w:r w:rsidR="004B7926">
        <w:t xml:space="preserve">, especially in </w:t>
      </w:r>
      <w:r w:rsidR="00334816">
        <w:t xml:space="preserve">relation to </w:t>
      </w:r>
      <w:r w:rsidR="00C81540">
        <w:t xml:space="preserve">the </w:t>
      </w:r>
      <w:r w:rsidR="0082524F">
        <w:t xml:space="preserve">current </w:t>
      </w:r>
      <w:r w:rsidR="00F83DF9">
        <w:t xml:space="preserve">and projected skills shortages </w:t>
      </w:r>
      <w:r w:rsidR="00C81540">
        <w:t>of</w:t>
      </w:r>
      <w:r w:rsidR="0082524F">
        <w:t xml:space="preserve"> professionals</w:t>
      </w:r>
      <w:r w:rsidR="00323FB1">
        <w:t>.</w:t>
      </w:r>
      <w:r w:rsidR="0082524F">
        <w:t xml:space="preserve"> </w:t>
      </w:r>
    </w:p>
    <w:p w:rsidR="0082524F" w:rsidRDefault="0082524F" w:rsidP="00A17302">
      <w:pPr>
        <w:pStyle w:val="Text"/>
        <w:ind w:right="141"/>
      </w:pPr>
      <w:r>
        <w:t>T</w:t>
      </w:r>
      <w:r w:rsidR="00B3059C">
        <w:t>he Australian Workforce and Productivity Agency</w:t>
      </w:r>
      <w:r w:rsidR="00DC71CB">
        <w:t xml:space="preserve"> has estimated</w:t>
      </w:r>
      <w:r w:rsidR="00323FB1">
        <w:t xml:space="preserve"> that</w:t>
      </w:r>
      <w:r w:rsidR="004B7926">
        <w:t xml:space="preserve"> </w:t>
      </w:r>
      <w:r>
        <w:t>the number of bachelor holders i</w:t>
      </w:r>
      <w:r w:rsidR="00F83DF9">
        <w:t>n the industry will</w:t>
      </w:r>
      <w:r w:rsidR="002B0B85">
        <w:t xml:space="preserve"> need</w:t>
      </w:r>
      <w:r w:rsidR="00F83DF9">
        <w:t xml:space="preserve"> to increase by 25% to </w:t>
      </w:r>
      <w:r>
        <w:t xml:space="preserve">meet </w:t>
      </w:r>
      <w:r w:rsidR="00F83DF9">
        <w:t xml:space="preserve">its </w:t>
      </w:r>
      <w:r>
        <w:t>workforce projections (</w:t>
      </w:r>
      <w:r w:rsidR="00DC71CB">
        <w:t xml:space="preserve">in the period </w:t>
      </w:r>
      <w:r w:rsidR="00C81540">
        <w:t>2010—</w:t>
      </w:r>
      <w:r w:rsidR="00DC71CB">
        <w:t>25</w:t>
      </w:r>
      <w:r>
        <w:t>)</w:t>
      </w:r>
      <w:r w:rsidR="00DC71CB">
        <w:t xml:space="preserve">. </w:t>
      </w:r>
      <w:r w:rsidR="00A26304">
        <w:t>Such professionals will come from a range of higher education backgrounds</w:t>
      </w:r>
      <w:r w:rsidR="00C81540">
        <w:t>,</w:t>
      </w:r>
      <w:r w:rsidR="00A26304">
        <w:t xml:space="preserve"> including engineering and management qualifications</w:t>
      </w:r>
      <w:r w:rsidR="00C81540">
        <w:t>,</w:t>
      </w:r>
      <w:r w:rsidR="00A26304">
        <w:t xml:space="preserve"> as well as those in construction management and related degrees.</w:t>
      </w:r>
      <w:r w:rsidR="00A26304">
        <w:rPr>
          <w:rStyle w:val="FootnoteReference"/>
        </w:rPr>
        <w:footnoteReference w:id="2"/>
      </w:r>
      <w:r w:rsidR="00A26304">
        <w:t xml:space="preserve"> </w:t>
      </w:r>
      <w:r w:rsidR="00C16AB9">
        <w:t>If</w:t>
      </w:r>
      <w:r w:rsidR="009A7E2C">
        <w:t xml:space="preserve"> such </w:t>
      </w:r>
      <w:r w:rsidR="00DC71CB">
        <w:t xml:space="preserve">an increase </w:t>
      </w:r>
      <w:r w:rsidR="009A7E2C">
        <w:t>is to be realised</w:t>
      </w:r>
      <w:r w:rsidR="00C81540">
        <w:t>,</w:t>
      </w:r>
      <w:r w:rsidR="009A7E2C">
        <w:t xml:space="preserve"> </w:t>
      </w:r>
      <w:r w:rsidR="001F3CBA">
        <w:t xml:space="preserve">a </w:t>
      </w:r>
      <w:r w:rsidR="009A7E2C">
        <w:t xml:space="preserve">significant expansion </w:t>
      </w:r>
      <w:r w:rsidR="00A00678">
        <w:t xml:space="preserve">of current higher education </w:t>
      </w:r>
      <w:r w:rsidR="00DC71CB">
        <w:t xml:space="preserve">provision </w:t>
      </w:r>
      <w:r w:rsidR="001F3CBA">
        <w:t>will be necessary</w:t>
      </w:r>
      <w:r>
        <w:t>, particularly</w:t>
      </w:r>
      <w:r w:rsidR="005E46E3">
        <w:t xml:space="preserve"> in </w:t>
      </w:r>
      <w:r w:rsidR="00323FB1">
        <w:t>building and construction-</w:t>
      </w:r>
      <w:r w:rsidR="00F83DF9">
        <w:t>related</w:t>
      </w:r>
      <w:r>
        <w:t xml:space="preserve"> studies</w:t>
      </w:r>
      <w:r w:rsidR="009A7E2C">
        <w:t>.</w:t>
      </w:r>
      <w:r w:rsidR="00BE5389">
        <w:t xml:space="preserve"> </w:t>
      </w:r>
    </w:p>
    <w:p w:rsidR="00F533E0" w:rsidRDefault="00BE5389" w:rsidP="00DC71CB">
      <w:pPr>
        <w:pStyle w:val="Text"/>
      </w:pPr>
      <w:r>
        <w:t xml:space="preserve">However, recent higher education </w:t>
      </w:r>
      <w:r w:rsidR="0082524F">
        <w:t xml:space="preserve">data </w:t>
      </w:r>
      <w:r w:rsidR="007B6408">
        <w:t>(</w:t>
      </w:r>
      <w:r w:rsidR="00047E86">
        <w:t>Department of Industry, Innovation, Science, Research and Tertiary Education 2009—11</w:t>
      </w:r>
      <w:r w:rsidR="0078671B">
        <w:t>)</w:t>
      </w:r>
      <w:r w:rsidR="007B6408">
        <w:t xml:space="preserve"> </w:t>
      </w:r>
      <w:r w:rsidR="00323FB1">
        <w:t>indicate</w:t>
      </w:r>
      <w:r w:rsidR="00F83DF9">
        <w:t xml:space="preserve"> this field of education</w:t>
      </w:r>
      <w:r w:rsidR="0082524F">
        <w:t xml:space="preserve"> to be </w:t>
      </w:r>
      <w:r w:rsidR="00334816">
        <w:t xml:space="preserve">relatively </w:t>
      </w:r>
      <w:r w:rsidR="00F83DF9">
        <w:t>static</w:t>
      </w:r>
      <w:r w:rsidR="004C1D27">
        <w:t>,</w:t>
      </w:r>
      <w:r w:rsidR="00F83DF9">
        <w:t xml:space="preserve"> </w:t>
      </w:r>
      <w:r w:rsidR="00323FB1">
        <w:t>with</w:t>
      </w:r>
      <w:r>
        <w:t xml:space="preserve"> extremely small</w:t>
      </w:r>
      <w:r w:rsidR="007B6408">
        <w:t xml:space="preserve"> student numbers</w:t>
      </w:r>
      <w:r w:rsidR="00F83DF9">
        <w:t xml:space="preserve"> relative to other fields</w:t>
      </w:r>
      <w:r w:rsidR="003F3DA6">
        <w:t xml:space="preserve"> of educ</w:t>
      </w:r>
      <w:r w:rsidR="007B6408">
        <w:t>ation</w:t>
      </w:r>
      <w:r>
        <w:t>.</w:t>
      </w:r>
      <w:r w:rsidR="00334816">
        <w:t xml:space="preserve"> </w:t>
      </w:r>
      <w:r w:rsidR="001F3CBA">
        <w:t xml:space="preserve">Construction management </w:t>
      </w:r>
      <w:r w:rsidR="00C82D35">
        <w:t xml:space="preserve">and </w:t>
      </w:r>
      <w:r w:rsidR="001F3CBA">
        <w:t xml:space="preserve">related building studies sits within </w:t>
      </w:r>
      <w:r w:rsidR="0078671B">
        <w:t>the field</w:t>
      </w:r>
      <w:r w:rsidR="001F3CBA">
        <w:t xml:space="preserve"> </w:t>
      </w:r>
      <w:r w:rsidR="00F533E0">
        <w:t xml:space="preserve">of </w:t>
      </w:r>
      <w:r w:rsidR="001F3CBA">
        <w:t>architecture and building</w:t>
      </w:r>
      <w:r w:rsidR="00F533E0">
        <w:t>,</w:t>
      </w:r>
      <w:r w:rsidR="001F3CBA">
        <w:t xml:space="preserve"> which comprises</w:t>
      </w:r>
      <w:r w:rsidR="00334816">
        <w:t xml:space="preserve"> </w:t>
      </w:r>
      <w:r w:rsidR="001F3CBA">
        <w:t xml:space="preserve">two subfields </w:t>
      </w:r>
      <w:r>
        <w:t>(</w:t>
      </w:r>
      <w:r w:rsidR="001F3CBA">
        <w:t>architecture/urban development and building</w:t>
      </w:r>
      <w:r>
        <w:t>)</w:t>
      </w:r>
      <w:r w:rsidR="001F3CBA">
        <w:t xml:space="preserve">. </w:t>
      </w:r>
      <w:r w:rsidR="001A1F0E">
        <w:t xml:space="preserve">The </w:t>
      </w:r>
      <w:r w:rsidR="001F3CBA">
        <w:t xml:space="preserve">whole field </w:t>
      </w:r>
      <w:r>
        <w:t>repre</w:t>
      </w:r>
      <w:r w:rsidR="00F533E0">
        <w:t>sent</w:t>
      </w:r>
      <w:r w:rsidR="00557B81">
        <w:t>ed</w:t>
      </w:r>
      <w:r w:rsidR="00F533E0">
        <w:t xml:space="preserve"> just</w:t>
      </w:r>
      <w:r>
        <w:t xml:space="preserve"> 2.1% of total student load in </w:t>
      </w:r>
      <w:r w:rsidR="001F3CBA">
        <w:t>higher education</w:t>
      </w:r>
      <w:r w:rsidR="003165B8">
        <w:t xml:space="preserve"> or an </w:t>
      </w:r>
      <w:r w:rsidR="00323FB1">
        <w:t>equivalent full-time</w:t>
      </w:r>
      <w:r w:rsidR="004C1D27">
        <w:t xml:space="preserve"> student load</w:t>
      </w:r>
      <w:r w:rsidR="00323FB1">
        <w:t xml:space="preserve"> (</w:t>
      </w:r>
      <w:r w:rsidR="003165B8">
        <w:t>EFTS</w:t>
      </w:r>
      <w:r w:rsidR="00EA048C">
        <w:t>L</w:t>
      </w:r>
      <w:r w:rsidR="00323FB1">
        <w:t>)</w:t>
      </w:r>
      <w:r w:rsidR="003165B8">
        <w:rPr>
          <w:rStyle w:val="FootnoteReference"/>
        </w:rPr>
        <w:footnoteReference w:id="3"/>
      </w:r>
      <w:r w:rsidR="002B0B85">
        <w:t xml:space="preserve"> </w:t>
      </w:r>
      <w:r w:rsidR="003165B8">
        <w:t xml:space="preserve">of </w:t>
      </w:r>
      <w:r w:rsidR="002516E1">
        <w:t xml:space="preserve">19 </w:t>
      </w:r>
      <w:r w:rsidR="00EA048C">
        <w:t>300</w:t>
      </w:r>
      <w:r w:rsidR="00557B81">
        <w:t xml:space="preserve"> in 2011</w:t>
      </w:r>
      <w:r>
        <w:t>.</w:t>
      </w:r>
      <w:r w:rsidR="001A5755">
        <w:rPr>
          <w:rStyle w:val="FootnoteReference"/>
        </w:rPr>
        <w:footnoteReference w:id="4"/>
      </w:r>
    </w:p>
    <w:p w:rsidR="007B6408" w:rsidRDefault="001A1F0E" w:rsidP="00DC71CB">
      <w:pPr>
        <w:pStyle w:val="Text"/>
      </w:pPr>
      <w:r>
        <w:t>Within the field, a</w:t>
      </w:r>
      <w:r w:rsidR="007F1934">
        <w:t>r</w:t>
      </w:r>
      <w:r>
        <w:t xml:space="preserve">chitecture dominates, comprising </w:t>
      </w:r>
      <w:r w:rsidR="00112526">
        <w:t xml:space="preserve">just over </w:t>
      </w:r>
      <w:r w:rsidR="00EA048C">
        <w:t>81% of</w:t>
      </w:r>
      <w:r w:rsidR="00334816">
        <w:t xml:space="preserve"> </w:t>
      </w:r>
      <w:r w:rsidR="003A6B19">
        <w:t xml:space="preserve">the total </w:t>
      </w:r>
      <w:r w:rsidR="00323FB1">
        <w:t>student load</w:t>
      </w:r>
      <w:r w:rsidR="003165B8">
        <w:t>. Th</w:t>
      </w:r>
      <w:r w:rsidR="003A6B19">
        <w:t>is</w:t>
      </w:r>
      <w:r w:rsidR="003165B8">
        <w:t xml:space="preserve"> percentage was the same in both </w:t>
      </w:r>
      <w:r w:rsidR="003A6B19">
        <w:t xml:space="preserve">the </w:t>
      </w:r>
      <w:r w:rsidR="003165B8">
        <w:t xml:space="preserve">2011 and </w:t>
      </w:r>
      <w:r w:rsidR="00EA048C">
        <w:t xml:space="preserve">in </w:t>
      </w:r>
      <w:r w:rsidR="007B6408">
        <w:t xml:space="preserve">2010 </w:t>
      </w:r>
      <w:r w:rsidR="003A6B19">
        <w:t xml:space="preserve">student data </w:t>
      </w:r>
      <w:r w:rsidR="00112526">
        <w:t>(</w:t>
      </w:r>
      <w:r w:rsidR="00A7284D" w:rsidRPr="004C1D27">
        <w:t>table 4.4</w:t>
      </w:r>
      <w:r w:rsidR="00A7284D" w:rsidRPr="00A7284D">
        <w:t>,</w:t>
      </w:r>
      <w:r w:rsidR="00A7284D">
        <w:t xml:space="preserve"> </w:t>
      </w:r>
      <w:r w:rsidR="00047E86">
        <w:t>Department of Industry, Innovation, Science, Researc</w:t>
      </w:r>
      <w:r w:rsidR="00B5438F">
        <w:t>h and Tertiary Education 2009—11</w:t>
      </w:r>
      <w:r w:rsidR="00A7284D">
        <w:t>)</w:t>
      </w:r>
      <w:r w:rsidR="00112526">
        <w:t xml:space="preserve">. </w:t>
      </w:r>
      <w:r w:rsidR="00757BC1">
        <w:t>Although architecture has far more students</w:t>
      </w:r>
      <w:r w:rsidR="002516E1">
        <w:t>,</w:t>
      </w:r>
      <w:r w:rsidR="00757BC1">
        <w:t xml:space="preserve"> </w:t>
      </w:r>
      <w:r w:rsidR="002B0B85">
        <w:t>it</w:t>
      </w:r>
      <w:r w:rsidR="00DC71CB">
        <w:t xml:space="preserve"> is not </w:t>
      </w:r>
      <w:r w:rsidR="003A6B19">
        <w:t xml:space="preserve">designated </w:t>
      </w:r>
      <w:r w:rsidR="00DC71CB">
        <w:t>a skill</w:t>
      </w:r>
      <w:r w:rsidR="003F3DA6">
        <w:t>s</w:t>
      </w:r>
      <w:r w:rsidR="00DC71CB">
        <w:t xml:space="preserve"> shortage occupation.</w:t>
      </w:r>
      <w:r w:rsidR="00510D3B">
        <w:t xml:space="preserve"> </w:t>
      </w:r>
    </w:p>
    <w:p w:rsidR="003A6B19" w:rsidRDefault="00334816" w:rsidP="00DC71CB">
      <w:pPr>
        <w:pStyle w:val="Text"/>
      </w:pPr>
      <w:r>
        <w:t xml:space="preserve">When the statistics are </w:t>
      </w:r>
      <w:r w:rsidR="00757BC1">
        <w:t>disaggregated</w:t>
      </w:r>
      <w:r w:rsidR="00D2712C">
        <w:t xml:space="preserve"> to </w:t>
      </w:r>
      <w:r w:rsidR="00757BC1">
        <w:t>the focus of this study (</w:t>
      </w:r>
      <w:r>
        <w:t>domesti</w:t>
      </w:r>
      <w:r w:rsidR="00323FB1">
        <w:t>c students studying at bachelor-</w:t>
      </w:r>
      <w:r>
        <w:t xml:space="preserve">degree level in </w:t>
      </w:r>
      <w:r w:rsidR="00F533E0">
        <w:t>the subfield of building</w:t>
      </w:r>
      <w:r w:rsidR="00757BC1">
        <w:t xml:space="preserve">), </w:t>
      </w:r>
      <w:r>
        <w:t xml:space="preserve">the </w:t>
      </w:r>
      <w:r w:rsidR="002516E1">
        <w:t>equivalent full-time student load</w:t>
      </w:r>
      <w:r w:rsidR="001364E7">
        <w:t xml:space="preserve"> in 2011 </w:t>
      </w:r>
      <w:r w:rsidR="007D75FE">
        <w:t xml:space="preserve">was just 2688 </w:t>
      </w:r>
      <w:r w:rsidR="001364E7">
        <w:t xml:space="preserve">with a commencing student load of 967 </w:t>
      </w:r>
      <w:r w:rsidR="007D75FE">
        <w:t>(</w:t>
      </w:r>
      <w:r w:rsidR="00047E86">
        <w:t>Department of Industry, Innovation, Science, Rese</w:t>
      </w:r>
      <w:r w:rsidR="00B5438F">
        <w:t>arch and Tertiary Education 2009—11</w:t>
      </w:r>
      <w:r w:rsidR="00047E86">
        <w:t>)</w:t>
      </w:r>
      <w:r w:rsidR="00A26304">
        <w:t>. This compares with</w:t>
      </w:r>
      <w:r w:rsidR="00EA048C">
        <w:t xml:space="preserve"> a total EFTSL</w:t>
      </w:r>
      <w:r w:rsidR="00A26304">
        <w:t xml:space="preserve"> of 2445</w:t>
      </w:r>
      <w:r w:rsidR="00F533E0">
        <w:t xml:space="preserve"> </w:t>
      </w:r>
      <w:r w:rsidR="00A26304">
        <w:t xml:space="preserve">for domestic/bachelor degree students </w:t>
      </w:r>
      <w:r w:rsidR="005E46E3">
        <w:t>in 2010 (</w:t>
      </w:r>
      <w:r w:rsidR="00F533E0">
        <w:t>commen</w:t>
      </w:r>
      <w:r w:rsidR="00A26304">
        <w:t>cing student load of 692) and 2695</w:t>
      </w:r>
      <w:r w:rsidR="00F533E0">
        <w:t xml:space="preserve"> in 2009 (commencing student load 769).</w:t>
      </w:r>
      <w:r w:rsidR="005E46E3">
        <w:t xml:space="preserve"> </w:t>
      </w:r>
      <w:r w:rsidR="00757BC1">
        <w:t>T</w:t>
      </w:r>
      <w:r w:rsidR="005E46E3">
        <w:t xml:space="preserve">hese </w:t>
      </w:r>
      <w:r w:rsidR="00757BC1">
        <w:t xml:space="preserve">figures suggest a shortfall in graduates against projected industry demand and the </w:t>
      </w:r>
      <w:r w:rsidR="003165B8">
        <w:t>need to expand the</w:t>
      </w:r>
      <w:r w:rsidR="008C025E">
        <w:t xml:space="preserve"> provision of building-</w:t>
      </w:r>
      <w:r w:rsidR="005E46E3">
        <w:t>related degrees</w:t>
      </w:r>
      <w:r w:rsidR="003165B8">
        <w:t xml:space="preserve">. </w:t>
      </w:r>
      <w:r w:rsidR="00757BC1">
        <w:t>C</w:t>
      </w:r>
      <w:r w:rsidR="003165B8">
        <w:t>onstraints</w:t>
      </w:r>
      <w:r w:rsidR="005E46E3">
        <w:t xml:space="preserve"> </w:t>
      </w:r>
      <w:r w:rsidR="00757BC1">
        <w:t xml:space="preserve">to </w:t>
      </w:r>
      <w:r w:rsidR="002B0B85">
        <w:lastRenderedPageBreak/>
        <w:t>increas</w:t>
      </w:r>
      <w:r w:rsidR="007B6408">
        <w:t>ed</w:t>
      </w:r>
      <w:r w:rsidR="002B0B85">
        <w:t xml:space="preserve"> </w:t>
      </w:r>
      <w:r w:rsidR="00757BC1">
        <w:t>provision</w:t>
      </w:r>
      <w:r w:rsidR="002B0B85">
        <w:t>,</w:t>
      </w:r>
      <w:r w:rsidR="00757BC1">
        <w:t xml:space="preserve"> </w:t>
      </w:r>
      <w:r w:rsidR="003B086F">
        <w:t xml:space="preserve">as </w:t>
      </w:r>
      <w:r w:rsidR="003165B8">
        <w:t>identified by education personnel participating in th</w:t>
      </w:r>
      <w:r w:rsidR="007B6408">
        <w:t>is</w:t>
      </w:r>
      <w:r w:rsidR="003165B8">
        <w:t xml:space="preserve"> project</w:t>
      </w:r>
      <w:r w:rsidR="002B0B85">
        <w:t>,</w:t>
      </w:r>
      <w:r w:rsidR="003165B8">
        <w:t xml:space="preserve"> include </w:t>
      </w:r>
      <w:r w:rsidR="005E46E3">
        <w:t xml:space="preserve">infrastructure </w:t>
      </w:r>
      <w:r w:rsidR="002D0272">
        <w:t xml:space="preserve">capacity </w:t>
      </w:r>
      <w:r w:rsidR="005E46E3">
        <w:t>and human capital issues (lack of qualified lecturers)</w:t>
      </w:r>
      <w:r w:rsidR="003165B8">
        <w:t>.</w:t>
      </w:r>
    </w:p>
    <w:p w:rsidR="00DC71CB" w:rsidRDefault="003A6B19" w:rsidP="00DC71CB">
      <w:pPr>
        <w:pStyle w:val="Text"/>
      </w:pPr>
      <w:r>
        <w:t>M</w:t>
      </w:r>
      <w:r w:rsidR="00DC71CB">
        <w:t xml:space="preserve">echanisms to </w:t>
      </w:r>
      <w:r w:rsidR="003165B8">
        <w:t>increase</w:t>
      </w:r>
      <w:r w:rsidR="00DC71CB">
        <w:t xml:space="preserve"> </w:t>
      </w:r>
      <w:r w:rsidR="00832C4B">
        <w:t xml:space="preserve">the number of </w:t>
      </w:r>
      <w:r w:rsidR="00DC71CB">
        <w:t xml:space="preserve">degree holders </w:t>
      </w:r>
      <w:r>
        <w:t xml:space="preserve">in the industry </w:t>
      </w:r>
      <w:r w:rsidR="00DC71CB">
        <w:t>could include:</w:t>
      </w:r>
    </w:p>
    <w:p w:rsidR="00DC71CB" w:rsidRDefault="00DC71CB" w:rsidP="00DC71CB">
      <w:pPr>
        <w:pStyle w:val="Dotpoint1"/>
      </w:pPr>
      <w:r>
        <w:t>increase</w:t>
      </w:r>
      <w:r w:rsidR="005E46E3">
        <w:t xml:space="preserve">d </w:t>
      </w:r>
      <w:r>
        <w:t>migration of suitably qualified pe</w:t>
      </w:r>
      <w:r w:rsidR="008C025E">
        <w:t>ople</w:t>
      </w:r>
      <w:r>
        <w:t xml:space="preserve"> </w:t>
      </w:r>
    </w:p>
    <w:p w:rsidR="00DC71CB" w:rsidRDefault="00DC71CB" w:rsidP="00DC71CB">
      <w:pPr>
        <w:pStyle w:val="Dotpoint1"/>
      </w:pPr>
      <w:r>
        <w:t xml:space="preserve">improved </w:t>
      </w:r>
      <w:r w:rsidR="008C025E">
        <w:t xml:space="preserve">recognition of prior learning </w:t>
      </w:r>
      <w:r>
        <w:t>to cred</w:t>
      </w:r>
      <w:r w:rsidR="008C025E">
        <w:t>it</w:t>
      </w:r>
      <w:r>
        <w:t xml:space="preserve"> existing employees with relevant experiential skills and knowledge</w:t>
      </w:r>
      <w:r w:rsidR="00510D3B">
        <w:t xml:space="preserve"> </w:t>
      </w:r>
    </w:p>
    <w:p w:rsidR="00DF2A95" w:rsidRDefault="00DC71CB">
      <w:pPr>
        <w:pStyle w:val="Dotpoint1"/>
      </w:pPr>
      <w:proofErr w:type="gramStart"/>
      <w:r>
        <w:t>increase</w:t>
      </w:r>
      <w:r w:rsidR="00B3059C">
        <w:t>d</w:t>
      </w:r>
      <w:proofErr w:type="gramEnd"/>
      <w:r w:rsidRPr="00DE0A82">
        <w:t xml:space="preserve"> </w:t>
      </w:r>
      <w:r w:rsidR="005E46E3">
        <w:t xml:space="preserve">and improved </w:t>
      </w:r>
      <w:r w:rsidR="008C025E">
        <w:t>VET</w:t>
      </w:r>
      <w:r w:rsidR="00832C4B">
        <w:t xml:space="preserve"> to </w:t>
      </w:r>
      <w:r w:rsidR="00510D3B">
        <w:t>higher education</w:t>
      </w:r>
      <w:r w:rsidR="00832C4B">
        <w:t xml:space="preserve"> </w:t>
      </w:r>
      <w:r>
        <w:t>pathways i</w:t>
      </w:r>
      <w:r w:rsidR="00832C4B">
        <w:t>n</w:t>
      </w:r>
      <w:r>
        <w:t xml:space="preserve"> construction management and related degrees</w:t>
      </w:r>
      <w:r w:rsidR="00832C4B">
        <w:t>.</w:t>
      </w:r>
      <w:r>
        <w:t xml:space="preserve"> </w:t>
      </w:r>
    </w:p>
    <w:p w:rsidR="003A6B19" w:rsidRPr="004E7A11" w:rsidRDefault="00A141DA" w:rsidP="004E7A11">
      <w:pPr>
        <w:pStyle w:val="Text"/>
        <w:ind w:right="-143"/>
      </w:pPr>
      <w:r>
        <w:t>Skilled m</w:t>
      </w:r>
      <w:r w:rsidR="007E1FAE">
        <w:t>igration</w:t>
      </w:r>
      <w:r w:rsidR="00832C4B">
        <w:t xml:space="preserve"> may be </w:t>
      </w:r>
      <w:r w:rsidR="00425227">
        <w:t>part of the</w:t>
      </w:r>
      <w:r>
        <w:t xml:space="preserve"> solution but it is </w:t>
      </w:r>
      <w:r w:rsidR="00323FB1">
        <w:t>a solution</w:t>
      </w:r>
      <w:r>
        <w:t xml:space="preserve"> that</w:t>
      </w:r>
      <w:r w:rsidR="007E1FAE">
        <w:t xml:space="preserve"> does little to assist existing workers in the industry to </w:t>
      </w:r>
      <w:proofErr w:type="spellStart"/>
      <w:r w:rsidR="007E1FAE">
        <w:t>upskill</w:t>
      </w:r>
      <w:proofErr w:type="spellEnd"/>
      <w:r w:rsidR="007E1FAE">
        <w:t xml:space="preserve"> and </w:t>
      </w:r>
      <w:r w:rsidR="002D0272">
        <w:t>to</w:t>
      </w:r>
      <w:r w:rsidR="007E1FAE">
        <w:t xml:space="preserve"> take advantage of professional job opportunities.</w:t>
      </w:r>
      <w:r w:rsidR="00510D3B">
        <w:t xml:space="preserve"> </w:t>
      </w:r>
      <w:r w:rsidR="003A6B19">
        <w:t xml:space="preserve">As noted by the </w:t>
      </w:r>
      <w:r w:rsidR="00580B58">
        <w:t xml:space="preserve">Australian Workforce </w:t>
      </w:r>
      <w:r w:rsidR="00580B58" w:rsidRPr="004E7A11">
        <w:t>Productivity Agency</w:t>
      </w:r>
      <w:r w:rsidR="003A6B19" w:rsidRPr="004E7A11">
        <w:t xml:space="preserve"> (2012c)</w:t>
      </w:r>
      <w:r w:rsidR="008C025E" w:rsidRPr="004E7A11">
        <w:t>,</w:t>
      </w:r>
      <w:r w:rsidR="003A6B19" w:rsidRPr="004E7A11">
        <w:t xml:space="preserve"> it is important to en</w:t>
      </w:r>
      <w:r w:rsidR="0024129B" w:rsidRPr="004E7A11">
        <w:t>s</w:t>
      </w:r>
      <w:r w:rsidR="003A6B19" w:rsidRPr="004E7A11">
        <w:t>ure ‘home grown</w:t>
      </w:r>
      <w:r w:rsidR="00C16AB9" w:rsidRPr="004E7A11">
        <w:t>’</w:t>
      </w:r>
      <w:r w:rsidR="003A6B19" w:rsidRPr="004E7A11">
        <w:t xml:space="preserve"> solutions. </w:t>
      </w:r>
    </w:p>
    <w:p w:rsidR="002D0272" w:rsidRDefault="008C025E" w:rsidP="004E7A11">
      <w:pPr>
        <w:pStyle w:val="Text"/>
      </w:pPr>
      <w:r w:rsidRPr="004E7A11">
        <w:t>Recognition of prior learning</w:t>
      </w:r>
      <w:r w:rsidR="007E1FAE">
        <w:t xml:space="preserve"> provides genuine opportunities to support existing workers </w:t>
      </w:r>
      <w:r>
        <w:t xml:space="preserve">to </w:t>
      </w:r>
      <w:r w:rsidR="007E1FAE">
        <w:t>gain recognition for industry experience and to undertake further studies</w:t>
      </w:r>
      <w:r>
        <w:t>,</w:t>
      </w:r>
      <w:r w:rsidR="00A141DA">
        <w:t xml:space="preserve"> but</w:t>
      </w:r>
      <w:r w:rsidR="00C769DF">
        <w:t xml:space="preserve"> it</w:t>
      </w:r>
      <w:r>
        <w:t xml:space="preserve"> is time-</w:t>
      </w:r>
      <w:r w:rsidR="00A141DA">
        <w:t>consuming and not well understood by workers and employers</w:t>
      </w:r>
      <w:r w:rsidR="007E1FAE">
        <w:t>.</w:t>
      </w:r>
      <w:r w:rsidR="002D0272">
        <w:t xml:space="preserve"> </w:t>
      </w:r>
      <w:r w:rsidR="007E1FAE">
        <w:t xml:space="preserve">Improving </w:t>
      </w:r>
      <w:r>
        <w:t xml:space="preserve">recognition processes </w:t>
      </w:r>
      <w:r w:rsidR="007E1FAE">
        <w:t xml:space="preserve">was strongly supported by industry representatives in the </w:t>
      </w:r>
      <w:r>
        <w:t xml:space="preserve">roundtable </w:t>
      </w:r>
      <w:r w:rsidR="007E1FAE">
        <w:t>discussions</w:t>
      </w:r>
      <w:r>
        <w:t>,</w:t>
      </w:r>
      <w:r w:rsidR="007E1FAE">
        <w:t xml:space="preserve"> but </w:t>
      </w:r>
      <w:r w:rsidR="00C16AB9">
        <w:t xml:space="preserve">further examination of that solution </w:t>
      </w:r>
      <w:r w:rsidR="007E1FAE">
        <w:t xml:space="preserve">falls outside </w:t>
      </w:r>
      <w:r w:rsidR="002D0272">
        <w:t xml:space="preserve">the scope of </w:t>
      </w:r>
      <w:r w:rsidR="00C769DF">
        <w:t>t</w:t>
      </w:r>
      <w:r w:rsidR="002D0272">
        <w:t>his study</w:t>
      </w:r>
      <w:r w:rsidR="007E1FAE">
        <w:t>.</w:t>
      </w:r>
      <w:r w:rsidR="00C16AB9">
        <w:t xml:space="preserve"> </w:t>
      </w:r>
    </w:p>
    <w:p w:rsidR="00DF2A95" w:rsidRDefault="002D0272">
      <w:pPr>
        <w:pStyle w:val="Heading2"/>
      </w:pPr>
      <w:bookmarkStart w:id="49" w:name="_Toc358115580"/>
      <w:r>
        <w:t>Pathways</w:t>
      </w:r>
      <w:bookmarkEnd w:id="49"/>
      <w:r w:rsidR="005951C8">
        <w:t xml:space="preserve"> </w:t>
      </w:r>
    </w:p>
    <w:p w:rsidR="00DC71CB" w:rsidRPr="00DE0A82" w:rsidRDefault="002D0272" w:rsidP="004E7A11">
      <w:pPr>
        <w:pStyle w:val="Text"/>
        <w:ind w:right="-143"/>
      </w:pPr>
      <w:r>
        <w:t xml:space="preserve">Pathways </w:t>
      </w:r>
      <w:r w:rsidR="000F23FF">
        <w:t xml:space="preserve">from </w:t>
      </w:r>
      <w:r w:rsidR="00510D3B">
        <w:t>vocational education and training</w:t>
      </w:r>
      <w:r w:rsidR="000F23FF">
        <w:t xml:space="preserve"> to </w:t>
      </w:r>
      <w:r w:rsidR="00510D3B">
        <w:t>higher education</w:t>
      </w:r>
      <w:r w:rsidR="000F23FF">
        <w:t xml:space="preserve"> </w:t>
      </w:r>
      <w:r w:rsidR="009A2FD2">
        <w:t xml:space="preserve">can be one important </w:t>
      </w:r>
      <w:r w:rsidR="00152CC0">
        <w:t xml:space="preserve">mechanism </w:t>
      </w:r>
      <w:r w:rsidR="00955D6E">
        <w:t xml:space="preserve">to </w:t>
      </w:r>
      <w:r w:rsidR="00425227">
        <w:t xml:space="preserve">help </w:t>
      </w:r>
      <w:r w:rsidR="003F3DA6">
        <w:t>industry</w:t>
      </w:r>
      <w:r w:rsidR="00955D6E">
        <w:t xml:space="preserve"> </w:t>
      </w:r>
      <w:r w:rsidR="009A2FD2">
        <w:t xml:space="preserve">meet </w:t>
      </w:r>
      <w:r w:rsidR="00955D6E">
        <w:t xml:space="preserve">skills needs </w:t>
      </w:r>
      <w:r w:rsidR="009A2FD2">
        <w:t xml:space="preserve">and address skill shortages </w:t>
      </w:r>
      <w:r w:rsidR="00425227">
        <w:t>in construction management</w:t>
      </w:r>
      <w:r w:rsidR="00152CC0">
        <w:t>,</w:t>
      </w:r>
      <w:r w:rsidR="00F53056">
        <w:t xml:space="preserve"> </w:t>
      </w:r>
      <w:r w:rsidR="00152CC0">
        <w:t>providing</w:t>
      </w:r>
      <w:r w:rsidR="00DB0539">
        <w:t xml:space="preserve"> opportunities to </w:t>
      </w:r>
      <w:r w:rsidR="00152CC0">
        <w:t xml:space="preserve">both </w:t>
      </w:r>
      <w:r w:rsidR="00F53056">
        <w:t xml:space="preserve">younger students and </w:t>
      </w:r>
      <w:r>
        <w:t xml:space="preserve">existing workers </w:t>
      </w:r>
      <w:r w:rsidR="00323FB1">
        <w:t>for</w:t>
      </w:r>
      <w:r w:rsidR="008C025E">
        <w:t xml:space="preserve"> higher-</w:t>
      </w:r>
      <w:r w:rsidR="00DC71CB">
        <w:t>paid jobs</w:t>
      </w:r>
      <w:r w:rsidR="00F53056">
        <w:t>.</w:t>
      </w:r>
      <w:r w:rsidR="00510D3B">
        <w:t xml:space="preserve"> </w:t>
      </w:r>
      <w:r w:rsidR="00F53056">
        <w:t>Pathways can help to retain skilled workers who might otherwise leave the industry through age or other fa</w:t>
      </w:r>
      <w:r w:rsidR="00152CC0">
        <w:t xml:space="preserve">ctors; pathways </w:t>
      </w:r>
      <w:r w:rsidR="00FE0ED5">
        <w:t>provide</w:t>
      </w:r>
      <w:r w:rsidR="00F53056">
        <w:t xml:space="preserve"> </w:t>
      </w:r>
      <w:r w:rsidR="005951C8">
        <w:t xml:space="preserve">recognition for existing skills </w:t>
      </w:r>
      <w:r w:rsidR="00DC71CB">
        <w:t xml:space="preserve">and </w:t>
      </w:r>
      <w:r w:rsidR="00152CC0">
        <w:t xml:space="preserve">enable </w:t>
      </w:r>
      <w:r w:rsidR="00F53056">
        <w:t xml:space="preserve">access to </w:t>
      </w:r>
      <w:r w:rsidR="00FE0ED5">
        <w:t>further formal higher learning</w:t>
      </w:r>
      <w:r w:rsidR="00DC71CB">
        <w:t xml:space="preserve">. Pathways also provide </w:t>
      </w:r>
      <w:r w:rsidR="000F23FF">
        <w:t>opportunities</w:t>
      </w:r>
      <w:r w:rsidR="00DC71CB">
        <w:t xml:space="preserve"> for </w:t>
      </w:r>
      <w:r w:rsidR="003F3DA6">
        <w:t xml:space="preserve">VET </w:t>
      </w:r>
      <w:r w:rsidR="00DC71CB">
        <w:t>students</w:t>
      </w:r>
      <w:r w:rsidR="003F3DA6">
        <w:t xml:space="preserve"> </w:t>
      </w:r>
      <w:r w:rsidR="00FE0ED5">
        <w:t xml:space="preserve">to </w:t>
      </w:r>
      <w:r w:rsidR="00F53056">
        <w:t xml:space="preserve">move </w:t>
      </w:r>
      <w:r w:rsidR="008C025E">
        <w:t>into degree-</w:t>
      </w:r>
      <w:r w:rsidR="00DC71CB">
        <w:t>level studies</w:t>
      </w:r>
      <w:r w:rsidR="00FE0ED5">
        <w:t xml:space="preserve"> either as a planned </w:t>
      </w:r>
      <w:r w:rsidR="00C769DF">
        <w:t>o</w:t>
      </w:r>
      <w:r w:rsidR="00FE0ED5">
        <w:t>utcome or one that emerges in the course of VET studies</w:t>
      </w:r>
      <w:r w:rsidR="00DC71CB">
        <w:t xml:space="preserve">. </w:t>
      </w:r>
      <w:r w:rsidR="00DC71CB" w:rsidRPr="00DE0A82">
        <w:t>W</w:t>
      </w:r>
      <w:r w:rsidR="00570847">
        <w:t>hile not taking advantage of such pathways,</w:t>
      </w:r>
      <w:r w:rsidR="00DC71CB" w:rsidRPr="00DE0A82">
        <w:t xml:space="preserve"> the industry is not capitalising on the</w:t>
      </w:r>
      <w:r w:rsidR="000F23FF">
        <w:t xml:space="preserve"> </w:t>
      </w:r>
      <w:r w:rsidR="00DC71CB" w:rsidRPr="00DE0A82">
        <w:t xml:space="preserve">potential of its </w:t>
      </w:r>
      <w:r w:rsidR="003F3DA6">
        <w:t xml:space="preserve">existing and future </w:t>
      </w:r>
      <w:r w:rsidR="00DC71CB" w:rsidRPr="00DE0A82">
        <w:t>workforce</w:t>
      </w:r>
      <w:r w:rsidR="00F53056">
        <w:t>.</w:t>
      </w:r>
      <w:r w:rsidR="00DC71CB">
        <w:t xml:space="preserve"> </w:t>
      </w:r>
    </w:p>
    <w:p w:rsidR="00F03813" w:rsidRDefault="00DC71CB" w:rsidP="00DC71CB">
      <w:pPr>
        <w:pStyle w:val="Text"/>
      </w:pPr>
      <w:r w:rsidRPr="00DE0A82">
        <w:t>At present</w:t>
      </w:r>
      <w:r>
        <w:t>, pathway</w:t>
      </w:r>
      <w:r w:rsidR="001A5755">
        <w:t xml:space="preserve"> outcomes</w:t>
      </w:r>
      <w:r>
        <w:t xml:space="preserve"> </w:t>
      </w:r>
      <w:r w:rsidR="00955D6E">
        <w:t xml:space="preserve">involving direct transfer </w:t>
      </w:r>
      <w:r w:rsidR="00425227">
        <w:t xml:space="preserve">of graduates </w:t>
      </w:r>
      <w:r w:rsidR="00955D6E">
        <w:t xml:space="preserve">from VET </w:t>
      </w:r>
      <w:r w:rsidR="00425227">
        <w:t xml:space="preserve">building </w:t>
      </w:r>
      <w:r w:rsidR="00955D6E">
        <w:t xml:space="preserve">studies to </w:t>
      </w:r>
      <w:r w:rsidR="00510D3B">
        <w:t>higher education</w:t>
      </w:r>
      <w:r w:rsidR="00955D6E">
        <w:t xml:space="preserve"> </w:t>
      </w:r>
      <w:r>
        <w:t xml:space="preserve">are </w:t>
      </w:r>
      <w:r w:rsidR="00955D6E">
        <w:t xml:space="preserve">very </w:t>
      </w:r>
      <w:r w:rsidR="005951C8">
        <w:t>limited</w:t>
      </w:r>
      <w:r w:rsidR="00955D6E">
        <w:t xml:space="preserve">, especially </w:t>
      </w:r>
      <w:r w:rsidR="00570847">
        <w:t>by</w:t>
      </w:r>
      <w:r w:rsidR="00955D6E">
        <w:t xml:space="preserve"> comparison </w:t>
      </w:r>
      <w:r w:rsidR="00570847">
        <w:t>with</w:t>
      </w:r>
      <w:r w:rsidR="00955D6E">
        <w:t xml:space="preserve"> many other industry fields of education</w:t>
      </w:r>
      <w:r w:rsidRPr="00DE0A82">
        <w:t>.</w:t>
      </w:r>
      <w:r w:rsidR="00510D3B">
        <w:t xml:space="preserve"> </w:t>
      </w:r>
      <w:r w:rsidR="00570847">
        <w:t>Data</w:t>
      </w:r>
      <w:r w:rsidR="002D18A5">
        <w:t xml:space="preserve"> from NCVER’s Student Outcomes Survey </w:t>
      </w:r>
      <w:r w:rsidR="00570847">
        <w:t>(SOS) provide</w:t>
      </w:r>
      <w:r w:rsidR="002D18A5">
        <w:t xml:space="preserve"> a picture of the destinations of VET graduates</w:t>
      </w:r>
      <w:r w:rsidR="00DA4AFF">
        <w:t xml:space="preserve"> into work and further study</w:t>
      </w:r>
      <w:r w:rsidR="00955D6E">
        <w:t xml:space="preserve"> six months after they graduate</w:t>
      </w:r>
      <w:r w:rsidR="002D18A5">
        <w:t>.</w:t>
      </w:r>
      <w:r w:rsidR="00533DC8">
        <w:t xml:space="preserve"> </w:t>
      </w:r>
      <w:r w:rsidR="00003A82">
        <w:t>For t</w:t>
      </w:r>
      <w:r w:rsidR="00430DFE">
        <w:t>he purposes of this study, data on VET grad</w:t>
      </w:r>
      <w:r w:rsidR="00003A82">
        <w:t>uates</w:t>
      </w:r>
      <w:r w:rsidR="00430DFE">
        <w:t xml:space="preserve">, rather than enrolments, </w:t>
      </w:r>
      <w:r w:rsidR="00570847">
        <w:t>are</w:t>
      </w:r>
      <w:r w:rsidR="00430DFE">
        <w:t xml:space="preserve"> used</w:t>
      </w:r>
      <w:r w:rsidR="00F03813">
        <w:t xml:space="preserve"> </w:t>
      </w:r>
      <w:r w:rsidR="00430DFE">
        <w:t xml:space="preserve">because graduates are more likely to be successful in transferring to </w:t>
      </w:r>
      <w:r w:rsidR="00510D3B">
        <w:t>higher education</w:t>
      </w:r>
      <w:r w:rsidR="00430DFE">
        <w:t xml:space="preserve"> </w:t>
      </w:r>
      <w:r w:rsidR="00BB55EF">
        <w:t>and</w:t>
      </w:r>
      <w:r w:rsidR="00430DFE">
        <w:t xml:space="preserve"> because reliable data on </w:t>
      </w:r>
      <w:r w:rsidR="00EE70D5">
        <w:t>graduate</w:t>
      </w:r>
      <w:r w:rsidR="00430DFE">
        <w:t xml:space="preserve"> destinations </w:t>
      </w:r>
      <w:r w:rsidR="00570847">
        <w:t>are</w:t>
      </w:r>
      <w:r w:rsidR="00430DFE">
        <w:t xml:space="preserve"> </w:t>
      </w:r>
      <w:r w:rsidR="00F03813">
        <w:t>available</w:t>
      </w:r>
      <w:r w:rsidR="00430DFE">
        <w:t xml:space="preserve">. </w:t>
      </w:r>
      <w:r w:rsidR="00570847">
        <w:t>However</w:t>
      </w:r>
      <w:r w:rsidR="00430DFE">
        <w:t xml:space="preserve">, it is </w:t>
      </w:r>
      <w:r w:rsidR="00570847">
        <w:t xml:space="preserve">also </w:t>
      </w:r>
      <w:r w:rsidR="00430DFE">
        <w:t xml:space="preserve">recognised that non-graduates from </w:t>
      </w:r>
      <w:r w:rsidR="00510D3B">
        <w:t>vocational education and training</w:t>
      </w:r>
      <w:r w:rsidR="00430DFE">
        <w:t xml:space="preserve"> may also go </w:t>
      </w:r>
      <w:r w:rsidR="004D5EEF">
        <w:t>on to</w:t>
      </w:r>
      <w:r w:rsidR="00430DFE">
        <w:t xml:space="preserve"> higher education but not on the basis of a completed award. </w:t>
      </w:r>
      <w:r w:rsidR="00955D6E">
        <w:t xml:space="preserve">Graduates and non-graduates may also go on to further study in </w:t>
      </w:r>
      <w:r w:rsidR="00510D3B">
        <w:t>higher education</w:t>
      </w:r>
      <w:r w:rsidR="00955D6E">
        <w:t xml:space="preserve"> many years after graduation.</w:t>
      </w:r>
    </w:p>
    <w:p w:rsidR="00FE0ED5" w:rsidRDefault="00EE70D5" w:rsidP="00DC71CB">
      <w:pPr>
        <w:pStyle w:val="Text"/>
      </w:pPr>
      <w:r>
        <w:t>T</w:t>
      </w:r>
      <w:r w:rsidR="00533DC8">
        <w:t>he average</w:t>
      </w:r>
      <w:r w:rsidR="0061406B">
        <w:t xml:space="preserve"> percentage </w:t>
      </w:r>
      <w:r w:rsidR="00533DC8">
        <w:t>of all VET graduates</w:t>
      </w:r>
      <w:r w:rsidR="009A79EF">
        <w:t xml:space="preserve"> (all </w:t>
      </w:r>
      <w:r w:rsidR="00570847">
        <w:t>Australian Qualifications Framework [AQF]</w:t>
      </w:r>
      <w:r w:rsidR="009A79EF">
        <w:t xml:space="preserve"> levels)</w:t>
      </w:r>
      <w:r w:rsidR="00533DC8">
        <w:t xml:space="preserve"> </w:t>
      </w:r>
      <w:r>
        <w:t xml:space="preserve">from 2010 </w:t>
      </w:r>
      <w:r w:rsidR="00533DC8">
        <w:t>going o</w:t>
      </w:r>
      <w:r w:rsidR="0061406B">
        <w:t xml:space="preserve">n to study at university </w:t>
      </w:r>
      <w:r w:rsidR="00955D6E">
        <w:t xml:space="preserve">in 2011 </w:t>
      </w:r>
      <w:r w:rsidR="0061406B">
        <w:t xml:space="preserve">was </w:t>
      </w:r>
      <w:r w:rsidR="002B0B85">
        <w:t>7.4%</w:t>
      </w:r>
      <w:r w:rsidR="00663D3B">
        <w:t xml:space="preserve">, </w:t>
      </w:r>
      <w:r w:rsidR="00F03813">
        <w:t>rising slightly to</w:t>
      </w:r>
      <w:r w:rsidR="00DA4AFF">
        <w:t xml:space="preserve"> 7.8% </w:t>
      </w:r>
      <w:r>
        <w:t>for</w:t>
      </w:r>
      <w:r w:rsidR="00DA4AFF">
        <w:t xml:space="preserve"> </w:t>
      </w:r>
      <w:r w:rsidR="003F3DA6">
        <w:t xml:space="preserve">the </w:t>
      </w:r>
      <w:r>
        <w:t xml:space="preserve">graduates </w:t>
      </w:r>
      <w:r w:rsidR="003F3DA6">
        <w:t xml:space="preserve">from 2011 </w:t>
      </w:r>
      <w:r w:rsidR="00847C08">
        <w:t>going on to university</w:t>
      </w:r>
      <w:r>
        <w:t xml:space="preserve"> </w:t>
      </w:r>
      <w:r w:rsidR="00BB55EF">
        <w:t xml:space="preserve">study </w:t>
      </w:r>
      <w:r>
        <w:t xml:space="preserve">in </w:t>
      </w:r>
      <w:r w:rsidR="00DA4AFF">
        <w:t>2012</w:t>
      </w:r>
      <w:r w:rsidR="000E312F">
        <w:t xml:space="preserve"> (</w:t>
      </w:r>
      <w:r w:rsidR="0061406B">
        <w:t>NCVER 2012a</w:t>
      </w:r>
      <w:r w:rsidR="00570847">
        <w:t>, p.</w:t>
      </w:r>
      <w:r w:rsidR="003E5710">
        <w:t>7</w:t>
      </w:r>
      <w:r w:rsidR="0061406B">
        <w:t>)</w:t>
      </w:r>
      <w:r w:rsidR="00533DC8">
        <w:t>.</w:t>
      </w:r>
      <w:r w:rsidR="004007EF">
        <w:t xml:space="preserve"> </w:t>
      </w:r>
      <w:r w:rsidR="00D765F8">
        <w:t>D</w:t>
      </w:r>
      <w:r w:rsidR="004007EF">
        <w:t xml:space="preserve">espite the significant focus on pathways </w:t>
      </w:r>
      <w:r w:rsidR="00C769DF">
        <w:t xml:space="preserve">in policy and practice, </w:t>
      </w:r>
      <w:r w:rsidR="00D765F8">
        <w:t xml:space="preserve">this </w:t>
      </w:r>
      <w:r w:rsidR="00570847">
        <w:t>VET</w:t>
      </w:r>
      <w:r w:rsidR="00BB55EF">
        <w:t xml:space="preserve"> to </w:t>
      </w:r>
      <w:r w:rsidR="00510D3B">
        <w:t>higher education</w:t>
      </w:r>
      <w:r w:rsidR="00BB55EF">
        <w:t xml:space="preserve"> transfer </w:t>
      </w:r>
      <w:r w:rsidR="00D765F8">
        <w:t xml:space="preserve">figure </w:t>
      </w:r>
      <w:r w:rsidR="004007EF">
        <w:t xml:space="preserve">has remained </w:t>
      </w:r>
      <w:r w:rsidR="00D765F8">
        <w:t xml:space="preserve">relatively </w:t>
      </w:r>
      <w:r w:rsidR="004007EF">
        <w:t>stable</w:t>
      </w:r>
      <w:r w:rsidR="002B0B85">
        <w:t>,</w:t>
      </w:r>
      <w:r w:rsidR="00955D6E">
        <w:t xml:space="preserve"> at</w:t>
      </w:r>
      <w:r w:rsidR="002B0B85">
        <w:t xml:space="preserve"> between 7</w:t>
      </w:r>
      <w:r w:rsidR="00570847">
        <w:t>%</w:t>
      </w:r>
      <w:r w:rsidR="002B0B85">
        <w:t xml:space="preserve"> </w:t>
      </w:r>
      <w:r w:rsidR="00570847">
        <w:t>and</w:t>
      </w:r>
      <w:r w:rsidR="002B0B85">
        <w:t xml:space="preserve"> </w:t>
      </w:r>
      <w:r w:rsidR="00663D3B">
        <w:t>8%</w:t>
      </w:r>
      <w:r>
        <w:t xml:space="preserve"> of the VET graduate pool</w:t>
      </w:r>
      <w:r w:rsidR="002B0B85">
        <w:t>,</w:t>
      </w:r>
      <w:r w:rsidR="00663D3B">
        <w:t xml:space="preserve"> </w:t>
      </w:r>
      <w:r w:rsidR="004007EF">
        <w:t>for the last eight years.</w:t>
      </w:r>
      <w:r w:rsidR="00510D3B">
        <w:t xml:space="preserve"> </w:t>
      </w:r>
    </w:p>
    <w:p w:rsidR="000D28AB" w:rsidRDefault="00663D3B" w:rsidP="00DC71CB">
      <w:pPr>
        <w:pStyle w:val="Text"/>
      </w:pPr>
      <w:r>
        <w:lastRenderedPageBreak/>
        <w:t xml:space="preserve">In </w:t>
      </w:r>
      <w:r w:rsidR="000E312F">
        <w:t xml:space="preserve">the field of </w:t>
      </w:r>
      <w:r w:rsidR="00323FB1">
        <w:t xml:space="preserve">architecture and </w:t>
      </w:r>
      <w:r w:rsidR="000E312F">
        <w:t xml:space="preserve">building </w:t>
      </w:r>
      <w:r w:rsidR="00533DC8">
        <w:t xml:space="preserve">the </w:t>
      </w:r>
      <w:r w:rsidR="000E312F">
        <w:t>rates</w:t>
      </w:r>
      <w:r w:rsidR="00533DC8">
        <w:t xml:space="preserve"> </w:t>
      </w:r>
      <w:r w:rsidR="00F03813">
        <w:t xml:space="preserve">of transfer to higher education </w:t>
      </w:r>
      <w:r w:rsidR="00EA4B2B">
        <w:t>are much lower</w:t>
      </w:r>
      <w:r w:rsidR="004007EF">
        <w:t xml:space="preserve"> </w:t>
      </w:r>
      <w:r w:rsidR="002B0B85">
        <w:t>than this average</w:t>
      </w:r>
      <w:r w:rsidR="00570847">
        <w:t>,</w:t>
      </w:r>
      <w:r w:rsidR="002B0B85">
        <w:t xml:space="preserve"> </w:t>
      </w:r>
      <w:r w:rsidR="004007EF">
        <w:t>at</w:t>
      </w:r>
      <w:r w:rsidR="00533DC8">
        <w:t xml:space="preserve"> just </w:t>
      </w:r>
      <w:r w:rsidR="000E312F">
        <w:t xml:space="preserve">2.7% </w:t>
      </w:r>
      <w:r w:rsidR="00EA4B2B">
        <w:t xml:space="preserve">of all graduates </w:t>
      </w:r>
      <w:r w:rsidR="00955D6E">
        <w:t xml:space="preserve">(all qualifications) </w:t>
      </w:r>
      <w:r w:rsidR="000217D7">
        <w:t>going on to university</w:t>
      </w:r>
      <w:r w:rsidR="00570847">
        <w:t xml:space="preserve"> in 2010—</w:t>
      </w:r>
      <w:r w:rsidR="008A2D64">
        <w:t>11</w:t>
      </w:r>
      <w:r w:rsidR="00DE563E">
        <w:t>,</w:t>
      </w:r>
      <w:r w:rsidR="000217D7">
        <w:t xml:space="preserve"> </w:t>
      </w:r>
      <w:r w:rsidR="002A3FFB">
        <w:t xml:space="preserve">falling to </w:t>
      </w:r>
      <w:r w:rsidR="000217D7">
        <w:t xml:space="preserve">just </w:t>
      </w:r>
      <w:r w:rsidR="00570847">
        <w:t>2.2% in 2011—</w:t>
      </w:r>
      <w:r w:rsidR="002A3FFB">
        <w:t>12</w:t>
      </w:r>
      <w:r w:rsidR="000E312F">
        <w:t xml:space="preserve"> (</w:t>
      </w:r>
      <w:r w:rsidR="004007EF">
        <w:t xml:space="preserve">NCVER </w:t>
      </w:r>
      <w:r w:rsidR="002A3FFB">
        <w:t>2011</w:t>
      </w:r>
      <w:r w:rsidR="00566065">
        <w:t>b</w:t>
      </w:r>
      <w:r w:rsidR="00323FB1">
        <w:t>,</w:t>
      </w:r>
      <w:r w:rsidR="004007EF">
        <w:t xml:space="preserve"> 2012b</w:t>
      </w:r>
      <w:r w:rsidR="002A3FFB">
        <w:t>).</w:t>
      </w:r>
      <w:r w:rsidR="00FE0ED5">
        <w:t xml:space="preserve"> </w:t>
      </w:r>
    </w:p>
    <w:p w:rsidR="00152CC0" w:rsidRDefault="00533DC8" w:rsidP="00DC71CB">
      <w:pPr>
        <w:pStyle w:val="Text"/>
      </w:pPr>
      <w:r>
        <w:t>Th</w:t>
      </w:r>
      <w:r w:rsidR="002A3FFB">
        <w:t xml:space="preserve">ere are a number of reasons for the </w:t>
      </w:r>
      <w:r w:rsidR="000E312F">
        <w:t>lower rates</w:t>
      </w:r>
      <w:r w:rsidR="002A3FFB">
        <w:t xml:space="preserve"> </w:t>
      </w:r>
      <w:r w:rsidR="00BB55EF">
        <w:t xml:space="preserve">of </w:t>
      </w:r>
      <w:r w:rsidR="00162C77">
        <w:t>VET</w:t>
      </w:r>
      <w:r w:rsidR="00BB55EF">
        <w:t xml:space="preserve"> to </w:t>
      </w:r>
      <w:r w:rsidR="00510D3B">
        <w:t>higher education</w:t>
      </w:r>
      <w:r w:rsidR="00BB55EF">
        <w:t xml:space="preserve"> transfer </w:t>
      </w:r>
      <w:r w:rsidR="002A3FFB">
        <w:t xml:space="preserve">in this field. One is the </w:t>
      </w:r>
      <w:r w:rsidR="00254073">
        <w:t>much lower percentage of diploma</w:t>
      </w:r>
      <w:r w:rsidR="009A79EF">
        <w:t xml:space="preserve"> and above</w:t>
      </w:r>
      <w:r w:rsidR="00254073">
        <w:t xml:space="preserve"> graduates</w:t>
      </w:r>
      <w:r w:rsidR="00162C77">
        <w:t>,</w:t>
      </w:r>
      <w:r w:rsidR="009A79EF">
        <w:rPr>
          <w:rStyle w:val="FootnoteReference"/>
        </w:rPr>
        <w:footnoteReference w:id="5"/>
      </w:r>
      <w:r w:rsidR="00E84EAA">
        <w:t xml:space="preserve"> </w:t>
      </w:r>
      <w:r w:rsidR="00C02054">
        <w:t>in the</w:t>
      </w:r>
      <w:r w:rsidR="002B0B85">
        <w:t xml:space="preserve"> field</w:t>
      </w:r>
      <w:r w:rsidR="000D28AB">
        <w:t xml:space="preserve"> of architecture and building</w:t>
      </w:r>
      <w:r w:rsidR="008A2D64">
        <w:t>, as a proportion of VET graduates</w:t>
      </w:r>
      <w:r w:rsidR="00E84EAA">
        <w:t>.</w:t>
      </w:r>
      <w:r w:rsidR="000D28AB">
        <w:t xml:space="preserve"> Diploma </w:t>
      </w:r>
      <w:r w:rsidR="0024129B">
        <w:t xml:space="preserve">and above </w:t>
      </w:r>
      <w:r w:rsidR="00E84EAA">
        <w:t xml:space="preserve">graduates </w:t>
      </w:r>
      <w:r w:rsidR="0024129B">
        <w:t xml:space="preserve">comprise </w:t>
      </w:r>
      <w:r w:rsidR="000217D7">
        <w:t xml:space="preserve">only </w:t>
      </w:r>
      <w:r w:rsidR="00254073">
        <w:t>6.9%</w:t>
      </w:r>
      <w:r w:rsidR="00E84EAA">
        <w:t xml:space="preserve"> of all </w:t>
      </w:r>
      <w:r w:rsidR="0041511D">
        <w:t xml:space="preserve">the </w:t>
      </w:r>
      <w:r w:rsidR="00E84EAA">
        <w:t xml:space="preserve">graduates in </w:t>
      </w:r>
      <w:r w:rsidR="0024129B">
        <w:t>this field</w:t>
      </w:r>
      <w:r w:rsidR="00E06003">
        <w:t xml:space="preserve">. This </w:t>
      </w:r>
      <w:r w:rsidR="0000544F">
        <w:t>compares</w:t>
      </w:r>
      <w:r w:rsidR="00E06003">
        <w:t xml:space="preserve"> with</w:t>
      </w:r>
      <w:r w:rsidR="002B0B85">
        <w:t xml:space="preserve"> </w:t>
      </w:r>
      <w:r w:rsidR="000217D7">
        <w:t xml:space="preserve">13.9% </w:t>
      </w:r>
      <w:r w:rsidR="00B70C29">
        <w:t>of all graduates</w:t>
      </w:r>
      <w:r w:rsidR="002B0B85">
        <w:t xml:space="preserve"> </w:t>
      </w:r>
      <w:r w:rsidR="00E06003">
        <w:t xml:space="preserve">at </w:t>
      </w:r>
      <w:r w:rsidR="0000544F">
        <w:t>diploma and above</w:t>
      </w:r>
      <w:r w:rsidR="000D28AB">
        <w:t xml:space="preserve">, </w:t>
      </w:r>
      <w:r w:rsidR="002B0B85">
        <w:t>across</w:t>
      </w:r>
      <w:r w:rsidR="000D28AB">
        <w:t xml:space="preserve"> all fields (NCVER</w:t>
      </w:r>
      <w:r w:rsidR="003F3DA6">
        <w:t xml:space="preserve"> </w:t>
      </w:r>
      <w:r w:rsidR="000D28AB">
        <w:t>201</w:t>
      </w:r>
      <w:r w:rsidR="00B212E0">
        <w:t>1</w:t>
      </w:r>
      <w:r w:rsidR="00496EF9">
        <w:t>a</w:t>
      </w:r>
      <w:r w:rsidR="00162C77">
        <w:t>, t</w:t>
      </w:r>
      <w:r w:rsidR="00B212E0">
        <w:t>able 2</w:t>
      </w:r>
      <w:r w:rsidR="000D28AB">
        <w:t>)</w:t>
      </w:r>
      <w:r w:rsidR="00646B15">
        <w:t>.</w:t>
      </w:r>
      <w:r w:rsidR="00E06003">
        <w:t xml:space="preserve"> </w:t>
      </w:r>
      <w:r w:rsidR="00646B15">
        <w:t>In effect, the percentage of graduates in diplomas</w:t>
      </w:r>
      <w:r w:rsidR="00BB55EF">
        <w:t xml:space="preserve"> and above </w:t>
      </w:r>
      <w:r w:rsidR="00646B15">
        <w:t xml:space="preserve">across all fields is nearly double that of </w:t>
      </w:r>
      <w:r w:rsidR="00663D3B">
        <w:t>architecture/building</w:t>
      </w:r>
      <w:r w:rsidR="00254073">
        <w:t>.</w:t>
      </w:r>
      <w:r w:rsidR="00510D3B">
        <w:t xml:space="preserve"> </w:t>
      </w:r>
    </w:p>
    <w:p w:rsidR="00646B15" w:rsidRDefault="00F53056" w:rsidP="00DC71CB">
      <w:pPr>
        <w:pStyle w:val="Text"/>
      </w:pPr>
      <w:r>
        <w:t xml:space="preserve">The low percentage of diploma graduates </w:t>
      </w:r>
      <w:r w:rsidR="00646B15">
        <w:t xml:space="preserve">in this industry </w:t>
      </w:r>
      <w:r>
        <w:t>is a key issue</w:t>
      </w:r>
      <w:r w:rsidR="00162C77">
        <w:t>, given that diploma-</w:t>
      </w:r>
      <w:r w:rsidR="00E84EAA">
        <w:t>level qualificati</w:t>
      </w:r>
      <w:r w:rsidR="00323FB1">
        <w:t>ons constitute the main gateway</w:t>
      </w:r>
      <w:r w:rsidR="00E84EAA">
        <w:t xml:space="preserve"> into university for all VET graduates</w:t>
      </w:r>
      <w:r w:rsidR="00C02054">
        <w:t xml:space="preserve"> (</w:t>
      </w:r>
      <w:proofErr w:type="spellStart"/>
      <w:r w:rsidR="00C02054">
        <w:t>Wheelahan</w:t>
      </w:r>
      <w:proofErr w:type="spellEnd"/>
      <w:r w:rsidR="00C02054">
        <w:t xml:space="preserve"> 2009</w:t>
      </w:r>
      <w:r w:rsidR="00250F95">
        <w:t>b</w:t>
      </w:r>
      <w:r w:rsidR="00162C77">
        <w:t xml:space="preserve">, </w:t>
      </w:r>
      <w:r w:rsidR="00250F95">
        <w:t>2009c)</w:t>
      </w:r>
      <w:r w:rsidR="00E84EAA">
        <w:t xml:space="preserve">. </w:t>
      </w:r>
      <w:r w:rsidR="00162C77">
        <w:t>NCVER data confirm the</w:t>
      </w:r>
      <w:r w:rsidR="00323FB1">
        <w:t>ir</w:t>
      </w:r>
      <w:r w:rsidR="00162C77">
        <w:t xml:space="preserve"> importance </w:t>
      </w:r>
      <w:r w:rsidR="00646B15">
        <w:t xml:space="preserve">for students </w:t>
      </w:r>
      <w:r w:rsidR="009A2FD2">
        <w:t xml:space="preserve">across all fields </w:t>
      </w:r>
      <w:r w:rsidR="00646B15">
        <w:t xml:space="preserve">moving </w:t>
      </w:r>
      <w:r w:rsidR="00250F95">
        <w:t xml:space="preserve">from </w:t>
      </w:r>
      <w:r w:rsidR="00162C77">
        <w:t>VET</w:t>
      </w:r>
      <w:r w:rsidR="00250F95">
        <w:t xml:space="preserve"> to </w:t>
      </w:r>
      <w:r w:rsidR="00510D3B">
        <w:t>higher education</w:t>
      </w:r>
      <w:r w:rsidR="00250F95">
        <w:t xml:space="preserve">, </w:t>
      </w:r>
      <w:r w:rsidR="000217D7">
        <w:t>with 15.3% of all gra</w:t>
      </w:r>
      <w:r w:rsidR="00162C77">
        <w:t xml:space="preserve">duates at these levels going </w:t>
      </w:r>
      <w:r w:rsidR="004D5EEF">
        <w:t>on to</w:t>
      </w:r>
      <w:r w:rsidR="000217D7">
        <w:t xml:space="preserve"> university </w:t>
      </w:r>
      <w:r w:rsidR="0070180E">
        <w:t xml:space="preserve">and 15.2% undertaking a bachelor degree </w:t>
      </w:r>
      <w:r w:rsidR="00064761">
        <w:t>(NCVER 2011</w:t>
      </w:r>
      <w:r w:rsidR="00B212E0">
        <w:t>a</w:t>
      </w:r>
      <w:r w:rsidR="00162C77">
        <w:t>, t</w:t>
      </w:r>
      <w:r w:rsidR="000217D7">
        <w:t>able 40)</w:t>
      </w:r>
      <w:r w:rsidR="00785BCA">
        <w:t xml:space="preserve">. </w:t>
      </w:r>
    </w:p>
    <w:p w:rsidR="001F5979" w:rsidRDefault="00785BCA" w:rsidP="00DC71CB">
      <w:pPr>
        <w:pStyle w:val="Text"/>
      </w:pPr>
      <w:r>
        <w:t xml:space="preserve">Diploma graduates in </w:t>
      </w:r>
      <w:r w:rsidR="00162C77">
        <w:t xml:space="preserve">architecture and </w:t>
      </w:r>
      <w:r w:rsidR="00B70C29">
        <w:t xml:space="preserve">building </w:t>
      </w:r>
      <w:r>
        <w:t>show comparable, even slightly higher</w:t>
      </w:r>
      <w:r w:rsidR="00C71FCA">
        <w:t>,</w:t>
      </w:r>
      <w:r>
        <w:t xml:space="preserve"> </w:t>
      </w:r>
      <w:r w:rsidR="00C71FCA">
        <w:t>rates</w:t>
      </w:r>
      <w:r>
        <w:t xml:space="preserve"> </w:t>
      </w:r>
      <w:r w:rsidR="00646B15">
        <w:t xml:space="preserve">of transfer </w:t>
      </w:r>
      <w:r w:rsidR="004C1D27">
        <w:t>with</w:t>
      </w:r>
      <w:r w:rsidR="0000544F">
        <w:t xml:space="preserve"> </w:t>
      </w:r>
      <w:r w:rsidR="003F3DA6">
        <w:t xml:space="preserve">graduates in </w:t>
      </w:r>
      <w:r w:rsidR="0000544F">
        <w:t xml:space="preserve">all fields, </w:t>
      </w:r>
      <w:r>
        <w:t>with 17.2% going</w:t>
      </w:r>
      <w:r w:rsidR="00162C77">
        <w:t xml:space="preserve"> </w:t>
      </w:r>
      <w:r w:rsidR="004D5EEF">
        <w:t>on to</w:t>
      </w:r>
      <w:r>
        <w:t xml:space="preserve"> university </w:t>
      </w:r>
      <w:r w:rsidR="0070180E">
        <w:t xml:space="preserve">and 16.5% enrolled in a bachelor degree </w:t>
      </w:r>
      <w:r w:rsidR="00B70C29">
        <w:t>(</w:t>
      </w:r>
      <w:r w:rsidR="00064761">
        <w:t>NCVER 2011</w:t>
      </w:r>
      <w:r w:rsidR="00B212E0">
        <w:t>a</w:t>
      </w:r>
      <w:r w:rsidR="00162C77">
        <w:t>, t</w:t>
      </w:r>
      <w:r>
        <w:t>able 13)</w:t>
      </w:r>
      <w:r w:rsidR="00B70C29">
        <w:t>.</w:t>
      </w:r>
      <w:r w:rsidR="000217D7">
        <w:t xml:space="preserve"> </w:t>
      </w:r>
      <w:r w:rsidR="00D147AF">
        <w:t>The</w:t>
      </w:r>
      <w:r w:rsidR="00B70C29">
        <w:t>se figures suggest</w:t>
      </w:r>
      <w:r w:rsidR="00663D3B">
        <w:t xml:space="preserve"> that </w:t>
      </w:r>
      <w:r w:rsidR="00152CC0">
        <w:t xml:space="preserve">a student completing a diploma in this field </w:t>
      </w:r>
      <w:r w:rsidR="0070180E">
        <w:t xml:space="preserve">has </w:t>
      </w:r>
      <w:r w:rsidR="00B70C29">
        <w:t xml:space="preserve">similar transfer rates to university as </w:t>
      </w:r>
      <w:r w:rsidR="00152CC0">
        <w:t>student</w:t>
      </w:r>
      <w:r w:rsidR="00B70C29">
        <w:t>s</w:t>
      </w:r>
      <w:r w:rsidR="00152CC0">
        <w:t xml:space="preserve"> </w:t>
      </w:r>
      <w:r w:rsidR="00B70C29">
        <w:t xml:space="preserve">across all </w:t>
      </w:r>
      <w:r w:rsidR="00152CC0">
        <w:t>field</w:t>
      </w:r>
      <w:r w:rsidR="00B70C29">
        <w:t>s</w:t>
      </w:r>
      <w:r w:rsidR="0070180E">
        <w:t xml:space="preserve">. </w:t>
      </w:r>
    </w:p>
    <w:p w:rsidR="00927646" w:rsidRDefault="0070180E" w:rsidP="00DC71CB">
      <w:pPr>
        <w:pStyle w:val="Text"/>
      </w:pPr>
      <w:r>
        <w:t xml:space="preserve">The key problem is </w:t>
      </w:r>
      <w:r w:rsidR="00B70C29">
        <w:t xml:space="preserve">the much lower percentage of </w:t>
      </w:r>
      <w:r>
        <w:t>diploma graduates</w:t>
      </w:r>
      <w:r w:rsidR="00B70C29">
        <w:t xml:space="preserve"> </w:t>
      </w:r>
      <w:r w:rsidR="001F5979">
        <w:t>(</w:t>
      </w:r>
      <w:r w:rsidR="00646B15">
        <w:t xml:space="preserve">as a proportion of </w:t>
      </w:r>
      <w:r w:rsidR="00B212E0">
        <w:t>the</w:t>
      </w:r>
      <w:r w:rsidR="00646B15">
        <w:t xml:space="preserve"> graduates in th</w:t>
      </w:r>
      <w:r w:rsidR="001F5979">
        <w:t>is</w:t>
      </w:r>
      <w:r w:rsidR="00646B15">
        <w:t xml:space="preserve"> field</w:t>
      </w:r>
      <w:r w:rsidR="008567A7">
        <w:t>)</w:t>
      </w:r>
      <w:r w:rsidR="00646B15">
        <w:t xml:space="preserve"> </w:t>
      </w:r>
      <w:r w:rsidR="00B70C29">
        <w:t>and how this translates to actual stu</w:t>
      </w:r>
      <w:r w:rsidR="00D147AF">
        <w:t>d</w:t>
      </w:r>
      <w:r w:rsidR="001A5755">
        <w:t>ent numbers</w:t>
      </w:r>
      <w:r w:rsidR="00927646">
        <w:t>. In 2010</w:t>
      </w:r>
      <w:r>
        <w:t>,</w:t>
      </w:r>
      <w:r w:rsidR="00927646">
        <w:t xml:space="preserve"> the total </w:t>
      </w:r>
      <w:r w:rsidR="00D147AF">
        <w:t xml:space="preserve">diploma </w:t>
      </w:r>
      <w:r w:rsidR="001F5979">
        <w:t xml:space="preserve">and above </w:t>
      </w:r>
      <w:r w:rsidR="00927646">
        <w:t xml:space="preserve">graduate pool </w:t>
      </w:r>
      <w:r w:rsidR="00646B15">
        <w:t xml:space="preserve">in </w:t>
      </w:r>
      <w:r w:rsidR="00510D3B">
        <w:t>vocational education and training</w:t>
      </w:r>
      <w:r w:rsidR="00646B15">
        <w:t xml:space="preserve"> </w:t>
      </w:r>
      <w:r w:rsidR="00162C77">
        <w:t xml:space="preserve">was estimated at 81 </w:t>
      </w:r>
      <w:r w:rsidR="00927646">
        <w:t>800, of which only 2810 or 3.4% were in architecture and building.</w:t>
      </w:r>
      <w:r w:rsidR="00510D3B">
        <w:t xml:space="preserve"> </w:t>
      </w:r>
      <w:r>
        <w:t xml:space="preserve">At a </w:t>
      </w:r>
      <w:r w:rsidR="00646B15">
        <w:t xml:space="preserve">VET graduate </w:t>
      </w:r>
      <w:r>
        <w:t xml:space="preserve">transfer rate of 15.2% across all fields, this </w:t>
      </w:r>
      <w:r w:rsidR="00B70C29">
        <w:t xml:space="preserve">translates to approximately </w:t>
      </w:r>
      <w:r w:rsidR="00162C77">
        <w:t xml:space="preserve">12 </w:t>
      </w:r>
      <w:r>
        <w:t xml:space="preserve">434 </w:t>
      </w:r>
      <w:r w:rsidR="00A3435E">
        <w:t>of all diploma</w:t>
      </w:r>
      <w:r w:rsidR="001F5979">
        <w:t xml:space="preserve"> </w:t>
      </w:r>
      <w:r>
        <w:t>graduates</w:t>
      </w:r>
      <w:r w:rsidR="00C71FCA">
        <w:t xml:space="preserve"> going on to</w:t>
      </w:r>
      <w:r w:rsidR="00A3435E">
        <w:t xml:space="preserve"> a bachelor </w:t>
      </w:r>
      <w:r w:rsidR="00C71FCA">
        <w:t>degree</w:t>
      </w:r>
      <w:r>
        <w:t xml:space="preserve">. The comparable number of graduates </w:t>
      </w:r>
      <w:r w:rsidR="00663D3B">
        <w:t xml:space="preserve">transferring </w:t>
      </w:r>
      <w:r w:rsidR="00C71FCA">
        <w:t>in</w:t>
      </w:r>
      <w:r w:rsidR="00663D3B">
        <w:t>to a degree</w:t>
      </w:r>
      <w:r>
        <w:t xml:space="preserve"> in </w:t>
      </w:r>
      <w:r w:rsidR="00162C77">
        <w:t>architecture</w:t>
      </w:r>
      <w:r w:rsidR="00323FB1">
        <w:t xml:space="preserve"> and </w:t>
      </w:r>
      <w:r w:rsidR="00064761">
        <w:t>building</w:t>
      </w:r>
      <w:r w:rsidR="00B70C29">
        <w:t xml:space="preserve"> </w:t>
      </w:r>
      <w:r w:rsidR="00A3435E">
        <w:t xml:space="preserve">from a diploma and above </w:t>
      </w:r>
      <w:r>
        <w:t>was just 464</w:t>
      </w:r>
      <w:r w:rsidR="00DE563E">
        <w:t xml:space="preserve"> students</w:t>
      </w:r>
      <w:r w:rsidR="001F5979">
        <w:t xml:space="preserve"> </w:t>
      </w:r>
      <w:r w:rsidR="00663D3B">
        <w:t>(16.5% of 2810)</w:t>
      </w:r>
      <w:r w:rsidR="008A2D64">
        <w:t xml:space="preserve"> (NCVER</w:t>
      </w:r>
      <w:r w:rsidR="001F5979">
        <w:t xml:space="preserve"> </w:t>
      </w:r>
      <w:r w:rsidR="00777E25">
        <w:t>201</w:t>
      </w:r>
      <w:r w:rsidR="00F9384D">
        <w:t>1a</w:t>
      </w:r>
      <w:r w:rsidR="00777E25">
        <w:t>).</w:t>
      </w:r>
    </w:p>
    <w:p w:rsidR="00C71FCA" w:rsidRDefault="00646B15" w:rsidP="00DC71CB">
      <w:pPr>
        <w:pStyle w:val="Text"/>
      </w:pPr>
      <w:r>
        <w:t xml:space="preserve">The low number of diploma and above graduates in this field is a reflection of the low number of </w:t>
      </w:r>
      <w:r w:rsidR="006C260D">
        <w:t>enrolments at these AQF levels</w:t>
      </w:r>
      <w:r w:rsidR="00C71FCA">
        <w:t>. Enr</w:t>
      </w:r>
      <w:r w:rsidR="00E06003">
        <w:t xml:space="preserve">olments in diplomas and advanced diplomas </w:t>
      </w:r>
      <w:r w:rsidR="006C260D">
        <w:t xml:space="preserve">in this field have averaged just </w:t>
      </w:r>
      <w:r w:rsidR="00162C77">
        <w:t xml:space="preserve">below 11 </w:t>
      </w:r>
      <w:r w:rsidR="007E6130">
        <w:t>000</w:t>
      </w:r>
      <w:r w:rsidR="00E06003">
        <w:t xml:space="preserve"> students </w:t>
      </w:r>
      <w:r w:rsidR="007E6130">
        <w:t xml:space="preserve">per annum </w:t>
      </w:r>
      <w:r w:rsidR="00E06003">
        <w:t xml:space="preserve">in the </w:t>
      </w:r>
      <w:r w:rsidR="006C260D">
        <w:t>five years</w:t>
      </w:r>
      <w:r w:rsidR="00162C77">
        <w:t xml:space="preserve"> 2007—</w:t>
      </w:r>
      <w:r w:rsidR="00E06003">
        <w:t>11 and have remained static over this period</w:t>
      </w:r>
      <w:r w:rsidR="00162C77">
        <w:t xml:space="preserve"> (NCVER 2012d, t</w:t>
      </w:r>
      <w:r w:rsidR="00566065">
        <w:t>able 1)</w:t>
      </w:r>
      <w:r w:rsidR="00E06003">
        <w:t xml:space="preserve">. </w:t>
      </w:r>
      <w:r w:rsidR="00162C77">
        <w:t>By</w:t>
      </w:r>
      <w:r w:rsidR="00E06003">
        <w:t xml:space="preserve"> com</w:t>
      </w:r>
      <w:r w:rsidR="00566065">
        <w:t xml:space="preserve">parison, enrolments in diplomas and </w:t>
      </w:r>
      <w:r w:rsidR="00E06003">
        <w:t xml:space="preserve">advanced diplomas across all fields have continued to grow </w:t>
      </w:r>
      <w:r w:rsidR="00162C77">
        <w:t>each</w:t>
      </w:r>
      <w:r w:rsidR="00E06003">
        <w:t xml:space="preserve"> year</w:t>
      </w:r>
      <w:r w:rsidR="00777E25">
        <w:t>,</w:t>
      </w:r>
      <w:r w:rsidR="00E06003">
        <w:t xml:space="preserve"> over the same period</w:t>
      </w:r>
      <w:r w:rsidR="00162C77">
        <w:t xml:space="preserve">, with a total enrolment of 257 </w:t>
      </w:r>
      <w:r w:rsidR="00E06003">
        <w:t xml:space="preserve">300 in 2011, </w:t>
      </w:r>
      <w:r w:rsidR="008A2D64">
        <w:t xml:space="preserve">representing </w:t>
      </w:r>
      <w:r w:rsidR="00E06003">
        <w:t>an increase of 56.8% over 2007</w:t>
      </w:r>
      <w:r w:rsidR="001F5979">
        <w:t xml:space="preserve"> </w:t>
      </w:r>
      <w:r w:rsidR="00E06003">
        <w:t>(NCVER 2012</w:t>
      </w:r>
      <w:r w:rsidR="00F9384D">
        <w:t>c</w:t>
      </w:r>
      <w:r w:rsidR="00162C77">
        <w:t>, t</w:t>
      </w:r>
      <w:r w:rsidR="00566065">
        <w:t>able 4</w:t>
      </w:r>
      <w:r w:rsidR="00777E25">
        <w:t>)</w:t>
      </w:r>
      <w:r w:rsidR="001F5979">
        <w:t>.</w:t>
      </w:r>
      <w:r w:rsidR="00E06003">
        <w:t xml:space="preserve"> </w:t>
      </w:r>
      <w:r w:rsidR="009A2FD2">
        <w:t xml:space="preserve">It should be noted </w:t>
      </w:r>
      <w:r w:rsidR="00162C77">
        <w:t xml:space="preserve">that </w:t>
      </w:r>
      <w:r w:rsidR="009A2FD2">
        <w:t xml:space="preserve">these figures are for publically funded </w:t>
      </w:r>
      <w:r w:rsidR="00510D3B">
        <w:t>vocational education and training</w:t>
      </w:r>
      <w:r w:rsidR="009A2FD2">
        <w:t xml:space="preserve"> and do not include pri</w:t>
      </w:r>
      <w:r w:rsidR="00D34047">
        <w:t>vate fee-for-service provision. (S</w:t>
      </w:r>
      <w:r w:rsidR="00323FB1">
        <w:t>ee a</w:t>
      </w:r>
      <w:r w:rsidR="00E06003">
        <w:t>ppendix for more details</w:t>
      </w:r>
      <w:r w:rsidR="001F5979">
        <w:t>.</w:t>
      </w:r>
      <w:r w:rsidR="00D34047">
        <w:t>)</w:t>
      </w:r>
      <w:r w:rsidR="00510D3B">
        <w:t xml:space="preserve"> </w:t>
      </w:r>
      <w:r w:rsidR="008A2D64">
        <w:t>The</w:t>
      </w:r>
      <w:r w:rsidR="00E06003">
        <w:t xml:space="preserve"> static enrolment</w:t>
      </w:r>
      <w:r w:rsidR="001F5979">
        <w:t>s</w:t>
      </w:r>
      <w:r w:rsidR="00E06003">
        <w:t xml:space="preserve"> </w:t>
      </w:r>
      <w:r w:rsidR="00777E25">
        <w:t xml:space="preserve">in diplomas </w:t>
      </w:r>
      <w:r w:rsidR="00E06003">
        <w:t xml:space="preserve">in </w:t>
      </w:r>
      <w:r w:rsidR="00323FB1">
        <w:t>this field significantly impact</w:t>
      </w:r>
      <w:r w:rsidR="00E06003">
        <w:t xml:space="preserve"> on</w:t>
      </w:r>
      <w:r w:rsidR="008A2D64">
        <w:t xml:space="preserve"> the capacity to increase the graduate pool.</w:t>
      </w:r>
      <w:r w:rsidR="00E06003">
        <w:t xml:space="preserve"> </w:t>
      </w:r>
    </w:p>
    <w:p w:rsidR="00B212E0" w:rsidRDefault="00DE563E" w:rsidP="00DE1C77">
      <w:pPr>
        <w:pStyle w:val="Text"/>
      </w:pPr>
      <w:r>
        <w:t xml:space="preserve">Another issue is the much lower rates of transfer </w:t>
      </w:r>
      <w:r w:rsidR="00D34047">
        <w:t>to higher-</w:t>
      </w:r>
      <w:r w:rsidR="00EC223A">
        <w:t xml:space="preserve">level </w:t>
      </w:r>
      <w:r w:rsidR="009570C3">
        <w:t xml:space="preserve">AQF qualifications </w:t>
      </w:r>
      <w:r w:rsidR="00B212E0">
        <w:t xml:space="preserve">in </w:t>
      </w:r>
      <w:r w:rsidR="00510D3B">
        <w:t>vocational education and training</w:t>
      </w:r>
      <w:r w:rsidR="00B212E0">
        <w:t xml:space="preserve"> </w:t>
      </w:r>
      <w:r w:rsidR="00323FB1">
        <w:t xml:space="preserve">by graduates with </w:t>
      </w:r>
      <w:r w:rsidR="009570C3">
        <w:t>tr</w:t>
      </w:r>
      <w:r w:rsidR="00323FB1">
        <w:t>ade-related</w:t>
      </w:r>
      <w:r w:rsidR="00D34047">
        <w:t xml:space="preserve"> qualifications at certificate III and</w:t>
      </w:r>
      <w:r w:rsidR="009570C3">
        <w:t xml:space="preserve"> IV</w:t>
      </w:r>
      <w:r w:rsidR="00EC223A">
        <w:t xml:space="preserve"> in this field compared with all fields</w:t>
      </w:r>
      <w:r w:rsidR="009570C3">
        <w:t xml:space="preserve">. </w:t>
      </w:r>
      <w:r w:rsidR="00EC223A">
        <w:t xml:space="preserve">Given the size of the graduate pool at these AQF levels and the potential of this pool for increasing both the diploma pool of students or in adding to </w:t>
      </w:r>
      <w:r w:rsidR="00D34047">
        <w:t>VET</w:t>
      </w:r>
      <w:r w:rsidR="00EC223A">
        <w:t xml:space="preserve"> to </w:t>
      </w:r>
      <w:r w:rsidR="00510D3B">
        <w:t>higher education</w:t>
      </w:r>
      <w:r w:rsidR="00EC223A">
        <w:t xml:space="preserve"> transfer</w:t>
      </w:r>
      <w:r w:rsidR="008F09DF">
        <w:t>, the impact is significant</w:t>
      </w:r>
      <w:r w:rsidR="00EC223A">
        <w:t xml:space="preserve">. </w:t>
      </w:r>
    </w:p>
    <w:p w:rsidR="00DE1C77" w:rsidRDefault="00D34047" w:rsidP="00DE1C77">
      <w:pPr>
        <w:pStyle w:val="Text"/>
      </w:pPr>
      <w:r>
        <w:lastRenderedPageBreak/>
        <w:t>Graduates at c</w:t>
      </w:r>
      <w:r w:rsidR="00EC223A">
        <w:t xml:space="preserve">ertificate III/IV </w:t>
      </w:r>
      <w:r w:rsidR="00DE563E">
        <w:t>consti</w:t>
      </w:r>
      <w:r w:rsidR="00663D3B">
        <w:t>tute 59.3% of all VET gra</w:t>
      </w:r>
      <w:r w:rsidR="00DE563E">
        <w:t>du</w:t>
      </w:r>
      <w:r w:rsidR="00663D3B">
        <w:t>a</w:t>
      </w:r>
      <w:r w:rsidR="00DE563E">
        <w:t>tes in this field</w:t>
      </w:r>
      <w:r w:rsidR="00FD37CF">
        <w:t>,</w:t>
      </w:r>
      <w:r w:rsidR="00370DC6">
        <w:t xml:space="preserve"> </w:t>
      </w:r>
      <w:r w:rsidR="00EC223A">
        <w:t>with an estimated population of 24</w:t>
      </w:r>
      <w:r w:rsidR="00FD37CF">
        <w:t xml:space="preserve"> </w:t>
      </w:r>
      <w:r w:rsidR="00EC223A">
        <w:t>580</w:t>
      </w:r>
      <w:r w:rsidR="00FD37CF">
        <w:t xml:space="preserve"> </w:t>
      </w:r>
      <w:r w:rsidR="008F09DF">
        <w:t xml:space="preserve">(NCVER </w:t>
      </w:r>
      <w:r w:rsidR="00F9384D">
        <w:t>2011a</w:t>
      </w:r>
      <w:r>
        <w:t>, t</w:t>
      </w:r>
      <w:r w:rsidR="00B212E0">
        <w:t>able 2</w:t>
      </w:r>
      <w:r w:rsidR="00F9384D">
        <w:t>)</w:t>
      </w:r>
      <w:r w:rsidR="00663D3B">
        <w:t xml:space="preserve">. </w:t>
      </w:r>
      <w:r w:rsidR="00370DC6">
        <w:t>Of this cohort</w:t>
      </w:r>
      <w:r w:rsidR="00FD37CF">
        <w:t>,</w:t>
      </w:r>
      <w:r w:rsidR="00370DC6">
        <w:t xml:space="preserve"> only 3.1% </w:t>
      </w:r>
      <w:r w:rsidR="00F9384D">
        <w:t>continued wit</w:t>
      </w:r>
      <w:r w:rsidR="00370DC6">
        <w:t>h</w:t>
      </w:r>
      <w:r w:rsidR="00F9384D">
        <w:t xml:space="preserve"> studies into a diploma or advanced diploma </w:t>
      </w:r>
      <w:r w:rsidR="0078671B">
        <w:t>and only</w:t>
      </w:r>
      <w:r w:rsidR="00DC71CB">
        <w:t xml:space="preserve"> 1.1% went on to study a bachelor degree</w:t>
      </w:r>
      <w:r w:rsidR="00FD37CF">
        <w:t xml:space="preserve"> (NCVER 2011a, t</w:t>
      </w:r>
      <w:r w:rsidR="00B212E0">
        <w:t>able</w:t>
      </w:r>
      <w:r w:rsidR="004E7A11">
        <w:t> </w:t>
      </w:r>
      <w:r w:rsidR="00F1028A">
        <w:t>14)</w:t>
      </w:r>
      <w:r w:rsidR="00370DC6">
        <w:t xml:space="preserve">. </w:t>
      </w:r>
      <w:r w:rsidR="00DE1C77">
        <w:t>In numerical terms this</w:t>
      </w:r>
      <w:r w:rsidR="00FD37CF">
        <w:t xml:space="preserve"> represented approximately 762 c</w:t>
      </w:r>
      <w:r w:rsidR="00DE1C77">
        <w:t xml:space="preserve">ertificate III/IV graduates going on to a diploma and </w:t>
      </w:r>
      <w:r w:rsidR="0078671B">
        <w:t>just 270</w:t>
      </w:r>
      <w:r w:rsidR="00DE1C77">
        <w:t xml:space="preserve"> undertaking a degree in this field.</w:t>
      </w:r>
      <w:r w:rsidR="00510D3B">
        <w:t xml:space="preserve"> </w:t>
      </w:r>
    </w:p>
    <w:p w:rsidR="00064761" w:rsidRDefault="00FD37CF" w:rsidP="00DC71CB">
      <w:pPr>
        <w:pStyle w:val="Text"/>
      </w:pPr>
      <w:r>
        <w:t>By comparison</w:t>
      </w:r>
      <w:r w:rsidR="00323FB1">
        <w:t>,</w:t>
      </w:r>
      <w:r>
        <w:t xml:space="preserve"> 8.7% of all c</w:t>
      </w:r>
      <w:r w:rsidR="0078671B">
        <w:t xml:space="preserve">ertificate III/IV graduates went on to study at AQF 5 or 6 and 5.1% of graduates went on to </w:t>
      </w:r>
      <w:r w:rsidR="003E5710">
        <w:t xml:space="preserve">AQF 7 (bachelor degree) (NCVER </w:t>
      </w:r>
      <w:r w:rsidR="0078671B">
        <w:t>2011a</w:t>
      </w:r>
      <w:r>
        <w:t>, t</w:t>
      </w:r>
      <w:r w:rsidR="00F1028A">
        <w:t>able 41</w:t>
      </w:r>
      <w:r w:rsidR="0078671B">
        <w:t>).</w:t>
      </w:r>
      <w:r w:rsidR="00510D3B">
        <w:t xml:space="preserve"> </w:t>
      </w:r>
      <w:r w:rsidR="0078671B">
        <w:t>Of course, it can be argued that the intention and motivation</w:t>
      </w:r>
      <w:r>
        <w:t xml:space="preserve"> of the vast majority of </w:t>
      </w:r>
      <w:proofErr w:type="gramStart"/>
      <w:r>
        <w:t>these c</w:t>
      </w:r>
      <w:r w:rsidR="0078671B">
        <w:t>ertificate</w:t>
      </w:r>
      <w:proofErr w:type="gramEnd"/>
      <w:r w:rsidR="0078671B">
        <w:t xml:space="preserve"> III/IV graduates is an employment outcome</w:t>
      </w:r>
      <w:r w:rsidR="00323FB1">
        <w:t>,</w:t>
      </w:r>
      <w:r w:rsidR="0078671B">
        <w:t xml:space="preserve"> but this would also be true in other fields</w:t>
      </w:r>
      <w:r w:rsidR="003A4860">
        <w:t>,</w:t>
      </w:r>
      <w:r w:rsidR="00323FB1">
        <w:t xml:space="preserve"> yet the data show</w:t>
      </w:r>
      <w:r w:rsidR="0078671B">
        <w:t xml:space="preserve"> significantly more graduates continuing with studies at higher AQF levels</w:t>
      </w:r>
      <w:r w:rsidR="00323FB1">
        <w:t>.</w:t>
      </w:r>
    </w:p>
    <w:p w:rsidR="00DE1C77" w:rsidRDefault="00981F2C" w:rsidP="00CC49E3">
      <w:pPr>
        <w:pStyle w:val="Text"/>
      </w:pPr>
      <w:r>
        <w:t xml:space="preserve">The reasons for this </w:t>
      </w:r>
      <w:r w:rsidR="008C278C">
        <w:t xml:space="preserve">difference </w:t>
      </w:r>
      <w:r>
        <w:t>are unclear but may be related to the very high employment outcomes</w:t>
      </w:r>
      <w:r w:rsidR="008C278C">
        <w:t xml:space="preserve"> generated by</w:t>
      </w:r>
      <w:r>
        <w:t xml:space="preserve"> AQF 3 </w:t>
      </w:r>
      <w:r w:rsidR="003A4860">
        <w:t>and</w:t>
      </w:r>
      <w:r>
        <w:t xml:space="preserve"> 4 level qualifications in this field, with 82.1</w:t>
      </w:r>
      <w:r w:rsidR="003A4860">
        <w:t>% of graduates</w:t>
      </w:r>
      <w:r>
        <w:t xml:space="preserve"> not previously employed</w:t>
      </w:r>
      <w:r w:rsidR="00F21D4C">
        <w:t xml:space="preserve"> before training</w:t>
      </w:r>
      <w:r>
        <w:t xml:space="preserve"> gaining employment after training</w:t>
      </w:r>
      <w:r w:rsidR="00E268A5">
        <w:t xml:space="preserve">. This is the highest percentage of any </w:t>
      </w:r>
      <w:r w:rsidR="003A4860">
        <w:t>field,</w:t>
      </w:r>
      <w:r w:rsidR="00E268A5">
        <w:t xml:space="preserve"> followed</w:t>
      </w:r>
      <w:r w:rsidR="00F21D4C">
        <w:t xml:space="preserve"> only by engineering at 74.1%</w:t>
      </w:r>
      <w:r w:rsidR="00E268A5">
        <w:t xml:space="preserve">, with other fields </w:t>
      </w:r>
      <w:r w:rsidR="00F21D4C">
        <w:t xml:space="preserve">demonstrating </w:t>
      </w:r>
      <w:r w:rsidR="00E268A5">
        <w:t>substantially lower</w:t>
      </w:r>
      <w:r>
        <w:t xml:space="preserve"> </w:t>
      </w:r>
      <w:r w:rsidR="00F21D4C">
        <w:t>employment outcomes (NCVER 2011</w:t>
      </w:r>
      <w:r w:rsidR="00DE1C77">
        <w:t>a</w:t>
      </w:r>
      <w:r w:rsidR="003A4860">
        <w:t>, t</w:t>
      </w:r>
      <w:r w:rsidR="00F21D4C">
        <w:t>able 2)</w:t>
      </w:r>
      <w:r w:rsidR="008C278C">
        <w:t xml:space="preserve">. </w:t>
      </w:r>
    </w:p>
    <w:p w:rsidR="005465E5" w:rsidRDefault="00F1028A" w:rsidP="00CC49E3">
      <w:pPr>
        <w:pStyle w:val="Text"/>
      </w:pPr>
      <w:r>
        <w:t xml:space="preserve">Supporting pathways from lower AQF qualifications in </w:t>
      </w:r>
      <w:r w:rsidR="00510D3B">
        <w:t>vocational education and training</w:t>
      </w:r>
      <w:r>
        <w:t xml:space="preserve"> to higher qualifications is important as a mechanism for building bridges to </w:t>
      </w:r>
      <w:r w:rsidR="00510D3B">
        <w:t>higher education</w:t>
      </w:r>
      <w:r>
        <w:t>.</w:t>
      </w:r>
      <w:r w:rsidR="00510D3B">
        <w:t xml:space="preserve"> </w:t>
      </w:r>
      <w:r w:rsidR="008C278C">
        <w:t xml:space="preserve">An issue for the industry and education providers is how to </w:t>
      </w:r>
      <w:r w:rsidR="00500426">
        <w:t xml:space="preserve">encourage </w:t>
      </w:r>
      <w:r w:rsidR="005465E5">
        <w:t>more</w:t>
      </w:r>
      <w:r w:rsidR="00E268A5">
        <w:t xml:space="preserve"> trade graduates to </w:t>
      </w:r>
      <w:r w:rsidR="003A4860">
        <w:t>return</w:t>
      </w:r>
      <w:r w:rsidR="00D64CD6">
        <w:t xml:space="preserve"> to</w:t>
      </w:r>
      <w:r w:rsidR="00E268A5">
        <w:t xml:space="preserve"> further study into diplomas and</w:t>
      </w:r>
      <w:r w:rsidR="004C1D27">
        <w:t>,</w:t>
      </w:r>
      <w:r w:rsidR="00E268A5">
        <w:t xml:space="preserve"> potentially</w:t>
      </w:r>
      <w:r w:rsidR="004C1D27">
        <w:t>,</w:t>
      </w:r>
      <w:r w:rsidR="00E268A5">
        <w:t xml:space="preserve"> into higher education</w:t>
      </w:r>
      <w:r w:rsidR="00D64CD6">
        <w:t>,</w:t>
      </w:r>
      <w:r w:rsidR="00E268A5">
        <w:t xml:space="preserve"> after a period of work</w:t>
      </w:r>
      <w:r w:rsidR="00D64CD6">
        <w:t>,</w:t>
      </w:r>
      <w:r w:rsidR="00EB6E16">
        <w:t xml:space="preserve"> as a means of </w:t>
      </w:r>
      <w:proofErr w:type="spellStart"/>
      <w:r w:rsidR="005465E5">
        <w:t>upskill</w:t>
      </w:r>
      <w:r w:rsidR="00EB6E16">
        <w:t>ing</w:t>
      </w:r>
      <w:proofErr w:type="spellEnd"/>
      <w:r w:rsidR="005465E5">
        <w:t xml:space="preserve"> to meet the higher skills needs of the industry. </w:t>
      </w:r>
      <w:r w:rsidR="00E268A5">
        <w:t xml:space="preserve">Unless such pathways are created </w:t>
      </w:r>
      <w:r w:rsidR="00CC49E3">
        <w:t>and/or more school studen</w:t>
      </w:r>
      <w:r w:rsidR="00E268A5">
        <w:t>t</w:t>
      </w:r>
      <w:r w:rsidR="00CC49E3">
        <w:t>s</w:t>
      </w:r>
      <w:r w:rsidR="00E268A5">
        <w:t xml:space="preserve"> are encouraged to undertake VET diplomas, the issu</w:t>
      </w:r>
      <w:r w:rsidR="00CC49E3">
        <w:t>e of lo</w:t>
      </w:r>
      <w:r w:rsidR="005465E5">
        <w:t xml:space="preserve">w </w:t>
      </w:r>
      <w:r w:rsidR="00D64CD6">
        <w:t xml:space="preserve">enrolment and </w:t>
      </w:r>
      <w:r w:rsidR="005465E5">
        <w:t xml:space="preserve">graduate numbers in diplomas will remain, flowing through to low numbers of </w:t>
      </w:r>
      <w:r w:rsidR="003A4860">
        <w:t>VET</w:t>
      </w:r>
      <w:r w:rsidR="005465E5">
        <w:t xml:space="preserve"> to </w:t>
      </w:r>
      <w:r w:rsidR="00510D3B">
        <w:t>higher education</w:t>
      </w:r>
      <w:r w:rsidR="005465E5">
        <w:t xml:space="preserve"> pathway</w:t>
      </w:r>
      <w:r w:rsidR="004D5EEF">
        <w:t>s</w:t>
      </w:r>
      <w:r w:rsidR="00EB6E16">
        <w:t xml:space="preserve"> students</w:t>
      </w:r>
      <w:r w:rsidR="00DC71CB">
        <w:t>.</w:t>
      </w:r>
      <w:r w:rsidR="00510D3B">
        <w:t xml:space="preserve"> </w:t>
      </w:r>
    </w:p>
    <w:p w:rsidR="00DC71CB" w:rsidRDefault="0078671B" w:rsidP="00CC49E3">
      <w:pPr>
        <w:pStyle w:val="Text"/>
      </w:pPr>
      <w:r>
        <w:t>Gale et al</w:t>
      </w:r>
      <w:r w:rsidR="003A4860">
        <w:t>.</w:t>
      </w:r>
      <w:r>
        <w:t xml:space="preserve"> (</w:t>
      </w:r>
      <w:r w:rsidR="00323FB1">
        <w:t>2010) note that</w:t>
      </w:r>
      <w:r w:rsidR="00DC71CB" w:rsidRPr="00DE0A82">
        <w:t xml:space="preserve"> higher education is not necessarily better for all individuals in terms of life </w:t>
      </w:r>
      <w:r w:rsidR="003A4860">
        <w:t xml:space="preserve">choices or economic prosperity; however, </w:t>
      </w:r>
      <w:r w:rsidR="00DC71CB" w:rsidRPr="00DE0A82">
        <w:t xml:space="preserve">there is considerable evidence that access to </w:t>
      </w:r>
      <w:r w:rsidR="00DC71CB">
        <w:t>a degree provides significant benefits</w:t>
      </w:r>
      <w:r w:rsidR="003A4860">
        <w:t>,</w:t>
      </w:r>
      <w:r w:rsidR="00DC71CB">
        <w:t xml:space="preserve"> </w:t>
      </w:r>
      <w:r w:rsidR="00611A1D">
        <w:t>while</w:t>
      </w:r>
      <w:r w:rsidR="00DC71CB">
        <w:t xml:space="preserve"> </w:t>
      </w:r>
      <w:r w:rsidR="00DC71CB" w:rsidRPr="00DE0A82">
        <w:t xml:space="preserve">lifelong learning is vital for industry development, especially </w:t>
      </w:r>
      <w:r w:rsidR="00DC71CB">
        <w:t>in the context of skills shortages in construction</w:t>
      </w:r>
      <w:r w:rsidR="00DC71CB" w:rsidRPr="00DE0A82">
        <w:t>.</w:t>
      </w:r>
      <w:r w:rsidR="00DC71CB">
        <w:t xml:space="preserve"> </w:t>
      </w:r>
      <w:r w:rsidR="00145384">
        <w:t xml:space="preserve">The </w:t>
      </w:r>
      <w:r w:rsidR="00580B58">
        <w:t>Australian Workforce Productivity Agency</w:t>
      </w:r>
      <w:r w:rsidR="00145384">
        <w:t xml:space="preserve"> (2012c</w:t>
      </w:r>
      <w:r w:rsidR="00E94888">
        <w:t xml:space="preserve"> p</w:t>
      </w:r>
      <w:r w:rsidR="003A4860">
        <w:t xml:space="preserve">p.37, </w:t>
      </w:r>
      <w:r w:rsidR="00E94888">
        <w:t>25</w:t>
      </w:r>
      <w:r w:rsidR="00145384">
        <w:t xml:space="preserve">) </w:t>
      </w:r>
      <w:r w:rsidR="00E94888">
        <w:t>in more recent workforce modelling suggest</w:t>
      </w:r>
      <w:r w:rsidR="003A4860">
        <w:t>s</w:t>
      </w:r>
      <w:r w:rsidR="00E94888">
        <w:t xml:space="preserve"> that professional jobs will continue </w:t>
      </w:r>
      <w:r w:rsidR="003A4860">
        <w:t xml:space="preserve">to </w:t>
      </w:r>
      <w:r w:rsidR="00E94888">
        <w:t>be the strongest in the economy, with higher economic returns for</w:t>
      </w:r>
      <w:r w:rsidR="00145384">
        <w:t xml:space="preserve"> higher levels of education</w:t>
      </w:r>
      <w:r w:rsidR="00E94888">
        <w:t>.</w:t>
      </w:r>
    </w:p>
    <w:p w:rsidR="00DC71CB" w:rsidRDefault="00DC71CB" w:rsidP="00DC71CB">
      <w:pPr>
        <w:spacing w:before="0" w:line="240" w:lineRule="auto"/>
        <w:rPr>
          <w:rFonts w:ascii="Tahoma" w:hAnsi="Tahoma" w:cs="Tahoma"/>
          <w:color w:val="000000"/>
          <w:kern w:val="28"/>
          <w:sz w:val="56"/>
          <w:szCs w:val="56"/>
        </w:rPr>
      </w:pPr>
      <w:r>
        <w:br w:type="page"/>
      </w:r>
    </w:p>
    <w:p w:rsidR="00C41E68" w:rsidRDefault="008939F7" w:rsidP="004E7A11">
      <w:pPr>
        <w:pStyle w:val="Heading1"/>
        <w:spacing w:after="240"/>
      </w:pPr>
      <w:bookmarkStart w:id="50" w:name="_Toc358115581"/>
      <w:r>
        <w:lastRenderedPageBreak/>
        <w:t>Identifying t</w:t>
      </w:r>
      <w:r w:rsidR="00DC71CB">
        <w:t xml:space="preserve">he </w:t>
      </w:r>
      <w:r w:rsidR="00B3059C">
        <w:t xml:space="preserve">enablers </w:t>
      </w:r>
      <w:r w:rsidR="003A4860">
        <w:t>of pathways:</w:t>
      </w:r>
      <w:r w:rsidR="00F47BAA">
        <w:t xml:space="preserve"> a student perspective</w:t>
      </w:r>
      <w:bookmarkEnd w:id="50"/>
    </w:p>
    <w:p w:rsidR="00DC71CB" w:rsidRDefault="007D586F" w:rsidP="004E7A11">
      <w:pPr>
        <w:pStyle w:val="Heading2"/>
        <w:spacing w:before="160"/>
      </w:pPr>
      <w:bookmarkStart w:id="51" w:name="_Toc358115582"/>
      <w:r>
        <w:t>T</w:t>
      </w:r>
      <w:r w:rsidR="00DC71CB">
        <w:t>he students</w:t>
      </w:r>
      <w:r w:rsidR="00DA5573">
        <w:t xml:space="preserve"> in this study</w:t>
      </w:r>
      <w:bookmarkEnd w:id="51"/>
    </w:p>
    <w:p w:rsidR="00DC71CB" w:rsidRPr="004E7A11" w:rsidRDefault="00F47BAA" w:rsidP="004E7A11">
      <w:pPr>
        <w:pStyle w:val="Text"/>
      </w:pPr>
      <w:r>
        <w:t xml:space="preserve">Against the backdrop of so few student transfers in this field we were able to </w:t>
      </w:r>
      <w:r w:rsidR="00E94888">
        <w:t>find</w:t>
      </w:r>
      <w:r>
        <w:t xml:space="preserve"> a small group of pathways students to support the study. The </w:t>
      </w:r>
      <w:r w:rsidR="00DC71CB">
        <w:t xml:space="preserve">students were identified through academic contacts </w:t>
      </w:r>
      <w:r w:rsidR="003A4860">
        <w:t>at the selected universities, with</w:t>
      </w:r>
      <w:r w:rsidR="00DC71CB">
        <w:t xml:space="preserve"> the interviews completed over several months.</w:t>
      </w:r>
      <w:r w:rsidR="00510D3B">
        <w:t xml:space="preserve"> </w:t>
      </w:r>
      <w:r w:rsidR="00026DCE" w:rsidRPr="00026DCE">
        <w:t>Fifty students were initially contacted and of these, 36 chose to participate. The remainder either chose not to participate or simply failed to attend at the agreed interview time.</w:t>
      </w:r>
      <w:r w:rsidR="00DC71CB">
        <w:t xml:space="preserve"> Most interviews were conducted </w:t>
      </w:r>
      <w:r w:rsidR="00C00F92">
        <w:t xml:space="preserve">in person </w:t>
      </w:r>
      <w:r w:rsidR="004C1D27">
        <w:t>o</w:t>
      </w:r>
      <w:r w:rsidR="00C00F92">
        <w:t>n a one-on-</w:t>
      </w:r>
      <w:r w:rsidR="00266082">
        <w:t>one basis</w:t>
      </w:r>
      <w:r>
        <w:t xml:space="preserve"> or </w:t>
      </w:r>
      <w:r w:rsidR="00E236D4">
        <w:t>via</w:t>
      </w:r>
      <w:r w:rsidR="00DC71CB">
        <w:t xml:space="preserve"> telephone and</w:t>
      </w:r>
      <w:r w:rsidR="000B3389">
        <w:t>,</w:t>
      </w:r>
      <w:r w:rsidR="00DC71CB">
        <w:t xml:space="preserve"> in the case of some </w:t>
      </w:r>
      <w:r>
        <w:t xml:space="preserve">of the </w:t>
      </w:r>
      <w:r w:rsidR="00C00F92">
        <w:t xml:space="preserve">University of </w:t>
      </w:r>
      <w:r w:rsidR="00026DCE">
        <w:t>Technology,</w:t>
      </w:r>
      <w:r w:rsidR="00C00F92">
        <w:t xml:space="preserve"> Sydney</w:t>
      </w:r>
      <w:r w:rsidR="00DC71CB">
        <w:t xml:space="preserve"> students</w:t>
      </w:r>
      <w:r w:rsidR="000B3389">
        <w:t>,</w:t>
      </w:r>
      <w:r w:rsidR="00DC71CB">
        <w:t xml:space="preserve"> as a </w:t>
      </w:r>
      <w:r w:rsidR="00266082">
        <w:t>small</w:t>
      </w:r>
      <w:r w:rsidR="00E236D4">
        <w:t xml:space="preserve"> focus</w:t>
      </w:r>
      <w:r w:rsidR="00266082">
        <w:t xml:space="preserve"> </w:t>
      </w:r>
      <w:r w:rsidR="00DC71CB" w:rsidRPr="004E7A11">
        <w:t xml:space="preserve">group. </w:t>
      </w:r>
    </w:p>
    <w:p w:rsidR="00DC71CB" w:rsidRPr="004E7A11" w:rsidRDefault="00DC71CB" w:rsidP="004E7A11">
      <w:pPr>
        <w:pStyle w:val="Text"/>
      </w:pPr>
      <w:r w:rsidRPr="004E7A11">
        <w:t xml:space="preserve">All of the students had undertaken a diploma or had been recognised by their university as having an equivalent qualification. </w:t>
      </w:r>
      <w:r w:rsidR="00E236D4" w:rsidRPr="004E7A11">
        <w:t>T</w:t>
      </w:r>
      <w:r w:rsidRPr="004E7A11">
        <w:t>he Diploma</w:t>
      </w:r>
      <w:r w:rsidR="00266082" w:rsidRPr="004E7A11">
        <w:t xml:space="preserve"> of Building from the </w:t>
      </w:r>
      <w:r w:rsidR="00DB6966" w:rsidRPr="004E7A11">
        <w:t xml:space="preserve">Construction, Plumbing and Services Training Package </w:t>
      </w:r>
      <w:r w:rsidR="00E236D4" w:rsidRPr="004E7A11">
        <w:t>was the most common</w:t>
      </w:r>
      <w:r w:rsidR="00DB6966" w:rsidRPr="004E7A11">
        <w:t>ly held VET qualification.</w:t>
      </w:r>
      <w:r w:rsidR="00510D3B" w:rsidRPr="004E7A11">
        <w:t xml:space="preserve"> </w:t>
      </w:r>
      <w:r w:rsidR="00DB6966" w:rsidRPr="004E7A11">
        <w:t>Some</w:t>
      </w:r>
      <w:r w:rsidRPr="004E7A11">
        <w:t xml:space="preserve"> students had completed the Diploma of Building Design</w:t>
      </w:r>
      <w:r w:rsidR="00DB6966" w:rsidRPr="004E7A11">
        <w:t xml:space="preserve"> and</w:t>
      </w:r>
      <w:r w:rsidRPr="004E7A11">
        <w:t xml:space="preserve"> others the Diploma of Qua</w:t>
      </w:r>
      <w:r w:rsidR="00266082" w:rsidRPr="004E7A11">
        <w:t>ntity Surveying, also from th</w:t>
      </w:r>
      <w:r w:rsidR="00DB6966" w:rsidRPr="004E7A11">
        <w:t>is</w:t>
      </w:r>
      <w:r w:rsidR="00266082" w:rsidRPr="004E7A11">
        <w:t xml:space="preserve"> training p</w:t>
      </w:r>
      <w:r w:rsidRPr="004E7A11">
        <w:t>ackage.</w:t>
      </w:r>
      <w:r w:rsidR="00510D3B" w:rsidRPr="004E7A11">
        <w:t xml:space="preserve"> </w:t>
      </w:r>
      <w:r w:rsidR="00DB6966" w:rsidRPr="004E7A11">
        <w:t>Two</w:t>
      </w:r>
      <w:r w:rsidR="00573426" w:rsidRPr="004E7A11">
        <w:t xml:space="preserve"> of the interviewee</w:t>
      </w:r>
      <w:r w:rsidR="00DB6966" w:rsidRPr="004E7A11">
        <w:t>s had</w:t>
      </w:r>
      <w:r w:rsidR="00C00F92" w:rsidRPr="004E7A11">
        <w:t xml:space="preserve"> only completed a c</w:t>
      </w:r>
      <w:r w:rsidRPr="004E7A11">
        <w:t>ertificate IV but with work experience were given recognition and entry</w:t>
      </w:r>
      <w:r w:rsidR="000B3389" w:rsidRPr="004E7A11">
        <w:t xml:space="preserve"> into a relevant bachelor degree</w:t>
      </w:r>
      <w:r w:rsidRPr="004E7A11">
        <w:t xml:space="preserve">. The most common </w:t>
      </w:r>
      <w:r w:rsidR="00266082" w:rsidRPr="004E7A11">
        <w:t xml:space="preserve">destination </w:t>
      </w:r>
      <w:r w:rsidRPr="004E7A11">
        <w:t xml:space="preserve">degree </w:t>
      </w:r>
      <w:r w:rsidR="000B3389" w:rsidRPr="004E7A11">
        <w:t xml:space="preserve">of these students </w:t>
      </w:r>
      <w:r w:rsidRPr="004E7A11">
        <w:t>was a Bachelor of Construction Management</w:t>
      </w:r>
      <w:r w:rsidR="000B3389" w:rsidRPr="004E7A11">
        <w:t xml:space="preserve">. Some students were undertaking double degrees in construction management either </w:t>
      </w:r>
      <w:r w:rsidRPr="004E7A11">
        <w:t>with economics or architecture.</w:t>
      </w:r>
      <w:r w:rsidR="00510D3B" w:rsidRPr="004E7A11">
        <w:t xml:space="preserve"> </w:t>
      </w:r>
      <w:r w:rsidR="00F47BAA" w:rsidRPr="004E7A11">
        <w:t xml:space="preserve">A few </w:t>
      </w:r>
      <w:r w:rsidRPr="004E7A11">
        <w:t>of the students</w:t>
      </w:r>
      <w:r w:rsidR="00510D3B" w:rsidRPr="004E7A11">
        <w:t xml:space="preserve"> </w:t>
      </w:r>
      <w:r w:rsidR="00F47BAA" w:rsidRPr="004E7A11">
        <w:t>(</w:t>
      </w:r>
      <w:r w:rsidR="00C00F92" w:rsidRPr="004E7A11">
        <w:t>five</w:t>
      </w:r>
      <w:r w:rsidR="00F47BAA" w:rsidRPr="004E7A11">
        <w:t xml:space="preserve">) </w:t>
      </w:r>
      <w:r w:rsidRPr="004E7A11">
        <w:t>were classified as mature-aged</w:t>
      </w:r>
      <w:r w:rsidR="004C1D27">
        <w:t>-</w:t>
      </w:r>
      <w:r w:rsidRPr="004E7A11">
        <w:t>entry students under their particular institution</w:t>
      </w:r>
      <w:r w:rsidR="00323FB1" w:rsidRPr="004E7A11">
        <w:t>’s</w:t>
      </w:r>
      <w:r w:rsidRPr="004E7A11">
        <w:t xml:space="preserve"> guidelines, rather than </w:t>
      </w:r>
      <w:r w:rsidR="00DB6966" w:rsidRPr="004E7A11">
        <w:t xml:space="preserve">as </w:t>
      </w:r>
      <w:r w:rsidRPr="004E7A11">
        <w:t>VET transfer students.</w:t>
      </w:r>
      <w:r w:rsidR="00546A04" w:rsidRPr="004E7A11">
        <w:t xml:space="preserve"> Most</w:t>
      </w:r>
      <w:r w:rsidR="00573426" w:rsidRPr="004E7A11">
        <w:t xml:space="preserve"> of the pathways students had</w:t>
      </w:r>
      <w:r w:rsidR="00546A04" w:rsidRPr="004E7A11">
        <w:t xml:space="preserve"> undertaken their VET studies through</w:t>
      </w:r>
      <w:r w:rsidR="00573426" w:rsidRPr="004E7A11">
        <w:t xml:space="preserve"> TAFE</w:t>
      </w:r>
      <w:r w:rsidR="00C00F92" w:rsidRPr="004E7A11">
        <w:t>,</w:t>
      </w:r>
      <w:r w:rsidR="00546A04" w:rsidRPr="004E7A11">
        <w:t xml:space="preserve"> with the exception of transfer students from </w:t>
      </w:r>
      <w:r w:rsidR="00C00F92" w:rsidRPr="004E7A11">
        <w:t xml:space="preserve">UWS </w:t>
      </w:r>
      <w:r w:rsidR="00546A04" w:rsidRPr="004E7A11">
        <w:t>College</w:t>
      </w:r>
      <w:r w:rsidR="00C00F92" w:rsidRPr="004E7A11">
        <w:rPr>
          <w:rStyle w:val="FootnoteReference"/>
        </w:rPr>
        <w:footnoteReference w:id="6"/>
      </w:r>
      <w:r w:rsidR="00546A04" w:rsidRPr="004E7A11">
        <w:t xml:space="preserve"> into </w:t>
      </w:r>
      <w:r w:rsidR="00C00F92" w:rsidRPr="004E7A11">
        <w:t>the U</w:t>
      </w:r>
      <w:r w:rsidR="00546A04" w:rsidRPr="004E7A11">
        <w:t>niversity</w:t>
      </w:r>
      <w:r w:rsidR="00C00F92" w:rsidRPr="004E7A11">
        <w:t xml:space="preserve"> of Western Sydney</w:t>
      </w:r>
      <w:r w:rsidR="00573426" w:rsidRPr="004E7A11">
        <w:t>.</w:t>
      </w:r>
    </w:p>
    <w:p w:rsidR="00DC71CB" w:rsidRPr="004E7A11" w:rsidRDefault="00DC71CB" w:rsidP="004E7A11">
      <w:pPr>
        <w:pStyle w:val="Text"/>
      </w:pPr>
      <w:r w:rsidRPr="004E7A11">
        <w:t>To keep the interview</w:t>
      </w:r>
      <w:r w:rsidR="00F802C1" w:rsidRPr="004E7A11">
        <w:t>s succinct only minimal data were</w:t>
      </w:r>
      <w:r w:rsidRPr="004E7A11">
        <w:t xml:space="preserve"> collected on the students’ background</w:t>
      </w:r>
      <w:r w:rsidR="00F802C1" w:rsidRPr="004E7A11">
        <w:t xml:space="preserve"> and included</w:t>
      </w:r>
      <w:r w:rsidRPr="004E7A11">
        <w:t xml:space="preserve"> gender, age, postcode and family connections with building and construction. </w:t>
      </w:r>
      <w:r w:rsidR="00DB6966" w:rsidRPr="004E7A11">
        <w:t xml:space="preserve">All </w:t>
      </w:r>
      <w:r w:rsidR="009F7B3F" w:rsidRPr="004E7A11">
        <w:t>but one</w:t>
      </w:r>
      <w:r w:rsidR="00C16AB9" w:rsidRPr="004E7A11">
        <w:t xml:space="preserve"> of the</w:t>
      </w:r>
      <w:r w:rsidR="009F7B3F" w:rsidRPr="004E7A11">
        <w:t xml:space="preserve"> </w:t>
      </w:r>
      <w:r w:rsidR="00DB6966" w:rsidRPr="004E7A11">
        <w:t xml:space="preserve">students </w:t>
      </w:r>
      <w:r w:rsidR="00412347" w:rsidRPr="004E7A11">
        <w:t>was</w:t>
      </w:r>
      <w:r w:rsidR="00DB6966" w:rsidRPr="004E7A11">
        <w:t xml:space="preserve"> male. </w:t>
      </w:r>
      <w:r w:rsidR="0078671B" w:rsidRPr="004E7A11">
        <w:t>The gender focus is unsurprising</w:t>
      </w:r>
      <w:r w:rsidR="00F802C1" w:rsidRPr="004E7A11">
        <w:t>,</w:t>
      </w:r>
      <w:r w:rsidR="0078671B" w:rsidRPr="004E7A11">
        <w:t xml:space="preserve"> given that this industry has the highest proportion of male employees of any</w:t>
      </w:r>
      <w:r w:rsidR="00B5438F" w:rsidRPr="004E7A11">
        <w:t xml:space="preserve"> industry in Australia (ABS 2012)</w:t>
      </w:r>
      <w:r w:rsidR="0078671B" w:rsidRPr="004E7A11">
        <w:t>.</w:t>
      </w:r>
      <w:r w:rsidR="00510D3B" w:rsidRPr="004E7A11">
        <w:t xml:space="preserve"> </w:t>
      </w:r>
      <w:r w:rsidRPr="004E7A11">
        <w:t>All the students were</w:t>
      </w:r>
      <w:r w:rsidR="00524886" w:rsidRPr="004E7A11">
        <w:t xml:space="preserve"> aged</w:t>
      </w:r>
      <w:r w:rsidRPr="004E7A11">
        <w:t xml:space="preserve"> in their earl</w:t>
      </w:r>
      <w:r w:rsidR="00F802C1" w:rsidRPr="004E7A11">
        <w:t>y to mid-</w:t>
      </w:r>
      <w:r w:rsidR="00524886" w:rsidRPr="004E7A11">
        <w:t>20s</w:t>
      </w:r>
      <w:r w:rsidRPr="004E7A11">
        <w:t xml:space="preserve"> and had </w:t>
      </w:r>
      <w:r w:rsidR="0081754B" w:rsidRPr="004E7A11">
        <w:t xml:space="preserve">either </w:t>
      </w:r>
      <w:r w:rsidR="00DB6966" w:rsidRPr="004E7A11">
        <w:t xml:space="preserve">entered </w:t>
      </w:r>
      <w:r w:rsidRPr="004E7A11">
        <w:t xml:space="preserve">university </w:t>
      </w:r>
      <w:r w:rsidR="00DB6966" w:rsidRPr="004E7A11">
        <w:t xml:space="preserve">directly </w:t>
      </w:r>
      <w:r w:rsidRPr="004E7A11">
        <w:t xml:space="preserve">after finishing their </w:t>
      </w:r>
      <w:r w:rsidR="00266082" w:rsidRPr="004E7A11">
        <w:t xml:space="preserve">VET qualification or within a </w:t>
      </w:r>
      <w:r w:rsidRPr="004E7A11">
        <w:t xml:space="preserve">year </w:t>
      </w:r>
      <w:r w:rsidR="00266082" w:rsidRPr="004E7A11">
        <w:t xml:space="preserve">or two </w:t>
      </w:r>
      <w:r w:rsidR="000B3389" w:rsidRPr="004E7A11">
        <w:t>of completing their VET studies</w:t>
      </w:r>
      <w:r w:rsidRPr="004E7A11">
        <w:t xml:space="preserve">. This </w:t>
      </w:r>
      <w:r w:rsidR="00DB6966" w:rsidRPr="004E7A11">
        <w:t xml:space="preserve">age characteristic </w:t>
      </w:r>
      <w:r w:rsidRPr="004E7A11">
        <w:t xml:space="preserve">reflects the findings of </w:t>
      </w:r>
      <w:r w:rsidR="009C188B" w:rsidRPr="004E7A11">
        <w:t>Stanwick (2006)</w:t>
      </w:r>
      <w:r w:rsidR="005420DF" w:rsidRPr="004E7A11">
        <w:t>,</w:t>
      </w:r>
      <w:r w:rsidR="009C188B" w:rsidRPr="004E7A11">
        <w:t xml:space="preserve"> quoted by </w:t>
      </w:r>
      <w:proofErr w:type="spellStart"/>
      <w:r w:rsidRPr="004E7A11">
        <w:t>Wheelahan</w:t>
      </w:r>
      <w:proofErr w:type="spellEnd"/>
      <w:r w:rsidRPr="004E7A11">
        <w:t xml:space="preserve"> (2009</w:t>
      </w:r>
      <w:r w:rsidR="00345586" w:rsidRPr="004E7A11">
        <w:t>b</w:t>
      </w:r>
      <w:r w:rsidR="005420DF" w:rsidRPr="004E7A11">
        <w:t>,</w:t>
      </w:r>
      <w:r w:rsidR="0081754B" w:rsidRPr="004E7A11">
        <w:t xml:space="preserve"> </w:t>
      </w:r>
      <w:r w:rsidR="005420DF" w:rsidRPr="004E7A11">
        <w:t>p</w:t>
      </w:r>
      <w:r w:rsidR="00F802C1" w:rsidRPr="004E7A11">
        <w:t>.</w:t>
      </w:r>
      <w:r w:rsidR="005420DF" w:rsidRPr="004E7A11">
        <w:t>7</w:t>
      </w:r>
      <w:r w:rsidRPr="004E7A11">
        <w:t>)</w:t>
      </w:r>
      <w:r w:rsidR="00F802C1" w:rsidRPr="004E7A11">
        <w:t>,</w:t>
      </w:r>
      <w:r w:rsidRPr="004E7A11">
        <w:t xml:space="preserve"> who </w:t>
      </w:r>
      <w:r w:rsidR="005420DF" w:rsidRPr="004E7A11">
        <w:t xml:space="preserve">identified the non-homogenous age background of this </w:t>
      </w:r>
      <w:r w:rsidR="0081754B" w:rsidRPr="004E7A11">
        <w:t xml:space="preserve">VET </w:t>
      </w:r>
      <w:r w:rsidR="005420DF" w:rsidRPr="004E7A11">
        <w:t xml:space="preserve">qualification cohort. Stanwick </w:t>
      </w:r>
      <w:r w:rsidRPr="004E7A11">
        <w:t>categorised dip</w:t>
      </w:r>
      <w:r w:rsidR="00F802C1" w:rsidRPr="004E7A11">
        <w:t>loma students into three types:</w:t>
      </w:r>
      <w:r w:rsidRPr="004E7A11">
        <w:t xml:space="preserve"> </w:t>
      </w:r>
      <w:proofErr w:type="gramStart"/>
      <w:r w:rsidRPr="004E7A11">
        <w:t>under</w:t>
      </w:r>
      <w:proofErr w:type="gramEnd"/>
      <w:r w:rsidRPr="004E7A11">
        <w:t xml:space="preserve"> 25 </w:t>
      </w:r>
      <w:r w:rsidR="00524886" w:rsidRPr="004E7A11">
        <w:t>in age</w:t>
      </w:r>
      <w:r w:rsidR="005420DF" w:rsidRPr="004E7A11">
        <w:t xml:space="preserve"> </w:t>
      </w:r>
      <w:r w:rsidR="00F802C1" w:rsidRPr="004E7A11">
        <w:t>with Y</w:t>
      </w:r>
      <w:r w:rsidRPr="004E7A11">
        <w:t>ear 12</w:t>
      </w:r>
      <w:r w:rsidR="00524886" w:rsidRPr="004E7A11">
        <w:t>,</w:t>
      </w:r>
      <w:r w:rsidR="005420DF" w:rsidRPr="004E7A11">
        <w:t xml:space="preserve"> seeking employment or a pathway to university</w:t>
      </w:r>
      <w:r w:rsidRPr="004E7A11">
        <w:t>; over 25 undertaking a diploma for employment purposes</w:t>
      </w:r>
      <w:r w:rsidR="00F802C1" w:rsidRPr="004E7A11">
        <w:t>; and over 25 without any post-</w:t>
      </w:r>
      <w:r w:rsidRPr="004E7A11">
        <w:t>school qualifications.</w:t>
      </w:r>
      <w:r w:rsidR="00510D3B" w:rsidRPr="004E7A11">
        <w:t xml:space="preserve"> </w:t>
      </w:r>
      <w:proofErr w:type="spellStart"/>
      <w:r w:rsidRPr="004E7A11">
        <w:t>Wheelahan</w:t>
      </w:r>
      <w:proofErr w:type="spellEnd"/>
      <w:r w:rsidR="005420DF" w:rsidRPr="004E7A11">
        <w:t xml:space="preserve"> identified</w:t>
      </w:r>
      <w:r w:rsidRPr="004E7A11">
        <w:t xml:space="preserve"> the first group </w:t>
      </w:r>
      <w:r w:rsidR="005420DF" w:rsidRPr="004E7A11">
        <w:t>as</w:t>
      </w:r>
      <w:r w:rsidRPr="004E7A11">
        <w:t xml:space="preserve"> much more likely to </w:t>
      </w:r>
      <w:r w:rsidR="005420DF" w:rsidRPr="004E7A11">
        <w:t>continue</w:t>
      </w:r>
      <w:r w:rsidRPr="004E7A11">
        <w:t xml:space="preserve"> </w:t>
      </w:r>
      <w:r w:rsidR="00345586" w:rsidRPr="004E7A11">
        <w:t xml:space="preserve">further study at </w:t>
      </w:r>
      <w:r w:rsidRPr="004E7A11">
        <w:t>university.</w:t>
      </w:r>
    </w:p>
    <w:p w:rsidR="00DC71CB" w:rsidRDefault="005420DF" w:rsidP="004E7A11">
      <w:pPr>
        <w:pStyle w:val="Text"/>
      </w:pPr>
      <w:r w:rsidRPr="004E7A11">
        <w:t>The interviewees in this study are representative of this first group in ag</w:t>
      </w:r>
      <w:r w:rsidR="0039086A" w:rsidRPr="004E7A11">
        <w:t>e and</w:t>
      </w:r>
      <w:r w:rsidRPr="004E7A11">
        <w:t xml:space="preserve"> also in</w:t>
      </w:r>
      <w:r w:rsidR="0081754B" w:rsidRPr="004E7A11">
        <w:t xml:space="preserve"> </w:t>
      </w:r>
      <w:r w:rsidR="00DC71CB" w:rsidRPr="004E7A11">
        <w:t>motivation</w:t>
      </w:r>
      <w:r w:rsidR="0039086A" w:rsidRPr="004E7A11">
        <w:t>. M</w:t>
      </w:r>
      <w:r w:rsidRPr="004E7A11">
        <w:t>any</w:t>
      </w:r>
      <w:r w:rsidR="00DC71CB" w:rsidRPr="004E7A11">
        <w:t xml:space="preserve"> of the students indica</w:t>
      </w:r>
      <w:r w:rsidR="00DC71CB">
        <w:t>t</w:t>
      </w:r>
      <w:r w:rsidR="0039086A">
        <w:t>ed</w:t>
      </w:r>
      <w:r w:rsidR="00DC71CB">
        <w:t xml:space="preserve"> that they </w:t>
      </w:r>
      <w:r w:rsidR="0081754B">
        <w:t xml:space="preserve">had enrolled in the </w:t>
      </w:r>
      <w:r w:rsidR="00DC71CB">
        <w:t xml:space="preserve">diploma </w:t>
      </w:r>
      <w:r w:rsidR="0081754B">
        <w:t xml:space="preserve">primarily </w:t>
      </w:r>
      <w:r w:rsidR="00DC71CB">
        <w:t>as a means for gaining entry into higher education</w:t>
      </w:r>
      <w:r w:rsidR="0081754B">
        <w:t xml:space="preserve">, </w:t>
      </w:r>
      <w:r w:rsidR="00DC71CB">
        <w:t xml:space="preserve">either because they had not been </w:t>
      </w:r>
      <w:r w:rsidR="00266082">
        <w:t xml:space="preserve">initially </w:t>
      </w:r>
      <w:r w:rsidR="00DC71CB">
        <w:t xml:space="preserve">accepted into the degree of </w:t>
      </w:r>
      <w:r w:rsidR="00266082">
        <w:t xml:space="preserve">first </w:t>
      </w:r>
      <w:r w:rsidR="00DC71CB">
        <w:t>choice on the basis of their tertiary entrance ranki</w:t>
      </w:r>
      <w:r w:rsidR="00266082">
        <w:t xml:space="preserve">ng or because they were aware that </w:t>
      </w:r>
      <w:r w:rsidR="00510D3B">
        <w:t>vocational education and training</w:t>
      </w:r>
      <w:r w:rsidR="00266082">
        <w:t xml:space="preserve"> provided</w:t>
      </w:r>
      <w:r w:rsidR="00DC71CB">
        <w:t xml:space="preserve"> an alternative entry point into university.</w:t>
      </w:r>
    </w:p>
    <w:p w:rsidR="00DC71CB" w:rsidRPr="00D905A3" w:rsidRDefault="00DC71CB" w:rsidP="00DC71CB">
      <w:pPr>
        <w:pStyle w:val="Quote"/>
      </w:pPr>
      <w:r w:rsidRPr="00E71C33">
        <w:lastRenderedPageBreak/>
        <w:t xml:space="preserve">I wanted to get into </w:t>
      </w:r>
      <w:r w:rsidR="00C61320">
        <w:t xml:space="preserve">a </w:t>
      </w:r>
      <w:r w:rsidRPr="00E71C33">
        <w:t>construction degree, so going to Granville TAFE was the way to get there</w:t>
      </w:r>
      <w:r>
        <w:t>. I didn’t get the ent</w:t>
      </w:r>
      <w:r w:rsidR="00D70318">
        <w:t>ry to UWS.</w:t>
      </w:r>
      <w:r w:rsidR="00D70318">
        <w:tab/>
      </w:r>
      <w:r w:rsidRPr="00E71C33">
        <w:t>(</w:t>
      </w:r>
      <w:r w:rsidR="00D70318">
        <w:t>University of Western Sydney</w:t>
      </w:r>
      <w:r w:rsidRPr="00492A0F">
        <w:t>)</w:t>
      </w:r>
    </w:p>
    <w:p w:rsidR="00DC71CB" w:rsidRDefault="00DC71CB" w:rsidP="00DC71CB">
      <w:pPr>
        <w:pStyle w:val="Quote"/>
      </w:pPr>
      <w:r w:rsidRPr="00E71C33">
        <w:t>I didn’t have the right score to get into UWS even,</w:t>
      </w:r>
      <w:r>
        <w:t xml:space="preserve"> </w:t>
      </w:r>
      <w:r w:rsidR="00D70318">
        <w:t xml:space="preserve">so went to UWS College first … </w:t>
      </w:r>
      <w:r w:rsidRPr="00E71C33">
        <w:t>then cam</w:t>
      </w:r>
      <w:r>
        <w:t>e</w:t>
      </w:r>
      <w:r w:rsidRPr="00E71C33">
        <w:t xml:space="preserve"> here</w:t>
      </w:r>
      <w:r w:rsidR="00D70318">
        <w:t>.</w:t>
      </w:r>
      <w:r w:rsidR="004E7A11">
        <w:br/>
      </w:r>
      <w:r w:rsidR="00D70318">
        <w:tab/>
        <w:t>(University of Western Sydney</w:t>
      </w:r>
      <w:r>
        <w:t>)</w:t>
      </w:r>
    </w:p>
    <w:p w:rsidR="00DC71CB" w:rsidRDefault="00DC71CB" w:rsidP="00DC71CB">
      <w:pPr>
        <w:pStyle w:val="Quote"/>
      </w:pPr>
      <w:r w:rsidRPr="00E71C33">
        <w:t>I chose this program because it offered me a chance to go to uni that is some</w:t>
      </w:r>
      <w:r>
        <w:t>thing I didn’t see myself doing.</w:t>
      </w:r>
      <w:r w:rsidR="00D70318">
        <w:tab/>
      </w:r>
      <w:r w:rsidRPr="00E71C33">
        <w:t>(</w:t>
      </w:r>
      <w:r w:rsidR="00D70318">
        <w:t>University of Technology Sydney</w:t>
      </w:r>
      <w:r>
        <w:t>)</w:t>
      </w:r>
    </w:p>
    <w:p w:rsidR="00DC71CB" w:rsidRDefault="00DC71CB" w:rsidP="00DC71CB">
      <w:pPr>
        <w:pStyle w:val="Quote"/>
      </w:pPr>
      <w:r>
        <w:t>Well I got an ok score in year 12 but it wasn’t enough for the degree so I chose TAFE because I knew it could get me into construction management if I did well</w:t>
      </w:r>
      <w:r w:rsidR="00C61320">
        <w:t>.</w:t>
      </w:r>
      <w:r w:rsidR="00DC2F86">
        <w:tab/>
        <w:t>(Deakin University</w:t>
      </w:r>
      <w:r>
        <w:t>)</w:t>
      </w:r>
    </w:p>
    <w:p w:rsidR="00DC71CB" w:rsidRDefault="00DC71CB" w:rsidP="00DC71CB">
      <w:pPr>
        <w:pStyle w:val="Text"/>
      </w:pPr>
      <w:r>
        <w:t xml:space="preserve">These responses are </w:t>
      </w:r>
      <w:r w:rsidRPr="001712B1">
        <w:t>not surprising</w:t>
      </w:r>
      <w:r w:rsidR="00DC2F86">
        <w:t>,</w:t>
      </w:r>
      <w:r w:rsidRPr="001712B1">
        <w:t xml:space="preserve"> given the high tertiary entrance requirements for the destination </w:t>
      </w:r>
      <w:r w:rsidR="00524886">
        <w:t xml:space="preserve">of </w:t>
      </w:r>
      <w:r w:rsidRPr="001712B1">
        <w:t>construction and related degrees of choice and the limited number of places on offer.</w:t>
      </w:r>
      <w:r w:rsidR="00524886">
        <w:t xml:space="preserve"> They also indicate, </w:t>
      </w:r>
      <w:r>
        <w:t xml:space="preserve">in the </w:t>
      </w:r>
      <w:r w:rsidRPr="001712B1">
        <w:t xml:space="preserve">case study </w:t>
      </w:r>
      <w:r w:rsidR="0039086A">
        <w:t>participants</w:t>
      </w:r>
      <w:r w:rsidRPr="001712B1">
        <w:t xml:space="preserve">, </w:t>
      </w:r>
      <w:r>
        <w:t xml:space="preserve">a </w:t>
      </w:r>
      <w:r w:rsidR="0039086A">
        <w:t xml:space="preserve">cohort </w:t>
      </w:r>
      <w:r w:rsidR="004C1D27">
        <w:t>who</w:t>
      </w:r>
      <w:r w:rsidRPr="001712B1">
        <w:t xml:space="preserve"> deliberate</w:t>
      </w:r>
      <w:r>
        <w:t xml:space="preserve">ly chose </w:t>
      </w:r>
      <w:r w:rsidR="00510D3B">
        <w:t>vocational education and training</w:t>
      </w:r>
      <w:r w:rsidRPr="001712B1">
        <w:t xml:space="preserve"> as a stepping</w:t>
      </w:r>
      <w:r w:rsidR="00DC2F86">
        <w:t xml:space="preserve"> </w:t>
      </w:r>
      <w:r w:rsidRPr="001712B1">
        <w:t>stone</w:t>
      </w:r>
      <w:r>
        <w:t xml:space="preserve"> </w:t>
      </w:r>
      <w:r w:rsidR="0039086A">
        <w:t xml:space="preserve">to university </w:t>
      </w:r>
      <w:r>
        <w:t>and who had prior awareness of pathway possibilities</w:t>
      </w:r>
      <w:r w:rsidRPr="001712B1">
        <w:t xml:space="preserve">. </w:t>
      </w:r>
    </w:p>
    <w:p w:rsidR="00DC71CB" w:rsidRPr="001712B1" w:rsidRDefault="00DC71CB" w:rsidP="00DC71CB">
      <w:pPr>
        <w:pStyle w:val="Text"/>
      </w:pPr>
      <w:r w:rsidRPr="001712B1">
        <w:t xml:space="preserve">Other students indicated </w:t>
      </w:r>
      <w:r w:rsidR="00DC2F86">
        <w:t>additional</w:t>
      </w:r>
      <w:r>
        <w:t xml:space="preserve"> </w:t>
      </w:r>
      <w:r w:rsidRPr="001712B1">
        <w:t>reasons for</w:t>
      </w:r>
      <w:r>
        <w:t xml:space="preserve"> </w:t>
      </w:r>
      <w:r w:rsidRPr="001712B1">
        <w:t xml:space="preserve">undertaking </w:t>
      </w:r>
      <w:r w:rsidR="00510D3B">
        <w:t>vocational education and training</w:t>
      </w:r>
      <w:r w:rsidR="0039086A">
        <w:t xml:space="preserve"> </w:t>
      </w:r>
      <w:r w:rsidR="00B306DE">
        <w:t xml:space="preserve">as the basis for their </w:t>
      </w:r>
      <w:r>
        <w:t xml:space="preserve">initial qualification </w:t>
      </w:r>
      <w:r w:rsidRPr="001712B1">
        <w:t xml:space="preserve">including: </w:t>
      </w:r>
    </w:p>
    <w:p w:rsidR="00DC71CB" w:rsidRDefault="00DC71CB" w:rsidP="00DC71CB">
      <w:pPr>
        <w:pStyle w:val="Dotpoint1"/>
      </w:pPr>
      <w:r>
        <w:t>w</w:t>
      </w:r>
      <w:r w:rsidRPr="00D905A3">
        <w:t>ork in t</w:t>
      </w:r>
      <w:r w:rsidR="004C1D27">
        <w:t>he industry</w:t>
      </w:r>
    </w:p>
    <w:p w:rsidR="00DC71CB" w:rsidRPr="00D905A3" w:rsidRDefault="00DC71CB" w:rsidP="00DC71CB">
      <w:pPr>
        <w:pStyle w:val="Dotpoint1"/>
      </w:pPr>
      <w:r>
        <w:t>practical experience first</w:t>
      </w:r>
    </w:p>
    <w:p w:rsidR="00DC71CB" w:rsidRPr="00D905A3" w:rsidRDefault="004C1D27" w:rsidP="00DC71CB">
      <w:pPr>
        <w:pStyle w:val="Dotpoint1"/>
      </w:pPr>
      <w:r>
        <w:t>extent</w:t>
      </w:r>
      <w:r w:rsidR="00DC71CB" w:rsidRPr="00D905A3">
        <w:t xml:space="preserve"> of ability </w:t>
      </w:r>
      <w:r>
        <w:t>unknown;</w:t>
      </w:r>
      <w:r w:rsidR="00DC71CB" w:rsidRPr="00D905A3">
        <w:t xml:space="preserve"> the diploma </w:t>
      </w:r>
      <w:r>
        <w:t>w</w:t>
      </w:r>
      <w:r w:rsidR="00DC71CB" w:rsidRPr="00D905A3">
        <w:t>as an easier option</w:t>
      </w:r>
    </w:p>
    <w:p w:rsidR="00DC71CB" w:rsidRPr="00D905A3" w:rsidRDefault="00DC71CB" w:rsidP="00DC71CB">
      <w:pPr>
        <w:pStyle w:val="Dotpoint1"/>
      </w:pPr>
      <w:r>
        <w:t>p</w:t>
      </w:r>
      <w:r w:rsidRPr="00D905A3">
        <w:t>ersonal time commitment and flexible offering ma</w:t>
      </w:r>
      <w:r w:rsidR="004C1D27">
        <w:t>king</w:t>
      </w:r>
      <w:r w:rsidRPr="00D905A3">
        <w:t xml:space="preserve"> the diploma attractive</w:t>
      </w:r>
    </w:p>
    <w:p w:rsidR="00DC71CB" w:rsidRPr="00D905A3" w:rsidRDefault="00DC71CB" w:rsidP="00DC71CB">
      <w:pPr>
        <w:pStyle w:val="Dotpoint1"/>
      </w:pPr>
      <w:r>
        <w:t>r</w:t>
      </w:r>
      <w:r w:rsidRPr="00D905A3">
        <w:t>elevance of the diploma to current work/workplace</w:t>
      </w:r>
    </w:p>
    <w:p w:rsidR="00DC71CB" w:rsidRPr="00D905A3" w:rsidRDefault="00DC71CB" w:rsidP="00DC71CB">
      <w:pPr>
        <w:pStyle w:val="Dotpoint1"/>
      </w:pPr>
      <w:r>
        <w:t>c</w:t>
      </w:r>
      <w:r w:rsidRPr="00D905A3">
        <w:t xml:space="preserve">heaper fees in </w:t>
      </w:r>
      <w:r w:rsidR="00D94F86">
        <w:t xml:space="preserve">the </w:t>
      </w:r>
      <w:r w:rsidRPr="00D905A3">
        <w:t xml:space="preserve">diploma </w:t>
      </w:r>
      <w:r w:rsidR="0078671B" w:rsidRPr="00D905A3">
        <w:t>(excluding</w:t>
      </w:r>
      <w:r w:rsidRPr="00D905A3">
        <w:t xml:space="preserve"> Victoria)</w:t>
      </w:r>
    </w:p>
    <w:p w:rsidR="00DC71CB" w:rsidRDefault="00DC71CB" w:rsidP="00DC71CB">
      <w:pPr>
        <w:pStyle w:val="Dotpoint1"/>
      </w:pPr>
      <w:proofErr w:type="gramStart"/>
      <w:r>
        <w:t>p</w:t>
      </w:r>
      <w:r w:rsidRPr="00D905A3">
        <w:t>erceived</w:t>
      </w:r>
      <w:proofErr w:type="gramEnd"/>
      <w:r w:rsidRPr="00D905A3">
        <w:t xml:space="preserve"> shorter course/study period</w:t>
      </w:r>
      <w:r w:rsidR="00DC2F86">
        <w:t>.</w:t>
      </w:r>
    </w:p>
    <w:p w:rsidR="00DC71CB" w:rsidRDefault="00DC71CB" w:rsidP="00DC71CB">
      <w:pPr>
        <w:pStyle w:val="Text"/>
      </w:pPr>
      <w:r>
        <w:t>F</w:t>
      </w:r>
      <w:r w:rsidRPr="00AD28FB">
        <w:t xml:space="preserve">or these students the </w:t>
      </w:r>
      <w:r w:rsidR="0078671B" w:rsidRPr="00AD28FB">
        <w:t>opt</w:t>
      </w:r>
      <w:r w:rsidR="0078671B">
        <w:t>ion and</w:t>
      </w:r>
      <w:r w:rsidR="00B3059C">
        <w:t xml:space="preserve"> </w:t>
      </w:r>
      <w:r w:rsidR="00E94888">
        <w:t xml:space="preserve">the </w:t>
      </w:r>
      <w:r w:rsidR="00B3059C">
        <w:t xml:space="preserve">decision to go </w:t>
      </w:r>
      <w:r>
        <w:t xml:space="preserve">on to </w:t>
      </w:r>
      <w:r w:rsidR="00B306DE">
        <w:t xml:space="preserve">university studies </w:t>
      </w:r>
      <w:proofErr w:type="gramStart"/>
      <w:r>
        <w:t>appears</w:t>
      </w:r>
      <w:proofErr w:type="gramEnd"/>
      <w:r>
        <w:t xml:space="preserve"> to be more directly related to their experience as a VET student and the guidance given to them in the course of their studies.</w:t>
      </w:r>
    </w:p>
    <w:p w:rsidR="00DC71CB" w:rsidRDefault="00DC71CB" w:rsidP="00DC71CB">
      <w:pPr>
        <w:pStyle w:val="Text"/>
      </w:pPr>
      <w:r>
        <w:t xml:space="preserve">In terms of choosing this field of study, many of the students interviewed had a family member </w:t>
      </w:r>
      <w:r w:rsidR="0039086A">
        <w:t xml:space="preserve">working </w:t>
      </w:r>
      <w:r>
        <w:t xml:space="preserve">in the </w:t>
      </w:r>
      <w:r w:rsidR="0039086A">
        <w:t xml:space="preserve">building and construction </w:t>
      </w:r>
      <w:r>
        <w:t xml:space="preserve">industry and/or had obtained work in the industry through family. For some there was no direct </w:t>
      </w:r>
      <w:r w:rsidR="0039086A">
        <w:t xml:space="preserve">industry </w:t>
      </w:r>
      <w:r>
        <w:t>connection but interest was created laterally:</w:t>
      </w:r>
    </w:p>
    <w:p w:rsidR="00DC71CB" w:rsidRDefault="00DC71CB" w:rsidP="00DC71CB">
      <w:pPr>
        <w:pStyle w:val="Quote"/>
      </w:pPr>
      <w:r>
        <w:t xml:space="preserve">Well my family was having </w:t>
      </w:r>
      <w:r w:rsidR="00B306DE">
        <w:t>‘</w:t>
      </w:r>
      <w:proofErr w:type="spellStart"/>
      <w:r>
        <w:t>renos</w:t>
      </w:r>
      <w:proofErr w:type="spellEnd"/>
      <w:r w:rsidR="00B306DE">
        <w:t>’</w:t>
      </w:r>
      <w:r>
        <w:t xml:space="preserve"> on the house and I watched th</w:t>
      </w:r>
      <w:r w:rsidR="00DC2F86">
        <w:t>at and thought I could do that.</w:t>
      </w:r>
      <w:r w:rsidR="004E7A11">
        <w:br/>
      </w:r>
      <w:r w:rsidR="00DC2F86">
        <w:tab/>
      </w:r>
      <w:r>
        <w:t>(U</w:t>
      </w:r>
      <w:r w:rsidR="00B306DE">
        <w:t>n</w:t>
      </w:r>
      <w:r>
        <w:t>i</w:t>
      </w:r>
      <w:r w:rsidR="00DC2F86">
        <w:t>versity of South Australia</w:t>
      </w:r>
      <w:r>
        <w:t>)</w:t>
      </w:r>
    </w:p>
    <w:p w:rsidR="00DC71CB" w:rsidRDefault="00DC71CB" w:rsidP="006F49EA">
      <w:pPr>
        <w:pStyle w:val="Quote"/>
      </w:pPr>
      <w:r>
        <w:t>I originally wanted to do advertising but then got into building design but I hated the CAD so looked at other jobs in the industry and project manageme</w:t>
      </w:r>
      <w:r w:rsidR="00DC2F86">
        <w:t>nt looked far more interesting.</w:t>
      </w:r>
      <w:r w:rsidR="004E7A11">
        <w:br/>
      </w:r>
      <w:r w:rsidR="00DC2F86">
        <w:tab/>
        <w:t>(Deakin University</w:t>
      </w:r>
      <w:r>
        <w:t>)</w:t>
      </w:r>
    </w:p>
    <w:p w:rsidR="00DF2A95" w:rsidRDefault="00A23FF8">
      <w:pPr>
        <w:pStyle w:val="Heading2"/>
      </w:pPr>
      <w:bookmarkStart w:id="52" w:name="_Toc358115583"/>
      <w:r>
        <w:t>Interview a</w:t>
      </w:r>
      <w:r w:rsidR="00DC71CB">
        <w:t xml:space="preserve">nalysis </w:t>
      </w:r>
      <w:r w:rsidR="0039086A">
        <w:t>tool: t</w:t>
      </w:r>
      <w:r w:rsidR="00B9612E">
        <w:t xml:space="preserve">he </w:t>
      </w:r>
      <w:r w:rsidR="00DC2F86" w:rsidRPr="00B55695">
        <w:t>Design and Evaluation Matrix for Outreach</w:t>
      </w:r>
      <w:bookmarkEnd w:id="52"/>
    </w:p>
    <w:p w:rsidR="00FF4C0D" w:rsidRDefault="00DC71CB" w:rsidP="00DC71CB">
      <w:pPr>
        <w:pStyle w:val="Text"/>
      </w:pPr>
      <w:r>
        <w:t xml:space="preserve">The research team </w:t>
      </w:r>
      <w:r w:rsidR="00B306DE">
        <w:t>selected</w:t>
      </w:r>
      <w:r>
        <w:t xml:space="preserve"> the </w:t>
      </w:r>
      <w:r w:rsidR="00EF2C05" w:rsidRPr="00B55695">
        <w:t>Design and</w:t>
      </w:r>
      <w:r w:rsidR="00DC2F86">
        <w:t xml:space="preserve"> Evaluation Matrix for Outreach</w:t>
      </w:r>
      <w:r>
        <w:t xml:space="preserve"> </w:t>
      </w:r>
      <w:r w:rsidR="00B9612E">
        <w:t xml:space="preserve">to </w:t>
      </w:r>
      <w:r w:rsidRPr="00B55695">
        <w:t xml:space="preserve">categorise </w:t>
      </w:r>
      <w:r>
        <w:t>and draw out specific enabling</w:t>
      </w:r>
      <w:r w:rsidRPr="00B55695">
        <w:t xml:space="preserve"> factors </w:t>
      </w:r>
      <w:r w:rsidR="00B306DE">
        <w:t xml:space="preserve">from </w:t>
      </w:r>
      <w:r w:rsidR="00B306DE" w:rsidRPr="00B55695">
        <w:t xml:space="preserve">the </w:t>
      </w:r>
      <w:r w:rsidR="00B306DE">
        <w:t>interview data.</w:t>
      </w:r>
      <w:r w:rsidR="00DA628A">
        <w:t xml:space="preserve"> Although develop</w:t>
      </w:r>
      <w:r w:rsidR="00EF2C05">
        <w:t xml:space="preserve">ed originally as a tool for </w:t>
      </w:r>
      <w:r w:rsidR="00B306DE">
        <w:t>outreach programs</w:t>
      </w:r>
      <w:r w:rsidR="00EF2C05">
        <w:t xml:space="preserve">, </w:t>
      </w:r>
      <w:r w:rsidR="00B9612E">
        <w:t xml:space="preserve">the matrix </w:t>
      </w:r>
      <w:r w:rsidR="00893D7D">
        <w:t>provided a</w:t>
      </w:r>
      <w:r w:rsidR="00B306DE">
        <w:t xml:space="preserve"> </w:t>
      </w:r>
      <w:r w:rsidR="00893D7D">
        <w:t xml:space="preserve">scaffold that </w:t>
      </w:r>
      <w:r w:rsidR="004F3311">
        <w:t xml:space="preserve">could be </w:t>
      </w:r>
      <w:r w:rsidR="0078671B">
        <w:t>adapted</w:t>
      </w:r>
      <w:r w:rsidR="004F3311">
        <w:t xml:space="preserve"> to the purposes of this study.</w:t>
      </w:r>
      <w:r w:rsidR="00510D3B">
        <w:t xml:space="preserve"> </w:t>
      </w:r>
    </w:p>
    <w:p w:rsidR="00DC71CB" w:rsidRPr="00B55695" w:rsidRDefault="00DC71CB" w:rsidP="00DC71CB">
      <w:pPr>
        <w:pStyle w:val="Text"/>
      </w:pPr>
      <w:r>
        <w:t xml:space="preserve">The </w:t>
      </w:r>
      <w:r w:rsidR="00DC2F86" w:rsidRPr="00B55695">
        <w:t>Design and</w:t>
      </w:r>
      <w:r w:rsidR="00DC2F86">
        <w:t xml:space="preserve"> Evaluation Matrix for Outreach </w:t>
      </w:r>
      <w:r>
        <w:t xml:space="preserve">was developed in the context of a key report by </w:t>
      </w:r>
      <w:r w:rsidR="004F3311">
        <w:t>Gale et al</w:t>
      </w:r>
      <w:r w:rsidR="00B306DE">
        <w:t>.</w:t>
      </w:r>
      <w:r w:rsidR="004F3311">
        <w:t xml:space="preserve"> (2010) for </w:t>
      </w:r>
      <w:r>
        <w:t>the National Centre for Student Equity in Higher Education on improving access</w:t>
      </w:r>
      <w:r w:rsidR="004C1D27">
        <w:t xml:space="preserve"> to</w:t>
      </w:r>
      <w:r>
        <w:t xml:space="preserve"> </w:t>
      </w:r>
      <w:r>
        <w:lastRenderedPageBreak/>
        <w:t xml:space="preserve">and equity outcomes </w:t>
      </w:r>
      <w:r w:rsidR="0003158D">
        <w:t>from</w:t>
      </w:r>
      <w:r>
        <w:t xml:space="preserve"> higher educa</w:t>
      </w:r>
      <w:r w:rsidR="00C076B7">
        <w:t>tion for disadvantaged students</w:t>
      </w:r>
      <w:r w:rsidRPr="00B55695">
        <w:t xml:space="preserve">. Prompted by the Bradley Review of Australian Higher Education (2008) and its call for </w:t>
      </w:r>
      <w:r w:rsidR="00FF4C0D">
        <w:t>‘</w:t>
      </w:r>
      <w:r w:rsidRPr="00B55695">
        <w:t>a more sophisticated approach</w:t>
      </w:r>
      <w:r w:rsidR="00FF4C0D">
        <w:t>’</w:t>
      </w:r>
      <w:r w:rsidRPr="00B55695">
        <w:t xml:space="preserve"> to outreach, </w:t>
      </w:r>
      <w:r w:rsidR="00FF4C0D">
        <w:t>Gale et al</w:t>
      </w:r>
      <w:r w:rsidR="00DC2F86">
        <w:t>.</w:t>
      </w:r>
      <w:r w:rsidR="00FF4C0D">
        <w:t xml:space="preserve"> </w:t>
      </w:r>
      <w:r w:rsidRPr="00B55695">
        <w:t>dr</w:t>
      </w:r>
      <w:r w:rsidR="00FF4C0D">
        <w:t>ew</w:t>
      </w:r>
      <w:r w:rsidRPr="00B55695">
        <w:t xml:space="preserve"> on work by Anderson and </w:t>
      </w:r>
      <w:proofErr w:type="spellStart"/>
      <w:r w:rsidRPr="00B55695">
        <w:t>Vervoo</w:t>
      </w:r>
      <w:r w:rsidR="00FF4C0D">
        <w:t>rn</w:t>
      </w:r>
      <w:proofErr w:type="spellEnd"/>
      <w:r w:rsidRPr="00B55695">
        <w:t xml:space="preserve"> (1983) on </w:t>
      </w:r>
      <w:r>
        <w:t>this topic</w:t>
      </w:r>
      <w:r w:rsidRPr="00B55695">
        <w:t>.</w:t>
      </w:r>
      <w:r w:rsidR="00FF4C0D">
        <w:t xml:space="preserve"> </w:t>
      </w:r>
      <w:r w:rsidRPr="00B55695">
        <w:t xml:space="preserve">Anderson </w:t>
      </w:r>
      <w:r w:rsidR="006C2F2F">
        <w:t>and</w:t>
      </w:r>
      <w:r w:rsidRPr="00B55695">
        <w:t xml:space="preserve"> </w:t>
      </w:r>
      <w:proofErr w:type="spellStart"/>
      <w:r w:rsidRPr="00B55695">
        <w:t>Vervoorn</w:t>
      </w:r>
      <w:proofErr w:type="spellEnd"/>
      <w:r w:rsidRPr="00B55695">
        <w:t xml:space="preserve"> had previously identified four necessary conditions for entry</w:t>
      </w:r>
      <w:r w:rsidR="00A23FF8">
        <w:t xml:space="preserve"> to higher education</w:t>
      </w:r>
      <w:r w:rsidRPr="00B55695">
        <w:t xml:space="preserve">: </w:t>
      </w:r>
    </w:p>
    <w:p w:rsidR="00DC71CB" w:rsidRPr="00B55695" w:rsidRDefault="00DC71CB" w:rsidP="00DC71CB">
      <w:pPr>
        <w:pStyle w:val="Dotpoint1"/>
      </w:pPr>
      <w:r w:rsidRPr="00B55695">
        <w:t>the availability of plac</w:t>
      </w:r>
      <w:r w:rsidR="006C2F2F">
        <w:t>es</w:t>
      </w:r>
      <w:r w:rsidRPr="00B55695">
        <w:t xml:space="preserve"> </w:t>
      </w:r>
    </w:p>
    <w:p w:rsidR="00DC71CB" w:rsidRPr="00B55695" w:rsidRDefault="006C2F2F" w:rsidP="00DC71CB">
      <w:pPr>
        <w:pStyle w:val="Dotpoint1"/>
      </w:pPr>
      <w:r>
        <w:t>students’ academic achievement</w:t>
      </w:r>
    </w:p>
    <w:p w:rsidR="00DC71CB" w:rsidRPr="00B55695" w:rsidRDefault="00DC71CB" w:rsidP="00DC71CB">
      <w:pPr>
        <w:pStyle w:val="Dotpoint1"/>
      </w:pPr>
      <w:r w:rsidRPr="00B55695">
        <w:t>the accessibility of higher educa</w:t>
      </w:r>
      <w:r w:rsidR="006C2F2F">
        <w:t>tion to qualified aspirants</w:t>
      </w:r>
      <w:r w:rsidRPr="00B55695">
        <w:t xml:space="preserve"> </w:t>
      </w:r>
    </w:p>
    <w:p w:rsidR="00DC71CB" w:rsidRPr="00B55695" w:rsidRDefault="00DC71CB" w:rsidP="00DC71CB">
      <w:pPr>
        <w:pStyle w:val="Dotpoint1"/>
      </w:pPr>
      <w:proofErr w:type="gramStart"/>
      <w:r w:rsidRPr="00B55695">
        <w:t>students</w:t>
      </w:r>
      <w:proofErr w:type="gramEnd"/>
      <w:r w:rsidRPr="00B55695">
        <w:t xml:space="preserve">’ aspirations for higher education. </w:t>
      </w:r>
    </w:p>
    <w:p w:rsidR="00DC71CB" w:rsidRPr="00B55695" w:rsidRDefault="00423847" w:rsidP="00DC71CB">
      <w:pPr>
        <w:pStyle w:val="Text"/>
      </w:pPr>
      <w:r>
        <w:t xml:space="preserve">Anderson and </w:t>
      </w:r>
      <w:proofErr w:type="spellStart"/>
      <w:r>
        <w:t>Vervoorn</w:t>
      </w:r>
      <w:proofErr w:type="spellEnd"/>
      <w:r>
        <w:t xml:space="preserve"> (1983) </w:t>
      </w:r>
      <w:r w:rsidR="00FF4C0D">
        <w:t>interpreted</w:t>
      </w:r>
      <w:r w:rsidR="00DC71CB" w:rsidRPr="00B55695">
        <w:t xml:space="preserve"> these conditions as having causal associations: availability influ</w:t>
      </w:r>
      <w:r w:rsidR="006C2F2F">
        <w:t>encing achievement;</w:t>
      </w:r>
      <w:r w:rsidR="00DC71CB" w:rsidRPr="00B55695">
        <w:t xml:space="preserve"> achievement and asp</w:t>
      </w:r>
      <w:r w:rsidR="006C2F2F">
        <w:t>iration as mutually influential;</w:t>
      </w:r>
      <w:r w:rsidR="00DC71CB" w:rsidRPr="00B55695">
        <w:t xml:space="preserve"> and both influencing accessibility. </w:t>
      </w:r>
    </w:p>
    <w:p w:rsidR="00DC71CB" w:rsidRPr="00B55695" w:rsidRDefault="00423847" w:rsidP="00DC71CB">
      <w:pPr>
        <w:pStyle w:val="Text"/>
      </w:pPr>
      <w:r>
        <w:t>Using</w:t>
      </w:r>
      <w:r w:rsidR="00DC71CB" w:rsidRPr="00B55695">
        <w:t xml:space="preserve"> </w:t>
      </w:r>
      <w:r w:rsidR="00DC71CB">
        <w:t xml:space="preserve">this </w:t>
      </w:r>
      <w:r w:rsidR="00E37DCF">
        <w:t xml:space="preserve">earlier </w:t>
      </w:r>
      <w:r w:rsidR="006C2F2F">
        <w:t>research</w:t>
      </w:r>
      <w:r w:rsidR="00DC71CB">
        <w:t xml:space="preserve"> in addition to the</w:t>
      </w:r>
      <w:r w:rsidR="00E37DCF">
        <w:t xml:space="preserve">ir own, which included a review of </w:t>
      </w:r>
      <w:r w:rsidR="00DC71CB" w:rsidRPr="00B55695">
        <w:t>international research literature</w:t>
      </w:r>
      <w:r w:rsidR="006C2F2F">
        <w:t>, a meta-</w:t>
      </w:r>
      <w:r w:rsidR="00E37DCF">
        <w:t xml:space="preserve">analysis of data, as well as </w:t>
      </w:r>
      <w:r w:rsidR="00DC71CB" w:rsidRPr="00B55695">
        <w:t xml:space="preserve">case study </w:t>
      </w:r>
      <w:r w:rsidR="00DC71CB">
        <w:t>exemplars</w:t>
      </w:r>
      <w:r w:rsidR="00DC71CB" w:rsidRPr="00B55695">
        <w:t>, Gale et al</w:t>
      </w:r>
      <w:r w:rsidR="00FF4C0D">
        <w:t>.</w:t>
      </w:r>
      <w:r w:rsidR="00DC71CB" w:rsidRPr="00B55695">
        <w:t xml:space="preserve"> (2010) </w:t>
      </w:r>
      <w:r w:rsidR="00E37DCF">
        <w:t>conceived a matrix for designing and evaluating early in</w:t>
      </w:r>
      <w:r w:rsidR="0003158D">
        <w:t xml:space="preserve">terventions to improve access </w:t>
      </w:r>
      <w:r w:rsidR="00E37DCF">
        <w:t>to higher education for disadvantaged s</w:t>
      </w:r>
      <w:r w:rsidR="0025217F">
        <w:t>tudents</w:t>
      </w:r>
      <w:r w:rsidR="00DC71CB" w:rsidRPr="00B55695">
        <w:t>.</w:t>
      </w:r>
      <w:r w:rsidR="00DC71CB">
        <w:t xml:space="preserve"> </w:t>
      </w:r>
      <w:r w:rsidR="00E37DCF">
        <w:t xml:space="preserve">The </w:t>
      </w:r>
      <w:r w:rsidR="006C2F2F">
        <w:t>matrix</w:t>
      </w:r>
      <w:r w:rsidR="0025217F">
        <w:t xml:space="preserve"> </w:t>
      </w:r>
      <w:r w:rsidR="0078671B">
        <w:t>is set</w:t>
      </w:r>
      <w:r w:rsidR="006C2F2F">
        <w:t xml:space="preserve"> out in </w:t>
      </w:r>
      <w:r w:rsidR="00524886">
        <w:t>table</w:t>
      </w:r>
      <w:r w:rsidR="006C2F2F">
        <w:t xml:space="preserve"> 1</w:t>
      </w:r>
      <w:r w:rsidR="0025217F">
        <w:t xml:space="preserve">. It </w:t>
      </w:r>
      <w:r w:rsidR="00E37DCF">
        <w:t>comprises ten characteristics grouped into four strategies</w:t>
      </w:r>
      <w:r w:rsidR="0003158D">
        <w:t>,</w:t>
      </w:r>
      <w:r w:rsidR="00E37DCF">
        <w:t xml:space="preserve"> </w:t>
      </w:r>
      <w:r w:rsidR="0003158D">
        <w:t>which</w:t>
      </w:r>
      <w:r>
        <w:t xml:space="preserve"> </w:t>
      </w:r>
      <w:r w:rsidR="00E37DCF">
        <w:t xml:space="preserve">combine </w:t>
      </w:r>
      <w:r>
        <w:t xml:space="preserve">to provide </w:t>
      </w:r>
      <w:r w:rsidR="00E37DCF">
        <w:t xml:space="preserve">both depth and breadth </w:t>
      </w:r>
      <w:r w:rsidR="0003158D">
        <w:t>in</w:t>
      </w:r>
      <w:r w:rsidR="00E37DCF">
        <w:t xml:space="preserve"> interventions</w:t>
      </w:r>
      <w:r w:rsidR="00DC71CB">
        <w:t>.</w:t>
      </w:r>
    </w:p>
    <w:p w:rsidR="00DC71CB" w:rsidRPr="008E7CF2" w:rsidRDefault="00524886" w:rsidP="004E7A11">
      <w:pPr>
        <w:pStyle w:val="tabletitle"/>
      </w:pPr>
      <w:bookmarkStart w:id="53" w:name="_Toc358115449"/>
      <w:r>
        <w:t>Table</w:t>
      </w:r>
      <w:r w:rsidR="00DC71CB" w:rsidRPr="008E7CF2">
        <w:t xml:space="preserve"> </w:t>
      </w:r>
      <w:r w:rsidR="00931A9F">
        <w:t>1</w:t>
      </w:r>
      <w:r w:rsidR="004E7A11">
        <w:tab/>
      </w:r>
      <w:r w:rsidR="00DC71CB" w:rsidRPr="008E7CF2">
        <w:t>Four strategies and ten characteristics of the DEMO model</w:t>
      </w:r>
      <w:bookmarkEnd w:id="53"/>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197"/>
        <w:gridCol w:w="2197"/>
        <w:gridCol w:w="2197"/>
        <w:gridCol w:w="2198"/>
      </w:tblGrid>
      <w:tr w:rsidR="00DC71CB" w:rsidRPr="007D173E" w:rsidTr="007D173E">
        <w:tc>
          <w:tcPr>
            <w:tcW w:w="2197" w:type="dxa"/>
            <w:tcBorders>
              <w:top w:val="single" w:sz="4" w:space="0" w:color="auto"/>
              <w:bottom w:val="single" w:sz="4" w:space="0" w:color="auto"/>
            </w:tcBorders>
          </w:tcPr>
          <w:p w:rsidR="00DC71CB" w:rsidRPr="007D173E" w:rsidRDefault="006C2F2F" w:rsidP="007D173E">
            <w:pPr>
              <w:pStyle w:val="Tablehead1"/>
            </w:pPr>
            <w:r w:rsidRPr="007D173E">
              <w:t>Assembling r</w:t>
            </w:r>
            <w:r w:rsidR="00DC71CB" w:rsidRPr="007D173E">
              <w:t>esources</w:t>
            </w:r>
          </w:p>
        </w:tc>
        <w:tc>
          <w:tcPr>
            <w:tcW w:w="2197" w:type="dxa"/>
            <w:tcBorders>
              <w:top w:val="single" w:sz="4" w:space="0" w:color="auto"/>
              <w:bottom w:val="single" w:sz="4" w:space="0" w:color="auto"/>
            </w:tcBorders>
          </w:tcPr>
          <w:p w:rsidR="00DC71CB" w:rsidRPr="007D173E" w:rsidRDefault="006C2F2F" w:rsidP="007D173E">
            <w:pPr>
              <w:pStyle w:val="Tablehead1"/>
            </w:pPr>
            <w:r w:rsidRPr="007D173E">
              <w:t>Engaging l</w:t>
            </w:r>
            <w:r w:rsidR="00DC71CB" w:rsidRPr="007D173E">
              <w:t>earners</w:t>
            </w:r>
          </w:p>
        </w:tc>
        <w:tc>
          <w:tcPr>
            <w:tcW w:w="2197" w:type="dxa"/>
            <w:tcBorders>
              <w:top w:val="single" w:sz="4" w:space="0" w:color="auto"/>
              <w:bottom w:val="single" w:sz="4" w:space="0" w:color="auto"/>
            </w:tcBorders>
          </w:tcPr>
          <w:p w:rsidR="00DC71CB" w:rsidRPr="007D173E" w:rsidRDefault="006C2F2F" w:rsidP="007D173E">
            <w:pPr>
              <w:pStyle w:val="Tablehead1"/>
            </w:pPr>
            <w:r w:rsidRPr="007D173E">
              <w:t>Working t</w:t>
            </w:r>
            <w:r w:rsidR="00DC71CB" w:rsidRPr="007D173E">
              <w:t>ogether</w:t>
            </w:r>
          </w:p>
        </w:tc>
        <w:tc>
          <w:tcPr>
            <w:tcW w:w="2198" w:type="dxa"/>
            <w:tcBorders>
              <w:top w:val="single" w:sz="4" w:space="0" w:color="auto"/>
              <w:bottom w:val="single" w:sz="4" w:space="0" w:color="auto"/>
            </w:tcBorders>
          </w:tcPr>
          <w:p w:rsidR="00DC71CB" w:rsidRPr="007D173E" w:rsidRDefault="006C2F2F" w:rsidP="007D173E">
            <w:pPr>
              <w:pStyle w:val="Tablehead1"/>
            </w:pPr>
            <w:r w:rsidRPr="007D173E">
              <w:t>Building c</w:t>
            </w:r>
            <w:r w:rsidR="00DC71CB" w:rsidRPr="007D173E">
              <w:t>onfidence</w:t>
            </w:r>
          </w:p>
        </w:tc>
      </w:tr>
      <w:tr w:rsidR="00DC71CB" w:rsidTr="007D173E">
        <w:tc>
          <w:tcPr>
            <w:tcW w:w="2197" w:type="dxa"/>
            <w:tcBorders>
              <w:top w:val="single" w:sz="4" w:space="0" w:color="auto"/>
            </w:tcBorders>
          </w:tcPr>
          <w:p w:rsidR="00DC71CB" w:rsidRPr="005209C6" w:rsidRDefault="006C2F2F" w:rsidP="007D173E">
            <w:pPr>
              <w:pStyle w:val="Tabletext"/>
            </w:pPr>
            <w:r>
              <w:t>People-</w:t>
            </w:r>
            <w:r w:rsidR="00DC71CB" w:rsidRPr="005209C6">
              <w:t>rich</w:t>
            </w:r>
          </w:p>
        </w:tc>
        <w:tc>
          <w:tcPr>
            <w:tcW w:w="2197" w:type="dxa"/>
            <w:tcBorders>
              <w:top w:val="single" w:sz="4" w:space="0" w:color="auto"/>
            </w:tcBorders>
          </w:tcPr>
          <w:p w:rsidR="00DC71CB" w:rsidRPr="005209C6" w:rsidRDefault="00DC71CB" w:rsidP="007D173E">
            <w:pPr>
              <w:pStyle w:val="Tabletext"/>
            </w:pPr>
            <w:r w:rsidRPr="005209C6">
              <w:t>Recognition of difference</w:t>
            </w:r>
          </w:p>
        </w:tc>
        <w:tc>
          <w:tcPr>
            <w:tcW w:w="2197" w:type="dxa"/>
            <w:tcBorders>
              <w:top w:val="single" w:sz="4" w:space="0" w:color="auto"/>
            </w:tcBorders>
          </w:tcPr>
          <w:p w:rsidR="00DC71CB" w:rsidRPr="005209C6" w:rsidRDefault="00DC71CB" w:rsidP="007D173E">
            <w:pPr>
              <w:pStyle w:val="Tabletext"/>
            </w:pPr>
            <w:r w:rsidRPr="005209C6">
              <w:t>Collaboration</w:t>
            </w:r>
          </w:p>
        </w:tc>
        <w:tc>
          <w:tcPr>
            <w:tcW w:w="2198" w:type="dxa"/>
            <w:tcBorders>
              <w:top w:val="single" w:sz="4" w:space="0" w:color="auto"/>
            </w:tcBorders>
          </w:tcPr>
          <w:p w:rsidR="00DC71CB" w:rsidRPr="005209C6" w:rsidRDefault="00DC71CB" w:rsidP="007D173E">
            <w:pPr>
              <w:pStyle w:val="Tabletext"/>
            </w:pPr>
            <w:r w:rsidRPr="005209C6">
              <w:t>Communication/information</w:t>
            </w:r>
          </w:p>
        </w:tc>
      </w:tr>
      <w:tr w:rsidR="00DC71CB" w:rsidTr="007D173E">
        <w:tc>
          <w:tcPr>
            <w:tcW w:w="2197" w:type="dxa"/>
          </w:tcPr>
          <w:p w:rsidR="00DC71CB" w:rsidRPr="005209C6" w:rsidRDefault="00DC71CB" w:rsidP="007D173E">
            <w:pPr>
              <w:pStyle w:val="Tabletext"/>
            </w:pPr>
            <w:r w:rsidRPr="005209C6">
              <w:t>Financial support/incentives</w:t>
            </w:r>
          </w:p>
        </w:tc>
        <w:tc>
          <w:tcPr>
            <w:tcW w:w="2197" w:type="dxa"/>
          </w:tcPr>
          <w:p w:rsidR="00DC71CB" w:rsidRPr="005209C6" w:rsidRDefault="00DC71CB" w:rsidP="007D173E">
            <w:pPr>
              <w:pStyle w:val="Tabletext"/>
            </w:pPr>
            <w:r w:rsidRPr="005209C6">
              <w:t>Enhanced curriculum</w:t>
            </w:r>
          </w:p>
        </w:tc>
        <w:tc>
          <w:tcPr>
            <w:tcW w:w="2197" w:type="dxa"/>
          </w:tcPr>
          <w:p w:rsidR="00DC71CB" w:rsidRPr="005209C6" w:rsidRDefault="00DC71CB" w:rsidP="007D173E">
            <w:pPr>
              <w:pStyle w:val="Tabletext"/>
            </w:pPr>
            <w:r w:rsidRPr="005209C6">
              <w:t>Cohort-based</w:t>
            </w:r>
          </w:p>
        </w:tc>
        <w:tc>
          <w:tcPr>
            <w:tcW w:w="2198" w:type="dxa"/>
          </w:tcPr>
          <w:p w:rsidR="00DC71CB" w:rsidRPr="005209C6" w:rsidRDefault="00DC71CB" w:rsidP="007D173E">
            <w:pPr>
              <w:pStyle w:val="Tabletext"/>
            </w:pPr>
            <w:r w:rsidRPr="005209C6">
              <w:t>Familiarisation/site experiences</w:t>
            </w:r>
          </w:p>
        </w:tc>
      </w:tr>
      <w:tr w:rsidR="00DC71CB" w:rsidTr="007D173E">
        <w:tc>
          <w:tcPr>
            <w:tcW w:w="2197" w:type="dxa"/>
          </w:tcPr>
          <w:p w:rsidR="00DC71CB" w:rsidRPr="005209C6" w:rsidRDefault="00DC71CB" w:rsidP="007D173E">
            <w:pPr>
              <w:pStyle w:val="Tabletext"/>
            </w:pPr>
            <w:r w:rsidRPr="005209C6">
              <w:t>Early intervention/sustained</w:t>
            </w:r>
          </w:p>
        </w:tc>
        <w:tc>
          <w:tcPr>
            <w:tcW w:w="2197" w:type="dxa"/>
          </w:tcPr>
          <w:p w:rsidR="00DC71CB" w:rsidRPr="005209C6" w:rsidRDefault="006C2F2F" w:rsidP="007D173E">
            <w:pPr>
              <w:pStyle w:val="Tabletext"/>
            </w:pPr>
            <w:r>
              <w:t>Research-</w:t>
            </w:r>
            <w:r w:rsidR="00DC71CB" w:rsidRPr="005209C6">
              <w:t>driven</w:t>
            </w:r>
          </w:p>
        </w:tc>
        <w:tc>
          <w:tcPr>
            <w:tcW w:w="2197" w:type="dxa"/>
          </w:tcPr>
          <w:p w:rsidR="00DC71CB" w:rsidRPr="005209C6" w:rsidRDefault="00DC71CB" w:rsidP="007D173E">
            <w:pPr>
              <w:pStyle w:val="Tabletext"/>
            </w:pPr>
          </w:p>
        </w:tc>
        <w:tc>
          <w:tcPr>
            <w:tcW w:w="2198" w:type="dxa"/>
          </w:tcPr>
          <w:p w:rsidR="00DC71CB" w:rsidRPr="005209C6" w:rsidRDefault="00DC71CB" w:rsidP="007D173E">
            <w:pPr>
              <w:pStyle w:val="Tabletext"/>
            </w:pPr>
          </w:p>
        </w:tc>
      </w:tr>
    </w:tbl>
    <w:p w:rsidR="00DC71CB" w:rsidRPr="00970406" w:rsidRDefault="00DC71CB" w:rsidP="007D173E">
      <w:pPr>
        <w:pStyle w:val="Source"/>
        <w:rPr>
          <w:sz w:val="24"/>
          <w:lang w:val="fr-FR"/>
        </w:rPr>
      </w:pPr>
      <w:r w:rsidRPr="00CD6394">
        <w:rPr>
          <w:lang w:val="fr-FR"/>
        </w:rPr>
        <w:t>Source:</w:t>
      </w:r>
      <w:r w:rsidR="007D173E">
        <w:rPr>
          <w:lang w:val="fr-FR"/>
        </w:rPr>
        <w:tab/>
      </w:r>
      <w:r w:rsidRPr="00CD6394">
        <w:rPr>
          <w:lang w:val="fr-FR"/>
        </w:rPr>
        <w:t>Gale</w:t>
      </w:r>
      <w:r w:rsidR="00423847">
        <w:rPr>
          <w:lang w:val="fr-FR"/>
        </w:rPr>
        <w:t xml:space="preserve"> </w:t>
      </w:r>
      <w:r w:rsidRPr="00CD6394">
        <w:rPr>
          <w:lang w:val="fr-FR"/>
        </w:rPr>
        <w:t xml:space="preserve">et al. </w:t>
      </w:r>
      <w:r w:rsidR="006C2F2F">
        <w:rPr>
          <w:lang w:val="fr-FR"/>
        </w:rPr>
        <w:t>(</w:t>
      </w:r>
      <w:r w:rsidRPr="00CD6394">
        <w:rPr>
          <w:lang w:val="fr-FR"/>
        </w:rPr>
        <w:t>2010</w:t>
      </w:r>
      <w:r w:rsidR="00423847">
        <w:rPr>
          <w:lang w:val="fr-FR"/>
        </w:rPr>
        <w:t>,</w:t>
      </w:r>
      <w:r w:rsidRPr="00CD6394">
        <w:rPr>
          <w:lang w:val="fr-FR"/>
        </w:rPr>
        <w:t xml:space="preserve"> </w:t>
      </w:r>
      <w:r w:rsidR="00A23FF8">
        <w:rPr>
          <w:lang w:val="fr-FR"/>
        </w:rPr>
        <w:t>p</w:t>
      </w:r>
      <w:r w:rsidR="00423847">
        <w:rPr>
          <w:lang w:val="fr-FR"/>
        </w:rPr>
        <w:t>.</w:t>
      </w:r>
      <w:r w:rsidR="00A23FF8">
        <w:rPr>
          <w:lang w:val="fr-FR"/>
        </w:rPr>
        <w:t>9</w:t>
      </w:r>
      <w:r>
        <w:rPr>
          <w:lang w:val="fr-FR"/>
        </w:rPr>
        <w:t>)</w:t>
      </w:r>
      <w:r w:rsidR="00524886">
        <w:rPr>
          <w:lang w:val="fr-FR"/>
        </w:rPr>
        <w:t>.</w:t>
      </w:r>
    </w:p>
    <w:p w:rsidR="00DC71CB" w:rsidRPr="007D173E" w:rsidRDefault="00DC71CB" w:rsidP="007D173E">
      <w:pPr>
        <w:pStyle w:val="Textmorebefore"/>
      </w:pPr>
      <w:r>
        <w:t xml:space="preserve">A program that contains many of the </w:t>
      </w:r>
      <w:r w:rsidR="006C2F2F">
        <w:t>ten</w:t>
      </w:r>
      <w:r>
        <w:t xml:space="preserve"> c</w:t>
      </w:r>
      <w:r w:rsidR="006C2F2F">
        <w:t>haracteristics represents depth;</w:t>
      </w:r>
      <w:r>
        <w:t xml:space="preserve"> conversely</w:t>
      </w:r>
      <w:r w:rsidR="006C2F2F">
        <w:t>,</w:t>
      </w:r>
      <w:r>
        <w:t xml:space="preserve"> a small </w:t>
      </w:r>
      <w:r w:rsidR="00EF2C05">
        <w:t xml:space="preserve">number of characteristics </w:t>
      </w:r>
      <w:r w:rsidR="009902EA">
        <w:t>equates to</w:t>
      </w:r>
      <w:r>
        <w:t xml:space="preserve"> shallowness.</w:t>
      </w:r>
      <w:r w:rsidR="00510D3B">
        <w:t xml:space="preserve"> </w:t>
      </w:r>
      <w:r w:rsidR="0025217F">
        <w:t>A high</w:t>
      </w:r>
      <w:r>
        <w:t xml:space="preserve"> number of characteristics within a program also </w:t>
      </w:r>
      <w:proofErr w:type="gramStart"/>
      <w:r>
        <w:t>increase</w:t>
      </w:r>
      <w:r w:rsidR="009902EA">
        <w:t>s</w:t>
      </w:r>
      <w:proofErr w:type="gramEnd"/>
      <w:r>
        <w:t xml:space="preserve"> the number </w:t>
      </w:r>
      <w:r w:rsidR="00EF2C05">
        <w:t>of strategies it contains</w:t>
      </w:r>
      <w:r w:rsidR="00423847">
        <w:t xml:space="preserve">, so that </w:t>
      </w:r>
      <w:r>
        <w:t>increased depth also lead</w:t>
      </w:r>
      <w:r w:rsidR="00D065EC">
        <w:t>s</w:t>
      </w:r>
      <w:r>
        <w:t xml:space="preserve"> to increased breadth. In the </w:t>
      </w:r>
      <w:r w:rsidR="009902EA">
        <w:t>matrix</w:t>
      </w:r>
      <w:r>
        <w:t xml:space="preserve"> </w:t>
      </w:r>
      <w:r w:rsidRPr="00B55695">
        <w:t xml:space="preserve">the overall effectiveness of an outreach/access program depends on the combination of depth (the number of </w:t>
      </w:r>
      <w:r w:rsidRPr="007D173E">
        <w:t>characteristics) and breadth (the number of strategies) and the importance and value of combining these determinants.</w:t>
      </w:r>
      <w:r w:rsidR="00510D3B" w:rsidRPr="007D173E">
        <w:t xml:space="preserve"> </w:t>
      </w:r>
    </w:p>
    <w:p w:rsidR="007F0B63" w:rsidRPr="007D173E" w:rsidRDefault="0078671B" w:rsidP="007D173E">
      <w:pPr>
        <w:pStyle w:val="Text"/>
      </w:pPr>
      <w:r w:rsidRPr="007D173E">
        <w:t>In applying the matrix as a tool of analysis for this research study</w:t>
      </w:r>
      <w:r w:rsidR="009902EA" w:rsidRPr="007D173E">
        <w:t>,</w:t>
      </w:r>
      <w:r w:rsidRPr="007D173E">
        <w:t xml:space="preserve"> the strategies and characteristics, as well as the synergy between them, are relevant.</w:t>
      </w:r>
      <w:r w:rsidR="00510D3B" w:rsidRPr="007D173E">
        <w:t xml:space="preserve"> </w:t>
      </w:r>
      <w:r w:rsidR="00DC71CB" w:rsidRPr="007D173E">
        <w:t>The characteristics represent identified or potential enablers to support pathways</w:t>
      </w:r>
      <w:r w:rsidR="009902EA" w:rsidRPr="007D173E">
        <w:t>,</w:t>
      </w:r>
      <w:r w:rsidR="00DC71CB" w:rsidRPr="007D173E">
        <w:t xml:space="preserve"> </w:t>
      </w:r>
      <w:r w:rsidR="00611A1D" w:rsidRPr="007D173E">
        <w:t>while</w:t>
      </w:r>
      <w:r w:rsidR="00DC71CB" w:rsidRPr="007D173E">
        <w:t xml:space="preserve"> the strategies strengthen pathways.</w:t>
      </w:r>
      <w:r w:rsidR="00510D3B" w:rsidRPr="007D173E">
        <w:t xml:space="preserve"> </w:t>
      </w:r>
      <w:r w:rsidR="00DC71CB" w:rsidRPr="007D173E">
        <w:t xml:space="preserve">It is worth noting that most of the characteristics in </w:t>
      </w:r>
      <w:r w:rsidR="009902EA" w:rsidRPr="007D173E">
        <w:t>the matrix</w:t>
      </w:r>
      <w:r w:rsidR="00DC71CB" w:rsidRPr="007D173E">
        <w:t xml:space="preserve"> have been identified in previous research on</w:t>
      </w:r>
      <w:r w:rsidR="00B9612E" w:rsidRPr="007D173E">
        <w:t xml:space="preserve"> </w:t>
      </w:r>
      <w:r w:rsidR="0025217F" w:rsidRPr="007D173E">
        <w:t xml:space="preserve">pathways </w:t>
      </w:r>
      <w:r w:rsidR="00B9612E" w:rsidRPr="007D173E">
        <w:t>transitions</w:t>
      </w:r>
      <w:r w:rsidR="0003158D">
        <w:t xml:space="preserve"> </w:t>
      </w:r>
      <w:r w:rsidR="0003158D" w:rsidRPr="007D173E">
        <w:t>as enablers</w:t>
      </w:r>
      <w:r w:rsidR="00DC71CB" w:rsidRPr="007D173E">
        <w:t xml:space="preserve">, as summarised earlier. Another point to note is that </w:t>
      </w:r>
      <w:r w:rsidR="009902EA" w:rsidRPr="007D173E">
        <w:t>this matrix</w:t>
      </w:r>
      <w:r w:rsidR="00DC71CB" w:rsidRPr="007D173E">
        <w:t xml:space="preserve"> was designed as a program evaluation tool</w:t>
      </w:r>
      <w:r w:rsidR="009902EA" w:rsidRPr="007D173E">
        <w:t>,</w:t>
      </w:r>
      <w:r w:rsidR="00DC71CB" w:rsidRPr="007D173E">
        <w:t xml:space="preserve"> whereas in this context it is being </w:t>
      </w:r>
      <w:r w:rsidRPr="007D173E">
        <w:t>used as</w:t>
      </w:r>
      <w:r w:rsidR="007F0B63" w:rsidRPr="007D173E">
        <w:t xml:space="preserve"> a </w:t>
      </w:r>
      <w:r w:rsidRPr="007D173E">
        <w:t>scaffold to</w:t>
      </w:r>
      <w:r w:rsidR="00DC71CB" w:rsidRPr="007D173E">
        <w:t xml:space="preserve"> categorise students’ perspectives on enablers.</w:t>
      </w:r>
    </w:p>
    <w:p w:rsidR="00DC71CB" w:rsidRDefault="00DC71CB" w:rsidP="007D173E">
      <w:pPr>
        <w:pStyle w:val="Text"/>
      </w:pPr>
      <w:r w:rsidRPr="007D173E">
        <w:t xml:space="preserve">In using the </w:t>
      </w:r>
      <w:r w:rsidR="009902EA" w:rsidRPr="007D173E">
        <w:t>matrix</w:t>
      </w:r>
      <w:r w:rsidR="00D94F86" w:rsidRPr="007D173E">
        <w:t xml:space="preserve"> in</w:t>
      </w:r>
      <w:r w:rsidR="007F0B63" w:rsidRPr="007D173E">
        <w:t xml:space="preserve"> this study</w:t>
      </w:r>
      <w:r w:rsidRPr="007D173E">
        <w:t>, the researc</w:t>
      </w:r>
      <w:r>
        <w:t xml:space="preserve">hers have interpreted the meaning of some characteristics to better reflect this </w:t>
      </w:r>
      <w:r w:rsidR="007F0B63">
        <w:t xml:space="preserve">purpose and </w:t>
      </w:r>
      <w:r>
        <w:t>context. The broad meanings of each characteristic remain the same as in Gale</w:t>
      </w:r>
      <w:r w:rsidR="00524886">
        <w:t xml:space="preserve"> et al.</w:t>
      </w:r>
      <w:r>
        <w:t xml:space="preserve">’s study but </w:t>
      </w:r>
      <w:r w:rsidR="00D94F86">
        <w:t xml:space="preserve">are </w:t>
      </w:r>
      <w:r w:rsidR="007F0B63">
        <w:t xml:space="preserve">linked to a </w:t>
      </w:r>
      <w:r w:rsidR="0025217F">
        <w:t xml:space="preserve">pathways </w:t>
      </w:r>
      <w:r>
        <w:t>focus. Thus, in Gale et al</w:t>
      </w:r>
      <w:r w:rsidR="007F0B63">
        <w:t>.</w:t>
      </w:r>
      <w:r>
        <w:t xml:space="preserve"> ‘</w:t>
      </w:r>
      <w:r w:rsidR="007F0B63">
        <w:t>r</w:t>
      </w:r>
      <w:r>
        <w:t xml:space="preserve">ecognition of </w:t>
      </w:r>
      <w:r w:rsidR="007F0B63">
        <w:t>d</w:t>
      </w:r>
      <w:r>
        <w:t xml:space="preserve">ifference’ is concerned with </w:t>
      </w:r>
      <w:r w:rsidR="007F0B63">
        <w:t xml:space="preserve">university recognition and </w:t>
      </w:r>
      <w:r>
        <w:t xml:space="preserve">valuing the knowledge and learning capacities that </w:t>
      </w:r>
      <w:r w:rsidR="00B05040">
        <w:t>VET</w:t>
      </w:r>
      <w:r>
        <w:t xml:space="preserve"> students bring to formal education; in the context of pathways this </w:t>
      </w:r>
      <w:r>
        <w:lastRenderedPageBreak/>
        <w:t xml:space="preserve">recognition and valuing </w:t>
      </w:r>
      <w:r w:rsidR="00524886">
        <w:t>are</w:t>
      </w:r>
      <w:r>
        <w:t xml:space="preserve"> demonstrated through </w:t>
      </w:r>
      <w:r w:rsidR="007F0B63">
        <w:t xml:space="preserve">the provision of </w:t>
      </w:r>
      <w:r>
        <w:t xml:space="preserve">entry </w:t>
      </w:r>
      <w:r w:rsidR="007F0B63">
        <w:t>and the granting of</w:t>
      </w:r>
      <w:r>
        <w:t xml:space="preserve"> credit for VET studies and relevant work experience. </w:t>
      </w:r>
    </w:p>
    <w:p w:rsidR="00DC71CB" w:rsidRPr="00B55695" w:rsidRDefault="00DC71CB" w:rsidP="00DC71CB">
      <w:pPr>
        <w:pStyle w:val="Text"/>
      </w:pPr>
      <w:r>
        <w:t>It should also be noted that t</w:t>
      </w:r>
      <w:r w:rsidRPr="00B55695">
        <w:t xml:space="preserve">he </w:t>
      </w:r>
      <w:r w:rsidR="009902EA" w:rsidRPr="00B55695">
        <w:t>Design and</w:t>
      </w:r>
      <w:r w:rsidR="009902EA">
        <w:t xml:space="preserve"> Evaluation Matrix for Outreach</w:t>
      </w:r>
      <w:r w:rsidRPr="00B55695">
        <w:t xml:space="preserve"> was not designed as the final</w:t>
      </w:r>
      <w:r w:rsidR="009902EA">
        <w:t xml:space="preserve"> arbiter of transition program</w:t>
      </w:r>
      <w:r w:rsidRPr="00B55695">
        <w:t xml:space="preserve"> merit. Instead, it was intended to promote discussion and debate, to inform design and to strengthen evaluations that also draw on a </w:t>
      </w:r>
      <w:r w:rsidR="009902EA">
        <w:t>range of other data (Gale et al.</w:t>
      </w:r>
      <w:r w:rsidRPr="00B55695">
        <w:t xml:space="preserve"> 2010). Gale suggests that the strength of a program depends more on the combination of characteristics, in response to the particular needs of different contexts, than on the specific characteristics that are combined. Therefore, two programs comprising quite different sets of characteristics could be equally effective. According to Gale</w:t>
      </w:r>
      <w:r w:rsidR="00524886">
        <w:t xml:space="preserve"> et al.</w:t>
      </w:r>
      <w:r w:rsidRPr="00B55695">
        <w:t xml:space="preserve"> (2010) the combination of characteristics and strategies</w:t>
      </w:r>
      <w:r w:rsidR="00FA5532">
        <w:t>,</w:t>
      </w:r>
      <w:r w:rsidR="0003158D">
        <w:t xml:space="preserve"> and in accordance</w:t>
      </w:r>
      <w:r w:rsidRPr="00B55695">
        <w:t xml:space="preserve"> with the orientation of the program</w:t>
      </w:r>
      <w:r w:rsidR="00FA5532">
        <w:t>,</w:t>
      </w:r>
      <w:r w:rsidRPr="00B55695">
        <w:t xml:space="preserve"> provides a better abstract indicator of likely effectiveness than specifications of required program structures or checklists of required features.</w:t>
      </w:r>
      <w:r>
        <w:t xml:space="preserve"> This could also be said of pathways interventions.</w:t>
      </w:r>
    </w:p>
    <w:p w:rsidR="00DC71CB" w:rsidRDefault="00DC71CB" w:rsidP="00DC71CB">
      <w:pPr>
        <w:pStyle w:val="Heading2"/>
      </w:pPr>
      <w:bookmarkStart w:id="54" w:name="_Toc358115584"/>
      <w:r>
        <w:t>Anal</w:t>
      </w:r>
      <w:r w:rsidR="007D50F9">
        <w:t>ysing</w:t>
      </w:r>
      <w:r>
        <w:t xml:space="preserve"> the student </w:t>
      </w:r>
      <w:r w:rsidR="00543261">
        <w:t>interviews</w:t>
      </w:r>
      <w:bookmarkEnd w:id="54"/>
      <w:r w:rsidR="00510D3B">
        <w:t xml:space="preserve"> </w:t>
      </w:r>
    </w:p>
    <w:p w:rsidR="00DC71CB" w:rsidRDefault="00911147" w:rsidP="00911147">
      <w:pPr>
        <w:pStyle w:val="Text"/>
      </w:pPr>
      <w:r>
        <w:t xml:space="preserve">The analysis below sets out the student responses against each of </w:t>
      </w:r>
      <w:r w:rsidR="0003158D">
        <w:t xml:space="preserve">the </w:t>
      </w:r>
      <w:r>
        <w:t xml:space="preserve">characteristics (enablers) within the four strategies in the </w:t>
      </w:r>
      <w:r w:rsidR="000D1BEE">
        <w:t>matrix</w:t>
      </w:r>
      <w:r>
        <w:t xml:space="preserve">. </w:t>
      </w:r>
      <w:r w:rsidR="00A2218A">
        <w:t>In r</w:t>
      </w:r>
      <w:r w:rsidR="00110AD5">
        <w:t xml:space="preserve">eviewing the data </w:t>
      </w:r>
      <w:r w:rsidR="00DC71CB">
        <w:t xml:space="preserve">most </w:t>
      </w:r>
      <w:r w:rsidR="00FD2821">
        <w:t xml:space="preserve">of the </w:t>
      </w:r>
      <w:r w:rsidR="000D1BEE">
        <w:t xml:space="preserve">matrix </w:t>
      </w:r>
      <w:r w:rsidR="00524886">
        <w:t>characteristics</w:t>
      </w:r>
      <w:r w:rsidR="0078671B">
        <w:t xml:space="preserve"> and</w:t>
      </w:r>
      <w:r w:rsidR="00543261">
        <w:t xml:space="preserve"> </w:t>
      </w:r>
      <w:r w:rsidR="00DC71CB">
        <w:t>all four</w:t>
      </w:r>
      <w:r w:rsidR="00110AD5">
        <w:t xml:space="preserve"> </w:t>
      </w:r>
      <w:r w:rsidR="00DC71CB">
        <w:t>strategies</w:t>
      </w:r>
      <w:r w:rsidR="00543261">
        <w:t xml:space="preserve"> were </w:t>
      </w:r>
      <w:r w:rsidR="00110AD5">
        <w:t>evident</w:t>
      </w:r>
      <w:r w:rsidR="00DC71CB">
        <w:t>. Some enablers were more commonly reflected in the students’ responses than others and these wer</w:t>
      </w:r>
      <w:r w:rsidR="00831E71">
        <w:t xml:space="preserve">e also the enablers identified </w:t>
      </w:r>
      <w:r w:rsidR="00DC71CB">
        <w:t xml:space="preserve">as having the most impact on pathway decisions and outcomes. </w:t>
      </w:r>
    </w:p>
    <w:p w:rsidR="00DC71CB" w:rsidRPr="00305B75" w:rsidRDefault="00DC71CB" w:rsidP="007D173E">
      <w:pPr>
        <w:pStyle w:val="Heading3"/>
        <w:rPr>
          <w:rFonts w:ascii="Arial" w:hAnsi="Arial" w:cs="Arial"/>
        </w:rPr>
      </w:pPr>
      <w:r>
        <w:t xml:space="preserve">Strategy </w:t>
      </w:r>
      <w:r w:rsidR="000D1BEE">
        <w:t>1:</w:t>
      </w:r>
      <w:r>
        <w:t xml:space="preserve"> </w:t>
      </w:r>
      <w:r w:rsidR="000D1BEE" w:rsidRPr="007D173E">
        <w:t>Assembling</w:t>
      </w:r>
      <w:r w:rsidR="000D1BEE">
        <w:t xml:space="preserve"> r</w:t>
      </w:r>
      <w:r w:rsidRPr="00E61AC1">
        <w:t>esources</w:t>
      </w:r>
    </w:p>
    <w:p w:rsidR="00DC71CB" w:rsidRDefault="00B9612E" w:rsidP="007D173E">
      <w:pPr>
        <w:pStyle w:val="Text"/>
        <w:spacing w:before="80"/>
        <w:ind w:right="0"/>
      </w:pPr>
      <w:r>
        <w:t xml:space="preserve">This </w:t>
      </w:r>
      <w:r w:rsidR="00DC71CB">
        <w:t>strategy comprises three characteristics:</w:t>
      </w:r>
    </w:p>
    <w:p w:rsidR="00A2218A" w:rsidRDefault="00CB67B5" w:rsidP="00DC71CB">
      <w:pPr>
        <w:pStyle w:val="Dotpoint1"/>
      </w:pPr>
      <w:r w:rsidRPr="000D1BEE">
        <w:rPr>
          <w:i/>
        </w:rPr>
        <w:t>People-</w:t>
      </w:r>
      <w:r w:rsidR="000D1BEE" w:rsidRPr="000D1BEE">
        <w:rPr>
          <w:i/>
        </w:rPr>
        <w:t>rich</w:t>
      </w:r>
      <w:r w:rsidR="000D1BEE">
        <w:t xml:space="preserve">: </w:t>
      </w:r>
      <w:r>
        <w:t>this</w:t>
      </w:r>
      <w:r w:rsidR="00DC71CB">
        <w:t xml:space="preserve"> </w:t>
      </w:r>
      <w:r w:rsidR="00A2218A">
        <w:t xml:space="preserve">term </w:t>
      </w:r>
      <w:r w:rsidR="00DC71CB">
        <w:t xml:space="preserve">refers to the development of relationships </w:t>
      </w:r>
      <w:r>
        <w:t xml:space="preserve">between the students and other </w:t>
      </w:r>
      <w:r w:rsidR="00DC71CB">
        <w:t xml:space="preserve">people </w:t>
      </w:r>
      <w:r>
        <w:t xml:space="preserve">who are </w:t>
      </w:r>
      <w:r w:rsidR="00DC71CB">
        <w:t xml:space="preserve">in a position to offer ongoing guidance and support </w:t>
      </w:r>
      <w:r>
        <w:t>that is appropriate and relevant to the</w:t>
      </w:r>
      <w:r w:rsidR="00DC71CB">
        <w:t xml:space="preserve"> situation and capacities</w:t>
      </w:r>
      <w:r>
        <w:t xml:space="preserve"> of the students. </w:t>
      </w:r>
    </w:p>
    <w:p w:rsidR="00DF2A95" w:rsidRDefault="00CB67B5" w:rsidP="00FD2821">
      <w:pPr>
        <w:pStyle w:val="Dotpoint2"/>
      </w:pPr>
      <w:r>
        <w:t xml:space="preserve">In this </w:t>
      </w:r>
      <w:r w:rsidR="00DC71CB">
        <w:t>study</w:t>
      </w:r>
      <w:r>
        <w:t>, such guidance</w:t>
      </w:r>
      <w:r w:rsidR="00021325">
        <w:t xml:space="preserve"> relates </w:t>
      </w:r>
      <w:r w:rsidR="001D1374">
        <w:t xml:space="preserve">to </w:t>
      </w:r>
      <w:r w:rsidR="00DC71CB">
        <w:t>pathways knowledge and advice, support for continuing studies, identification of pathways opportunities and assistance.</w:t>
      </w:r>
    </w:p>
    <w:p w:rsidR="00A2218A" w:rsidRDefault="00DC71CB" w:rsidP="00DC71CB">
      <w:pPr>
        <w:pStyle w:val="Dotpoint1"/>
      </w:pPr>
      <w:r w:rsidRPr="000D1BEE">
        <w:rPr>
          <w:i/>
        </w:rPr>
        <w:t>Financial support/incentives</w:t>
      </w:r>
      <w:r w:rsidR="000D1BEE">
        <w:t xml:space="preserve">: this </w:t>
      </w:r>
      <w:r>
        <w:t>addresses ind</w:t>
      </w:r>
      <w:r w:rsidR="00021325">
        <w:t xml:space="preserve">ividuals’ economic constraints </w:t>
      </w:r>
      <w:r>
        <w:t xml:space="preserve">and any assistance that may be </w:t>
      </w:r>
      <w:r w:rsidR="00021325">
        <w:t xml:space="preserve">available </w:t>
      </w:r>
      <w:r w:rsidR="00A2218A">
        <w:t xml:space="preserve">to support participation in </w:t>
      </w:r>
      <w:r w:rsidR="00510D3B">
        <w:t>higher education</w:t>
      </w:r>
      <w:r w:rsidR="00FD2821">
        <w:t>.</w:t>
      </w:r>
    </w:p>
    <w:p w:rsidR="00DF2A95" w:rsidRDefault="00A2218A" w:rsidP="00FD2821">
      <w:pPr>
        <w:pStyle w:val="Dotpoint2"/>
      </w:pPr>
      <w:r>
        <w:t>I</w:t>
      </w:r>
      <w:r w:rsidR="00021325">
        <w:t>n this study</w:t>
      </w:r>
      <w:r>
        <w:t>, this characterist</w:t>
      </w:r>
      <w:r w:rsidR="006A1C95">
        <w:t>i</w:t>
      </w:r>
      <w:r>
        <w:t xml:space="preserve">c </w:t>
      </w:r>
      <w:r w:rsidR="00021325">
        <w:t xml:space="preserve">relates to </w:t>
      </w:r>
      <w:r w:rsidR="00DC71CB">
        <w:t>financial impacts</w:t>
      </w:r>
      <w:r w:rsidR="00510D3B">
        <w:t xml:space="preserve"> </w:t>
      </w:r>
      <w:r w:rsidR="00021325">
        <w:t>(</w:t>
      </w:r>
      <w:r>
        <w:t xml:space="preserve">both </w:t>
      </w:r>
      <w:r w:rsidR="00021325">
        <w:t xml:space="preserve">positive/negative) </w:t>
      </w:r>
      <w:r w:rsidR="00DC71CB">
        <w:t xml:space="preserve">on </w:t>
      </w:r>
      <w:r w:rsidR="0078671B">
        <w:t>students who</w:t>
      </w:r>
      <w:r w:rsidR="00FD2821">
        <w:t xml:space="preserve"> use</w:t>
      </w:r>
      <w:r w:rsidR="00DC71CB">
        <w:t xml:space="preserve"> pathways</w:t>
      </w:r>
      <w:r w:rsidR="00FD2821">
        <w:t xml:space="preserve"> to </w:t>
      </w:r>
      <w:r w:rsidR="00510D3B">
        <w:t>higher education</w:t>
      </w:r>
      <w:r w:rsidR="00FD2821">
        <w:t>.</w:t>
      </w:r>
    </w:p>
    <w:p w:rsidR="00FD2821" w:rsidRDefault="00DC71CB" w:rsidP="00DC71CB">
      <w:pPr>
        <w:pStyle w:val="Dotpoint1"/>
      </w:pPr>
      <w:r w:rsidRPr="000D1BEE">
        <w:rPr>
          <w:i/>
        </w:rPr>
        <w:t>Early and sustained intervention</w:t>
      </w:r>
      <w:r w:rsidR="000D1BEE">
        <w:t>: this</w:t>
      </w:r>
      <w:r>
        <w:t xml:space="preserve"> addresses working with students </w:t>
      </w:r>
      <w:r w:rsidR="006A1C95">
        <w:t xml:space="preserve">to provide supports </w:t>
      </w:r>
      <w:r>
        <w:t xml:space="preserve">from the commencement of </w:t>
      </w:r>
      <w:r w:rsidR="00510D3B">
        <w:t>higher education</w:t>
      </w:r>
      <w:r>
        <w:t xml:space="preserve"> studies</w:t>
      </w:r>
      <w:r w:rsidR="00FD2821">
        <w:t>.</w:t>
      </w:r>
    </w:p>
    <w:p w:rsidR="00DC71CB" w:rsidRDefault="00FD2821" w:rsidP="00FD2821">
      <w:pPr>
        <w:pStyle w:val="Dotpoint2"/>
      </w:pPr>
      <w:r>
        <w:t>I</w:t>
      </w:r>
      <w:r w:rsidR="00DC71CB">
        <w:t xml:space="preserve">n </w:t>
      </w:r>
      <w:r w:rsidR="00021325">
        <w:t>t</w:t>
      </w:r>
      <w:r w:rsidR="00DC71CB">
        <w:t xml:space="preserve">his context </w:t>
      </w:r>
      <w:r>
        <w:t xml:space="preserve">it incorporates interventions </w:t>
      </w:r>
      <w:r w:rsidR="00DC71CB">
        <w:t xml:space="preserve">from the commencement of VET </w:t>
      </w:r>
      <w:r w:rsidR="006A1C95">
        <w:t xml:space="preserve">studies </w:t>
      </w:r>
      <w:r w:rsidR="00DC71CB">
        <w:t xml:space="preserve">through transition into </w:t>
      </w:r>
      <w:r w:rsidR="006A1C95">
        <w:t>h</w:t>
      </w:r>
      <w:r w:rsidR="00DC71CB">
        <w:t xml:space="preserve">igher </w:t>
      </w:r>
      <w:r w:rsidR="006A1C95">
        <w:t>e</w:t>
      </w:r>
      <w:r w:rsidR="00DC71CB">
        <w:t>ducation.</w:t>
      </w:r>
    </w:p>
    <w:p w:rsidR="00DC71CB" w:rsidRPr="001C0F15" w:rsidRDefault="00DC71CB" w:rsidP="007D173E">
      <w:pPr>
        <w:pStyle w:val="Text"/>
      </w:pPr>
      <w:r>
        <w:t xml:space="preserve">Many </w:t>
      </w:r>
      <w:r w:rsidRPr="00970406">
        <w:t xml:space="preserve">of </w:t>
      </w:r>
      <w:r>
        <w:t xml:space="preserve">the </w:t>
      </w:r>
      <w:r w:rsidRPr="00970406">
        <w:t xml:space="preserve">students </w:t>
      </w:r>
      <w:r w:rsidR="001C0F15">
        <w:t xml:space="preserve">interviewed </w:t>
      </w:r>
      <w:r w:rsidRPr="00970406">
        <w:t xml:space="preserve">identified a strong </w:t>
      </w:r>
      <w:r w:rsidR="003958D3" w:rsidRPr="003958D3">
        <w:t>people-rich</w:t>
      </w:r>
      <w:r w:rsidRPr="00970406">
        <w:t xml:space="preserve"> component </w:t>
      </w:r>
      <w:r>
        <w:t>in their decision to go on</w:t>
      </w:r>
      <w:r w:rsidR="000D1BEE">
        <w:t xml:space="preserve"> </w:t>
      </w:r>
      <w:r>
        <w:t>to higher education following their VET studies.</w:t>
      </w:r>
      <w:r w:rsidR="00510D3B">
        <w:t xml:space="preserve"> </w:t>
      </w:r>
      <w:r>
        <w:t xml:space="preserve">This was particularly important where students had not initially contemplated </w:t>
      </w:r>
      <w:r w:rsidR="00FD2821">
        <w:t>further study beyond the diploma.</w:t>
      </w:r>
      <w:r>
        <w:t xml:space="preserve"> </w:t>
      </w:r>
      <w:r w:rsidR="00FD2821">
        <w:t>For this group</w:t>
      </w:r>
      <w:r w:rsidR="00587A0D">
        <w:t>,</w:t>
      </w:r>
      <w:r w:rsidR="00FD2821">
        <w:t xml:space="preserve"> it </w:t>
      </w:r>
      <w:r>
        <w:t xml:space="preserve">was </w:t>
      </w:r>
      <w:r w:rsidR="00FD2821">
        <w:t xml:space="preserve">most often </w:t>
      </w:r>
      <w:r w:rsidR="00587A0D">
        <w:t xml:space="preserve">VET </w:t>
      </w:r>
      <w:r>
        <w:t xml:space="preserve">staff </w:t>
      </w:r>
      <w:r w:rsidR="000D1BEE">
        <w:t>who</w:t>
      </w:r>
      <w:r>
        <w:t xml:space="preserve"> first gave them</w:t>
      </w:r>
      <w:r w:rsidR="000D1BEE">
        <w:t xml:space="preserve"> the</w:t>
      </w:r>
      <w:r w:rsidR="001C0F15">
        <w:t xml:space="preserve"> </w:t>
      </w:r>
      <w:r>
        <w:t xml:space="preserve">idea </w:t>
      </w:r>
      <w:r w:rsidR="006A1C95">
        <w:t>to</w:t>
      </w:r>
      <w:r>
        <w:t xml:space="preserve"> continu</w:t>
      </w:r>
      <w:r w:rsidR="006A1C95">
        <w:t>e</w:t>
      </w:r>
      <w:r w:rsidR="001C0F15">
        <w:t xml:space="preserve"> </w:t>
      </w:r>
      <w:r w:rsidR="00587A0D">
        <w:t xml:space="preserve">with </w:t>
      </w:r>
      <w:r w:rsidR="001C0F15">
        <w:t>their education</w:t>
      </w:r>
      <w:r>
        <w:t xml:space="preserve">. Teachers were the most commonly </w:t>
      </w:r>
      <w:r w:rsidR="00587A0D">
        <w:t>named</w:t>
      </w:r>
      <w:r>
        <w:t xml:space="preserve"> people in providing such advice and guidance but other staff</w:t>
      </w:r>
      <w:r w:rsidR="001C0F15">
        <w:t xml:space="preserve"> </w:t>
      </w:r>
      <w:r>
        <w:t>were also mentioned</w:t>
      </w:r>
      <w:r w:rsidR="001C0F15">
        <w:t>, inclu</w:t>
      </w:r>
      <w:r w:rsidR="00D17D83">
        <w:t>ding heads of department and co</w:t>
      </w:r>
      <w:r w:rsidR="001C0F15">
        <w:t>ordinators</w:t>
      </w:r>
      <w:r>
        <w:t xml:space="preserve">. </w:t>
      </w:r>
      <w:r w:rsidRPr="00970406">
        <w:t xml:space="preserve">The students commented upon the knowledge and willingness of </w:t>
      </w:r>
      <w:r w:rsidR="001C0F15">
        <w:t xml:space="preserve">VET </w:t>
      </w:r>
      <w:r w:rsidRPr="00970406">
        <w:t>staff to answer their questions, undertake enquiries for them and provide support</w:t>
      </w:r>
      <w:r>
        <w:t xml:space="preserve"> </w:t>
      </w:r>
      <w:r>
        <w:lastRenderedPageBreak/>
        <w:t xml:space="preserve">as they progressed </w:t>
      </w:r>
      <w:r w:rsidRPr="007D173E">
        <w:t>through</w:t>
      </w:r>
      <w:r>
        <w:t xml:space="preserve"> VET studies</w:t>
      </w:r>
      <w:r w:rsidRPr="00970406">
        <w:t xml:space="preserve">. </w:t>
      </w:r>
      <w:r w:rsidRPr="009B3A7E">
        <w:t xml:space="preserve">Gale </w:t>
      </w:r>
      <w:r w:rsidR="006B5994">
        <w:t>et al</w:t>
      </w:r>
      <w:r w:rsidR="00D17D83">
        <w:t>.</w:t>
      </w:r>
      <w:r w:rsidR="0078671B" w:rsidRPr="009B3A7E">
        <w:t xml:space="preserve"> (</w:t>
      </w:r>
      <w:r w:rsidR="00D17D83">
        <w:t>2010) stress the importance of ‘</w:t>
      </w:r>
      <w:r w:rsidRPr="009B3A7E">
        <w:t>extended conversatio</w:t>
      </w:r>
      <w:r w:rsidR="00D17D83">
        <w:t>ns’</w:t>
      </w:r>
      <w:r>
        <w:t xml:space="preserve"> to provide resources for</w:t>
      </w:r>
      <w:r w:rsidRPr="009B3A7E">
        <w:t xml:space="preserve"> learners. </w:t>
      </w:r>
    </w:p>
    <w:p w:rsidR="00DC71CB" w:rsidRPr="007D173E" w:rsidRDefault="00DC71CB" w:rsidP="007D173E">
      <w:pPr>
        <w:pStyle w:val="Quote"/>
      </w:pPr>
      <w:r w:rsidRPr="00E71C33">
        <w:t xml:space="preserve">When I started the diploma I wasn’t </w:t>
      </w:r>
      <w:r w:rsidRPr="007D173E">
        <w:t>really thinking about the degree you know</w:t>
      </w:r>
      <w:r w:rsidR="00524886" w:rsidRPr="007D173E">
        <w:t xml:space="preserve"> </w:t>
      </w:r>
      <w:r w:rsidR="007D173E">
        <w:t>…</w:t>
      </w:r>
      <w:r w:rsidR="00524886" w:rsidRPr="007D173E">
        <w:t xml:space="preserve"> </w:t>
      </w:r>
      <w:r w:rsidRPr="007D173E">
        <w:t xml:space="preserve">it was just </w:t>
      </w:r>
      <w:r w:rsidR="00524886" w:rsidRPr="007D173E">
        <w:t>as I was finishing I talked to [teacher</w:t>
      </w:r>
      <w:r w:rsidRPr="007D173E">
        <w:t xml:space="preserve"> </w:t>
      </w:r>
      <w:r w:rsidR="00524886" w:rsidRPr="007D173E">
        <w:t xml:space="preserve">name] … </w:t>
      </w:r>
      <w:r w:rsidRPr="007D173E">
        <w:t>who told me about the degree</w:t>
      </w:r>
      <w:r w:rsidR="0078671B" w:rsidRPr="007D173E">
        <w:t>.</w:t>
      </w:r>
      <w:r w:rsidR="007D173E">
        <w:br/>
      </w:r>
      <w:r w:rsidR="00D17D83" w:rsidRPr="007D173E">
        <w:tab/>
      </w:r>
      <w:r w:rsidR="0078671B" w:rsidRPr="007D173E">
        <w:t>(</w:t>
      </w:r>
      <w:r w:rsidR="00D70318" w:rsidRPr="007D173E">
        <w:t>University of Technology Sydney</w:t>
      </w:r>
      <w:r w:rsidRPr="007D173E">
        <w:t>)</w:t>
      </w:r>
    </w:p>
    <w:p w:rsidR="00DC71CB" w:rsidRPr="007D173E" w:rsidRDefault="00DC71CB" w:rsidP="007D173E">
      <w:pPr>
        <w:pStyle w:val="Quote"/>
      </w:pPr>
      <w:r w:rsidRPr="007D173E">
        <w:t xml:space="preserve">I didn’t think I could do it actually, </w:t>
      </w:r>
      <w:proofErr w:type="gramStart"/>
      <w:r w:rsidRPr="007D173E">
        <w:t>then</w:t>
      </w:r>
      <w:proofErr w:type="gramEnd"/>
      <w:r w:rsidRPr="007D173E">
        <w:t xml:space="preserve"> Mr</w:t>
      </w:r>
      <w:r w:rsidR="00D17D83" w:rsidRPr="007D173E">
        <w:t xml:space="preserve"> [teacher</w:t>
      </w:r>
      <w:r w:rsidRPr="007D173E">
        <w:t xml:space="preserve"> </w:t>
      </w:r>
      <w:r w:rsidR="00D17D83" w:rsidRPr="007D173E">
        <w:t xml:space="preserve">name] </w:t>
      </w:r>
      <w:r w:rsidR="007D173E">
        <w:t>…</w:t>
      </w:r>
      <w:r w:rsidR="00D17D83" w:rsidRPr="007D173E">
        <w:t xml:space="preserve"> </w:t>
      </w:r>
      <w:r w:rsidRPr="007D173E">
        <w:t>said it wasn’t that much more involved really.</w:t>
      </w:r>
      <w:r w:rsidR="00363A4D" w:rsidRPr="007D173E">
        <w:tab/>
      </w:r>
      <w:r w:rsidRPr="007D173E">
        <w:t>(</w:t>
      </w:r>
      <w:r w:rsidR="00D17D83" w:rsidRPr="007D173E">
        <w:t>RMIT University</w:t>
      </w:r>
      <w:r w:rsidRPr="007D173E">
        <w:t>)</w:t>
      </w:r>
    </w:p>
    <w:p w:rsidR="00DC71CB" w:rsidRPr="00AD0DB9" w:rsidRDefault="001C0F15" w:rsidP="007D173E">
      <w:pPr>
        <w:pStyle w:val="Quote"/>
      </w:pPr>
      <w:r w:rsidRPr="007D173E">
        <w:t>Other VET staff… yeah head of TA</w:t>
      </w:r>
      <w:r w:rsidR="00DC71CB" w:rsidRPr="007D173E">
        <w:t>F</w:t>
      </w:r>
      <w:r w:rsidR="00DC71CB" w:rsidRPr="00AD0DB9">
        <w:t>E suggested</w:t>
      </w:r>
      <w:r w:rsidR="0078671B">
        <w:t>.</w:t>
      </w:r>
      <w:r w:rsidR="00363A4D">
        <w:tab/>
      </w:r>
      <w:r w:rsidR="00DC71CB" w:rsidRPr="00AD0DB9">
        <w:t>(</w:t>
      </w:r>
      <w:r w:rsidR="00363A4D">
        <w:t>University of South Australia</w:t>
      </w:r>
      <w:r w:rsidR="00DC71CB" w:rsidRPr="00AD0DB9">
        <w:t>)</w:t>
      </w:r>
    </w:p>
    <w:p w:rsidR="00DC71CB" w:rsidRPr="00970406" w:rsidRDefault="00795F21" w:rsidP="00DC71CB">
      <w:pPr>
        <w:pStyle w:val="Text"/>
      </w:pPr>
      <w:r>
        <w:t>T</w:t>
      </w:r>
      <w:r w:rsidR="00DC71CB" w:rsidRPr="00970406">
        <w:t xml:space="preserve">he capacity </w:t>
      </w:r>
      <w:r w:rsidR="00DC71CB">
        <w:t xml:space="preserve">of VET staff to </w:t>
      </w:r>
      <w:r w:rsidR="00363A4D">
        <w:t>provide a people</w:t>
      </w:r>
      <w:r w:rsidR="00DC71CB" w:rsidRPr="00970406">
        <w:t xml:space="preserve">–rich experience is </w:t>
      </w:r>
      <w:r w:rsidR="00DC71CB">
        <w:t xml:space="preserve">also </w:t>
      </w:r>
      <w:r w:rsidR="00DC71CB" w:rsidRPr="00970406">
        <w:t xml:space="preserve">dependent upon </w:t>
      </w:r>
      <w:r w:rsidR="001D1374">
        <w:t xml:space="preserve">their </w:t>
      </w:r>
      <w:r w:rsidR="00DC71CB" w:rsidRPr="00970406">
        <w:t xml:space="preserve">understandings of </w:t>
      </w:r>
      <w:r w:rsidR="00DC71CB">
        <w:t>pathways and the opportunities a degre</w:t>
      </w:r>
      <w:r w:rsidR="001C0F15">
        <w:t>e might provide to their students</w:t>
      </w:r>
      <w:r w:rsidR="00363A4D">
        <w:t>,</w:t>
      </w:r>
      <w:r w:rsidR="001C0F15">
        <w:t xml:space="preserve"> in addition to a</w:t>
      </w:r>
      <w:r w:rsidR="00DC71CB">
        <w:t xml:space="preserve"> VET qualification.</w:t>
      </w:r>
      <w:r w:rsidR="00510D3B">
        <w:t xml:space="preserve"> </w:t>
      </w:r>
      <w:r w:rsidR="0078671B">
        <w:t xml:space="preserve">VET staff </w:t>
      </w:r>
      <w:proofErr w:type="gramStart"/>
      <w:r w:rsidR="00D94F86">
        <w:t>who</w:t>
      </w:r>
      <w:proofErr w:type="gramEnd"/>
      <w:r w:rsidR="00D94F86">
        <w:t xml:space="preserve"> </w:t>
      </w:r>
      <w:r w:rsidR="0078671B">
        <w:t>were aware of which universities more likely to give access to pathway</w:t>
      </w:r>
      <w:r w:rsidR="004D5EEF">
        <w:t>s</w:t>
      </w:r>
      <w:r w:rsidR="0078671B">
        <w:t xml:space="preserve"> students and who had a collegial relationship with their university colleagues were able to make this guidance more specific. </w:t>
      </w:r>
    </w:p>
    <w:p w:rsidR="00DC71CB" w:rsidRPr="00855E2A" w:rsidRDefault="00DC71CB" w:rsidP="00DC71CB">
      <w:pPr>
        <w:pStyle w:val="Quote"/>
      </w:pPr>
      <w:r w:rsidRPr="00855E2A">
        <w:t>Well this uni had a relationship with the Leederville TAFE and that meant you c</w:t>
      </w:r>
      <w:r w:rsidR="00363A4D">
        <w:t>ould find out about the degree.</w:t>
      </w:r>
      <w:r w:rsidR="00363A4D">
        <w:tab/>
      </w:r>
      <w:r w:rsidRPr="00855E2A">
        <w:t>(</w:t>
      </w:r>
      <w:r w:rsidR="00A33D8C">
        <w:t>Curtin University of Technology</w:t>
      </w:r>
      <w:r w:rsidRPr="00855E2A">
        <w:t>)</w:t>
      </w:r>
    </w:p>
    <w:p w:rsidR="00DC71CB" w:rsidRPr="00AD0DB9" w:rsidRDefault="001C0F15" w:rsidP="001D1374">
      <w:pPr>
        <w:pStyle w:val="Quote"/>
      </w:pPr>
      <w:r>
        <w:t>T</w:t>
      </w:r>
      <w:r w:rsidR="00DC71CB">
        <w:t>he TAFE coordinato</w:t>
      </w:r>
      <w:r w:rsidR="00DC71CB" w:rsidRPr="00AD0DB9">
        <w:t>r k</w:t>
      </w:r>
      <w:r w:rsidR="00DC71CB">
        <w:t>new all the staff at Curtin</w:t>
      </w:r>
      <w:r w:rsidR="0078671B">
        <w:t>.</w:t>
      </w:r>
      <w:r w:rsidR="00363A4D">
        <w:tab/>
      </w:r>
      <w:r w:rsidR="0078671B" w:rsidRPr="00855E2A">
        <w:t>(</w:t>
      </w:r>
      <w:r w:rsidR="00A33D8C">
        <w:t>Curtin University of Technology</w:t>
      </w:r>
      <w:r w:rsidR="001D1374" w:rsidRPr="00855E2A">
        <w:t>)</w:t>
      </w:r>
      <w:r w:rsidR="00510D3B">
        <w:t xml:space="preserve"> </w:t>
      </w:r>
    </w:p>
    <w:p w:rsidR="00DC71CB" w:rsidRDefault="00DC71CB" w:rsidP="00DC71CB">
      <w:pPr>
        <w:pStyle w:val="Text"/>
      </w:pPr>
      <w:r>
        <w:t xml:space="preserve">Other significant </w:t>
      </w:r>
      <w:r w:rsidR="00363A4D">
        <w:t>people-</w:t>
      </w:r>
      <w:r>
        <w:t>rich resources include family and employers (for the students who were working). Many of the students had family working in the industry</w:t>
      </w:r>
      <w:r w:rsidR="006A1C95">
        <w:t xml:space="preserve"> and</w:t>
      </w:r>
      <w:r w:rsidR="001C0F15">
        <w:t xml:space="preserve"> family</w:t>
      </w:r>
      <w:r>
        <w:t xml:space="preserve"> who were aware of the job opportunities offered by a degree. Employers could also give such advice:</w:t>
      </w:r>
    </w:p>
    <w:p w:rsidR="006C3BDD" w:rsidRDefault="00DC71CB" w:rsidP="00DC71CB">
      <w:pPr>
        <w:pStyle w:val="Quote"/>
      </w:pPr>
      <w:r>
        <w:t>My father made me go to uni he expects us to achieve and people at work told him the pay was better</w:t>
      </w:r>
      <w:r w:rsidR="001C0F15">
        <w:t>.</w:t>
      </w:r>
      <w:r w:rsidR="00363A4D">
        <w:tab/>
      </w:r>
      <w:r>
        <w:t>(</w:t>
      </w:r>
      <w:r w:rsidR="00363A4D">
        <w:t>University of South Australia</w:t>
      </w:r>
      <w:r>
        <w:t>)</w:t>
      </w:r>
    </w:p>
    <w:p w:rsidR="006C3BDD" w:rsidRPr="00E71C33" w:rsidRDefault="006C3BDD" w:rsidP="006C3BDD">
      <w:pPr>
        <w:pStyle w:val="Quote"/>
      </w:pPr>
      <w:r w:rsidRPr="00E71C33">
        <w:t>No, none of my family have come here</w:t>
      </w:r>
      <w:r w:rsidR="00363A4D">
        <w:t xml:space="preserve"> [to university]</w:t>
      </w:r>
      <w:r w:rsidRPr="00E71C33">
        <w:t xml:space="preserve">, but they wanted </w:t>
      </w:r>
      <w:r>
        <w:t>me to get qualified in building</w:t>
      </w:r>
      <w:r w:rsidR="001C0F15">
        <w:t>.</w:t>
      </w:r>
      <w:r w:rsidR="007D173E">
        <w:tab/>
      </w:r>
      <w:r>
        <w:t>(</w:t>
      </w:r>
      <w:r w:rsidR="00363A4D">
        <w:t>University of Western Sydney</w:t>
      </w:r>
      <w:r>
        <w:t>)</w:t>
      </w:r>
    </w:p>
    <w:p w:rsidR="00DC71CB" w:rsidRPr="006C3BDD" w:rsidRDefault="00DC71CB" w:rsidP="006C3BDD">
      <w:pPr>
        <w:pStyle w:val="Quote"/>
      </w:pPr>
      <w:r w:rsidRPr="006C3BDD">
        <w:t>At work they told me the degree would be more helpful</w:t>
      </w:r>
      <w:r w:rsidR="00524886">
        <w:t xml:space="preserve"> </w:t>
      </w:r>
      <w:r w:rsidR="007D173E">
        <w:t>…</w:t>
      </w:r>
      <w:r w:rsidR="00524886">
        <w:t xml:space="preserve"> </w:t>
      </w:r>
      <w:r w:rsidRPr="006C3BDD">
        <w:t>I wasn’t sure till I spo</w:t>
      </w:r>
      <w:r w:rsidR="00514EA8">
        <w:t>ke with the programme director.</w:t>
      </w:r>
      <w:r w:rsidR="00514EA8">
        <w:tab/>
      </w:r>
      <w:r w:rsidRPr="006C3BDD">
        <w:t>(</w:t>
      </w:r>
      <w:r w:rsidR="00514EA8">
        <w:t>Holmesglen Institute</w:t>
      </w:r>
      <w:r w:rsidRPr="006C3BDD">
        <w:t>)</w:t>
      </w:r>
    </w:p>
    <w:p w:rsidR="00DC71CB" w:rsidRDefault="00DC71CB" w:rsidP="00DC71CB">
      <w:pPr>
        <w:pStyle w:val="Text"/>
      </w:pPr>
      <w:r w:rsidRPr="00970406">
        <w:t xml:space="preserve">The use of mentors, tutors and peers as support resources is seen as a valuable aspect of </w:t>
      </w:r>
      <w:r>
        <w:t>‘</w:t>
      </w:r>
      <w:r w:rsidRPr="00970406">
        <w:t>enabling resources</w:t>
      </w:r>
      <w:r>
        <w:t>’</w:t>
      </w:r>
      <w:r w:rsidRPr="00970406">
        <w:t xml:space="preserve"> </w:t>
      </w:r>
      <w:r>
        <w:t xml:space="preserve">in the context of outreach </w:t>
      </w:r>
      <w:r w:rsidRPr="00970406">
        <w:t>(Gale et al</w:t>
      </w:r>
      <w:r w:rsidR="00514EA8">
        <w:t>.</w:t>
      </w:r>
      <w:r w:rsidRPr="00970406">
        <w:t xml:space="preserve"> 2010). </w:t>
      </w:r>
      <w:r w:rsidR="001C0F15">
        <w:t>In this study</w:t>
      </w:r>
      <w:r>
        <w:t>, such</w:t>
      </w:r>
      <w:r w:rsidR="001C0F15">
        <w:t xml:space="preserve"> resources were not </w:t>
      </w:r>
      <w:r w:rsidR="006A1C95">
        <w:t>strongly identified</w:t>
      </w:r>
      <w:r>
        <w:t xml:space="preserve">, although it could be argued that VET staff </w:t>
      </w:r>
      <w:r w:rsidR="001C0F15">
        <w:t xml:space="preserve">also </w:t>
      </w:r>
      <w:r>
        <w:t xml:space="preserve">played a mentoring role in guiding students with the capacity towards </w:t>
      </w:r>
      <w:r w:rsidR="00510D3B">
        <w:t>higher education</w:t>
      </w:r>
      <w:r w:rsidR="001C0F15">
        <w:t xml:space="preserve"> because the</w:t>
      </w:r>
      <w:r w:rsidR="00F031A1">
        <w:t>y</w:t>
      </w:r>
      <w:r w:rsidR="001C0F15">
        <w:t xml:space="preserve"> knew them </w:t>
      </w:r>
      <w:r w:rsidR="006A1C95">
        <w:t xml:space="preserve">individually </w:t>
      </w:r>
      <w:r w:rsidR="008B6896">
        <w:t xml:space="preserve">(a consequence of much smaller classes in </w:t>
      </w:r>
      <w:r w:rsidR="00510D3B">
        <w:t>vocational education and training</w:t>
      </w:r>
      <w:r w:rsidR="0078671B">
        <w:t xml:space="preserve">). </w:t>
      </w:r>
      <w:r>
        <w:t>Some students also mentioned peers:</w:t>
      </w:r>
    </w:p>
    <w:p w:rsidR="00DC71CB" w:rsidRPr="00322FFD" w:rsidRDefault="00DC71CB" w:rsidP="00DC71CB">
      <w:pPr>
        <w:pStyle w:val="Quote"/>
      </w:pPr>
      <w:r w:rsidRPr="00E71C33">
        <w:t xml:space="preserve">I knew students who had gone to </w:t>
      </w:r>
      <w:r w:rsidR="00510D3B">
        <w:t>higher education</w:t>
      </w:r>
      <w:r w:rsidRPr="00E71C33">
        <w:t xml:space="preserve"> last year and they gave me advice about the electives etc.</w:t>
      </w:r>
      <w:r w:rsidR="00514EA8">
        <w:tab/>
      </w:r>
      <w:r w:rsidRPr="00322FFD">
        <w:t>(</w:t>
      </w:r>
      <w:r w:rsidR="00D17D83">
        <w:t>RMIT University</w:t>
      </w:r>
      <w:r w:rsidRPr="00322FFD">
        <w:t>)</w:t>
      </w:r>
    </w:p>
    <w:p w:rsidR="00DC71CB" w:rsidRDefault="00DC71CB" w:rsidP="00DC71CB">
      <w:pPr>
        <w:pStyle w:val="Text"/>
      </w:pPr>
      <w:r>
        <w:t xml:space="preserve">The second characteristic in this strategy is </w:t>
      </w:r>
      <w:r w:rsidR="003958D3" w:rsidRPr="003958D3">
        <w:t>financial support</w:t>
      </w:r>
      <w:r>
        <w:t xml:space="preserve">. Examining the </w:t>
      </w:r>
      <w:r w:rsidR="00BB38EE">
        <w:t>interview responses</w:t>
      </w:r>
      <w:r>
        <w:t>, this</w:t>
      </w:r>
      <w:r w:rsidR="00514EA8">
        <w:t xml:space="preserve"> was not a higher-</w:t>
      </w:r>
      <w:r w:rsidR="008B6896">
        <w:t>order enabler</w:t>
      </w:r>
      <w:r w:rsidR="00514EA8">
        <w:t>,</w:t>
      </w:r>
      <w:r w:rsidR="00BB38EE">
        <w:t xml:space="preserve"> with o</w:t>
      </w:r>
      <w:r>
        <w:t>nly a few students rais</w:t>
      </w:r>
      <w:r w:rsidR="00BB38EE">
        <w:t>ing</w:t>
      </w:r>
      <w:r>
        <w:t xml:space="preserve"> </w:t>
      </w:r>
      <w:r w:rsidR="00BB38EE">
        <w:t>financial considerations</w:t>
      </w:r>
      <w:r>
        <w:t xml:space="preserve">. This might be because many of the students were still living at home and quite a </w:t>
      </w:r>
      <w:r w:rsidR="00F64C38">
        <w:t>few</w:t>
      </w:r>
      <w:r w:rsidR="00514EA8">
        <w:t xml:space="preserve"> had part-</w:t>
      </w:r>
      <w:r>
        <w:t>time jobs in the industry</w:t>
      </w:r>
      <w:r w:rsidR="00BB38EE">
        <w:t xml:space="preserve"> and so the costs of continuing education were not an immediate issue</w:t>
      </w:r>
      <w:r>
        <w:t>.</w:t>
      </w:r>
      <w:r w:rsidR="00510D3B">
        <w:t xml:space="preserve"> </w:t>
      </w:r>
    </w:p>
    <w:p w:rsidR="00695EA2" w:rsidRDefault="0078671B" w:rsidP="00DC71CB">
      <w:pPr>
        <w:pStyle w:val="Text"/>
      </w:pPr>
      <w:r>
        <w:t>Phillips KPA (2006) cited the savings to students in undertaking a pathway to a degree as a driver and enabler</w:t>
      </w:r>
      <w:r w:rsidR="00514EA8">
        <w:t>,</w:t>
      </w:r>
      <w:r>
        <w:t xml:space="preserve"> based on the reduction in real costs and opportunity costs in gaining qualifications. </w:t>
      </w:r>
      <w:r w:rsidR="00BE68D7">
        <w:t xml:space="preserve">At the time this report was written, TAFE costs were considerably below those of </w:t>
      </w:r>
      <w:r w:rsidR="00510D3B">
        <w:t>higher education</w:t>
      </w:r>
      <w:r w:rsidR="00695EA2">
        <w:t xml:space="preserve"> and so the cost to pathways students granted credit in </w:t>
      </w:r>
      <w:r w:rsidR="00510D3B">
        <w:t>higher education</w:t>
      </w:r>
      <w:r w:rsidR="00695EA2">
        <w:t xml:space="preserve"> for </w:t>
      </w:r>
      <w:r w:rsidR="003120D5">
        <w:t xml:space="preserve">their </w:t>
      </w:r>
      <w:r w:rsidR="00695EA2">
        <w:t>VET studies meant lower overall costs</w:t>
      </w:r>
      <w:r w:rsidR="003120D5">
        <w:t xml:space="preserve"> in gaining the degree</w:t>
      </w:r>
      <w:r w:rsidR="00BE68D7">
        <w:t xml:space="preserve">. Recent funding changes to </w:t>
      </w:r>
      <w:r w:rsidR="00510D3B">
        <w:t>vocational education and training</w:t>
      </w:r>
      <w:r w:rsidR="00BE68D7">
        <w:t xml:space="preserve"> and </w:t>
      </w:r>
      <w:r w:rsidR="00BE68D7">
        <w:lastRenderedPageBreak/>
        <w:t xml:space="preserve">the introduction </w:t>
      </w:r>
      <w:r w:rsidR="00695EA2">
        <w:t>of full fees</w:t>
      </w:r>
      <w:r w:rsidR="00524886">
        <w:t xml:space="preserve"> and</w:t>
      </w:r>
      <w:r w:rsidR="00695EA2">
        <w:t xml:space="preserve"> </w:t>
      </w:r>
      <w:r w:rsidR="00524886">
        <w:t xml:space="preserve">with loans schemes </w:t>
      </w:r>
      <w:r w:rsidR="00695EA2">
        <w:t xml:space="preserve">for some diplomas, similar to </w:t>
      </w:r>
      <w:r w:rsidR="00514EA8">
        <w:t>the Higher Education Contribution Scheme (HECS)</w:t>
      </w:r>
      <w:r w:rsidR="00695EA2">
        <w:t>, ha</w:t>
      </w:r>
      <w:r w:rsidR="0003158D">
        <w:t>ve</w:t>
      </w:r>
      <w:r w:rsidR="00695EA2">
        <w:t xml:space="preserve"> meant </w:t>
      </w:r>
      <w:r w:rsidR="0003158D">
        <w:t xml:space="preserve">that </w:t>
      </w:r>
      <w:r w:rsidR="00695EA2">
        <w:t>similar costs</w:t>
      </w:r>
      <w:r w:rsidR="00BE68D7">
        <w:t xml:space="preserve"> </w:t>
      </w:r>
      <w:r w:rsidR="00695EA2">
        <w:t>between diplomas and degrees are now in place.</w:t>
      </w:r>
      <w:r w:rsidR="00510D3B">
        <w:t xml:space="preserve"> </w:t>
      </w:r>
      <w:r w:rsidR="00695EA2">
        <w:t>Brown et al</w:t>
      </w:r>
      <w:r w:rsidR="00A17D2D">
        <w:t>.</w:t>
      </w:r>
      <w:r w:rsidR="0063651A">
        <w:t xml:space="preserve"> </w:t>
      </w:r>
      <w:r w:rsidR="00A7284D">
        <w:t>(2011</w:t>
      </w:r>
      <w:r w:rsidR="00A17D2D">
        <w:t>,</w:t>
      </w:r>
      <w:r w:rsidR="00695EA2">
        <w:t xml:space="preserve"> p</w:t>
      </w:r>
      <w:r w:rsidR="00A17D2D">
        <w:t>.</w:t>
      </w:r>
      <w:r w:rsidR="00695EA2">
        <w:t>18</w:t>
      </w:r>
      <w:r w:rsidR="00A7284D">
        <w:t>)</w:t>
      </w:r>
      <w:r w:rsidR="00514EA8">
        <w:t xml:space="preserve"> </w:t>
      </w:r>
      <w:r w:rsidR="00695EA2">
        <w:t xml:space="preserve">suggest that it is the </w:t>
      </w:r>
      <w:r w:rsidR="00786220">
        <w:t>time savings</w:t>
      </w:r>
      <w:r w:rsidR="00695EA2">
        <w:t xml:space="preserve"> rather than </w:t>
      </w:r>
      <w:r w:rsidR="00524886">
        <w:t xml:space="preserve">the </w:t>
      </w:r>
      <w:r w:rsidR="00695EA2">
        <w:t>financial savings that pathway</w:t>
      </w:r>
      <w:r w:rsidR="004D5EEF">
        <w:t>s</w:t>
      </w:r>
      <w:r w:rsidR="00695EA2">
        <w:t xml:space="preserve"> students respond to</w:t>
      </w:r>
      <w:r w:rsidR="00524886">
        <w:t>,</w:t>
      </w:r>
      <w:r w:rsidR="00695EA2">
        <w:t xml:space="preserve"> and that some students are relatively unresponsive to financial considerations. The limited feedback on this enabler suggests a similar perspective</w:t>
      </w:r>
      <w:r w:rsidR="00DC71CB">
        <w:t xml:space="preserve">. </w:t>
      </w:r>
    </w:p>
    <w:p w:rsidR="00A17D2D" w:rsidRDefault="00A17D2D" w:rsidP="00A17D2D">
      <w:pPr>
        <w:pStyle w:val="Text"/>
      </w:pPr>
      <w:r>
        <w:t xml:space="preserve">One student reflected on his diploma costs in the following way: </w:t>
      </w:r>
    </w:p>
    <w:p w:rsidR="00A17D2D" w:rsidRDefault="00DC71CB" w:rsidP="0063651A">
      <w:pPr>
        <w:pStyle w:val="Quote"/>
      </w:pPr>
      <w:r>
        <w:t>If your diploma isn’t actually going to get you anywhere, then it’s a bit of a worry paying that much … because I knew it was my path</w:t>
      </w:r>
      <w:r w:rsidR="00514EA8">
        <w:t>way to uni, I was happy to pay.</w:t>
      </w:r>
      <w:r w:rsidR="007D173E">
        <w:br/>
      </w:r>
      <w:r w:rsidR="00514EA8">
        <w:tab/>
      </w:r>
      <w:r>
        <w:t>(</w:t>
      </w:r>
      <w:r w:rsidR="00D70318">
        <w:t>University of Western Sydney</w:t>
      </w:r>
      <w:r>
        <w:t>)</w:t>
      </w:r>
    </w:p>
    <w:p w:rsidR="0063651A" w:rsidRPr="0063651A" w:rsidRDefault="00DC71CB" w:rsidP="0063651A">
      <w:pPr>
        <w:pStyle w:val="Text"/>
      </w:pPr>
      <w:proofErr w:type="gramStart"/>
      <w:r>
        <w:t>The third charac</w:t>
      </w:r>
      <w:r w:rsidR="008B6896">
        <w:t>teristic</w:t>
      </w:r>
      <w:r w:rsidR="00A8467F">
        <w:t xml:space="preserve"> (</w:t>
      </w:r>
      <w:r w:rsidR="008B6896">
        <w:t>enabler</w:t>
      </w:r>
      <w:r w:rsidR="00A8467F">
        <w:t>)</w:t>
      </w:r>
      <w:r w:rsidR="008B6896">
        <w:t xml:space="preserve"> in the strategy of ‘assembling resources’</w:t>
      </w:r>
      <w:r>
        <w:t xml:space="preserve"> is </w:t>
      </w:r>
      <w:r w:rsidR="003958D3" w:rsidRPr="003958D3">
        <w:t>early and sustained intervention</w:t>
      </w:r>
      <w:r w:rsidR="00A17D2D">
        <w:t>s</w:t>
      </w:r>
      <w:r>
        <w:t>.</w:t>
      </w:r>
      <w:proofErr w:type="gramEnd"/>
      <w:r>
        <w:t xml:space="preserve"> In the context of this study such interventions are evident in </w:t>
      </w:r>
      <w:r w:rsidR="00524886">
        <w:t>institutions’</w:t>
      </w:r>
      <w:r>
        <w:t xml:space="preserve"> commitment to developing sustainable pathways through m</w:t>
      </w:r>
      <w:r w:rsidR="008B6896">
        <w:t>odels that suit their contexts</w:t>
      </w:r>
      <w:r w:rsidR="0063651A">
        <w:t>. These might include:</w:t>
      </w:r>
      <w:r w:rsidR="008B6896">
        <w:t xml:space="preserve"> </w:t>
      </w:r>
      <w:r>
        <w:t>partnership</w:t>
      </w:r>
      <w:r w:rsidR="00A8467F">
        <w:t xml:space="preserve"> arrangements for credit transfer and articulation </w:t>
      </w:r>
      <w:r w:rsidR="00336174">
        <w:t xml:space="preserve">between </w:t>
      </w:r>
      <w:r w:rsidR="00514EA8">
        <w:t>VET</w:t>
      </w:r>
      <w:r w:rsidR="00336174">
        <w:t xml:space="preserve"> and </w:t>
      </w:r>
      <w:r w:rsidR="00510D3B">
        <w:t>higher education</w:t>
      </w:r>
      <w:r w:rsidR="00336174">
        <w:t xml:space="preserve"> ins</w:t>
      </w:r>
      <w:r w:rsidR="00A8467F">
        <w:t>t</w:t>
      </w:r>
      <w:r w:rsidR="00336174">
        <w:t>it</w:t>
      </w:r>
      <w:r w:rsidR="00A8467F">
        <w:t>utions</w:t>
      </w:r>
      <w:r w:rsidR="0063651A">
        <w:t>;</w:t>
      </w:r>
      <w:r w:rsidR="00514EA8">
        <w:t xml:space="preserve"> mixed-</w:t>
      </w:r>
      <w:r w:rsidR="00A8467F">
        <w:t xml:space="preserve">sector </w:t>
      </w:r>
      <w:r>
        <w:t xml:space="preserve">provision </w:t>
      </w:r>
      <w:r w:rsidR="00A8467F">
        <w:t>in institutions</w:t>
      </w:r>
      <w:r w:rsidR="00336174">
        <w:t>,</w:t>
      </w:r>
      <w:r w:rsidR="00A8467F">
        <w:t xml:space="preserve"> </w:t>
      </w:r>
      <w:r w:rsidR="0078671B">
        <w:t>including integrated</w:t>
      </w:r>
      <w:r w:rsidR="00A8467F">
        <w:t xml:space="preserve"> </w:t>
      </w:r>
      <w:r w:rsidR="00514EA8">
        <w:t>VET</w:t>
      </w:r>
      <w:r w:rsidR="0063651A">
        <w:t xml:space="preserve"> and </w:t>
      </w:r>
      <w:r w:rsidR="00510D3B">
        <w:t>higher education</w:t>
      </w:r>
      <w:r w:rsidR="0063651A">
        <w:t xml:space="preserve"> </w:t>
      </w:r>
      <w:r w:rsidR="00A8467F">
        <w:t>degrees</w:t>
      </w:r>
      <w:r w:rsidR="0063651A">
        <w:t>;</w:t>
      </w:r>
      <w:r w:rsidR="00A8467F">
        <w:t xml:space="preserve"> </w:t>
      </w:r>
      <w:r>
        <w:t>and transparent or guaranteed pathways</w:t>
      </w:r>
      <w:r w:rsidR="00514EA8">
        <w:t>, which</w:t>
      </w:r>
      <w:r w:rsidR="00A8467F">
        <w:t xml:space="preserve"> </w:t>
      </w:r>
      <w:r w:rsidR="00336174">
        <w:t>provide students with predetermined admission and/</w:t>
      </w:r>
      <w:r w:rsidR="0078671B">
        <w:t>or credit</w:t>
      </w:r>
      <w:r w:rsidRPr="0063651A">
        <w:t>.</w:t>
      </w:r>
    </w:p>
    <w:p w:rsidR="00B41DF0" w:rsidRDefault="00DC71CB" w:rsidP="00DC71CB">
      <w:pPr>
        <w:pStyle w:val="Text"/>
      </w:pPr>
      <w:r w:rsidRPr="0063651A">
        <w:t xml:space="preserve">The development of these models requires </w:t>
      </w:r>
      <w:r w:rsidR="00336174" w:rsidRPr="0063651A">
        <w:t>significant</w:t>
      </w:r>
      <w:r w:rsidRPr="0063651A">
        <w:t xml:space="preserve"> commitment</w:t>
      </w:r>
      <w:r w:rsidR="00336174" w:rsidRPr="0063651A">
        <w:t>s</w:t>
      </w:r>
      <w:r w:rsidRPr="0063651A">
        <w:t xml:space="preserve"> </w:t>
      </w:r>
      <w:r w:rsidR="0063651A">
        <w:t>in</w:t>
      </w:r>
      <w:r w:rsidRPr="0063651A">
        <w:t xml:space="preserve"> human, financial and</w:t>
      </w:r>
      <w:r>
        <w:t xml:space="preserve"> infrastructure resources by the institutions and other parties involved in </w:t>
      </w:r>
      <w:r w:rsidR="0078671B">
        <w:t>long-term</w:t>
      </w:r>
      <w:r>
        <w:t xml:space="preserve"> sustainable pathways</w:t>
      </w:r>
      <w:r w:rsidR="00336174">
        <w:t>,</w:t>
      </w:r>
      <w:r>
        <w:t xml:space="preserve"> but these resources sit </w:t>
      </w:r>
      <w:r w:rsidRPr="008E687C">
        <w:t>in the background for students</w:t>
      </w:r>
      <w:r w:rsidR="00336174" w:rsidRPr="008E687C">
        <w:t xml:space="preserve"> and are largely unknown. As such, </w:t>
      </w:r>
      <w:r w:rsidR="00E04D66">
        <w:t xml:space="preserve">the students in this study </w:t>
      </w:r>
      <w:r w:rsidR="00B41DF0">
        <w:t>did not respond to this enabler</w:t>
      </w:r>
      <w:r w:rsidR="00514EA8">
        <w:t>,</w:t>
      </w:r>
      <w:r w:rsidR="00B41DF0">
        <w:t xml:space="preserve"> </w:t>
      </w:r>
      <w:r w:rsidR="0078671B" w:rsidRPr="008E687C">
        <w:t>except</w:t>
      </w:r>
      <w:r w:rsidR="0078671B">
        <w:t xml:space="preserve"> </w:t>
      </w:r>
      <w:r w:rsidR="0078671B" w:rsidRPr="008E687C">
        <w:t>where</w:t>
      </w:r>
      <w:r w:rsidR="00E04D66">
        <w:t xml:space="preserve"> </w:t>
      </w:r>
      <w:r w:rsidRPr="008E687C">
        <w:t xml:space="preserve">the </w:t>
      </w:r>
      <w:r w:rsidR="00336174" w:rsidRPr="008E687C">
        <w:t xml:space="preserve">primary </w:t>
      </w:r>
      <w:r w:rsidRPr="008E687C">
        <w:t>focus of the VET studies</w:t>
      </w:r>
      <w:r w:rsidR="008E687C">
        <w:t xml:space="preserve"> </w:t>
      </w:r>
      <w:r w:rsidR="00B41DF0">
        <w:t>was to provide a pathway</w:t>
      </w:r>
      <w:r w:rsidR="00514EA8">
        <w:t>;</w:t>
      </w:r>
      <w:r w:rsidR="00B41DF0">
        <w:t xml:space="preserve"> </w:t>
      </w:r>
      <w:r w:rsidR="008E687C">
        <w:t>thus</w:t>
      </w:r>
      <w:r w:rsidRPr="008E687C">
        <w:t xml:space="preserve"> the students </w:t>
      </w:r>
      <w:r w:rsidR="00B41DF0">
        <w:t>were</w:t>
      </w:r>
      <w:r>
        <w:t xml:space="preserve"> more aware of these interventions. </w:t>
      </w:r>
      <w:r w:rsidR="00B41DF0">
        <w:t xml:space="preserve">This was the case for the </w:t>
      </w:r>
      <w:r w:rsidR="00D70318">
        <w:t>University of Western Sydney</w:t>
      </w:r>
      <w:r w:rsidR="00B41DF0">
        <w:t xml:space="preserve"> students who had used the </w:t>
      </w:r>
      <w:r w:rsidR="00AE0CB5">
        <w:t>UWS C</w:t>
      </w:r>
      <w:r w:rsidR="0078671B">
        <w:t>ollege</w:t>
      </w:r>
      <w:r>
        <w:t xml:space="preserve"> pathways model</w:t>
      </w:r>
      <w:r w:rsidR="00B41DF0">
        <w:t xml:space="preserve">, which </w:t>
      </w:r>
      <w:r w:rsidR="0078671B">
        <w:t>combines foundation</w:t>
      </w:r>
      <w:r w:rsidR="00514EA8">
        <w:t xml:space="preserve"> studies and the D</w:t>
      </w:r>
      <w:r>
        <w:t xml:space="preserve">iploma of </w:t>
      </w:r>
      <w:r w:rsidR="00514EA8">
        <w:t>Construction Management</w:t>
      </w:r>
      <w:r>
        <w:t xml:space="preserve"> </w:t>
      </w:r>
      <w:r w:rsidR="00524886">
        <w:t xml:space="preserve">and </w:t>
      </w:r>
      <w:r>
        <w:t>feed</w:t>
      </w:r>
      <w:r w:rsidR="00524886">
        <w:t>s</w:t>
      </w:r>
      <w:r>
        <w:t xml:space="preserve"> directly into the second year of the construction management degree. Th</w:t>
      </w:r>
      <w:r w:rsidR="00B41DF0">
        <w:t>is</w:t>
      </w:r>
      <w:r>
        <w:t xml:space="preserve"> pathway </w:t>
      </w:r>
      <w:r w:rsidR="0078671B">
        <w:t>was transparent</w:t>
      </w:r>
      <w:r>
        <w:t xml:space="preserve"> </w:t>
      </w:r>
      <w:r w:rsidR="00B41DF0">
        <w:t>and its structure well understood by the students.</w:t>
      </w:r>
    </w:p>
    <w:p w:rsidR="00DC71CB" w:rsidRDefault="00DC71CB" w:rsidP="00DC71CB">
      <w:pPr>
        <w:pStyle w:val="Text"/>
      </w:pPr>
      <w:r>
        <w:t xml:space="preserve">For others their experience of such interventions is evident in the ease of transition: </w:t>
      </w:r>
    </w:p>
    <w:p w:rsidR="00DC71CB" w:rsidRDefault="00DC71CB" w:rsidP="00DC71CB">
      <w:pPr>
        <w:pStyle w:val="Quote"/>
      </w:pPr>
      <w:r>
        <w:t>Admission was</w:t>
      </w:r>
      <w:r w:rsidR="00D21975">
        <w:t xml:space="preserve"> fine and I just got the credit.</w:t>
      </w:r>
      <w:r w:rsidR="00D21975">
        <w:tab/>
      </w:r>
      <w:r>
        <w:t>(</w:t>
      </w:r>
      <w:r w:rsidR="00363A4D">
        <w:t>University of South Australia</w:t>
      </w:r>
      <w:r>
        <w:t>)</w:t>
      </w:r>
    </w:p>
    <w:p w:rsidR="00DC71CB" w:rsidRDefault="00DC71CB" w:rsidP="00DC71CB">
      <w:pPr>
        <w:pStyle w:val="Quote"/>
      </w:pPr>
      <w:r>
        <w:t>It was really smooth</w:t>
      </w:r>
      <w:r w:rsidR="00D21975">
        <w:t xml:space="preserve"> </w:t>
      </w:r>
      <w:r>
        <w:t>… the staff all knew what credit you got and what</w:t>
      </w:r>
      <w:r w:rsidR="00D21975">
        <w:t xml:space="preserve"> subjects you would have to do.</w:t>
      </w:r>
      <w:r w:rsidR="00D21975">
        <w:tab/>
      </w:r>
      <w:r>
        <w:t>(</w:t>
      </w:r>
      <w:r w:rsidR="00D70318">
        <w:t>University of Technology Sydney</w:t>
      </w:r>
      <w:r>
        <w:t>)</w:t>
      </w:r>
    </w:p>
    <w:p w:rsidR="00DC71CB" w:rsidRDefault="00DC71CB" w:rsidP="00DC71CB">
      <w:pPr>
        <w:pStyle w:val="Text"/>
      </w:pPr>
      <w:r>
        <w:t>Such examples can only exi</w:t>
      </w:r>
      <w:r w:rsidR="008B6896">
        <w:t>st where universities have well-</w:t>
      </w:r>
      <w:r>
        <w:t xml:space="preserve">established </w:t>
      </w:r>
      <w:r w:rsidR="00D21975">
        <w:t>and resourced systems</w:t>
      </w:r>
      <w:r>
        <w:t xml:space="preserve"> </w:t>
      </w:r>
      <w:r w:rsidR="00D21975">
        <w:t>where</w:t>
      </w:r>
      <w:r>
        <w:t xml:space="preserve"> it is not up to the students</w:t>
      </w:r>
      <w:r w:rsidR="00B3059C">
        <w:t xml:space="preserve"> to d</w:t>
      </w:r>
      <w:r w:rsidR="00D21975">
        <w:t>rive the credit transfer process;</w:t>
      </w:r>
      <w:r>
        <w:t xml:space="preserve"> rather</w:t>
      </w:r>
      <w:r w:rsidR="00D21975">
        <w:t>,</w:t>
      </w:r>
      <w:r>
        <w:t xml:space="preserve"> the systems are </w:t>
      </w:r>
      <w:r w:rsidR="00B3059C">
        <w:t xml:space="preserve">already </w:t>
      </w:r>
      <w:r>
        <w:t>in place and operating well.</w:t>
      </w:r>
    </w:p>
    <w:p w:rsidR="00DC71CB" w:rsidRDefault="00DC71CB" w:rsidP="00DC71CB">
      <w:pPr>
        <w:pStyle w:val="Heading3"/>
      </w:pPr>
      <w:r>
        <w:t>Strategy</w:t>
      </w:r>
      <w:r w:rsidR="00A4492A">
        <w:t xml:space="preserve"> 2</w:t>
      </w:r>
      <w:r>
        <w:t>: Engaging learners</w:t>
      </w:r>
    </w:p>
    <w:p w:rsidR="003120D5" w:rsidRDefault="00DC71CB" w:rsidP="007D173E">
      <w:pPr>
        <w:spacing w:before="80"/>
      </w:pPr>
      <w:r>
        <w:t>This strategy contains three characteristics</w:t>
      </w:r>
      <w:r w:rsidR="003120D5">
        <w:t xml:space="preserve"> (</w:t>
      </w:r>
      <w:r>
        <w:t>enablers</w:t>
      </w:r>
      <w:r w:rsidR="003120D5">
        <w:t>)</w:t>
      </w:r>
      <w:r>
        <w:t xml:space="preserve">. </w:t>
      </w:r>
      <w:r w:rsidR="003120D5">
        <w:t>These are:</w:t>
      </w:r>
    </w:p>
    <w:p w:rsidR="00DF2A95" w:rsidRDefault="003958D3">
      <w:pPr>
        <w:pStyle w:val="Dotpoint1"/>
      </w:pPr>
      <w:r w:rsidRPr="003958D3">
        <w:t>recognition of difference</w:t>
      </w:r>
    </w:p>
    <w:p w:rsidR="00DF2A95" w:rsidRDefault="003958D3">
      <w:pPr>
        <w:pStyle w:val="Dotpoint1"/>
      </w:pPr>
      <w:r w:rsidRPr="003958D3">
        <w:t>enhanced academic curriculum</w:t>
      </w:r>
    </w:p>
    <w:p w:rsidR="00DF2A95" w:rsidRDefault="00D21975">
      <w:pPr>
        <w:pStyle w:val="Dotpoint1"/>
      </w:pPr>
      <w:proofErr w:type="gramStart"/>
      <w:r>
        <w:t>research-</w:t>
      </w:r>
      <w:r w:rsidR="003958D3" w:rsidRPr="003958D3">
        <w:t>driven</w:t>
      </w:r>
      <w:proofErr w:type="gramEnd"/>
      <w:r w:rsidR="003958D3" w:rsidRPr="003958D3">
        <w:t xml:space="preserve"> interventions</w:t>
      </w:r>
      <w:r w:rsidR="003120D5">
        <w:t>.</w:t>
      </w:r>
    </w:p>
    <w:p w:rsidR="00DF2A95" w:rsidRPr="003F095C" w:rsidRDefault="00DC71CB" w:rsidP="003F095C">
      <w:pPr>
        <w:pStyle w:val="Text"/>
        <w:ind w:right="-284"/>
      </w:pPr>
      <w:r>
        <w:t>In a pathways context</w:t>
      </w:r>
      <w:r w:rsidR="003120D5">
        <w:t>, reco</w:t>
      </w:r>
      <w:r w:rsidR="004A0015">
        <w:t>gnition of difference involves</w:t>
      </w:r>
      <w:r w:rsidR="003120D5">
        <w:t xml:space="preserve"> </w:t>
      </w:r>
      <w:r w:rsidR="004A0015">
        <w:t>recognising and valuing the existing knowledge and skills of VET pathways students by a destination university</w:t>
      </w:r>
      <w:r w:rsidR="003120D5">
        <w:t xml:space="preserve">. This is </w:t>
      </w:r>
      <w:r w:rsidR="00917D5E">
        <w:t>expressed through admission in</w:t>
      </w:r>
      <w:r w:rsidR="00F109B8">
        <w:t>to</w:t>
      </w:r>
      <w:r w:rsidR="003F095C">
        <w:t> </w:t>
      </w:r>
      <w:r w:rsidR="00F109B8">
        <w:t>a</w:t>
      </w:r>
      <w:r w:rsidR="007D173E">
        <w:t> </w:t>
      </w:r>
      <w:r w:rsidR="00F109B8">
        <w:t>degree</w:t>
      </w:r>
      <w:r w:rsidR="00917D5E">
        <w:t xml:space="preserve"> and credit</w:t>
      </w:r>
      <w:r w:rsidR="00FE3D3E">
        <w:t xml:space="preserve"> for VET qualifications or specific units</w:t>
      </w:r>
      <w:r>
        <w:t xml:space="preserve">. </w:t>
      </w:r>
      <w:r w:rsidR="00F109B8">
        <w:t xml:space="preserve">It can also include recognition of skills and knowledge gained </w:t>
      </w:r>
      <w:r w:rsidR="00F109B8" w:rsidRPr="003F095C">
        <w:t>through work</w:t>
      </w:r>
      <w:r w:rsidR="004A0015" w:rsidRPr="003F095C">
        <w:t>, for those students wh</w:t>
      </w:r>
      <w:r w:rsidR="00F109B8" w:rsidRPr="003F095C">
        <w:t xml:space="preserve">o have industry experience. </w:t>
      </w:r>
    </w:p>
    <w:p w:rsidR="00DF2A95" w:rsidRPr="003F095C" w:rsidRDefault="00A239F5" w:rsidP="003F095C">
      <w:pPr>
        <w:pStyle w:val="Text"/>
      </w:pPr>
      <w:r w:rsidRPr="003F095C">
        <w:lastRenderedPageBreak/>
        <w:t xml:space="preserve">On </w:t>
      </w:r>
      <w:r w:rsidR="00F109B8" w:rsidRPr="003F095C">
        <w:t xml:space="preserve">another level, recognition of difference can also refer to recognising that these students may </w:t>
      </w:r>
      <w:r w:rsidR="00DC71CB" w:rsidRPr="003F095C">
        <w:t>have specific needs in making the transition</w:t>
      </w:r>
      <w:r w:rsidR="00F109B8" w:rsidRPr="003F095C">
        <w:t xml:space="preserve"> from </w:t>
      </w:r>
      <w:r w:rsidR="00510D3B" w:rsidRPr="003F095C">
        <w:t>vocational education and training</w:t>
      </w:r>
      <w:r w:rsidR="00F109B8" w:rsidRPr="003F095C">
        <w:t xml:space="preserve"> to </w:t>
      </w:r>
      <w:r w:rsidR="00510D3B" w:rsidRPr="003F095C">
        <w:t>higher education</w:t>
      </w:r>
      <w:r w:rsidR="003120D5" w:rsidRPr="003F095C">
        <w:t>.</w:t>
      </w:r>
    </w:p>
    <w:p w:rsidR="00DF2A95" w:rsidRDefault="003958D3" w:rsidP="003F095C">
      <w:pPr>
        <w:pStyle w:val="Text"/>
      </w:pPr>
      <w:r w:rsidRPr="003F095C">
        <w:t>Many of the stude</w:t>
      </w:r>
      <w:r w:rsidRPr="003958D3">
        <w:rPr>
          <w:color w:val="000000"/>
        </w:rPr>
        <w:t xml:space="preserve">nts </w:t>
      </w:r>
      <w:r w:rsidR="004A0015">
        <w:t>in this study</w:t>
      </w:r>
      <w:r w:rsidR="00917D5E">
        <w:t xml:space="preserve"> </w:t>
      </w:r>
      <w:r w:rsidR="0045744D">
        <w:t xml:space="preserve">commented positively on </w:t>
      </w:r>
      <w:r w:rsidR="00917D5E" w:rsidRPr="00B3059C">
        <w:t xml:space="preserve">the </w:t>
      </w:r>
      <w:r w:rsidRPr="003958D3">
        <w:rPr>
          <w:color w:val="000000"/>
        </w:rPr>
        <w:t>recognition they received</w:t>
      </w:r>
      <w:r w:rsidR="00917D5E" w:rsidRPr="00B3059C">
        <w:t xml:space="preserve"> </w:t>
      </w:r>
      <w:r w:rsidR="007D6BC6">
        <w:rPr>
          <w:color w:val="000000"/>
        </w:rPr>
        <w:t>from</w:t>
      </w:r>
      <w:r w:rsidRPr="003958D3">
        <w:rPr>
          <w:color w:val="000000"/>
        </w:rPr>
        <w:t xml:space="preserve"> the</w:t>
      </w:r>
      <w:r w:rsidR="004A0015">
        <w:rPr>
          <w:color w:val="000000"/>
        </w:rPr>
        <w:t>ir</w:t>
      </w:r>
      <w:r w:rsidRPr="003958D3">
        <w:rPr>
          <w:color w:val="000000"/>
        </w:rPr>
        <w:t xml:space="preserve"> university for their </w:t>
      </w:r>
      <w:r w:rsidR="00FE3D3E">
        <w:rPr>
          <w:color w:val="000000"/>
        </w:rPr>
        <w:t xml:space="preserve">prior </w:t>
      </w:r>
      <w:r w:rsidRPr="003958D3">
        <w:rPr>
          <w:color w:val="000000"/>
        </w:rPr>
        <w:t>VET studies</w:t>
      </w:r>
      <w:r w:rsidR="0045744D">
        <w:t>.</w:t>
      </w:r>
      <w:r w:rsidR="00510D3B">
        <w:t xml:space="preserve"> </w:t>
      </w:r>
      <w:r w:rsidR="0045744D">
        <w:t xml:space="preserve">For some, the granting of credit was one of the </w:t>
      </w:r>
      <w:r w:rsidR="00917D5E">
        <w:t>most important</w:t>
      </w:r>
      <w:r w:rsidR="0045744D">
        <w:t xml:space="preserve"> enablers</w:t>
      </w:r>
      <w:r w:rsidR="00FE6645">
        <w:t xml:space="preserve">, especially for those </w:t>
      </w:r>
      <w:r w:rsidR="00634963">
        <w:t>who undertook the diploma expressly</w:t>
      </w:r>
      <w:r w:rsidR="00FE6645">
        <w:t xml:space="preserve"> as a pathway </w:t>
      </w:r>
      <w:r w:rsidR="00712EED">
        <w:t>to higher education</w:t>
      </w:r>
      <w:r w:rsidR="00FE6645">
        <w:t>.</w:t>
      </w:r>
    </w:p>
    <w:p w:rsidR="00774456" w:rsidRPr="005F1392" w:rsidRDefault="00774456" w:rsidP="00774456">
      <w:pPr>
        <w:pStyle w:val="Quote"/>
      </w:pPr>
      <w:r>
        <w:t>I did the diploma because I knew I could get credit into the degree and I didn’t have any work experience so I probably wouldn’t have got in without the diploma.</w:t>
      </w:r>
      <w:r w:rsidR="00D21975">
        <w:tab/>
      </w:r>
      <w:r w:rsidR="00917D5E">
        <w:t>(</w:t>
      </w:r>
      <w:r w:rsidR="00D21975">
        <w:t>Deakin University</w:t>
      </w:r>
      <w:r w:rsidR="008B26B5">
        <w:t>)</w:t>
      </w:r>
    </w:p>
    <w:p w:rsidR="00774456" w:rsidRDefault="00774456" w:rsidP="00774456">
      <w:pPr>
        <w:pStyle w:val="Quote"/>
      </w:pPr>
      <w:r w:rsidRPr="002454CB">
        <w:t>Bu</w:t>
      </w:r>
      <w:r w:rsidR="00D21975">
        <w:t>t the university as a whole …</w:t>
      </w:r>
      <w:r w:rsidRPr="002454CB">
        <w:t xml:space="preserve"> they do, they give you exemptions so they obviously value the education that you’ve learned if you choose to take that.</w:t>
      </w:r>
      <w:r w:rsidR="00D21975">
        <w:tab/>
      </w:r>
      <w:r>
        <w:t>(</w:t>
      </w:r>
      <w:r w:rsidR="00A33D8C">
        <w:t>Curtin University of Technology</w:t>
      </w:r>
      <w:r>
        <w:t>)</w:t>
      </w:r>
    </w:p>
    <w:p w:rsidR="001D5EF8" w:rsidRDefault="00774456" w:rsidP="00774456">
      <w:pPr>
        <w:pStyle w:val="Quote"/>
      </w:pPr>
      <w:r>
        <w:t xml:space="preserve">Admission was fine and </w:t>
      </w:r>
      <w:r w:rsidR="00917D5E">
        <w:t xml:space="preserve">I </w:t>
      </w:r>
      <w:r>
        <w:t>got 18</w:t>
      </w:r>
      <w:r w:rsidR="00917D5E">
        <w:t xml:space="preserve"> </w:t>
      </w:r>
      <w:r>
        <w:t xml:space="preserve">months credit but was block so ended up doing </w:t>
      </w:r>
      <w:r w:rsidR="00D21975">
        <w:t>subjects I’d done at TAFE.</w:t>
      </w:r>
      <w:r w:rsidR="00D21975">
        <w:tab/>
      </w:r>
      <w:r>
        <w:t>(</w:t>
      </w:r>
      <w:r w:rsidR="00363A4D">
        <w:t>University of South Australia</w:t>
      </w:r>
      <w:r>
        <w:t>)</w:t>
      </w:r>
    </w:p>
    <w:p w:rsidR="001D5EF8" w:rsidRPr="00977AE9" w:rsidRDefault="001D5EF8" w:rsidP="001D5EF8">
      <w:pPr>
        <w:pStyle w:val="Quote"/>
        <w:rPr>
          <w:lang w:val="en-US"/>
        </w:rPr>
      </w:pPr>
      <w:r w:rsidRPr="00E71C33">
        <w:rPr>
          <w:lang w:val="en-US"/>
        </w:rPr>
        <w:t>It was a simple decision</w:t>
      </w:r>
      <w:r w:rsidR="004E0FBB">
        <w:rPr>
          <w:lang w:val="en-US"/>
        </w:rPr>
        <w:t>.</w:t>
      </w:r>
      <w:r w:rsidRPr="00E71C33">
        <w:rPr>
          <w:lang w:val="en-US"/>
        </w:rPr>
        <w:t xml:space="preserve"> I just went where the best credit was g</w:t>
      </w:r>
      <w:r>
        <w:rPr>
          <w:lang w:val="en-US"/>
        </w:rPr>
        <w:t>iven and where it was available</w:t>
      </w:r>
      <w:r w:rsidR="00D21975">
        <w:rPr>
          <w:lang w:val="en-US"/>
        </w:rPr>
        <w:t>.</w:t>
      </w:r>
      <w:r w:rsidR="007D173E">
        <w:rPr>
          <w:lang w:val="en-US"/>
        </w:rPr>
        <w:br/>
      </w:r>
      <w:r w:rsidR="00D21975">
        <w:rPr>
          <w:lang w:val="en-US"/>
        </w:rPr>
        <w:tab/>
      </w:r>
      <w:r w:rsidRPr="00E71C33">
        <w:rPr>
          <w:lang w:val="en-US"/>
        </w:rPr>
        <w:t>(</w:t>
      </w:r>
      <w:r w:rsidR="00A33D8C">
        <w:rPr>
          <w:lang w:val="en-US"/>
        </w:rPr>
        <w:t>Curtin University of Technology</w:t>
      </w:r>
      <w:r w:rsidRPr="00977AE9">
        <w:rPr>
          <w:lang w:val="en-US"/>
        </w:rPr>
        <w:t>)</w:t>
      </w:r>
    </w:p>
    <w:p w:rsidR="00634963" w:rsidRDefault="00712EED" w:rsidP="00457D93">
      <w:pPr>
        <w:pStyle w:val="Text"/>
      </w:pPr>
      <w:r>
        <w:t>These responses mirror the findings of an extensive survey by By</w:t>
      </w:r>
      <w:r w:rsidR="00634963">
        <w:t>rnes et al</w:t>
      </w:r>
      <w:r w:rsidR="00D21975">
        <w:t>.</w:t>
      </w:r>
      <w:r w:rsidR="00634963">
        <w:t xml:space="preserve"> (2010</w:t>
      </w:r>
      <w:r>
        <w:t>, p</w:t>
      </w:r>
      <w:r w:rsidR="004E0FBB">
        <w:t>.</w:t>
      </w:r>
      <w:r>
        <w:t>8) on student awareness of pathwa</w:t>
      </w:r>
      <w:r w:rsidR="00634963">
        <w:t>ys in Queensland. In that survey, 27% of 12</w:t>
      </w:r>
      <w:r w:rsidR="00D21975">
        <w:t xml:space="preserve"> </w:t>
      </w:r>
      <w:r w:rsidR="00634963">
        <w:t xml:space="preserve">815 respondents </w:t>
      </w:r>
      <w:r w:rsidR="00F321B8">
        <w:t xml:space="preserve">in </w:t>
      </w:r>
      <w:r w:rsidR="00510D3B">
        <w:t>vocational education and training</w:t>
      </w:r>
      <w:r w:rsidR="00F321B8">
        <w:t xml:space="preserve"> and </w:t>
      </w:r>
      <w:r w:rsidR="00510D3B">
        <w:t>higher education</w:t>
      </w:r>
      <w:r w:rsidR="00F321B8">
        <w:t xml:space="preserve"> </w:t>
      </w:r>
      <w:r w:rsidR="00634963">
        <w:t>indicated their choice of study was influenced by the availability of credit.</w:t>
      </w:r>
      <w:r>
        <w:t xml:space="preserve"> </w:t>
      </w:r>
    </w:p>
    <w:p w:rsidR="00F321B8" w:rsidRDefault="00611A1D" w:rsidP="00F321B8">
      <w:pPr>
        <w:pStyle w:val="Text"/>
      </w:pPr>
      <w:r>
        <w:t>While</w:t>
      </w:r>
      <w:r w:rsidR="00F321B8">
        <w:t xml:space="preserve"> credit is clearly important, it can also be problematic</w:t>
      </w:r>
      <w:r w:rsidR="000F6F3A">
        <w:t xml:space="preserve"> or unclear</w:t>
      </w:r>
      <w:r w:rsidR="00F321B8">
        <w:t xml:space="preserve">. </w:t>
      </w:r>
      <w:r w:rsidR="008B26B5">
        <w:t xml:space="preserve">Some </w:t>
      </w:r>
      <w:r w:rsidR="00634963">
        <w:t xml:space="preserve">of the </w:t>
      </w:r>
      <w:r w:rsidR="008B26B5">
        <w:t xml:space="preserve">students </w:t>
      </w:r>
      <w:r w:rsidR="00F321B8">
        <w:t>in our study</w:t>
      </w:r>
      <w:r w:rsidR="008B26B5">
        <w:t xml:space="preserve"> </w:t>
      </w:r>
      <w:r w:rsidR="00634963">
        <w:t>expressed</w:t>
      </w:r>
      <w:r w:rsidR="008B26B5">
        <w:t xml:space="preserve"> </w:t>
      </w:r>
      <w:r w:rsidR="00F321B8">
        <w:t>concern</w:t>
      </w:r>
      <w:r w:rsidR="008B26B5">
        <w:t xml:space="preserve">s </w:t>
      </w:r>
      <w:r w:rsidR="00D21975">
        <w:t>about</w:t>
      </w:r>
      <w:r w:rsidR="008B26B5">
        <w:t xml:space="preserve"> </w:t>
      </w:r>
      <w:r w:rsidR="005C3A75">
        <w:t xml:space="preserve">the amount </w:t>
      </w:r>
      <w:r w:rsidR="00457D93">
        <w:t>and form</w:t>
      </w:r>
      <w:r w:rsidR="00BD3F41">
        <w:t>s</w:t>
      </w:r>
      <w:r w:rsidR="00457D93">
        <w:t xml:space="preserve"> </w:t>
      </w:r>
      <w:r w:rsidR="005C3A75">
        <w:t xml:space="preserve">of </w:t>
      </w:r>
      <w:r w:rsidR="008B26B5">
        <w:t xml:space="preserve">credit </w:t>
      </w:r>
      <w:r w:rsidR="00F321B8">
        <w:t>granted</w:t>
      </w:r>
      <w:r w:rsidR="004E0FBB">
        <w:t xml:space="preserve"> or</w:t>
      </w:r>
      <w:r w:rsidR="000B6036">
        <w:t xml:space="preserve"> </w:t>
      </w:r>
      <w:r w:rsidR="00524886">
        <w:t xml:space="preserve">a </w:t>
      </w:r>
      <w:r w:rsidR="000B6036">
        <w:t>lack of understanding about why it was granted</w:t>
      </w:r>
      <w:r w:rsidR="00F321B8">
        <w:t>.</w:t>
      </w:r>
    </w:p>
    <w:p w:rsidR="0004213C" w:rsidRDefault="0004213C" w:rsidP="00F321B8">
      <w:pPr>
        <w:pStyle w:val="Quote"/>
      </w:pPr>
      <w:r>
        <w:t>I only got 2 units credit … I thought I should have got more</w:t>
      </w:r>
      <w:r w:rsidR="00D21975">
        <w:t xml:space="preserve"> </w:t>
      </w:r>
      <w:r>
        <w:t>… no point do</w:t>
      </w:r>
      <w:r w:rsidR="00D21975">
        <w:t>ing the pathway without credit [</w:t>
      </w:r>
      <w:r>
        <w:t xml:space="preserve">note </w:t>
      </w:r>
      <w:r w:rsidR="00FE6645">
        <w:t xml:space="preserve">interviewee had </w:t>
      </w:r>
      <w:r>
        <w:t xml:space="preserve">incomplete VET </w:t>
      </w:r>
      <w:r w:rsidR="00FE6645">
        <w:t>q</w:t>
      </w:r>
      <w:r>
        <w:t>ua</w:t>
      </w:r>
      <w:r w:rsidR="00BB3E6F">
        <w:t>l</w:t>
      </w:r>
      <w:r w:rsidR="00D21975">
        <w:t>ification]</w:t>
      </w:r>
      <w:r w:rsidR="00AE0CB5">
        <w:t>.</w:t>
      </w:r>
      <w:r w:rsidR="00D21975">
        <w:tab/>
      </w:r>
      <w:r w:rsidR="00457D93">
        <w:t>(</w:t>
      </w:r>
      <w:r w:rsidR="00A33D8C">
        <w:t>Curtin University of Technology</w:t>
      </w:r>
      <w:r w:rsidR="00457D93">
        <w:t>)</w:t>
      </w:r>
    </w:p>
    <w:p w:rsidR="00457D93" w:rsidRPr="00AC1EDF" w:rsidRDefault="00457D93" w:rsidP="00457D93">
      <w:pPr>
        <w:pStyle w:val="Quote"/>
      </w:pPr>
      <w:r w:rsidRPr="00AC1EDF">
        <w:t>I don’t know if there is a relationship between Petersham TAFE and UTS, but I got the same cred</w:t>
      </w:r>
      <w:r>
        <w:t>it as the others</w:t>
      </w:r>
      <w:r w:rsidR="00D21975">
        <w:t>.</w:t>
      </w:r>
      <w:r w:rsidR="00D21975">
        <w:tab/>
      </w:r>
      <w:r w:rsidR="0078671B">
        <w:t>(</w:t>
      </w:r>
      <w:r w:rsidR="00D70318">
        <w:t>University of Technology Sydney</w:t>
      </w:r>
      <w:r w:rsidR="0078671B">
        <w:t>)</w:t>
      </w:r>
    </w:p>
    <w:p w:rsidR="00B84D8C" w:rsidRDefault="0004213C" w:rsidP="00457D93">
      <w:pPr>
        <w:pStyle w:val="Quote"/>
      </w:pPr>
      <w:r w:rsidRPr="00457D93">
        <w:t>I</w:t>
      </w:r>
      <w:r w:rsidR="00FE4AA5" w:rsidRPr="00457D93">
        <w:t>f you’re exempt from those subjects based on your TAFE subject, so you jump in with the third or the fourth part of that, you missed out the technology bit, so you struggle to use technology.</w:t>
      </w:r>
      <w:r w:rsidR="007D173E">
        <w:br/>
      </w:r>
      <w:r w:rsidR="00D21975">
        <w:tab/>
      </w:r>
      <w:r w:rsidR="00FE4AA5" w:rsidRPr="00457D93">
        <w:t>(</w:t>
      </w:r>
      <w:r w:rsidR="00D70318">
        <w:t>University of Technology Sydney</w:t>
      </w:r>
      <w:r w:rsidR="00FE4AA5" w:rsidRPr="00457D93">
        <w:t>)</w:t>
      </w:r>
    </w:p>
    <w:p w:rsidR="006C54B2" w:rsidRDefault="003069F9" w:rsidP="0004213C">
      <w:pPr>
        <w:pStyle w:val="Text"/>
      </w:pPr>
      <w:r>
        <w:t xml:space="preserve">Most of the students indicated receiving block credit </w:t>
      </w:r>
      <w:r w:rsidRPr="000E30FF">
        <w:t>outcomes</w:t>
      </w:r>
      <w:r>
        <w:t xml:space="preserve"> of 12 months</w:t>
      </w:r>
      <w:r w:rsidRPr="000E30FF">
        <w:t xml:space="preserve"> </w:t>
      </w:r>
      <w:r>
        <w:t>(and up to 18 months</w:t>
      </w:r>
      <w:r w:rsidR="0078671B">
        <w:t>) for</w:t>
      </w:r>
      <w:r w:rsidR="00510D3B">
        <w:t xml:space="preserve"> </w:t>
      </w:r>
      <w:r>
        <w:t xml:space="preserve">the diploma/advanced diploma. This form and amount </w:t>
      </w:r>
      <w:r w:rsidR="00F77E44">
        <w:t xml:space="preserve">of credit </w:t>
      </w:r>
      <w:r w:rsidR="00BC6328">
        <w:t xml:space="preserve">is consistent with AQF </w:t>
      </w:r>
      <w:r w:rsidR="00D21975">
        <w:t>policy on pathways</w:t>
      </w:r>
      <w:r w:rsidR="00BC6328">
        <w:t xml:space="preserve"> (</w:t>
      </w:r>
      <w:r w:rsidR="00811B9A">
        <w:t>Australian Qualifications Framework Council</w:t>
      </w:r>
      <w:r w:rsidR="000B6036">
        <w:t xml:space="preserve"> </w:t>
      </w:r>
      <w:r w:rsidR="008E7DE5">
        <w:t>2011</w:t>
      </w:r>
      <w:r w:rsidR="00BC6328">
        <w:t>)</w:t>
      </w:r>
      <w:r>
        <w:t xml:space="preserve">. </w:t>
      </w:r>
      <w:r w:rsidR="006C54B2">
        <w:t xml:space="preserve">It is also made possible by the qualification structure of the VET diplomas in this training package, which have a strong focus on core units of competency. For example, the current Diploma of Building and Construction requires students to achieve 18 units of competency, 13 core units and </w:t>
      </w:r>
      <w:r w:rsidR="00D21975">
        <w:t>five</w:t>
      </w:r>
      <w:r w:rsidR="006C54B2">
        <w:t xml:space="preserve"> electives (</w:t>
      </w:r>
      <w:r w:rsidR="00E20647">
        <w:t>Construction and Property Services Industry Council</w:t>
      </w:r>
      <w:r w:rsidR="00B5438F">
        <w:t xml:space="preserve"> 2011</w:t>
      </w:r>
      <w:r w:rsidR="00524886">
        <w:t>).</w:t>
      </w:r>
    </w:p>
    <w:p w:rsidR="000F6F3A" w:rsidRDefault="00BC6328" w:rsidP="0004213C">
      <w:pPr>
        <w:pStyle w:val="Text"/>
        <w:rPr>
          <w:rFonts w:cs="Helvetica"/>
        </w:rPr>
      </w:pPr>
      <w:r>
        <w:t>The possible negative impacts of b</w:t>
      </w:r>
      <w:r w:rsidR="0004213C">
        <w:t>lock credi</w:t>
      </w:r>
      <w:r w:rsidR="00AE4701">
        <w:t>t</w:t>
      </w:r>
      <w:r w:rsidR="00457D93">
        <w:t xml:space="preserve"> </w:t>
      </w:r>
      <w:r>
        <w:t xml:space="preserve">have </w:t>
      </w:r>
      <w:r w:rsidR="00457D93">
        <w:t>been raised by</w:t>
      </w:r>
      <w:r>
        <w:t xml:space="preserve"> some</w:t>
      </w:r>
      <w:r w:rsidR="00457D93">
        <w:t xml:space="preserve"> researchers</w:t>
      </w:r>
      <w:r w:rsidR="00AE4701">
        <w:t xml:space="preserve">, in particular, </w:t>
      </w:r>
      <w:r w:rsidR="00457D93">
        <w:t xml:space="preserve">the concern that these </w:t>
      </w:r>
      <w:r w:rsidR="0004213C">
        <w:t xml:space="preserve">students </w:t>
      </w:r>
      <w:r w:rsidR="00457D93">
        <w:t xml:space="preserve">may be disadvantaged </w:t>
      </w:r>
      <w:r w:rsidR="0004213C">
        <w:t>because they miss out on various orientations and</w:t>
      </w:r>
      <w:r w:rsidR="00AE4701">
        <w:t xml:space="preserve"> skills formed as part of </w:t>
      </w:r>
      <w:r w:rsidR="0003158D">
        <w:t xml:space="preserve">their </w:t>
      </w:r>
      <w:r w:rsidR="00AE4701">
        <w:t>first</w:t>
      </w:r>
      <w:r w:rsidR="00BB3E6F">
        <w:t xml:space="preserve"> year </w:t>
      </w:r>
      <w:r w:rsidR="0003158D">
        <w:t xml:space="preserve">at </w:t>
      </w:r>
      <w:r w:rsidR="00BB3E6F">
        <w:t>university</w:t>
      </w:r>
      <w:r w:rsidR="000B6036">
        <w:t>,</w:t>
      </w:r>
      <w:r w:rsidR="001F7D0E">
        <w:rPr>
          <w:rFonts w:cs="Helvetica"/>
        </w:rPr>
        <w:t xml:space="preserve"> </w:t>
      </w:r>
      <w:r w:rsidR="0078671B">
        <w:rPr>
          <w:rFonts w:cs="Helvetica"/>
        </w:rPr>
        <w:t>including access</w:t>
      </w:r>
      <w:r w:rsidR="001F7D0E">
        <w:rPr>
          <w:rFonts w:cs="Helvetica"/>
        </w:rPr>
        <w:t xml:space="preserve"> to scholarship, theoretical concepts, academic literacy a</w:t>
      </w:r>
      <w:r w:rsidR="00E20647">
        <w:rPr>
          <w:rFonts w:cs="Helvetica"/>
        </w:rPr>
        <w:t>nd critical thinking skills, which</w:t>
      </w:r>
      <w:r w:rsidR="001F7D0E">
        <w:rPr>
          <w:rFonts w:cs="Helvetica"/>
        </w:rPr>
        <w:t xml:space="preserve"> are formed as part of first year </w:t>
      </w:r>
      <w:r w:rsidR="00E20647">
        <w:rPr>
          <w:rFonts w:cs="Helvetica"/>
        </w:rPr>
        <w:t>university experience (Byrnes et al. 2011, p.</w:t>
      </w:r>
      <w:r w:rsidR="000F6F3A">
        <w:rPr>
          <w:rFonts w:cs="Helvetica"/>
        </w:rPr>
        <w:t>25, quot</w:t>
      </w:r>
      <w:r w:rsidR="00E20647">
        <w:rPr>
          <w:rFonts w:cs="Helvetica"/>
        </w:rPr>
        <w:t xml:space="preserve">ing Milne 2006 and Watson </w:t>
      </w:r>
      <w:r w:rsidR="001F7D0E">
        <w:rPr>
          <w:rFonts w:cs="Helvetica"/>
        </w:rPr>
        <w:t>2006</w:t>
      </w:r>
      <w:r w:rsidR="00E20647">
        <w:rPr>
          <w:rFonts w:cs="Helvetica"/>
        </w:rPr>
        <w:t xml:space="preserve">; </w:t>
      </w:r>
      <w:proofErr w:type="spellStart"/>
      <w:r w:rsidR="00E20647">
        <w:rPr>
          <w:rFonts w:cs="Helvetica"/>
        </w:rPr>
        <w:t>Wheelahan</w:t>
      </w:r>
      <w:proofErr w:type="spellEnd"/>
      <w:r w:rsidR="001F7D0E">
        <w:rPr>
          <w:rFonts w:cs="Helvetica"/>
        </w:rPr>
        <w:t xml:space="preserve"> 2009c</w:t>
      </w:r>
      <w:r w:rsidR="000F6F3A">
        <w:rPr>
          <w:rFonts w:cs="Helvetica"/>
        </w:rPr>
        <w:t>, p</w:t>
      </w:r>
      <w:r w:rsidR="00E20647">
        <w:rPr>
          <w:rFonts w:cs="Helvetica"/>
        </w:rPr>
        <w:t>.</w:t>
      </w:r>
      <w:r w:rsidR="000F6F3A">
        <w:rPr>
          <w:rFonts w:cs="Helvetica"/>
        </w:rPr>
        <w:t>35).</w:t>
      </w:r>
    </w:p>
    <w:p w:rsidR="0003158D" w:rsidRDefault="0003158D">
      <w:pPr>
        <w:spacing w:before="0" w:line="240" w:lineRule="auto"/>
      </w:pPr>
      <w:r>
        <w:br w:type="page"/>
      </w:r>
    </w:p>
    <w:p w:rsidR="000B276D" w:rsidRDefault="0078671B" w:rsidP="0004213C">
      <w:pPr>
        <w:pStyle w:val="Text"/>
      </w:pPr>
      <w:r>
        <w:lastRenderedPageBreak/>
        <w:t>The students</w:t>
      </w:r>
      <w:r w:rsidR="00F05DBA">
        <w:t xml:space="preserve"> in our study</w:t>
      </w:r>
      <w:r w:rsidR="000B6036">
        <w:t xml:space="preserve"> did not raise these issues</w:t>
      </w:r>
      <w:r w:rsidR="000B276D">
        <w:t xml:space="preserve">, perhaps because of the </w:t>
      </w:r>
      <w:r w:rsidR="00463D9F">
        <w:t xml:space="preserve">solid </w:t>
      </w:r>
      <w:r w:rsidR="00457D93">
        <w:t xml:space="preserve">grounding provided </w:t>
      </w:r>
      <w:r w:rsidR="00F05DBA">
        <w:t xml:space="preserve">by </w:t>
      </w:r>
      <w:r w:rsidR="006C54B2">
        <w:t xml:space="preserve">the diploma qualifications in this field and the </w:t>
      </w:r>
      <w:r w:rsidR="00F05DBA">
        <w:t>VET</w:t>
      </w:r>
      <w:r w:rsidR="00BC6328">
        <w:t xml:space="preserve"> public providers</w:t>
      </w:r>
      <w:r w:rsidR="00F05DBA">
        <w:t xml:space="preserve"> </w:t>
      </w:r>
      <w:r w:rsidR="006C54B2">
        <w:t>that deliver</w:t>
      </w:r>
      <w:r w:rsidR="00510D3B">
        <w:t xml:space="preserve"> </w:t>
      </w:r>
      <w:r w:rsidR="006C54B2">
        <w:t>them</w:t>
      </w:r>
      <w:r w:rsidR="000B276D">
        <w:t>:</w:t>
      </w:r>
    </w:p>
    <w:p w:rsidR="0045744D" w:rsidRDefault="00AE4701" w:rsidP="001D1374">
      <w:pPr>
        <w:pStyle w:val="Quote"/>
      </w:pPr>
      <w:r>
        <w:t>I thought the credit was pretty generous but I’ve done the continuation studies for the in</w:t>
      </w:r>
      <w:r w:rsidR="00D84C60">
        <w:t>itial subjects I got credit for</w:t>
      </w:r>
      <w:r>
        <w:t xml:space="preserve"> and I haven’t had any difficulty with them</w:t>
      </w:r>
      <w:r w:rsidR="00E20647">
        <w:t>.</w:t>
      </w:r>
      <w:r w:rsidR="007D173E">
        <w:br/>
      </w:r>
      <w:r w:rsidR="00E20647">
        <w:tab/>
      </w:r>
      <w:r w:rsidR="001D1374" w:rsidRPr="00457D93">
        <w:t>(</w:t>
      </w:r>
      <w:r w:rsidR="00D70318">
        <w:t>University of Technology Sydney</w:t>
      </w:r>
      <w:r w:rsidR="001D1374" w:rsidRPr="00457D93">
        <w:t>)</w:t>
      </w:r>
    </w:p>
    <w:p w:rsidR="00641970" w:rsidRDefault="00463D9F" w:rsidP="00641970">
      <w:pPr>
        <w:pStyle w:val="Text"/>
      </w:pPr>
      <w:r>
        <w:t>Gale et al</w:t>
      </w:r>
      <w:r w:rsidR="00E20647">
        <w:t>.</w:t>
      </w:r>
      <w:r>
        <w:t xml:space="preserve"> </w:t>
      </w:r>
      <w:r w:rsidR="00F05DBA">
        <w:t xml:space="preserve">(2010) emphasise </w:t>
      </w:r>
      <w:r w:rsidR="00641970" w:rsidRPr="000E30FF">
        <w:t xml:space="preserve">the valuing </w:t>
      </w:r>
      <w:r>
        <w:t xml:space="preserve">and recognition </w:t>
      </w:r>
      <w:r w:rsidR="00641970" w:rsidRPr="000E30FF">
        <w:t xml:space="preserve">of </w:t>
      </w:r>
      <w:r w:rsidR="00641970">
        <w:t xml:space="preserve">individual </w:t>
      </w:r>
      <w:r w:rsidR="00641970" w:rsidRPr="000E30FF">
        <w:t>knowledge brought</w:t>
      </w:r>
      <w:r w:rsidR="00641970">
        <w:t xml:space="preserve"> by students from diverse backgrounds</w:t>
      </w:r>
      <w:r w:rsidR="00641970" w:rsidRPr="000E30FF">
        <w:t xml:space="preserve">. </w:t>
      </w:r>
      <w:r>
        <w:t>Applied to</w:t>
      </w:r>
      <w:r w:rsidR="00F05DBA">
        <w:t xml:space="preserve"> </w:t>
      </w:r>
      <w:r>
        <w:t>pathways</w:t>
      </w:r>
      <w:r w:rsidR="00F05DBA">
        <w:t xml:space="preserve"> </w:t>
      </w:r>
      <w:r>
        <w:t>t</w:t>
      </w:r>
      <w:r w:rsidR="00641970">
        <w:t xml:space="preserve">his would </w:t>
      </w:r>
      <w:r w:rsidR="0010653E">
        <w:t>involve</w:t>
      </w:r>
      <w:r w:rsidR="00641970">
        <w:t xml:space="preserve"> </w:t>
      </w:r>
      <w:proofErr w:type="gramStart"/>
      <w:r w:rsidR="00641970">
        <w:t xml:space="preserve">a </w:t>
      </w:r>
      <w:r w:rsidR="00E20647">
        <w:t>recognition</w:t>
      </w:r>
      <w:proofErr w:type="gramEnd"/>
      <w:r w:rsidR="00E20647">
        <w:t xml:space="preserve"> of prior learning </w:t>
      </w:r>
      <w:r w:rsidR="00641970">
        <w:t>assessment</w:t>
      </w:r>
      <w:r w:rsidR="006C54B2">
        <w:t xml:space="preserve"> and individualised credit</w:t>
      </w:r>
      <w:r w:rsidR="00641970">
        <w:t xml:space="preserve">. Some students indicated </w:t>
      </w:r>
      <w:r w:rsidR="00E20647">
        <w:t>that recognition</w:t>
      </w:r>
      <w:r w:rsidR="00F05DBA">
        <w:t xml:space="preserve"> </w:t>
      </w:r>
      <w:r w:rsidR="00641970">
        <w:t>was used in determini</w:t>
      </w:r>
      <w:r w:rsidR="00CF4A0F">
        <w:t>ng the credit they received</w:t>
      </w:r>
      <w:r w:rsidR="0003158D">
        <w:t>,</w:t>
      </w:r>
      <w:r w:rsidR="00CF4A0F">
        <w:t xml:space="preserve"> but for most</w:t>
      </w:r>
      <w:r w:rsidR="00641970">
        <w:t xml:space="preserve"> the credit was predetermined</w:t>
      </w:r>
      <w:r w:rsidR="003069F9">
        <w:t xml:space="preserve"> </w:t>
      </w:r>
      <w:r w:rsidR="00641970">
        <w:t>on the basis of standardised credit transfer agreement</w:t>
      </w:r>
      <w:r w:rsidR="00BC6328">
        <w:t>s between institutions</w:t>
      </w:r>
      <w:r w:rsidR="006C54B2">
        <w:t xml:space="preserve"> for the VET diploma qualifications</w:t>
      </w:r>
      <w:r w:rsidR="00641970">
        <w:t xml:space="preserve">. </w:t>
      </w:r>
      <w:r w:rsidR="006C54B2">
        <w:t xml:space="preserve">Standardised agreements provide greater transparency than individualised credit </w:t>
      </w:r>
      <w:r w:rsidR="00AD60D7">
        <w:t>arrangements</w:t>
      </w:r>
      <w:r w:rsidR="00CF4A0F">
        <w:t>,</w:t>
      </w:r>
      <w:r w:rsidR="006C54B2">
        <w:t xml:space="preserve"> but there is a place for both.</w:t>
      </w:r>
      <w:r w:rsidR="00510D3B">
        <w:t xml:space="preserve"> </w:t>
      </w:r>
    </w:p>
    <w:p w:rsidR="00281D9A" w:rsidRDefault="00BC6328" w:rsidP="005C3A75">
      <w:pPr>
        <w:pStyle w:val="Text"/>
      </w:pPr>
      <w:r>
        <w:t>A</w:t>
      </w:r>
      <w:r w:rsidR="00D44F52">
        <w:t>dmission</w:t>
      </w:r>
      <w:r>
        <w:t xml:space="preserve"> is also part of recognising difference</w:t>
      </w:r>
      <w:r w:rsidR="00D44F52">
        <w:t>.</w:t>
      </w:r>
      <w:r w:rsidR="00510D3B">
        <w:t xml:space="preserve"> </w:t>
      </w:r>
      <w:r w:rsidR="00D44F52">
        <w:t>Obviously all the students in this study gained entry to university</w:t>
      </w:r>
      <w:r w:rsidR="00E20647">
        <w:t>,</w:t>
      </w:r>
      <w:r w:rsidR="00D44F52">
        <w:t xml:space="preserve"> but there was confusion and anxiety about the whole process and </w:t>
      </w:r>
      <w:r w:rsidR="000B6036">
        <w:t xml:space="preserve">in </w:t>
      </w:r>
      <w:r w:rsidR="006C1460">
        <w:t xml:space="preserve">understanding </w:t>
      </w:r>
      <w:r w:rsidR="00D44F52">
        <w:t>th</w:t>
      </w:r>
      <w:r w:rsidR="00281D9A">
        <w:t>e</w:t>
      </w:r>
      <w:r w:rsidR="00641970">
        <w:t xml:space="preserve"> basis for </w:t>
      </w:r>
      <w:r w:rsidR="00D44F52">
        <w:t>admission</w:t>
      </w:r>
      <w:r w:rsidR="00641970">
        <w:t xml:space="preserve"> into some of the intake universities</w:t>
      </w:r>
      <w:r w:rsidR="00D44F52">
        <w:t>.</w:t>
      </w:r>
      <w:r w:rsidR="00281D9A">
        <w:t xml:space="preserve"> </w:t>
      </w:r>
    </w:p>
    <w:p w:rsidR="005C3A75" w:rsidRPr="00AC1EDF" w:rsidRDefault="00E20647" w:rsidP="00281D9A">
      <w:pPr>
        <w:pStyle w:val="Quote"/>
      </w:pPr>
      <w:r>
        <w:t>Well I did the entry test thing —</w:t>
      </w:r>
      <w:r w:rsidR="005C3A75" w:rsidRPr="005C5007">
        <w:t xml:space="preserve"> the STATS, and then I don’t know how they decided, but I was accepted, which is good!</w:t>
      </w:r>
      <w:r>
        <w:tab/>
      </w:r>
      <w:r w:rsidR="00641970">
        <w:t>(</w:t>
      </w:r>
      <w:r w:rsidR="00D70318">
        <w:t>University of Technology Sydney</w:t>
      </w:r>
      <w:r w:rsidR="005C3A75" w:rsidRPr="00AC1EDF">
        <w:t>)</w:t>
      </w:r>
    </w:p>
    <w:p w:rsidR="00427362" w:rsidRDefault="00281D9A" w:rsidP="00427362">
      <w:pPr>
        <w:pStyle w:val="Quote"/>
      </w:pPr>
      <w:r>
        <w:t>S</w:t>
      </w:r>
      <w:r w:rsidR="005C3A75" w:rsidRPr="005C5007">
        <w:t>ome of my friends from TAFE were not accepted,</w:t>
      </w:r>
      <w:r>
        <w:t xml:space="preserve"> but they were just as good as </w:t>
      </w:r>
      <w:r w:rsidR="005C3A75" w:rsidRPr="005C5007">
        <w:t>me</w:t>
      </w:r>
      <w:r w:rsidR="00E02624">
        <w:t xml:space="preserve"> </w:t>
      </w:r>
      <w:r w:rsidR="00E20647">
        <w:t>[University of Technology Sydney]</w:t>
      </w:r>
      <w:r w:rsidR="00CF4A0F">
        <w:t>.</w:t>
      </w:r>
      <w:r w:rsidR="005C3A75">
        <w:t xml:space="preserve"> </w:t>
      </w:r>
      <w:r>
        <w:t>D</w:t>
      </w:r>
      <w:r w:rsidR="005C3A75" w:rsidRPr="005C5007">
        <w:t>efinitely, it was still a wo</w:t>
      </w:r>
      <w:r w:rsidR="00E20647">
        <w:t xml:space="preserve">rry after I got my diploma … </w:t>
      </w:r>
      <w:r w:rsidR="005C3A75" w:rsidRPr="005C5007">
        <w:t>to try and think whether I got in or would I still get in. You apply and wait and wait and worry and then start thinking tha</w:t>
      </w:r>
      <w:r>
        <w:t>t everyone else gets in but you</w:t>
      </w:r>
      <w:r w:rsidR="00AE0CB5">
        <w:t>.</w:t>
      </w:r>
      <w:r w:rsidR="00E20647">
        <w:tab/>
      </w:r>
      <w:r>
        <w:t>(</w:t>
      </w:r>
      <w:r w:rsidR="00D70318">
        <w:t>University of Technology Sydney</w:t>
      </w:r>
      <w:r w:rsidR="005C3A75" w:rsidRPr="00AC1EDF">
        <w:t>)</w:t>
      </w:r>
    </w:p>
    <w:p w:rsidR="00427362" w:rsidRPr="00B92F7F" w:rsidRDefault="00427362" w:rsidP="00427362">
      <w:pPr>
        <w:pStyle w:val="Quote"/>
      </w:pPr>
      <w:r w:rsidRPr="00B92F7F">
        <w:t>It was hard to get in as the RMIT had quotas on n</w:t>
      </w:r>
      <w:r w:rsidR="00E20647">
        <w:t xml:space="preserve">umbers … </w:t>
      </w:r>
      <w:r>
        <w:t>so some kids missed out</w:t>
      </w:r>
      <w:r w:rsidR="006C1460">
        <w:t>.</w:t>
      </w:r>
      <w:r w:rsidR="007D173E">
        <w:br/>
      </w:r>
      <w:r w:rsidR="00E20647">
        <w:tab/>
      </w:r>
      <w:r w:rsidRPr="00B92F7F">
        <w:t>(</w:t>
      </w:r>
      <w:r w:rsidR="00D17D83">
        <w:t>RMIT University</w:t>
      </w:r>
      <w:r w:rsidRPr="00B92F7F">
        <w:t>)</w:t>
      </w:r>
    </w:p>
    <w:p w:rsidR="000B6036" w:rsidRDefault="005C3A75" w:rsidP="00AB60C8">
      <w:pPr>
        <w:pStyle w:val="Text"/>
      </w:pPr>
      <w:r>
        <w:t xml:space="preserve">These quotes suggest that </w:t>
      </w:r>
      <w:r w:rsidR="00641970">
        <w:t xml:space="preserve">improved </w:t>
      </w:r>
      <w:r>
        <w:t xml:space="preserve">policy </w:t>
      </w:r>
      <w:r w:rsidRPr="00AC1EDF">
        <w:t xml:space="preserve">interventions </w:t>
      </w:r>
      <w:r>
        <w:t xml:space="preserve">are needed </w:t>
      </w:r>
      <w:r w:rsidRPr="00AC1EDF">
        <w:t>to</w:t>
      </w:r>
      <w:r>
        <w:t xml:space="preserve"> ensure greater transparency, clarity and commonality of </w:t>
      </w:r>
      <w:r w:rsidR="00641970">
        <w:t>admission processes</w:t>
      </w:r>
      <w:r>
        <w:t xml:space="preserve"> for diploma students aiming to transfer </w:t>
      </w:r>
      <w:r w:rsidR="00463D9F">
        <w:t xml:space="preserve">to </w:t>
      </w:r>
      <w:r w:rsidR="00510D3B">
        <w:t>higher education</w:t>
      </w:r>
      <w:r w:rsidR="00463D9F">
        <w:t xml:space="preserve"> </w:t>
      </w:r>
      <w:r>
        <w:t>in</w:t>
      </w:r>
      <w:r w:rsidR="00463D9F">
        <w:t xml:space="preserve"> this field of education</w:t>
      </w:r>
      <w:r w:rsidR="00641970">
        <w:t>.</w:t>
      </w:r>
      <w:r w:rsidR="00AB60C8">
        <w:t xml:space="preserve"> </w:t>
      </w:r>
    </w:p>
    <w:p w:rsidR="00AB60C8" w:rsidRPr="00A959A0" w:rsidRDefault="00AB60C8" w:rsidP="00AB60C8">
      <w:pPr>
        <w:pStyle w:val="Text"/>
      </w:pPr>
      <w:r>
        <w:t>I</w:t>
      </w:r>
      <w:r w:rsidRPr="00A959A0">
        <w:t>n recent years, ter</w:t>
      </w:r>
      <w:r w:rsidR="00CF4A0F">
        <w:t xml:space="preserve">tiary </w:t>
      </w:r>
      <w:r w:rsidR="0003158D">
        <w:t>entrance</w:t>
      </w:r>
      <w:r w:rsidR="00CF4A0F">
        <w:t xml:space="preserve"> rank</w:t>
      </w:r>
      <w:r w:rsidRPr="00A959A0">
        <w:t xml:space="preserve"> scores</w:t>
      </w:r>
      <w:r w:rsidR="0003158D">
        <w:t xml:space="preserve"> for construction degrees</w:t>
      </w:r>
      <w:r w:rsidRPr="00A959A0">
        <w:t xml:space="preserve"> hav</w:t>
      </w:r>
      <w:r w:rsidR="002F0F29">
        <w:t xml:space="preserve">e steadily </w:t>
      </w:r>
      <w:proofErr w:type="gramStart"/>
      <w:r w:rsidR="002F0F29">
        <w:t>risen</w:t>
      </w:r>
      <w:proofErr w:type="gramEnd"/>
      <w:r>
        <w:t xml:space="preserve"> with </w:t>
      </w:r>
      <w:r w:rsidRPr="00A959A0">
        <w:t>construction de</w:t>
      </w:r>
      <w:r>
        <w:t>grees,</w:t>
      </w:r>
      <w:r w:rsidR="0003158D">
        <w:t xml:space="preserve"> which has been</w:t>
      </w:r>
      <w:r>
        <w:t xml:space="preserve"> compounded by the limited </w:t>
      </w:r>
      <w:r w:rsidR="000B6036">
        <w:t xml:space="preserve">available </w:t>
      </w:r>
      <w:r>
        <w:t>places</w:t>
      </w:r>
      <w:r w:rsidR="000B6036">
        <w:t xml:space="preserve"> referred to earlier</w:t>
      </w:r>
      <w:r>
        <w:t>.</w:t>
      </w:r>
      <w:r w:rsidRPr="00A959A0">
        <w:t xml:space="preserve"> T</w:t>
      </w:r>
      <w:r w:rsidR="002F0F29">
        <w:t xml:space="preserve">his has sapped confidence </w:t>
      </w:r>
      <w:r w:rsidR="00463D9F">
        <w:t xml:space="preserve">for students </w:t>
      </w:r>
      <w:r w:rsidR="002F0F29">
        <w:t xml:space="preserve">in </w:t>
      </w:r>
      <w:r>
        <w:t>some insti</w:t>
      </w:r>
      <w:r w:rsidR="002F0F29">
        <w:t>t</w:t>
      </w:r>
      <w:r>
        <w:t>utions</w:t>
      </w:r>
      <w:r w:rsidR="00463D9F">
        <w:t xml:space="preserve"> </w:t>
      </w:r>
      <w:r>
        <w:t>where ex</w:t>
      </w:r>
      <w:r w:rsidR="001D2461">
        <w:t>pectations of transfer are high</w:t>
      </w:r>
      <w:r w:rsidR="006C1460">
        <w:t xml:space="preserve"> </w:t>
      </w:r>
      <w:r>
        <w:t xml:space="preserve">but </w:t>
      </w:r>
      <w:r w:rsidR="001D2461">
        <w:t xml:space="preserve">are </w:t>
      </w:r>
      <w:r>
        <w:t>not always met</w:t>
      </w:r>
      <w:r w:rsidRPr="00A959A0">
        <w:t>.</w:t>
      </w:r>
      <w:r w:rsidR="006C1460">
        <w:t xml:space="preserve"> </w:t>
      </w:r>
      <w:r w:rsidR="0070121C">
        <w:t>Such uncertainties need to be addressed, where possible</w:t>
      </w:r>
      <w:r w:rsidR="0003158D">
        <w:t>,</w:t>
      </w:r>
      <w:r w:rsidR="0070121C">
        <w:t xml:space="preserve"> through </w:t>
      </w:r>
      <w:r w:rsidR="00D35327">
        <w:t xml:space="preserve">improved pathway </w:t>
      </w:r>
      <w:r w:rsidR="000B4A7C">
        <w:t>arrangements that</w:t>
      </w:r>
      <w:r w:rsidR="00D35327">
        <w:t xml:space="preserve"> include </w:t>
      </w:r>
      <w:r w:rsidR="0070121C">
        <w:t xml:space="preserve">guaranteed </w:t>
      </w:r>
      <w:r w:rsidR="000B6036">
        <w:t>admission</w:t>
      </w:r>
      <w:r w:rsidR="0070121C">
        <w:t xml:space="preserve"> for </w:t>
      </w:r>
      <w:r w:rsidR="000B6036">
        <w:t xml:space="preserve">graduates of relevant building </w:t>
      </w:r>
      <w:r w:rsidR="0070121C">
        <w:t>diploma</w:t>
      </w:r>
      <w:r w:rsidR="000B6036">
        <w:t>s</w:t>
      </w:r>
      <w:r w:rsidR="0070121C">
        <w:t>.</w:t>
      </w:r>
    </w:p>
    <w:p w:rsidR="00BB3E6F" w:rsidRDefault="00EE6B3B" w:rsidP="00BB3E6F">
      <w:pPr>
        <w:pStyle w:val="Text"/>
      </w:pPr>
      <w:r>
        <w:t>The third</w:t>
      </w:r>
      <w:r w:rsidR="006C1460">
        <w:t xml:space="preserve"> aspect of r</w:t>
      </w:r>
      <w:r w:rsidR="00AE4701">
        <w:t>ecogni</w:t>
      </w:r>
      <w:r w:rsidR="006C1460">
        <w:t xml:space="preserve">sing </w:t>
      </w:r>
      <w:r w:rsidR="00AE4701">
        <w:t xml:space="preserve">difference </w:t>
      </w:r>
      <w:r w:rsidR="004B1747">
        <w:t>is</w:t>
      </w:r>
      <w:r w:rsidR="00AE4701">
        <w:t xml:space="preserve"> </w:t>
      </w:r>
      <w:r w:rsidR="00BB3E6F">
        <w:t xml:space="preserve">reflected in </w:t>
      </w:r>
      <w:r w:rsidR="00BB3E6F" w:rsidRPr="00977AE9">
        <w:rPr>
          <w:lang w:val="en-US"/>
        </w:rPr>
        <w:t>understand</w:t>
      </w:r>
      <w:r w:rsidR="00BB3E6F">
        <w:rPr>
          <w:lang w:val="en-US"/>
        </w:rPr>
        <w:t xml:space="preserve">ing that </w:t>
      </w:r>
      <w:r w:rsidR="00CF4A0F">
        <w:rPr>
          <w:lang w:val="en-US"/>
        </w:rPr>
        <w:t xml:space="preserve">not all </w:t>
      </w:r>
      <w:r w:rsidR="006C1460">
        <w:rPr>
          <w:lang w:val="en-US"/>
        </w:rPr>
        <w:t>VET</w:t>
      </w:r>
      <w:r w:rsidR="00BB3E6F">
        <w:rPr>
          <w:lang w:val="en-US"/>
        </w:rPr>
        <w:t xml:space="preserve"> students </w:t>
      </w:r>
      <w:r w:rsidR="00BB3E6F" w:rsidRPr="00977AE9">
        <w:rPr>
          <w:lang w:val="en-US"/>
        </w:rPr>
        <w:t>have the same prior learning experiences and that</w:t>
      </w:r>
      <w:r w:rsidR="001D2461">
        <w:rPr>
          <w:lang w:val="en-US"/>
        </w:rPr>
        <w:t>,</w:t>
      </w:r>
      <w:r w:rsidR="00D84C60">
        <w:rPr>
          <w:lang w:val="en-US"/>
        </w:rPr>
        <w:t xml:space="preserve"> for </w:t>
      </w:r>
      <w:r w:rsidR="000B4A7C">
        <w:rPr>
          <w:lang w:val="en-US"/>
        </w:rPr>
        <w:t>some</w:t>
      </w:r>
      <w:r w:rsidR="001D2461">
        <w:rPr>
          <w:lang w:val="en-US"/>
        </w:rPr>
        <w:t>,</w:t>
      </w:r>
      <w:r w:rsidR="000B4A7C">
        <w:rPr>
          <w:lang w:val="en-US"/>
        </w:rPr>
        <w:t xml:space="preserve"> extra</w:t>
      </w:r>
      <w:r w:rsidR="00BB3E6F" w:rsidRPr="00977AE9">
        <w:rPr>
          <w:lang w:val="en-US"/>
        </w:rPr>
        <w:t xml:space="preserve"> time and effort </w:t>
      </w:r>
      <w:r w:rsidR="001D2461">
        <w:rPr>
          <w:lang w:val="en-US"/>
        </w:rPr>
        <w:t>are</w:t>
      </w:r>
      <w:r w:rsidR="00BB3E6F">
        <w:rPr>
          <w:lang w:val="en-US"/>
        </w:rPr>
        <w:t xml:space="preserve"> needed </w:t>
      </w:r>
      <w:r w:rsidR="00D84C60">
        <w:rPr>
          <w:lang w:val="en-US"/>
        </w:rPr>
        <w:t xml:space="preserve">to </w:t>
      </w:r>
      <w:r w:rsidR="00BB3E6F" w:rsidRPr="00977AE9">
        <w:rPr>
          <w:lang w:val="en-US"/>
        </w:rPr>
        <w:t xml:space="preserve">address </w:t>
      </w:r>
      <w:r w:rsidR="0003158D">
        <w:rPr>
          <w:lang w:val="en-US"/>
        </w:rPr>
        <w:t xml:space="preserve">the </w:t>
      </w:r>
      <w:r w:rsidR="004B1747">
        <w:rPr>
          <w:lang w:val="en-US"/>
        </w:rPr>
        <w:t xml:space="preserve">transition into </w:t>
      </w:r>
      <w:r w:rsidR="00FB42AE">
        <w:rPr>
          <w:lang w:val="en-US"/>
        </w:rPr>
        <w:t>higher education</w:t>
      </w:r>
      <w:r w:rsidR="00BB3E6F" w:rsidRPr="006508E4">
        <w:rPr>
          <w:rFonts w:ascii="Verdana" w:hAnsi="Verdana"/>
          <w:sz w:val="24"/>
          <w:lang w:val="en-US"/>
        </w:rPr>
        <w:t>.</w:t>
      </w:r>
      <w:r w:rsidR="00BB3E6F" w:rsidRPr="004D1B41">
        <w:t xml:space="preserve"> </w:t>
      </w:r>
    </w:p>
    <w:p w:rsidR="00D84C60" w:rsidRDefault="00D84C60" w:rsidP="00BB3E6F">
      <w:pPr>
        <w:pStyle w:val="Text"/>
        <w:rPr>
          <w:lang w:val="en-US"/>
        </w:rPr>
      </w:pPr>
      <w:r>
        <w:t xml:space="preserve">Some students </w:t>
      </w:r>
      <w:r w:rsidR="004B1747">
        <w:t xml:space="preserve">suggested </w:t>
      </w:r>
      <w:r w:rsidR="006F37B8">
        <w:t xml:space="preserve">that they would have liked extra curricula in the diploma to support the transition to </w:t>
      </w:r>
      <w:r w:rsidR="00510D3B">
        <w:t>higher education</w:t>
      </w:r>
      <w:r w:rsidR="001D2461">
        <w:t>,</w:t>
      </w:r>
      <w:r w:rsidR="006F37B8">
        <w:t xml:space="preserve"> but</w:t>
      </w:r>
      <w:r w:rsidR="00FB42AE">
        <w:t xml:space="preserve"> as</w:t>
      </w:r>
      <w:r w:rsidR="006F37B8">
        <w:t xml:space="preserve"> their VET </w:t>
      </w:r>
      <w:r>
        <w:rPr>
          <w:lang w:val="en-US"/>
        </w:rPr>
        <w:t>teacher</w:t>
      </w:r>
      <w:r w:rsidR="00A03B35">
        <w:rPr>
          <w:lang w:val="en-US"/>
        </w:rPr>
        <w:t xml:space="preserve">s had explained </w:t>
      </w:r>
      <w:r w:rsidR="006F37B8">
        <w:rPr>
          <w:lang w:val="en-US"/>
        </w:rPr>
        <w:t xml:space="preserve">this was not possible because </w:t>
      </w:r>
      <w:r w:rsidR="00A03B35">
        <w:rPr>
          <w:lang w:val="en-US"/>
        </w:rPr>
        <w:t>training package</w:t>
      </w:r>
      <w:r>
        <w:rPr>
          <w:lang w:val="en-US"/>
        </w:rPr>
        <w:t xml:space="preserve"> qualificatio</w:t>
      </w:r>
      <w:r w:rsidR="00234FDC">
        <w:rPr>
          <w:lang w:val="en-US"/>
        </w:rPr>
        <w:t>n</w:t>
      </w:r>
      <w:r w:rsidR="004B1747">
        <w:rPr>
          <w:lang w:val="en-US"/>
        </w:rPr>
        <w:t>s</w:t>
      </w:r>
      <w:r w:rsidR="00234FDC">
        <w:rPr>
          <w:lang w:val="en-US"/>
        </w:rPr>
        <w:t xml:space="preserve"> </w:t>
      </w:r>
      <w:r w:rsidR="00FB42AE">
        <w:rPr>
          <w:lang w:val="en-US"/>
        </w:rPr>
        <w:t>are agreed nationally</w:t>
      </w:r>
      <w:r>
        <w:rPr>
          <w:lang w:val="en-US"/>
        </w:rPr>
        <w:t>.</w:t>
      </w:r>
      <w:r w:rsidR="00510D3B">
        <w:rPr>
          <w:lang w:val="en-US"/>
        </w:rPr>
        <w:t xml:space="preserve"> </w:t>
      </w:r>
      <w:r w:rsidR="00FB42AE">
        <w:rPr>
          <w:lang w:val="en-US"/>
        </w:rPr>
        <w:t xml:space="preserve">In </w:t>
      </w:r>
      <w:r w:rsidR="00411488">
        <w:rPr>
          <w:lang w:val="en-US"/>
        </w:rPr>
        <w:t xml:space="preserve">the </w:t>
      </w:r>
      <w:r w:rsidR="00D70318">
        <w:rPr>
          <w:lang w:val="en-US"/>
        </w:rPr>
        <w:t>University of Western Sydney</w:t>
      </w:r>
      <w:r w:rsidR="00411488">
        <w:rPr>
          <w:lang w:val="en-US"/>
        </w:rPr>
        <w:t xml:space="preserve"> case study </w:t>
      </w:r>
      <w:r w:rsidR="00FB42AE">
        <w:rPr>
          <w:lang w:val="en-US"/>
        </w:rPr>
        <w:t xml:space="preserve">this was not an issue </w:t>
      </w:r>
      <w:r>
        <w:rPr>
          <w:lang w:val="en-US"/>
        </w:rPr>
        <w:t xml:space="preserve">because the college diploma had been accredited through higher education and could encompass foundation subjects. </w:t>
      </w:r>
    </w:p>
    <w:p w:rsidR="00A0303E" w:rsidRDefault="00D84C60" w:rsidP="00D84C60">
      <w:pPr>
        <w:pStyle w:val="Quote"/>
        <w:rPr>
          <w:lang w:val="en-US"/>
        </w:rPr>
      </w:pPr>
      <w:r w:rsidRPr="001356C5">
        <w:rPr>
          <w:lang w:val="en-US"/>
        </w:rPr>
        <w:t xml:space="preserve">Well at UWS College, they would </w:t>
      </w:r>
      <w:proofErr w:type="spellStart"/>
      <w:r w:rsidRPr="001356C5">
        <w:rPr>
          <w:lang w:val="en-US"/>
        </w:rPr>
        <w:t>recognise</w:t>
      </w:r>
      <w:proofErr w:type="spellEnd"/>
      <w:r w:rsidRPr="001356C5">
        <w:rPr>
          <w:lang w:val="en-US"/>
        </w:rPr>
        <w:t xml:space="preserve"> that the students are different and treat them like that</w:t>
      </w:r>
      <w:r w:rsidR="001D2461">
        <w:rPr>
          <w:lang w:val="en-US"/>
        </w:rPr>
        <w:t xml:space="preserve"> </w:t>
      </w:r>
      <w:r w:rsidR="007D173E">
        <w:rPr>
          <w:lang w:val="en-US"/>
        </w:rPr>
        <w:t>…</w:t>
      </w:r>
      <w:r w:rsidR="000B4A7C" w:rsidRPr="001356C5">
        <w:rPr>
          <w:lang w:val="en-US"/>
        </w:rPr>
        <w:t xml:space="preserve"> you</w:t>
      </w:r>
      <w:r w:rsidRPr="001356C5">
        <w:rPr>
          <w:lang w:val="en-US"/>
        </w:rPr>
        <w:t xml:space="preserve"> know different teaching way</w:t>
      </w:r>
      <w:r>
        <w:rPr>
          <w:lang w:val="en-US"/>
        </w:rPr>
        <w:t>s and different resources</w:t>
      </w:r>
      <w:r w:rsidR="00CF4A0F">
        <w:rPr>
          <w:lang w:val="en-US"/>
        </w:rPr>
        <w:t>.</w:t>
      </w:r>
    </w:p>
    <w:p w:rsidR="00234FDC" w:rsidRPr="000E30FF" w:rsidRDefault="00234FDC" w:rsidP="00234FDC">
      <w:pPr>
        <w:pStyle w:val="Quote"/>
      </w:pPr>
      <w:r w:rsidRPr="004D68E9">
        <w:t xml:space="preserve">Everyone says you get more help at the UWS College </w:t>
      </w:r>
      <w:r w:rsidR="007D173E">
        <w:t>…</w:t>
      </w:r>
      <w:r w:rsidR="000B4A7C" w:rsidRPr="004D68E9">
        <w:t xml:space="preserve"> I</w:t>
      </w:r>
      <w:r w:rsidRPr="004D68E9">
        <w:t xml:space="preserve"> knew from my school and my friends</w:t>
      </w:r>
      <w:r>
        <w:t>.</w:t>
      </w:r>
    </w:p>
    <w:p w:rsidR="00BB3E6F" w:rsidRPr="001C7EA3" w:rsidRDefault="00BB3E6F" w:rsidP="003F095C">
      <w:pPr>
        <w:pStyle w:val="Text"/>
        <w:rPr>
          <w:lang w:val="en-US"/>
        </w:rPr>
      </w:pPr>
      <w:r w:rsidRPr="001C7EA3">
        <w:rPr>
          <w:lang w:val="en-US"/>
        </w:rPr>
        <w:lastRenderedPageBreak/>
        <w:t xml:space="preserve">Where a </w:t>
      </w:r>
      <w:r w:rsidR="006F37B8">
        <w:rPr>
          <w:lang w:val="en-US"/>
        </w:rPr>
        <w:t xml:space="preserve">VET </w:t>
      </w:r>
      <w:r>
        <w:rPr>
          <w:lang w:val="en-US"/>
        </w:rPr>
        <w:t xml:space="preserve">provider </w:t>
      </w:r>
      <w:r w:rsidRPr="001C7EA3">
        <w:rPr>
          <w:lang w:val="en-US"/>
        </w:rPr>
        <w:t>has the opportunity</w:t>
      </w:r>
      <w:r>
        <w:rPr>
          <w:lang w:val="en-US"/>
        </w:rPr>
        <w:t>/capacity</w:t>
      </w:r>
      <w:r w:rsidRPr="001C7EA3">
        <w:rPr>
          <w:lang w:val="en-US"/>
        </w:rPr>
        <w:t xml:space="preserve"> to modify and enhance </w:t>
      </w:r>
      <w:r>
        <w:rPr>
          <w:lang w:val="en-US"/>
        </w:rPr>
        <w:t>learning experiences</w:t>
      </w:r>
      <w:r w:rsidRPr="001C7EA3">
        <w:rPr>
          <w:lang w:val="en-US"/>
        </w:rPr>
        <w:t xml:space="preserve"> to meet</w:t>
      </w:r>
      <w:r w:rsidR="006F37B8">
        <w:rPr>
          <w:lang w:val="en-US"/>
        </w:rPr>
        <w:t xml:space="preserve"> pathways</w:t>
      </w:r>
      <w:r w:rsidRPr="001C7EA3">
        <w:rPr>
          <w:lang w:val="en-US"/>
        </w:rPr>
        <w:t xml:space="preserve"> student</w:t>
      </w:r>
      <w:r w:rsidR="006F37B8">
        <w:rPr>
          <w:lang w:val="en-US"/>
        </w:rPr>
        <w:t xml:space="preserve">s’ needs and </w:t>
      </w:r>
      <w:r w:rsidR="008C47CB">
        <w:rPr>
          <w:lang w:val="en-US"/>
        </w:rPr>
        <w:t>better</w:t>
      </w:r>
      <w:r w:rsidRPr="001C7EA3">
        <w:rPr>
          <w:lang w:val="en-US"/>
        </w:rPr>
        <w:t xml:space="preserve"> align the outcomes with the university curriculum, the advantages </w:t>
      </w:r>
      <w:r w:rsidR="006F37B8">
        <w:rPr>
          <w:lang w:val="en-US"/>
        </w:rPr>
        <w:t>are obvious</w:t>
      </w:r>
      <w:r w:rsidRPr="001C7EA3">
        <w:rPr>
          <w:lang w:val="en-US"/>
        </w:rPr>
        <w:t>.</w:t>
      </w:r>
      <w:r w:rsidR="00510D3B">
        <w:rPr>
          <w:lang w:val="en-US"/>
        </w:rPr>
        <w:t xml:space="preserve"> </w:t>
      </w:r>
      <w:r w:rsidR="00FB42AE">
        <w:rPr>
          <w:lang w:val="en-US"/>
        </w:rPr>
        <w:t xml:space="preserve">Such approaches to pathways reflect continuity and </w:t>
      </w:r>
      <w:r w:rsidR="00212A78">
        <w:rPr>
          <w:lang w:val="en-US"/>
        </w:rPr>
        <w:t>complementarities</w:t>
      </w:r>
      <w:r w:rsidR="00FB42AE">
        <w:rPr>
          <w:lang w:val="en-US"/>
        </w:rPr>
        <w:t xml:space="preserve"> that support and enhance educational progression</w:t>
      </w:r>
      <w:r w:rsidR="00A03B35">
        <w:rPr>
          <w:lang w:val="en-US"/>
        </w:rPr>
        <w:t xml:space="preserve"> </w:t>
      </w:r>
      <w:r w:rsidR="0010653E">
        <w:rPr>
          <w:lang w:val="en-US"/>
        </w:rPr>
        <w:t>(</w:t>
      </w:r>
      <w:proofErr w:type="spellStart"/>
      <w:r w:rsidR="0010653E">
        <w:rPr>
          <w:lang w:val="en-US"/>
        </w:rPr>
        <w:t>W</w:t>
      </w:r>
      <w:r w:rsidR="001D2461">
        <w:rPr>
          <w:lang w:val="en-US"/>
        </w:rPr>
        <w:t>heelahan</w:t>
      </w:r>
      <w:proofErr w:type="spellEnd"/>
      <w:r w:rsidR="00C83111">
        <w:rPr>
          <w:lang w:val="en-US"/>
        </w:rPr>
        <w:t xml:space="preserve"> </w:t>
      </w:r>
      <w:r w:rsidR="0010653E">
        <w:rPr>
          <w:lang w:val="en-US"/>
        </w:rPr>
        <w:t>2009</w:t>
      </w:r>
      <w:r w:rsidR="001D2461">
        <w:rPr>
          <w:lang w:val="en-US"/>
        </w:rPr>
        <w:t>c, p.</w:t>
      </w:r>
      <w:r w:rsidR="00C83111">
        <w:rPr>
          <w:lang w:val="en-US"/>
        </w:rPr>
        <w:t>36)</w:t>
      </w:r>
      <w:r w:rsidR="00212A78">
        <w:rPr>
          <w:lang w:val="en-US"/>
        </w:rPr>
        <w:t>.</w:t>
      </w:r>
      <w:r w:rsidR="00C83111">
        <w:rPr>
          <w:lang w:val="en-US"/>
        </w:rPr>
        <w:t xml:space="preserve"> </w:t>
      </w:r>
      <w:r w:rsidR="006F37B8">
        <w:rPr>
          <w:lang w:val="en-US"/>
        </w:rPr>
        <w:t>However, if changes are too broad</w:t>
      </w:r>
      <w:r w:rsidR="00A03B35">
        <w:rPr>
          <w:lang w:val="en-US"/>
        </w:rPr>
        <w:t xml:space="preserve"> or </w:t>
      </w:r>
      <w:r w:rsidR="00CF4A0F">
        <w:rPr>
          <w:lang w:val="en-US"/>
        </w:rPr>
        <w:t>alter</w:t>
      </w:r>
      <w:r w:rsidR="00A03B35">
        <w:rPr>
          <w:lang w:val="en-US"/>
        </w:rPr>
        <w:t xml:space="preserve"> the </w:t>
      </w:r>
      <w:r w:rsidR="006F37B8">
        <w:rPr>
          <w:lang w:val="en-US"/>
        </w:rPr>
        <w:t xml:space="preserve">actual </w:t>
      </w:r>
      <w:r w:rsidR="00A03B35">
        <w:rPr>
          <w:lang w:val="en-US"/>
        </w:rPr>
        <w:t xml:space="preserve">outcomes of </w:t>
      </w:r>
      <w:r w:rsidR="00FB42AE">
        <w:rPr>
          <w:lang w:val="en-US"/>
        </w:rPr>
        <w:t xml:space="preserve">a </w:t>
      </w:r>
      <w:proofErr w:type="spellStart"/>
      <w:r w:rsidR="006F37B8">
        <w:rPr>
          <w:lang w:val="en-US"/>
        </w:rPr>
        <w:t>recognised</w:t>
      </w:r>
      <w:proofErr w:type="spellEnd"/>
      <w:r w:rsidR="006F37B8">
        <w:rPr>
          <w:lang w:val="en-US"/>
        </w:rPr>
        <w:t xml:space="preserve"> </w:t>
      </w:r>
      <w:r w:rsidR="00CF4A0F">
        <w:rPr>
          <w:lang w:val="en-US"/>
        </w:rPr>
        <w:t>VET-</w:t>
      </w:r>
      <w:r w:rsidR="00FB42AE">
        <w:rPr>
          <w:lang w:val="en-US"/>
        </w:rPr>
        <w:t xml:space="preserve">endorsed </w:t>
      </w:r>
      <w:r w:rsidR="00A03B35">
        <w:rPr>
          <w:lang w:val="en-US"/>
        </w:rPr>
        <w:t>diploma</w:t>
      </w:r>
      <w:r w:rsidR="001D2461">
        <w:rPr>
          <w:lang w:val="en-US"/>
        </w:rPr>
        <w:t>,</w:t>
      </w:r>
      <w:r w:rsidR="00A03B35">
        <w:rPr>
          <w:lang w:val="en-US"/>
        </w:rPr>
        <w:t xml:space="preserve"> this may have negative implic</w:t>
      </w:r>
      <w:r w:rsidR="00A0303E">
        <w:rPr>
          <w:lang w:val="en-US"/>
        </w:rPr>
        <w:t xml:space="preserve">ations for </w:t>
      </w:r>
      <w:r w:rsidR="00C83111">
        <w:rPr>
          <w:lang w:val="en-US"/>
        </w:rPr>
        <w:t xml:space="preserve">credit because the qualification loses its national </w:t>
      </w:r>
      <w:r w:rsidR="006537B4">
        <w:rPr>
          <w:lang w:val="en-US"/>
        </w:rPr>
        <w:t xml:space="preserve">integrity. A further question is the degree to which industry vocational outcomes in a VET qualification should be </w:t>
      </w:r>
      <w:r w:rsidR="006537B4" w:rsidRPr="003F095C">
        <w:t>modified</w:t>
      </w:r>
      <w:r w:rsidR="006537B4">
        <w:rPr>
          <w:lang w:val="en-US"/>
        </w:rPr>
        <w:t xml:space="preserve"> to meet the potential for some students to go </w:t>
      </w:r>
      <w:r w:rsidR="004D5EEF">
        <w:rPr>
          <w:lang w:val="en-US"/>
        </w:rPr>
        <w:t>on to</w:t>
      </w:r>
      <w:r w:rsidR="006537B4">
        <w:rPr>
          <w:lang w:val="en-US"/>
        </w:rPr>
        <w:t xml:space="preserve"> </w:t>
      </w:r>
      <w:r w:rsidR="00510D3B">
        <w:rPr>
          <w:lang w:val="en-US"/>
        </w:rPr>
        <w:t>higher education</w:t>
      </w:r>
      <w:r w:rsidR="006537B4">
        <w:rPr>
          <w:lang w:val="en-US"/>
        </w:rPr>
        <w:t>. The latest descriptors</w:t>
      </w:r>
      <w:r w:rsidR="001D2461">
        <w:rPr>
          <w:lang w:val="en-US"/>
        </w:rPr>
        <w:t xml:space="preserve"> for qualifications in the AQF</w:t>
      </w:r>
      <w:r w:rsidR="00356D8B">
        <w:rPr>
          <w:lang w:val="en-US"/>
        </w:rPr>
        <w:t xml:space="preserve"> </w:t>
      </w:r>
      <w:r w:rsidR="006537B4">
        <w:rPr>
          <w:lang w:val="en-US"/>
        </w:rPr>
        <w:t xml:space="preserve">provide the balance, </w:t>
      </w:r>
      <w:r w:rsidR="00356D8B">
        <w:rPr>
          <w:lang w:val="en-US"/>
        </w:rPr>
        <w:t>identifying the purpose of each qualification in a vocational or employment context and as a pathway t</w:t>
      </w:r>
      <w:r w:rsidR="000C743C">
        <w:rPr>
          <w:lang w:val="en-US"/>
        </w:rPr>
        <w:t>o further learning (</w:t>
      </w:r>
      <w:r w:rsidR="00811B9A">
        <w:rPr>
          <w:lang w:val="en-US"/>
        </w:rPr>
        <w:t>Australian Qualifications Framework Council</w:t>
      </w:r>
      <w:r w:rsidR="000C743C">
        <w:rPr>
          <w:lang w:val="en-US"/>
        </w:rPr>
        <w:t xml:space="preserve"> 2013)</w:t>
      </w:r>
      <w:r w:rsidR="00A03B35">
        <w:rPr>
          <w:lang w:val="en-US"/>
        </w:rPr>
        <w:t>.</w:t>
      </w:r>
    </w:p>
    <w:p w:rsidR="00EE6B3B" w:rsidRDefault="000B4A7C" w:rsidP="003F095C">
      <w:pPr>
        <w:pStyle w:val="Text"/>
      </w:pPr>
      <w:r>
        <w:t>The second characteristic in this strategy is referred to as enhanced academic curriculu</w:t>
      </w:r>
      <w:r w:rsidR="00CF4A0F">
        <w:t>m</w:t>
      </w:r>
      <w:r w:rsidR="0003158D">
        <w:t>,</w:t>
      </w:r>
      <w:r w:rsidR="00CF4A0F">
        <w:t xml:space="preserve"> which</w:t>
      </w:r>
      <w:r w:rsidR="001D2461">
        <w:t xml:space="preserve"> in Gale et al. (2010, p.9</w:t>
      </w:r>
      <w:r w:rsidR="00CF4A0F">
        <w:t>) refers</w:t>
      </w:r>
      <w:r w:rsidR="001D2461">
        <w:t xml:space="preserve"> to high-</w:t>
      </w:r>
      <w:r>
        <w:t>quality and rigorous student learning</w:t>
      </w:r>
      <w:r w:rsidR="0003158D">
        <w:t>,</w:t>
      </w:r>
      <w:r>
        <w:t xml:space="preserve"> driven by quality teaching.</w:t>
      </w:r>
    </w:p>
    <w:p w:rsidR="00234FDC" w:rsidRDefault="00EE6B3B" w:rsidP="003F095C">
      <w:pPr>
        <w:pStyle w:val="Text"/>
      </w:pPr>
      <w:r>
        <w:t xml:space="preserve">The </w:t>
      </w:r>
      <w:r w:rsidR="003958D3" w:rsidRPr="003958D3">
        <w:t>value of the learning experiences</w:t>
      </w:r>
      <w:r w:rsidR="00A03B35">
        <w:t xml:space="preserve"> </w:t>
      </w:r>
      <w:r>
        <w:t xml:space="preserve">and </w:t>
      </w:r>
      <w:r w:rsidR="001D2461">
        <w:t xml:space="preserve">the </w:t>
      </w:r>
      <w:r>
        <w:t xml:space="preserve">quality of teaching in </w:t>
      </w:r>
      <w:r w:rsidR="00510D3B">
        <w:t>vocational education and training</w:t>
      </w:r>
      <w:r w:rsidR="00A03B35">
        <w:t xml:space="preserve"> </w:t>
      </w:r>
      <w:r w:rsidR="00A0303E">
        <w:t>w</w:t>
      </w:r>
      <w:r w:rsidR="0003158D">
        <w:t>ere</w:t>
      </w:r>
      <w:r w:rsidR="00A0303E">
        <w:t xml:space="preserve"> </w:t>
      </w:r>
      <w:r w:rsidR="00A03B35">
        <w:t>commented on</w:t>
      </w:r>
      <w:r w:rsidR="00A0303E">
        <w:t xml:space="preserve"> by many of the </w:t>
      </w:r>
      <w:r>
        <w:t>interviewees and</w:t>
      </w:r>
      <w:r w:rsidR="00A0303E">
        <w:t xml:space="preserve"> this </w:t>
      </w:r>
      <w:r>
        <w:t xml:space="preserve">characteristic </w:t>
      </w:r>
      <w:r w:rsidR="00A0303E">
        <w:t>stood out as an enabler</w:t>
      </w:r>
      <w:r w:rsidR="00A03B35">
        <w:t>.</w:t>
      </w:r>
      <w:r w:rsidR="00510D3B">
        <w:t xml:space="preserve"> </w:t>
      </w:r>
      <w:r w:rsidR="00234FDC">
        <w:t xml:space="preserve">The students identified a number of different aspects in their </w:t>
      </w:r>
      <w:r w:rsidR="005B340C">
        <w:t>l</w:t>
      </w:r>
      <w:r w:rsidR="00234FDC">
        <w:t xml:space="preserve">earning experiences </w:t>
      </w:r>
      <w:r w:rsidR="00CF4A0F">
        <w:t>that had</w:t>
      </w:r>
      <w:r w:rsidR="00234FDC">
        <w:t xml:space="preserve"> helped them</w:t>
      </w:r>
      <w:r w:rsidR="00DD751F">
        <w:t xml:space="preserve"> in their VET</w:t>
      </w:r>
      <w:r w:rsidR="006F37B8">
        <w:t xml:space="preserve"> studies and </w:t>
      </w:r>
      <w:r w:rsidR="00DD751F">
        <w:t xml:space="preserve">subsequent </w:t>
      </w:r>
      <w:r w:rsidR="006F37B8">
        <w:t>transfer to university</w:t>
      </w:r>
      <w:r w:rsidR="00234FDC">
        <w:t>. These included</w:t>
      </w:r>
      <w:r w:rsidR="005170CC">
        <w:t xml:space="preserve"> the</w:t>
      </w:r>
      <w:r w:rsidR="00234FDC">
        <w:t>:</w:t>
      </w:r>
    </w:p>
    <w:p w:rsidR="00234FDC" w:rsidRPr="00AE0CB5" w:rsidRDefault="00234FDC" w:rsidP="00AE0CB5">
      <w:pPr>
        <w:pStyle w:val="Dotpoint1"/>
      </w:pPr>
      <w:r w:rsidRPr="00AE0CB5">
        <w:t>level of interest</w:t>
      </w:r>
      <w:r w:rsidR="005170CC" w:rsidRPr="00AE0CB5">
        <w:t xml:space="preserve">, </w:t>
      </w:r>
      <w:r w:rsidR="000B4A7C" w:rsidRPr="00AE0CB5">
        <w:t>encouragement and</w:t>
      </w:r>
      <w:r w:rsidRPr="00AE0CB5">
        <w:t xml:space="preserve"> assistance given by the V</w:t>
      </w:r>
      <w:r w:rsidR="00546A04" w:rsidRPr="00AE0CB5">
        <w:t>ET</w:t>
      </w:r>
      <w:r w:rsidRPr="00AE0CB5">
        <w:t xml:space="preserve"> teachers</w:t>
      </w:r>
      <w:r w:rsidR="005170CC" w:rsidRPr="00AE0CB5">
        <w:t xml:space="preserve"> in class (also another aspect of </w:t>
      </w:r>
      <w:r w:rsidR="001D2461">
        <w:t>‘</w:t>
      </w:r>
      <w:r w:rsidR="005170CC" w:rsidRPr="00AE0CB5">
        <w:t>people-rich</w:t>
      </w:r>
      <w:r w:rsidR="001D2461">
        <w:t>’</w:t>
      </w:r>
      <w:r w:rsidR="005170CC" w:rsidRPr="00AE0CB5">
        <w:t>)</w:t>
      </w:r>
    </w:p>
    <w:p w:rsidR="005170CC" w:rsidRPr="00AE0CB5" w:rsidRDefault="006F37B8" w:rsidP="00AE0CB5">
      <w:pPr>
        <w:pStyle w:val="Dotpoint1"/>
      </w:pPr>
      <w:r w:rsidRPr="00AE0CB5">
        <w:t xml:space="preserve">small </w:t>
      </w:r>
      <w:r w:rsidR="005170CC" w:rsidRPr="00AE0CB5">
        <w:t>size of VET</w:t>
      </w:r>
      <w:r w:rsidR="00234FDC" w:rsidRPr="00AE0CB5">
        <w:t xml:space="preserve"> classes compared with university</w:t>
      </w:r>
      <w:r w:rsidR="001D2461">
        <w:t>,</w:t>
      </w:r>
      <w:r w:rsidRPr="00AE0CB5">
        <w:t xml:space="preserve"> </w:t>
      </w:r>
      <w:r w:rsidR="00546A04" w:rsidRPr="00AE0CB5">
        <w:t xml:space="preserve">which enabled VET teachers to know their students individually </w:t>
      </w:r>
    </w:p>
    <w:p w:rsidR="005170CC" w:rsidRPr="00AE0CB5" w:rsidRDefault="005170CC" w:rsidP="00AE0CB5">
      <w:pPr>
        <w:pStyle w:val="Dotpoint1"/>
      </w:pPr>
      <w:r w:rsidRPr="00AE0CB5">
        <w:t>way learning is done in class</w:t>
      </w:r>
      <w:r w:rsidR="00B84D8C" w:rsidRPr="00AE0CB5">
        <w:t xml:space="preserve"> as a group</w:t>
      </w:r>
      <w:r w:rsidR="005309CE" w:rsidRPr="00AE0CB5">
        <w:t xml:space="preserve"> activity</w:t>
      </w:r>
      <w:r w:rsidR="00780A5A" w:rsidRPr="00AE0CB5">
        <w:t xml:space="preserve"> and the amount of time </w:t>
      </w:r>
      <w:r w:rsidR="0003158D">
        <w:t>available for</w:t>
      </w:r>
      <w:r w:rsidR="00780A5A" w:rsidRPr="00AE0CB5">
        <w:t xml:space="preserve"> learning activities</w:t>
      </w:r>
    </w:p>
    <w:p w:rsidR="00A0303E" w:rsidRDefault="000B4A7C" w:rsidP="00AE0CB5">
      <w:pPr>
        <w:pStyle w:val="Dotpoint1"/>
      </w:pPr>
      <w:proofErr w:type="gramStart"/>
      <w:r w:rsidRPr="00AE0CB5">
        <w:t>similarity</w:t>
      </w:r>
      <w:proofErr w:type="gramEnd"/>
      <w:r w:rsidRPr="00AE0CB5">
        <w:t xml:space="preserve"> of </w:t>
      </w:r>
      <w:r w:rsidR="000C468F">
        <w:t>the</w:t>
      </w:r>
      <w:r w:rsidR="00510D3B">
        <w:t xml:space="preserve"> </w:t>
      </w:r>
      <w:r w:rsidR="000C468F">
        <w:t>learning</w:t>
      </w:r>
      <w:r w:rsidRPr="00AE0CB5">
        <w:t xml:space="preserve"> in TAFE and the educational base it provided for university studies</w:t>
      </w:r>
      <w:r>
        <w:t>.</w:t>
      </w:r>
    </w:p>
    <w:p w:rsidR="005B340C" w:rsidRDefault="00B84D8C" w:rsidP="003F095C">
      <w:pPr>
        <w:pStyle w:val="Text"/>
      </w:pPr>
      <w:r>
        <w:t xml:space="preserve">Of all the enablers, this was the </w:t>
      </w:r>
      <w:r w:rsidR="000B4A7C">
        <w:t>one that</w:t>
      </w:r>
      <w:r>
        <w:t xml:space="preserve"> generated the most common and broad</w:t>
      </w:r>
      <w:r w:rsidR="001D2461">
        <w:t>-</w:t>
      </w:r>
      <w:r>
        <w:t>ranging response</w:t>
      </w:r>
      <w:r w:rsidR="00212A78">
        <w:t xml:space="preserve">, irrespective of whether the student </w:t>
      </w:r>
      <w:r w:rsidR="00CF4A0F">
        <w:t xml:space="preserve">had </w:t>
      </w:r>
      <w:r w:rsidR="00212A78">
        <w:t xml:space="preserve">intended to go </w:t>
      </w:r>
      <w:r w:rsidR="000B4A7C">
        <w:t>on</w:t>
      </w:r>
      <w:r w:rsidR="001D2461">
        <w:t xml:space="preserve"> </w:t>
      </w:r>
      <w:r w:rsidR="000B4A7C">
        <w:t>to university</w:t>
      </w:r>
      <w:r w:rsidR="00212A78">
        <w:t xml:space="preserve"> from the outset or </w:t>
      </w:r>
      <w:r w:rsidR="00CF4A0F">
        <w:t xml:space="preserve">whether </w:t>
      </w:r>
      <w:r w:rsidR="0003158D">
        <w:t>their going</w:t>
      </w:r>
      <w:r w:rsidR="00CF4A0F">
        <w:t xml:space="preserve"> was</w:t>
      </w:r>
      <w:r w:rsidR="00212A78">
        <w:t xml:space="preserve"> a consequence of their experience in </w:t>
      </w:r>
      <w:r w:rsidR="00510D3B">
        <w:t>vocational education and training</w:t>
      </w:r>
      <w:r w:rsidR="00212A78">
        <w:t xml:space="preserve">. </w:t>
      </w:r>
      <w:r w:rsidR="00DD751F">
        <w:t xml:space="preserve">The observations of the students were detailed and provide </w:t>
      </w:r>
      <w:r w:rsidR="000B4A7C">
        <w:t>a clear</w:t>
      </w:r>
      <w:r w:rsidR="00DD751F">
        <w:t xml:space="preserve"> picture of the value of their VET </w:t>
      </w:r>
      <w:r w:rsidR="005309CE">
        <w:t>teaching/</w:t>
      </w:r>
      <w:r w:rsidR="00DD751F">
        <w:t>learning experiences:</w:t>
      </w:r>
    </w:p>
    <w:p w:rsidR="005E3212" w:rsidRDefault="006F37B8" w:rsidP="000967BB">
      <w:pPr>
        <w:pStyle w:val="Quote"/>
      </w:pPr>
      <w:r>
        <w:t xml:space="preserve">The </w:t>
      </w:r>
      <w:r w:rsidR="000967BB" w:rsidRPr="00B92F7F">
        <w:t xml:space="preserve">TAFE </w:t>
      </w:r>
      <w:r>
        <w:t xml:space="preserve">experience </w:t>
      </w:r>
      <w:r w:rsidR="000967BB" w:rsidRPr="00B92F7F">
        <w:t xml:space="preserve">was incredible. The things I learnt </w:t>
      </w:r>
      <w:r>
        <w:t>here at uni, at UTS</w:t>
      </w:r>
      <w:r w:rsidR="00B94C5A">
        <w:t xml:space="preserve"> [University of Technology Sydney]</w:t>
      </w:r>
      <w:r>
        <w:t xml:space="preserve">, and the way it </w:t>
      </w:r>
      <w:r w:rsidR="0084269B">
        <w:t xml:space="preserve">is </w:t>
      </w:r>
      <w:r>
        <w:t>delivered is nowhere near what it was in TAFE. It was a</w:t>
      </w:r>
      <w:r w:rsidR="00DD751F">
        <w:t xml:space="preserve"> more of smaller groups, </w:t>
      </w:r>
      <w:r w:rsidR="00B94C5A">
        <w:t>small focu</w:t>
      </w:r>
      <w:r w:rsidR="000967BB" w:rsidRPr="00B92F7F">
        <w:t>sed, plu</w:t>
      </w:r>
      <w:r w:rsidR="000967BB">
        <w:t>s the price was cheaper as well</w:t>
      </w:r>
      <w:r w:rsidR="000C468F">
        <w:t>.</w:t>
      </w:r>
      <w:r w:rsidR="003F095C">
        <w:br/>
      </w:r>
      <w:r w:rsidR="00B94C5A">
        <w:tab/>
      </w:r>
      <w:r w:rsidR="00DD751F">
        <w:t>(</w:t>
      </w:r>
      <w:r w:rsidR="00D70318">
        <w:t>University of Technology Sydney</w:t>
      </w:r>
      <w:r w:rsidR="000967BB">
        <w:t>)</w:t>
      </w:r>
    </w:p>
    <w:p w:rsidR="005E3212" w:rsidRPr="00C11AAE" w:rsidRDefault="005E3212" w:rsidP="005E3212">
      <w:pPr>
        <w:pStyle w:val="Quote"/>
      </w:pPr>
      <w:r w:rsidRPr="00C11AAE">
        <w:t xml:space="preserve">Because I did the course, I mean the diploma, I liked it so much, </w:t>
      </w:r>
      <w:proofErr w:type="gramStart"/>
      <w:r w:rsidRPr="00C11AAE">
        <w:t>they</w:t>
      </w:r>
      <w:proofErr w:type="gramEnd"/>
      <w:r w:rsidRPr="00C11AAE">
        <w:t xml:space="preserve"> made me enjoy it so much, that I wanted to do t</w:t>
      </w:r>
      <w:r w:rsidR="00B94C5A">
        <w:t>he degree in it as well.</w:t>
      </w:r>
      <w:r w:rsidR="00B94C5A">
        <w:tab/>
      </w:r>
      <w:r>
        <w:t>(</w:t>
      </w:r>
      <w:r w:rsidR="00D70318">
        <w:t>University of Western Sydney</w:t>
      </w:r>
      <w:r>
        <w:t>)</w:t>
      </w:r>
    </w:p>
    <w:p w:rsidR="000967BB" w:rsidRPr="005E3212" w:rsidRDefault="000967BB" w:rsidP="005E3212">
      <w:pPr>
        <w:pStyle w:val="Quote"/>
      </w:pPr>
      <w:r w:rsidRPr="005E3212">
        <w:t>I got to discuss with professional older people who had a</w:t>
      </w:r>
      <w:r w:rsidR="00D73135" w:rsidRPr="005E3212">
        <w:t xml:space="preserve"> lot of experience, what to do.</w:t>
      </w:r>
      <w:r w:rsidR="003F095C">
        <w:br/>
      </w:r>
      <w:r w:rsidR="00B94C5A">
        <w:tab/>
      </w:r>
      <w:r w:rsidRPr="005E3212">
        <w:t>(</w:t>
      </w:r>
      <w:r w:rsidR="00D70318">
        <w:t>University of Western Sydney</w:t>
      </w:r>
      <w:r w:rsidRPr="005E3212">
        <w:t xml:space="preserve">) </w:t>
      </w:r>
    </w:p>
    <w:p w:rsidR="00B5438F" w:rsidRDefault="000967BB" w:rsidP="004D4261">
      <w:pPr>
        <w:pStyle w:val="Quote"/>
      </w:pPr>
      <w:r>
        <w:t>T</w:t>
      </w:r>
      <w:r w:rsidRPr="004D68E9">
        <w:t>he teacher we had was fantastic; he had a lot of experience and things in project management, so it just got me all excited about doing th</w:t>
      </w:r>
      <w:r w:rsidR="00D73135">
        <w:t>e work and going on</w:t>
      </w:r>
      <w:r w:rsidR="00780A5A">
        <w:t xml:space="preserve"> </w:t>
      </w:r>
      <w:r w:rsidR="00D73135">
        <w:t>to UTS.</w:t>
      </w:r>
      <w:r w:rsidR="003F095C">
        <w:br/>
      </w:r>
      <w:r w:rsidR="00B5438F">
        <w:tab/>
      </w:r>
      <w:r w:rsidR="00B5438F" w:rsidRPr="00457D93">
        <w:t>(</w:t>
      </w:r>
      <w:r w:rsidR="00B5438F">
        <w:t>University of Technology Sydney</w:t>
      </w:r>
      <w:r w:rsidR="00B5438F" w:rsidRPr="00457D93">
        <w:t>)</w:t>
      </w:r>
    </w:p>
    <w:p w:rsidR="005B340C" w:rsidRPr="00977AE9" w:rsidRDefault="005B340C" w:rsidP="004D4261">
      <w:pPr>
        <w:pStyle w:val="Quote"/>
      </w:pPr>
      <w:r w:rsidRPr="001356C5">
        <w:t>The number of teachers was sort of more</w:t>
      </w:r>
      <w:r w:rsidR="00780A5A">
        <w:t>.</w:t>
      </w:r>
      <w:r w:rsidR="00B94C5A">
        <w:tab/>
      </w:r>
      <w:r w:rsidR="000967BB">
        <w:t>(</w:t>
      </w:r>
      <w:r w:rsidR="00B94C5A">
        <w:t>University</w:t>
      </w:r>
      <w:r w:rsidR="0003158D">
        <w:t xml:space="preserve"> of Newcastle</w:t>
      </w:r>
      <w:r>
        <w:t>)</w:t>
      </w:r>
    </w:p>
    <w:p w:rsidR="00780A5A" w:rsidRDefault="005B340C" w:rsidP="00DD751F">
      <w:pPr>
        <w:pStyle w:val="Quote"/>
      </w:pPr>
      <w:r w:rsidRPr="001356C5">
        <w:t>You were there more</w:t>
      </w:r>
      <w:r w:rsidR="000B4A7C">
        <w:t>.</w:t>
      </w:r>
      <w:r w:rsidR="00B94C5A">
        <w:tab/>
      </w:r>
      <w:r w:rsidR="000B4A7C" w:rsidRPr="00EC0B2C">
        <w:t>(</w:t>
      </w:r>
      <w:r w:rsidR="00A33D8C">
        <w:t>Curtin University of Technology</w:t>
      </w:r>
      <w:r w:rsidRPr="00EC0B2C">
        <w:t>)</w:t>
      </w:r>
      <w:r w:rsidR="00DD751F">
        <w:t xml:space="preserve"> </w:t>
      </w:r>
    </w:p>
    <w:p w:rsidR="000967BB" w:rsidRDefault="00780A5A" w:rsidP="00DD751F">
      <w:pPr>
        <w:pStyle w:val="Quote"/>
      </w:pPr>
      <w:r>
        <w:lastRenderedPageBreak/>
        <w:t>T</w:t>
      </w:r>
      <w:r w:rsidR="005B340C">
        <w:t xml:space="preserve">hey really worked with </w:t>
      </w:r>
      <w:r w:rsidR="00DD751F">
        <w:t>you on assignments and things</w:t>
      </w:r>
      <w:r>
        <w:t>.</w:t>
      </w:r>
      <w:r w:rsidR="00B94C5A">
        <w:tab/>
      </w:r>
      <w:r w:rsidR="00DD751F">
        <w:t>(</w:t>
      </w:r>
      <w:r w:rsidR="005B340C">
        <w:t>Deakin</w:t>
      </w:r>
      <w:r w:rsidR="00B94C5A">
        <w:t xml:space="preserve"> University</w:t>
      </w:r>
      <w:r w:rsidR="005B340C">
        <w:t>)</w:t>
      </w:r>
    </w:p>
    <w:p w:rsidR="00D73135" w:rsidRDefault="000967BB" w:rsidP="004D4261">
      <w:pPr>
        <w:pStyle w:val="Quote"/>
      </w:pPr>
      <w:r>
        <w:t>A</w:t>
      </w:r>
      <w:r w:rsidRPr="00B92F7F">
        <w:t>t uni people just get up and walk out, at TAFE, they are involved in conversations. If I didn’t go to TAFE, I would have missed that, but lucky I did, or else I would not have liked uni</w:t>
      </w:r>
      <w:r w:rsidR="00B94C5A">
        <w:t xml:space="preserve"> </w:t>
      </w:r>
      <w:r w:rsidR="007D173E">
        <w:t>…</w:t>
      </w:r>
      <w:r w:rsidR="000B4A7C" w:rsidRPr="00B92F7F">
        <w:t xml:space="preserve"> it</w:t>
      </w:r>
      <w:r w:rsidRPr="00B92F7F">
        <w:t xml:space="preserve"> would be strange to not talk to everyo</w:t>
      </w:r>
      <w:r w:rsidR="00D73135">
        <w:t>ne at least for the first year.</w:t>
      </w:r>
      <w:r w:rsidR="00B94C5A">
        <w:tab/>
        <w:t>(University of Western Sydney)</w:t>
      </w:r>
    </w:p>
    <w:p w:rsidR="000967BB" w:rsidRPr="00D73135" w:rsidRDefault="00DD751F" w:rsidP="004D4261">
      <w:pPr>
        <w:pStyle w:val="Quote"/>
      </w:pPr>
      <w:r w:rsidRPr="0084269B">
        <w:rPr>
          <w:rFonts w:cs="Arial"/>
        </w:rPr>
        <w:t xml:space="preserve">In </w:t>
      </w:r>
      <w:r w:rsidR="00D73135" w:rsidRPr="0084269B">
        <w:rPr>
          <w:rFonts w:cs="Arial"/>
        </w:rPr>
        <w:t>TAFE the difference is that when you sit in that room, they’re focused on you, not 80 other students, and they’ll be able to guide you step by step if you want to, and understand each concept, each principle, and then … until you’re ready to move on, you can move on.</w:t>
      </w:r>
      <w:r w:rsidR="00510D3B">
        <w:rPr>
          <w:rFonts w:cs="Arial"/>
        </w:rPr>
        <w:t xml:space="preserve"> </w:t>
      </w:r>
      <w:r w:rsidR="00D73135" w:rsidRPr="0084269B">
        <w:rPr>
          <w:rFonts w:cs="Arial"/>
        </w:rPr>
        <w:t>Not just the lecture’s ended, so go home and do what you want to do.</w:t>
      </w:r>
      <w:r w:rsidR="00B94C5A">
        <w:rPr>
          <w:rFonts w:cs="Arial"/>
        </w:rPr>
        <w:tab/>
      </w:r>
      <w:r w:rsidR="00D73135">
        <w:t>(</w:t>
      </w:r>
      <w:r w:rsidR="00B94C5A">
        <w:t>University of Western Sydney</w:t>
      </w:r>
      <w:r w:rsidR="00D73135">
        <w:t>)</w:t>
      </w:r>
    </w:p>
    <w:p w:rsidR="000967BB" w:rsidRPr="00492A0F" w:rsidRDefault="000967BB" w:rsidP="004D4261">
      <w:pPr>
        <w:pStyle w:val="Quote"/>
      </w:pPr>
      <w:r w:rsidRPr="00E71C33">
        <w:t>The work is about the same, some subjects are different, but it has been mostly the same type of work. The difference is the smaller classes</w:t>
      </w:r>
      <w:r w:rsidR="00B84D8C">
        <w:t>.</w:t>
      </w:r>
      <w:r w:rsidRPr="00E71C33">
        <w:t xml:space="preserve"> You could ask a question of one of the teachers at TAFE and they would strai</w:t>
      </w:r>
      <w:r w:rsidR="00B84D8C">
        <w:t>ght away be there to answer you.</w:t>
      </w:r>
      <w:r w:rsidR="00B94C5A">
        <w:tab/>
      </w:r>
      <w:r>
        <w:t>(</w:t>
      </w:r>
      <w:r w:rsidR="00D70318">
        <w:t>University of Western Sydney</w:t>
      </w:r>
      <w:r w:rsidRPr="00492A0F">
        <w:t>)</w:t>
      </w:r>
    </w:p>
    <w:p w:rsidR="00763F10" w:rsidRDefault="0050607B" w:rsidP="003F095C">
      <w:pPr>
        <w:pStyle w:val="Text"/>
      </w:pPr>
      <w:r>
        <w:t xml:space="preserve">These or similar views were </w:t>
      </w:r>
      <w:r w:rsidRPr="003F095C">
        <w:t>expressed</w:t>
      </w:r>
      <w:r>
        <w:t xml:space="preserve"> by nearly all of the students in our study, with one or two exceptions. The</w:t>
      </w:r>
      <w:r w:rsidR="000967BB">
        <w:t xml:space="preserve"> </w:t>
      </w:r>
      <w:r w:rsidR="00B84D8C">
        <w:t>quot</w:t>
      </w:r>
      <w:r>
        <w:t>es demonstrate a common thread of a</w:t>
      </w:r>
      <w:r w:rsidR="00B84D8C">
        <w:t xml:space="preserve"> rich and positive </w:t>
      </w:r>
      <w:r w:rsidR="000967BB">
        <w:t>learning exp</w:t>
      </w:r>
      <w:r w:rsidR="00B84D8C">
        <w:t>erience</w:t>
      </w:r>
      <w:r w:rsidR="0061621D">
        <w:t xml:space="preserve"> in </w:t>
      </w:r>
      <w:r w:rsidR="00CF4A0F">
        <w:t>vocational education and training,</w:t>
      </w:r>
      <w:r w:rsidR="00B94C5A">
        <w:t xml:space="preserve"> which</w:t>
      </w:r>
      <w:r w:rsidR="00B84D8C">
        <w:t xml:space="preserve"> supported these students </w:t>
      </w:r>
      <w:r w:rsidR="00CF4A0F">
        <w:t xml:space="preserve">both </w:t>
      </w:r>
      <w:r w:rsidR="0098245C">
        <w:t xml:space="preserve">in </w:t>
      </w:r>
      <w:r w:rsidR="0003158D">
        <w:t xml:space="preserve">the </w:t>
      </w:r>
      <w:r w:rsidR="00CF4A0F">
        <w:t>VET environment</w:t>
      </w:r>
      <w:r w:rsidR="0098245C">
        <w:t xml:space="preserve"> and as the foundations for </w:t>
      </w:r>
      <w:r w:rsidR="00B84D8C">
        <w:t>their</w:t>
      </w:r>
      <w:r w:rsidR="0098245C">
        <w:t xml:space="preserve"> </w:t>
      </w:r>
      <w:r w:rsidR="000967BB">
        <w:t>studies</w:t>
      </w:r>
      <w:r w:rsidR="003C0504">
        <w:t xml:space="preserve"> in </w:t>
      </w:r>
      <w:r w:rsidR="00510D3B">
        <w:t>higher education</w:t>
      </w:r>
      <w:r w:rsidR="003C0504">
        <w:t>.</w:t>
      </w:r>
      <w:r w:rsidR="00763F10">
        <w:t xml:space="preserve"> The difference with </w:t>
      </w:r>
      <w:r w:rsidR="0003158D">
        <w:t xml:space="preserve">the </w:t>
      </w:r>
      <w:r w:rsidR="00763F10">
        <w:t xml:space="preserve">university </w:t>
      </w:r>
      <w:r w:rsidR="00B84D8C">
        <w:t xml:space="preserve">learning environment </w:t>
      </w:r>
      <w:r w:rsidR="00763F10">
        <w:t>was noted:</w:t>
      </w:r>
    </w:p>
    <w:p w:rsidR="00067346" w:rsidRDefault="005E3212" w:rsidP="005E3212">
      <w:pPr>
        <w:pStyle w:val="Quote"/>
      </w:pPr>
      <w:r>
        <w:t xml:space="preserve">Here the class sizes </w:t>
      </w:r>
      <w:r w:rsidR="00067346" w:rsidRPr="0032104F">
        <w:t>are much bigger and it’s a bit hard to</w:t>
      </w:r>
      <w:r w:rsidR="000C468F">
        <w:t>o</w:t>
      </w:r>
      <w:r w:rsidR="00067346" w:rsidRPr="0032104F">
        <w:t>, it’s more impersonal I’d</w:t>
      </w:r>
      <w:r>
        <w:t xml:space="preserve"> say.</w:t>
      </w:r>
      <w:r w:rsidR="00510D3B">
        <w:t xml:space="preserve"> </w:t>
      </w:r>
      <w:r>
        <w:t>It’s not so much face-to-</w:t>
      </w:r>
      <w:r w:rsidR="00067346" w:rsidRPr="0032104F">
        <w:t>face time with your lecturers and you don’t get to interact with them as much as you do at TAFE</w:t>
      </w:r>
      <w:r w:rsidR="005309CE">
        <w:t>.</w:t>
      </w:r>
    </w:p>
    <w:p w:rsidR="00AE4701" w:rsidRDefault="003C0504" w:rsidP="003C0504">
      <w:pPr>
        <w:pStyle w:val="Heading3"/>
      </w:pPr>
      <w:r>
        <w:t>Strategy</w:t>
      </w:r>
      <w:r w:rsidR="005309CE">
        <w:t xml:space="preserve"> 3</w:t>
      </w:r>
      <w:r>
        <w:t>: Working together</w:t>
      </w:r>
    </w:p>
    <w:p w:rsidR="001D5EF8" w:rsidRDefault="001D5EF8" w:rsidP="003F095C">
      <w:pPr>
        <w:pStyle w:val="Text"/>
        <w:spacing w:before="80"/>
        <w:ind w:right="0"/>
      </w:pPr>
      <w:r>
        <w:t xml:space="preserve">The enablers in this </w:t>
      </w:r>
      <w:r w:rsidR="00B94C5A">
        <w:t>matrix</w:t>
      </w:r>
      <w:r w:rsidR="005309CE">
        <w:t xml:space="preserve"> </w:t>
      </w:r>
      <w:r>
        <w:t>strategy comprise:</w:t>
      </w:r>
    </w:p>
    <w:p w:rsidR="001D5EF8" w:rsidRDefault="001D5EF8" w:rsidP="001D5EF8">
      <w:pPr>
        <w:pStyle w:val="Dotpoint1"/>
      </w:pPr>
      <w:r w:rsidRPr="00780A5A">
        <w:t>collaboration in program/</w:t>
      </w:r>
      <w:r w:rsidR="000B4A7C" w:rsidRPr="00780A5A">
        <w:t>pathways</w:t>
      </w:r>
      <w:r w:rsidR="000B4A7C">
        <w:t xml:space="preserve"> development</w:t>
      </w:r>
      <w:r>
        <w:t xml:space="preserve"> between different sector</w:t>
      </w:r>
      <w:r w:rsidR="0098245C">
        <w:t>s and agencies and different sta</w:t>
      </w:r>
      <w:r>
        <w:t>keholders</w:t>
      </w:r>
    </w:p>
    <w:p w:rsidR="001D5EF8" w:rsidRDefault="001D5EF8" w:rsidP="001D5EF8">
      <w:pPr>
        <w:pStyle w:val="Dotpoint1"/>
      </w:pPr>
      <w:proofErr w:type="gramStart"/>
      <w:r>
        <w:t>an</w:t>
      </w:r>
      <w:proofErr w:type="gramEnd"/>
      <w:r>
        <w:t xml:space="preserve"> appr</w:t>
      </w:r>
      <w:r w:rsidR="00CF4A0F">
        <w:t xml:space="preserve">oach that engages whole cohorts, that is, </w:t>
      </w:r>
      <w:r w:rsidR="00CF4A0F" w:rsidRPr="00780A5A">
        <w:t>cohort-based</w:t>
      </w:r>
      <w:r w:rsidR="00CF4A0F">
        <w:t>.</w:t>
      </w:r>
    </w:p>
    <w:p w:rsidR="002C0269" w:rsidRDefault="003958D3" w:rsidP="00DC71CB">
      <w:pPr>
        <w:pStyle w:val="Text"/>
      </w:pPr>
      <w:r w:rsidRPr="003958D3">
        <w:t xml:space="preserve">Collaboration </w:t>
      </w:r>
      <w:r w:rsidR="00A4492A">
        <w:t>is critical to</w:t>
      </w:r>
      <w:r w:rsidR="005309CE">
        <w:t xml:space="preserve"> developing pathways</w:t>
      </w:r>
      <w:r w:rsidR="00212A78">
        <w:t xml:space="preserve"> and </w:t>
      </w:r>
      <w:r w:rsidR="00A4492A">
        <w:t xml:space="preserve">exists on many levels. As noted in the discussion of strategy 1 and people-rich enablers, VET teachers had a significant role in assisting and guiding the students in this study to continue </w:t>
      </w:r>
      <w:r w:rsidR="00212A78">
        <w:t xml:space="preserve">on to </w:t>
      </w:r>
      <w:r w:rsidR="00510D3B">
        <w:t>higher education</w:t>
      </w:r>
      <w:r w:rsidR="00A4492A">
        <w:t>. That guidance presupposes collaboration through relationships</w:t>
      </w:r>
      <w:r w:rsidR="002C0269">
        <w:t xml:space="preserve"> forged by teachers across the sectors </w:t>
      </w:r>
      <w:r w:rsidR="0003158D">
        <w:t xml:space="preserve">and </w:t>
      </w:r>
      <w:r w:rsidR="002C0269">
        <w:t xml:space="preserve">built on knowledge and trust. Collaboration is also essential in developing specific pathways arrangements. </w:t>
      </w:r>
    </w:p>
    <w:p w:rsidR="00F77553" w:rsidRDefault="002C0269" w:rsidP="00F77553">
      <w:pPr>
        <w:pStyle w:val="Text"/>
      </w:pPr>
      <w:r>
        <w:t xml:space="preserve">From the students’ perspective such collaboration </w:t>
      </w:r>
      <w:r w:rsidR="001D5EF8">
        <w:t xml:space="preserve">was evidenced through </w:t>
      </w:r>
      <w:r w:rsidR="00823CBE">
        <w:t>knowledge of</w:t>
      </w:r>
      <w:r w:rsidR="001D5EF8">
        <w:t xml:space="preserve"> the </w:t>
      </w:r>
      <w:r w:rsidR="008B6D60">
        <w:t xml:space="preserve">credit transfer/articulation </w:t>
      </w:r>
      <w:r w:rsidR="001D5EF8">
        <w:t xml:space="preserve">arrangements in </w:t>
      </w:r>
      <w:r w:rsidR="000B4A7C">
        <w:t>place and</w:t>
      </w:r>
      <w:r w:rsidR="00067346">
        <w:t xml:space="preserve"> the parties involved</w:t>
      </w:r>
      <w:r w:rsidR="00823CBE">
        <w:t>,</w:t>
      </w:r>
      <w:r w:rsidR="005E5CE5">
        <w:t xml:space="preserve"> although this </w:t>
      </w:r>
      <w:r w:rsidR="008B6D60">
        <w:t xml:space="preserve">knowledge </w:t>
      </w:r>
      <w:r w:rsidR="005E5CE5">
        <w:t>was certainly not detailed.</w:t>
      </w:r>
      <w:r w:rsidR="00510D3B">
        <w:t xml:space="preserve"> </w:t>
      </w:r>
      <w:r w:rsidR="00212A78">
        <w:t>C</w:t>
      </w:r>
      <w:r w:rsidR="00F77553">
        <w:t xml:space="preserve">ollaboration through </w:t>
      </w:r>
      <w:r w:rsidR="000B4A7C">
        <w:t>integrated co</w:t>
      </w:r>
      <w:r w:rsidR="00F77553">
        <w:t xml:space="preserve">-curricula </w:t>
      </w:r>
      <w:r w:rsidR="000B4A7C">
        <w:t>teaching and</w:t>
      </w:r>
      <w:r w:rsidR="00F77553">
        <w:t xml:space="preserve"> learning was not part of the </w:t>
      </w:r>
      <w:r w:rsidR="000B4A7C">
        <w:t>students’</w:t>
      </w:r>
      <w:r w:rsidR="00F77553">
        <w:t xml:space="preserve"> experience, indicating a continued separation between institutions. The students seemed to acknowledge the difficulties</w:t>
      </w:r>
      <w:r w:rsidR="00212A78">
        <w:t xml:space="preserve"> of combining </w:t>
      </w:r>
      <w:r w:rsidR="00510D3B">
        <w:t>vocational education and training</w:t>
      </w:r>
      <w:r w:rsidR="00212A78">
        <w:t xml:space="preserve"> AND </w:t>
      </w:r>
      <w:r w:rsidR="00510D3B">
        <w:t>higher education</w:t>
      </w:r>
      <w:r w:rsidR="00212A78">
        <w:t xml:space="preserve"> curricula</w:t>
      </w:r>
      <w:r w:rsidR="00F77553">
        <w:t>:</w:t>
      </w:r>
    </w:p>
    <w:p w:rsidR="00F77553" w:rsidRDefault="00F77553" w:rsidP="00F77553">
      <w:pPr>
        <w:pStyle w:val="Quote"/>
      </w:pPr>
      <w:r w:rsidRPr="00B92F7F">
        <w:t>I don’t know why they do not do it, too many applicants I suspect</w:t>
      </w:r>
      <w:r w:rsidR="000C468F">
        <w:t>.</w:t>
      </w:r>
      <w:r w:rsidR="003F095C">
        <w:br/>
      </w:r>
      <w:r w:rsidR="00B94C5A">
        <w:tab/>
      </w:r>
      <w:r w:rsidRPr="00A959A0">
        <w:t>(</w:t>
      </w:r>
      <w:r w:rsidR="00D70318">
        <w:t>University of Technology Sydney</w:t>
      </w:r>
      <w:r w:rsidRPr="00A959A0">
        <w:t>)</w:t>
      </w:r>
    </w:p>
    <w:p w:rsidR="00F77553" w:rsidRPr="00A959A0" w:rsidRDefault="00B94C5A" w:rsidP="00F77553">
      <w:pPr>
        <w:pStyle w:val="Quote"/>
      </w:pPr>
      <w:r>
        <w:t>Well it is too hard to co</w:t>
      </w:r>
      <w:r w:rsidR="00F77553" w:rsidRPr="00B92F7F">
        <w:t>ordi</w:t>
      </w:r>
      <w:r w:rsidR="00F77553">
        <w:t>nate the two timetables I guess</w:t>
      </w:r>
      <w:r w:rsidR="000C468F">
        <w:t>.</w:t>
      </w:r>
      <w:r>
        <w:tab/>
      </w:r>
      <w:r w:rsidR="00F77553" w:rsidRPr="00B92F7F">
        <w:t>(</w:t>
      </w:r>
      <w:r>
        <w:t>RMIT University</w:t>
      </w:r>
      <w:r w:rsidR="00F77553" w:rsidRPr="00A959A0">
        <w:t>)</w:t>
      </w:r>
    </w:p>
    <w:p w:rsidR="00DC71CB" w:rsidRPr="001D5EF8" w:rsidRDefault="00F77553" w:rsidP="0003158D">
      <w:pPr>
        <w:pStyle w:val="Text"/>
        <w:ind w:right="141"/>
      </w:pPr>
      <w:r>
        <w:t>A</w:t>
      </w:r>
      <w:r w:rsidR="00823CBE">
        <w:t>s expressed in some of the earlier comments, the students</w:t>
      </w:r>
      <w:r w:rsidR="00067346">
        <w:t xml:space="preserve"> were</w:t>
      </w:r>
      <w:r w:rsidR="00823CBE">
        <w:t xml:space="preserve"> well aware </w:t>
      </w:r>
      <w:r>
        <w:t xml:space="preserve">and appreciative </w:t>
      </w:r>
      <w:r w:rsidR="00823CBE">
        <w:t>of the</w:t>
      </w:r>
      <w:r w:rsidR="0003158D">
        <w:t> </w:t>
      </w:r>
      <w:r w:rsidR="00823CBE">
        <w:t>collaborations between their teachers and other parties</w:t>
      </w:r>
      <w:r w:rsidR="0003158D">
        <w:t>,</w:t>
      </w:r>
      <w:r w:rsidR="00823CBE">
        <w:t xml:space="preserve"> </w:t>
      </w:r>
      <w:r w:rsidR="0003158D">
        <w:t>which</w:t>
      </w:r>
      <w:r w:rsidR="00823CBE">
        <w:t xml:space="preserve"> laid the basis </w:t>
      </w:r>
      <w:r w:rsidR="0003158D">
        <w:t>for</w:t>
      </w:r>
      <w:r w:rsidR="00823CBE">
        <w:t xml:space="preserve"> go</w:t>
      </w:r>
      <w:r w:rsidR="0003158D">
        <w:t>ing</w:t>
      </w:r>
      <w:r w:rsidR="00823CBE">
        <w:t xml:space="preserve"> o</w:t>
      </w:r>
      <w:r w:rsidR="004D4261">
        <w:t>n t</w:t>
      </w:r>
      <w:r w:rsidR="00823CBE">
        <w:t>o higher education.</w:t>
      </w:r>
    </w:p>
    <w:p w:rsidR="003C24C9" w:rsidRPr="000E30FF" w:rsidRDefault="003C24C9" w:rsidP="004D4261">
      <w:pPr>
        <w:pStyle w:val="Quote"/>
      </w:pPr>
      <w:r w:rsidRPr="004D68E9">
        <w:lastRenderedPageBreak/>
        <w:t>I tried to speak with someone in construction here, it was a while ago, but each time I rang they spoke saying you have to do the diploma, then they all gave me the same advice</w:t>
      </w:r>
      <w:r w:rsidR="00EF4EC7">
        <w:t xml:space="preserve"> </w:t>
      </w:r>
      <w:r w:rsidR="007D173E">
        <w:t>…</w:t>
      </w:r>
      <w:r w:rsidR="00EF4EC7">
        <w:t xml:space="preserve"> </w:t>
      </w:r>
      <w:r w:rsidRPr="004D68E9">
        <w:t>do the diploma first</w:t>
      </w:r>
      <w:r w:rsidR="00EF4EC7">
        <w:t>.</w:t>
      </w:r>
      <w:r w:rsidR="00EF4EC7">
        <w:tab/>
      </w:r>
      <w:r w:rsidRPr="00B868AB">
        <w:t>(</w:t>
      </w:r>
      <w:r w:rsidR="00D70318">
        <w:t>University of Western Sydney</w:t>
      </w:r>
      <w:r w:rsidRPr="00B868AB">
        <w:t>)</w:t>
      </w:r>
    </w:p>
    <w:p w:rsidR="003C24C9" w:rsidRPr="000E30FF" w:rsidRDefault="003C24C9" w:rsidP="004D4261">
      <w:pPr>
        <w:pStyle w:val="Quote"/>
      </w:pPr>
      <w:r w:rsidRPr="004D68E9">
        <w:t>I went for a job interview and they said to ring the uni, so I did and they said to apply with the diploma</w:t>
      </w:r>
      <w:r w:rsidR="000C468F">
        <w:t>.</w:t>
      </w:r>
      <w:r w:rsidR="00EF4EC7">
        <w:tab/>
      </w:r>
      <w:r w:rsidR="00EF3B0B">
        <w:t>(</w:t>
      </w:r>
      <w:r w:rsidR="00D70318">
        <w:t>University of Technology Sydney</w:t>
      </w:r>
      <w:r w:rsidRPr="000E30FF">
        <w:t>)</w:t>
      </w:r>
    </w:p>
    <w:p w:rsidR="003C24C9" w:rsidRPr="000E30FF" w:rsidRDefault="00F77553" w:rsidP="003C24C9">
      <w:pPr>
        <w:pStyle w:val="Text"/>
      </w:pPr>
      <w:r>
        <w:t xml:space="preserve">The </w:t>
      </w:r>
      <w:r w:rsidR="00D70318">
        <w:t>University of Western Sydney</w:t>
      </w:r>
      <w:r w:rsidR="00F2673B">
        <w:t xml:space="preserve"> interviewees</w:t>
      </w:r>
      <w:r w:rsidR="003C24C9" w:rsidRPr="000E30FF">
        <w:t xml:space="preserve"> </w:t>
      </w:r>
      <w:r>
        <w:t>also</w:t>
      </w:r>
      <w:r w:rsidR="002C0269">
        <w:t xml:space="preserve"> </w:t>
      </w:r>
      <w:r w:rsidR="003C24C9" w:rsidRPr="000E30FF">
        <w:t xml:space="preserve">indicated </w:t>
      </w:r>
      <w:r w:rsidR="002C0269">
        <w:t xml:space="preserve">their awareness of </w:t>
      </w:r>
      <w:r w:rsidR="003C24C9" w:rsidRPr="000E30FF">
        <w:t>active feedback between the UWS College and the university about the</w:t>
      </w:r>
      <w:r w:rsidR="0003158D">
        <w:t xml:space="preserve"> requirements for</w:t>
      </w:r>
      <w:r w:rsidR="003C24C9" w:rsidRPr="000E30FF">
        <w:t xml:space="preserve"> performance, quality and </w:t>
      </w:r>
      <w:r w:rsidR="003C24C9">
        <w:t>learning experiences</w:t>
      </w:r>
      <w:r w:rsidR="003C24C9" w:rsidRPr="000E30FF">
        <w:t xml:space="preserve"> of the various </w:t>
      </w:r>
      <w:r w:rsidR="000C468F">
        <w:t>degrees</w:t>
      </w:r>
      <w:r w:rsidR="003C24C9" w:rsidRPr="000E30FF">
        <w:t xml:space="preserve"> and the need to prepare </w:t>
      </w:r>
      <w:r w:rsidR="00CF4A0F">
        <w:t xml:space="preserve">the </w:t>
      </w:r>
      <w:r w:rsidR="003C24C9" w:rsidRPr="000E30FF">
        <w:t>students who would be transitioning to higher education.</w:t>
      </w:r>
    </w:p>
    <w:p w:rsidR="00093606" w:rsidRPr="00B868AB" w:rsidRDefault="00093606" w:rsidP="00093606">
      <w:pPr>
        <w:pStyle w:val="Text"/>
      </w:pPr>
      <w:r w:rsidRPr="00093606">
        <w:t xml:space="preserve">Collaboration in a pathways context also includes other </w:t>
      </w:r>
      <w:r w:rsidR="003C24C9" w:rsidRPr="00093606">
        <w:t>stakeholders</w:t>
      </w:r>
      <w:r w:rsidR="003C24C9" w:rsidRPr="00B868AB">
        <w:t xml:space="preserve"> </w:t>
      </w:r>
      <w:r>
        <w:t>beyond the institutions. The involvement of family has</w:t>
      </w:r>
      <w:r w:rsidR="001F2036">
        <w:t xml:space="preserve"> already been noted as part of </w:t>
      </w:r>
      <w:r>
        <w:t xml:space="preserve">people-rich resources. </w:t>
      </w:r>
      <w:r w:rsidR="000B4A7C">
        <w:t>Family also plays an indirect collaborative role with those involved in pathways development</w:t>
      </w:r>
      <w:r w:rsidR="008869A7">
        <w:t>,</w:t>
      </w:r>
      <w:r w:rsidR="000B4A7C">
        <w:t xml:space="preserve"> by reinforcing and encouraging their children or other family members</w:t>
      </w:r>
      <w:r w:rsidR="000B4A7C" w:rsidRPr="00B868AB">
        <w:t xml:space="preserve"> </w:t>
      </w:r>
      <w:r w:rsidR="000B4A7C">
        <w:t>to continue with their studies and assist</w:t>
      </w:r>
      <w:r w:rsidR="008869A7">
        <w:t>ing</w:t>
      </w:r>
      <w:r w:rsidR="000B4A7C">
        <w:t xml:space="preserve"> them in the transfer process. </w:t>
      </w:r>
      <w:r>
        <w:t>The role of employers in enco</w:t>
      </w:r>
      <w:r w:rsidR="001F2036">
        <w:t xml:space="preserve">uraging students has also been </w:t>
      </w:r>
      <w:r>
        <w:t xml:space="preserve">noted </w:t>
      </w:r>
      <w:r w:rsidR="001F2036">
        <w:t>under the enabler of people-rich.</w:t>
      </w:r>
      <w:r w:rsidR="00510D3B">
        <w:t xml:space="preserve"> </w:t>
      </w:r>
      <w:r w:rsidR="001F2036">
        <w:t xml:space="preserve">It would seem that employers value students who have both </w:t>
      </w:r>
      <w:r w:rsidR="00EF4EC7">
        <w:t>VET</w:t>
      </w:r>
      <w:r w:rsidR="001F2036">
        <w:t xml:space="preserve"> and </w:t>
      </w:r>
      <w:r w:rsidR="00510D3B">
        <w:t>higher education</w:t>
      </w:r>
      <w:r w:rsidR="001F2036">
        <w:t xml:space="preserve"> skills and knowledge:</w:t>
      </w:r>
    </w:p>
    <w:p w:rsidR="003C24C9" w:rsidRPr="00B868AB" w:rsidRDefault="003C24C9" w:rsidP="003C24C9">
      <w:pPr>
        <w:pStyle w:val="Text"/>
      </w:pPr>
      <w:r w:rsidRPr="00B868AB">
        <w:t>One student commented:</w:t>
      </w:r>
    </w:p>
    <w:p w:rsidR="003C24C9" w:rsidRPr="00B868AB" w:rsidRDefault="003C24C9" w:rsidP="001F2036">
      <w:pPr>
        <w:pStyle w:val="Quote"/>
      </w:pPr>
      <w:r w:rsidRPr="00B92F7F">
        <w:t>Oh definitely I got the job because I had a TAFE qualification. I was surprised, but the employer said he would take me ahead of just uni st</w:t>
      </w:r>
      <w:r w:rsidR="001F2036">
        <w:t>udents you know</w:t>
      </w:r>
      <w:r w:rsidR="007623BB">
        <w:t>.</w:t>
      </w:r>
      <w:r w:rsidR="00EF4EC7">
        <w:tab/>
      </w:r>
      <w:r w:rsidR="001F2036">
        <w:t>(</w:t>
      </w:r>
      <w:r w:rsidR="00D70318">
        <w:t>University of Technology Sydney</w:t>
      </w:r>
      <w:r w:rsidRPr="00B92F7F">
        <w:t>)</w:t>
      </w:r>
    </w:p>
    <w:p w:rsidR="001F2036" w:rsidRDefault="00EF4EC7" w:rsidP="001F2036">
      <w:pPr>
        <w:pStyle w:val="Text"/>
      </w:pPr>
      <w:r>
        <w:t>And:</w:t>
      </w:r>
    </w:p>
    <w:p w:rsidR="003C24C9" w:rsidRPr="00B868AB" w:rsidRDefault="003C24C9" w:rsidP="001F2036">
      <w:pPr>
        <w:pStyle w:val="Quote"/>
      </w:pPr>
      <w:r w:rsidRPr="00B92F7F">
        <w:t>Yeah, like, I can get jobs that the other studen</w:t>
      </w:r>
      <w:r w:rsidR="001F2036">
        <w:t>ts can’t.</w:t>
      </w:r>
      <w:r w:rsidR="00EF4EC7">
        <w:tab/>
      </w:r>
      <w:r w:rsidRPr="00B868AB">
        <w:t>(</w:t>
      </w:r>
      <w:r w:rsidR="00D70318">
        <w:t>University of Western Sydney</w:t>
      </w:r>
      <w:r w:rsidRPr="00B868AB">
        <w:t>)</w:t>
      </w:r>
    </w:p>
    <w:p w:rsidR="00DF2A95" w:rsidRPr="003F095C" w:rsidRDefault="007B666F" w:rsidP="003F095C">
      <w:pPr>
        <w:pStyle w:val="Text"/>
      </w:pPr>
      <w:r>
        <w:t>The other</w:t>
      </w:r>
      <w:r w:rsidR="003C24C9" w:rsidRPr="00A959A0">
        <w:t xml:space="preserve"> </w:t>
      </w:r>
      <w:r w:rsidR="00181AC5">
        <w:t>characteristic</w:t>
      </w:r>
      <w:r w:rsidR="003C24C9" w:rsidRPr="00A959A0">
        <w:t xml:space="preserve"> of </w:t>
      </w:r>
      <w:r w:rsidR="0044709D">
        <w:t>the ‘</w:t>
      </w:r>
      <w:r w:rsidR="003C24C9" w:rsidRPr="00A959A0">
        <w:t>working together</w:t>
      </w:r>
      <w:r w:rsidR="0044709D">
        <w:t>’</w:t>
      </w:r>
      <w:r w:rsidR="003C24C9" w:rsidRPr="00A959A0">
        <w:t xml:space="preserve"> </w:t>
      </w:r>
      <w:r w:rsidR="000375F0">
        <w:t xml:space="preserve">strategy </w:t>
      </w:r>
      <w:r w:rsidR="003C24C9" w:rsidRPr="00A959A0">
        <w:t xml:space="preserve">is developing an approach that engages with the </w:t>
      </w:r>
      <w:r w:rsidR="003C24C9" w:rsidRPr="00181AC5">
        <w:t xml:space="preserve">cohort </w:t>
      </w:r>
      <w:r w:rsidR="00D84B22" w:rsidRPr="00181AC5">
        <w:t>(</w:t>
      </w:r>
      <w:r w:rsidR="00D84B22">
        <w:t>VET pathway</w:t>
      </w:r>
      <w:r w:rsidR="004D5EEF">
        <w:t>s</w:t>
      </w:r>
      <w:r w:rsidR="00D84B22">
        <w:t xml:space="preserve"> students)</w:t>
      </w:r>
      <w:r w:rsidR="00181AC5">
        <w:t xml:space="preserve"> </w:t>
      </w:r>
      <w:r w:rsidR="00CF4A0F">
        <w:t xml:space="preserve">in order </w:t>
      </w:r>
      <w:r w:rsidR="003C24C9" w:rsidRPr="00A959A0">
        <w:t>t</w:t>
      </w:r>
      <w:r w:rsidR="0098245C">
        <w:t xml:space="preserve">o change cultures and </w:t>
      </w:r>
      <w:r w:rsidR="00181AC5">
        <w:t>to</w:t>
      </w:r>
      <w:r w:rsidR="0044709D">
        <w:t xml:space="preserve"> provide </w:t>
      </w:r>
      <w:r w:rsidR="003C24C9" w:rsidRPr="00A959A0">
        <w:t xml:space="preserve">supports </w:t>
      </w:r>
      <w:r w:rsidR="0044709D">
        <w:t xml:space="preserve">to </w:t>
      </w:r>
      <w:r w:rsidR="003C24C9" w:rsidRPr="00A959A0">
        <w:t>individuals</w:t>
      </w:r>
      <w:r w:rsidR="0098245C">
        <w:t xml:space="preserve"> </w:t>
      </w:r>
      <w:r w:rsidR="00181AC5">
        <w:t>with</w:t>
      </w:r>
      <w:r w:rsidR="0098245C">
        <w:t>in the cohort</w:t>
      </w:r>
      <w:r w:rsidR="000375F0">
        <w:t xml:space="preserve">. </w:t>
      </w:r>
      <w:r w:rsidR="00453D2D">
        <w:t>One aspect</w:t>
      </w:r>
      <w:r w:rsidR="000375F0">
        <w:t xml:space="preserve"> </w:t>
      </w:r>
      <w:r w:rsidR="00181AC5">
        <w:t>of changing cultures</w:t>
      </w:r>
      <w:r w:rsidR="003C24C9" w:rsidRPr="00A959A0">
        <w:t xml:space="preserve"> is the size of the cohort</w:t>
      </w:r>
      <w:r w:rsidR="00EF4EC7">
        <w:t>:</w:t>
      </w:r>
      <w:r w:rsidR="000375F0">
        <w:t xml:space="preserve"> if very small it is harder to</w:t>
      </w:r>
      <w:r w:rsidR="003C24C9" w:rsidRPr="00A959A0">
        <w:t xml:space="preserve"> </w:t>
      </w:r>
      <w:r w:rsidR="000375F0">
        <w:t>influence the prevailing culture</w:t>
      </w:r>
      <w:r w:rsidR="003C24C9" w:rsidRPr="00A959A0">
        <w:t xml:space="preserve">. </w:t>
      </w:r>
      <w:r w:rsidR="00FD5151">
        <w:t>In u</w:t>
      </w:r>
      <w:r w:rsidR="000375F0">
        <w:t xml:space="preserve">niversities </w:t>
      </w:r>
      <w:r w:rsidR="00EF4EC7">
        <w:t>with</w:t>
      </w:r>
      <w:r w:rsidR="00080E1A">
        <w:t xml:space="preserve"> a history and policy focus of</w:t>
      </w:r>
      <w:r w:rsidR="00FD5151">
        <w:t xml:space="preserve"> supporting VET</w:t>
      </w:r>
      <w:r w:rsidR="000375F0">
        <w:t xml:space="preserve"> </w:t>
      </w:r>
      <w:r w:rsidR="00080E1A">
        <w:t>pathways</w:t>
      </w:r>
      <w:r w:rsidR="00FD5151">
        <w:t xml:space="preserve"> and </w:t>
      </w:r>
      <w:r w:rsidR="008869A7">
        <w:t>where</w:t>
      </w:r>
      <w:r w:rsidR="00FD5151">
        <w:t xml:space="preserve"> the intake is </w:t>
      </w:r>
      <w:r w:rsidR="008869A7">
        <w:t>ten per cent</w:t>
      </w:r>
      <w:r w:rsidR="00FD5151">
        <w:t xml:space="preserve"> or more of commencing students, the cohort is </w:t>
      </w:r>
      <w:r w:rsidR="00080E1A">
        <w:t xml:space="preserve">more </w:t>
      </w:r>
      <w:r w:rsidR="00FD5151">
        <w:t xml:space="preserve">influential and becomes part of the university’s market image and culture. </w:t>
      </w:r>
      <w:r w:rsidR="00EF4EC7">
        <w:t>By</w:t>
      </w:r>
      <w:r w:rsidR="00181AC5">
        <w:t xml:space="preserve"> contrast, universities </w:t>
      </w:r>
      <w:r w:rsidR="00EF4EC7">
        <w:t>with</w:t>
      </w:r>
      <w:r w:rsidR="00181AC5">
        <w:t xml:space="preserve"> a limited </w:t>
      </w:r>
      <w:r w:rsidR="00181AC5" w:rsidRPr="003F095C">
        <w:t xml:space="preserve">intake of pathways students will be less likely to change </w:t>
      </w:r>
      <w:r w:rsidR="00CF4A0F" w:rsidRPr="003F095C">
        <w:t xml:space="preserve">the </w:t>
      </w:r>
      <w:r w:rsidR="00181AC5" w:rsidRPr="003F095C">
        <w:t xml:space="preserve">prevailing cultures </w:t>
      </w:r>
      <w:r w:rsidR="008869A7">
        <w:t>relating to</w:t>
      </w:r>
      <w:r w:rsidR="00181AC5" w:rsidRPr="003F095C">
        <w:t xml:space="preserve"> these students. </w:t>
      </w:r>
      <w:r w:rsidR="00080E1A" w:rsidRPr="003F095C">
        <w:t xml:space="preserve">In part, </w:t>
      </w:r>
      <w:r w:rsidR="00FD5151" w:rsidRPr="003F095C">
        <w:t xml:space="preserve">the students in this </w:t>
      </w:r>
      <w:r w:rsidR="000B4A7C" w:rsidRPr="003F095C">
        <w:t>study</w:t>
      </w:r>
      <w:r w:rsidR="00FD5151" w:rsidRPr="003F095C">
        <w:t xml:space="preserve"> </w:t>
      </w:r>
      <w:r w:rsidR="00080E1A" w:rsidRPr="003F095C">
        <w:t xml:space="preserve">were attracted to </w:t>
      </w:r>
      <w:r w:rsidR="00FD5151" w:rsidRPr="003F095C">
        <w:t xml:space="preserve">the </w:t>
      </w:r>
      <w:r w:rsidR="00786220" w:rsidRPr="003F095C">
        <w:t xml:space="preserve">universities </w:t>
      </w:r>
      <w:r w:rsidR="00EF4EC7" w:rsidRPr="003F095C">
        <w:t>with</w:t>
      </w:r>
      <w:r w:rsidR="00080E1A" w:rsidRPr="003F095C">
        <w:t xml:space="preserve"> existing cohorts of pathways students in this field.</w:t>
      </w:r>
      <w:r w:rsidR="00453D2D" w:rsidRPr="003F095C">
        <w:t xml:space="preserve"> </w:t>
      </w:r>
    </w:p>
    <w:p w:rsidR="00DF2A95" w:rsidRPr="003F095C" w:rsidRDefault="00080E1A" w:rsidP="003F095C">
      <w:pPr>
        <w:pStyle w:val="Text"/>
      </w:pPr>
      <w:r w:rsidRPr="003F095C">
        <w:t xml:space="preserve">However, the </w:t>
      </w:r>
      <w:r w:rsidR="003C24C9" w:rsidRPr="003F095C">
        <w:t xml:space="preserve">actual number </w:t>
      </w:r>
      <w:r w:rsidR="0044709D" w:rsidRPr="003F095C">
        <w:t xml:space="preserve">in a cohort </w:t>
      </w:r>
      <w:r w:rsidR="003C24C9" w:rsidRPr="003F095C">
        <w:t xml:space="preserve">is not as important as the contribution </w:t>
      </w:r>
      <w:r w:rsidR="00EF4EC7" w:rsidRPr="003F095C">
        <w:t xml:space="preserve">that the </w:t>
      </w:r>
      <w:r w:rsidRPr="003F095C">
        <w:t>individual</w:t>
      </w:r>
      <w:r w:rsidR="00FD5151" w:rsidRPr="003F095C">
        <w:t xml:space="preserve"> students</w:t>
      </w:r>
      <w:r w:rsidR="00510D3B" w:rsidRPr="003F095C">
        <w:t xml:space="preserve"> </w:t>
      </w:r>
      <w:r w:rsidR="0044709D" w:rsidRPr="003F095C">
        <w:t>can make</w:t>
      </w:r>
      <w:r w:rsidRPr="003F095C">
        <w:t xml:space="preserve"> </w:t>
      </w:r>
      <w:r w:rsidR="0044709D" w:rsidRPr="003F095C">
        <w:t xml:space="preserve">in </w:t>
      </w:r>
      <w:r w:rsidR="003C24C9" w:rsidRPr="003F095C">
        <w:t xml:space="preserve">changing </w:t>
      </w:r>
      <w:r w:rsidR="00061660" w:rsidRPr="003F095C">
        <w:t xml:space="preserve">the </w:t>
      </w:r>
      <w:r w:rsidR="003C24C9" w:rsidRPr="003F095C">
        <w:t xml:space="preserve">attitudes </w:t>
      </w:r>
      <w:r w:rsidR="0044709D" w:rsidRPr="003F095C">
        <w:t xml:space="preserve">of other students, teachers and institutions </w:t>
      </w:r>
      <w:r w:rsidR="003C24C9" w:rsidRPr="003F095C">
        <w:t xml:space="preserve">towards </w:t>
      </w:r>
      <w:r w:rsidR="001126D5" w:rsidRPr="003F095C">
        <w:t>the cohort</w:t>
      </w:r>
      <w:r w:rsidR="003C24C9" w:rsidRPr="003F095C">
        <w:t>. Gale et al</w:t>
      </w:r>
      <w:r w:rsidR="00EF4EC7" w:rsidRPr="003F095C">
        <w:t>. (2010) mad</w:t>
      </w:r>
      <w:r w:rsidR="003C24C9" w:rsidRPr="003F095C">
        <w:t xml:space="preserve">e the point that the operational footprint could be </w:t>
      </w:r>
      <w:proofErr w:type="spellStart"/>
      <w:r w:rsidR="00786220" w:rsidRPr="003F095C">
        <w:t>statewide</w:t>
      </w:r>
      <w:proofErr w:type="spellEnd"/>
      <w:r w:rsidR="003C24C9" w:rsidRPr="003F095C">
        <w:t xml:space="preserve">, even by the measure of one student. </w:t>
      </w:r>
      <w:r w:rsidR="00453D2D" w:rsidRPr="003F095C">
        <w:t>Influ</w:t>
      </w:r>
      <w:r w:rsidR="0096088D" w:rsidRPr="003F095C">
        <w:t>e</w:t>
      </w:r>
      <w:r w:rsidR="00453D2D" w:rsidRPr="003F095C">
        <w:t>nce may take many forms</w:t>
      </w:r>
      <w:r w:rsidR="00EF4EC7" w:rsidRPr="003F095C">
        <w:t>,</w:t>
      </w:r>
      <w:r w:rsidR="0096088D" w:rsidRPr="003F095C">
        <w:t xml:space="preserve"> such as par</w:t>
      </w:r>
      <w:r w:rsidR="00EF4EC7" w:rsidRPr="003F095C">
        <w:t>ticipation in university groups or</w:t>
      </w:r>
      <w:r w:rsidR="0096088D" w:rsidRPr="003F095C">
        <w:t xml:space="preserve"> taking a leadership or mentoring role </w:t>
      </w:r>
      <w:r w:rsidR="00A922B9" w:rsidRPr="003F095C">
        <w:t xml:space="preserve">with other students. From an institutional perspective it is most visibly demonstrated </w:t>
      </w:r>
      <w:r w:rsidR="00061660" w:rsidRPr="003F095C">
        <w:t>through</w:t>
      </w:r>
      <w:r w:rsidRPr="003F095C">
        <w:t xml:space="preserve"> </w:t>
      </w:r>
      <w:r w:rsidR="00061660" w:rsidRPr="003F095C">
        <w:t xml:space="preserve">academic </w:t>
      </w:r>
      <w:r w:rsidR="00EF4EC7" w:rsidRPr="003F095C">
        <w:t>success:</w:t>
      </w:r>
      <w:r w:rsidR="00A922B9" w:rsidRPr="003F095C">
        <w:t xml:space="preserve"> if the VET/TAFE cohort</w:t>
      </w:r>
      <w:r w:rsidR="00EC6E2B" w:rsidRPr="003F095C">
        <w:t xml:space="preserve"> </w:t>
      </w:r>
      <w:r w:rsidR="00786220" w:rsidRPr="003F095C">
        <w:t xml:space="preserve">can </w:t>
      </w:r>
      <w:r w:rsidR="00EC6E2B" w:rsidRPr="003F095C">
        <w:t>show th</w:t>
      </w:r>
      <w:r w:rsidR="00786220" w:rsidRPr="003F095C">
        <w:t>ey are</w:t>
      </w:r>
      <w:r w:rsidR="00A922B9" w:rsidRPr="003F095C">
        <w:t xml:space="preserve"> ‘good students’,</w:t>
      </w:r>
      <w:r w:rsidR="00EC6E2B" w:rsidRPr="003F095C">
        <w:t xml:space="preserve"> the</w:t>
      </w:r>
      <w:r w:rsidR="00A922B9" w:rsidRPr="003F095C">
        <w:t>n the</w:t>
      </w:r>
      <w:r w:rsidR="00EC6E2B" w:rsidRPr="003F095C">
        <w:t xml:space="preserve"> cohort becomes </w:t>
      </w:r>
      <w:r w:rsidR="00A922B9" w:rsidRPr="003F095C">
        <w:t xml:space="preserve">more readily </w:t>
      </w:r>
      <w:r w:rsidR="00EC6E2B" w:rsidRPr="003F095C">
        <w:t xml:space="preserve">accepted </w:t>
      </w:r>
      <w:r w:rsidR="00A922B9" w:rsidRPr="003F095C">
        <w:t xml:space="preserve">by leaders, academics and administrators </w:t>
      </w:r>
      <w:r w:rsidR="00EC6E2B" w:rsidRPr="003F095C">
        <w:t>as a viable part of the university’s student body</w:t>
      </w:r>
      <w:r w:rsidR="00A922B9" w:rsidRPr="003F095C">
        <w:t>.</w:t>
      </w:r>
    </w:p>
    <w:p w:rsidR="007B666F" w:rsidRDefault="00864623" w:rsidP="003F095C">
      <w:pPr>
        <w:pStyle w:val="Text"/>
        <w:ind w:right="-143"/>
      </w:pPr>
      <w:r w:rsidRPr="003F095C">
        <w:t xml:space="preserve">This </w:t>
      </w:r>
      <w:r w:rsidR="007453AE" w:rsidRPr="003F095C">
        <w:t>concept</w:t>
      </w:r>
      <w:r w:rsidRPr="003F095C">
        <w:t xml:space="preserve"> of cohort</w:t>
      </w:r>
      <w:r w:rsidR="0044709D" w:rsidRPr="003F095C">
        <w:t xml:space="preserve"> </w:t>
      </w:r>
      <w:r w:rsidR="0096088D" w:rsidRPr="003F095C">
        <w:t xml:space="preserve">is </w:t>
      </w:r>
      <w:r w:rsidR="00EF4EC7" w:rsidRPr="003F095C">
        <w:t>focus</w:t>
      </w:r>
      <w:r w:rsidR="00A922B9" w:rsidRPr="003F095C">
        <w:t>ed on how a</w:t>
      </w:r>
      <w:r w:rsidR="00EC6E2B" w:rsidRPr="003F095C">
        <w:t xml:space="preserve"> cohort can influence others but </w:t>
      </w:r>
      <w:r w:rsidR="00A922B9" w:rsidRPr="003F095C">
        <w:t>another consideration is whether or how</w:t>
      </w:r>
      <w:r w:rsidR="00EC6E2B" w:rsidRPr="003F095C">
        <w:t xml:space="preserve"> the </w:t>
      </w:r>
      <w:r w:rsidR="00181AC5" w:rsidRPr="003F095C">
        <w:t>pathway</w:t>
      </w:r>
      <w:r w:rsidR="00CF4A0F" w:rsidRPr="003F095C">
        <w:t>s</w:t>
      </w:r>
      <w:r w:rsidR="00181AC5">
        <w:t xml:space="preserve"> </w:t>
      </w:r>
      <w:r w:rsidR="00EC6E2B">
        <w:t xml:space="preserve">students see themselves </w:t>
      </w:r>
      <w:r w:rsidR="00786220">
        <w:t>as a</w:t>
      </w:r>
      <w:r w:rsidR="00EF4EC7">
        <w:t xml:space="preserve"> cohort.</w:t>
      </w:r>
      <w:r w:rsidR="00EC6E2B">
        <w:t xml:space="preserve"> </w:t>
      </w:r>
      <w:r w:rsidR="00453D2D">
        <w:t xml:space="preserve">The </w:t>
      </w:r>
      <w:r w:rsidR="00A922B9">
        <w:t>responses are nuanced. The strongest response related to the students</w:t>
      </w:r>
      <w:r w:rsidR="003159D3">
        <w:t>’</w:t>
      </w:r>
      <w:r w:rsidR="00A922B9">
        <w:t xml:space="preserve"> sense of </w:t>
      </w:r>
      <w:r w:rsidR="00905B1C">
        <w:t xml:space="preserve">themselves as being ‘better’ </w:t>
      </w:r>
      <w:r w:rsidR="003159D3">
        <w:t xml:space="preserve">than other groups, as </w:t>
      </w:r>
      <w:r>
        <w:t xml:space="preserve">more </w:t>
      </w:r>
      <w:r w:rsidR="00061660">
        <w:t xml:space="preserve">able, </w:t>
      </w:r>
      <w:r w:rsidR="003159D3">
        <w:t xml:space="preserve">more </w:t>
      </w:r>
      <w:r>
        <w:t>hard</w:t>
      </w:r>
      <w:r w:rsidR="00CF4A0F">
        <w:t>-</w:t>
      </w:r>
      <w:r>
        <w:t xml:space="preserve">working and </w:t>
      </w:r>
      <w:r w:rsidR="003159D3">
        <w:t xml:space="preserve">more </w:t>
      </w:r>
      <w:r>
        <w:t>motivated</w:t>
      </w:r>
      <w:r w:rsidR="001126D5">
        <w:t>.</w:t>
      </w:r>
      <w:r w:rsidR="00510D3B">
        <w:t xml:space="preserve"> </w:t>
      </w:r>
      <w:r w:rsidR="00786220">
        <w:t>A number of the students shared this viewpoint:</w:t>
      </w:r>
    </w:p>
    <w:p w:rsidR="00864623" w:rsidRPr="00977AE9" w:rsidRDefault="00864623" w:rsidP="00864623">
      <w:pPr>
        <w:pStyle w:val="Quote"/>
      </w:pPr>
      <w:r>
        <w:lastRenderedPageBreak/>
        <w:t>Being at TAFE made us the most motivated of our uni cohorts</w:t>
      </w:r>
      <w:r w:rsidR="00EF4EC7">
        <w:t xml:space="preserve"> …</w:t>
      </w:r>
      <w:r>
        <w:t xml:space="preserve"> gives a good understanding of what happens on the ground and motivates to get a job or a degree</w:t>
      </w:r>
      <w:r w:rsidR="00EF4EC7">
        <w:t xml:space="preserve"> … instils a better work ethic.</w:t>
      </w:r>
      <w:r w:rsidR="003F095C">
        <w:br/>
      </w:r>
      <w:r w:rsidR="00EF4EC7">
        <w:tab/>
      </w:r>
      <w:r>
        <w:t>(</w:t>
      </w:r>
      <w:r w:rsidR="00363A4D">
        <w:t>University of South Australia</w:t>
      </w:r>
      <w:r>
        <w:t>)</w:t>
      </w:r>
    </w:p>
    <w:p w:rsidR="00864623" w:rsidRDefault="00864623" w:rsidP="00864623">
      <w:pPr>
        <w:pStyle w:val="Text"/>
      </w:pPr>
      <w:proofErr w:type="gramStart"/>
      <w:r>
        <w:t xml:space="preserve">And </w:t>
      </w:r>
      <w:r w:rsidR="00EF4EC7">
        <w:t>by</w:t>
      </w:r>
      <w:r>
        <w:t xml:space="preserve"> comparison with school </w:t>
      </w:r>
      <w:r w:rsidR="00860671">
        <w:t xml:space="preserve">leavers going straight to </w:t>
      </w:r>
      <w:r w:rsidR="00510D3B">
        <w:t>higher education</w:t>
      </w:r>
      <w:r w:rsidR="00860671">
        <w:t>:</w:t>
      </w:r>
      <w:proofErr w:type="gramEnd"/>
    </w:p>
    <w:p w:rsidR="00864623" w:rsidRDefault="00864623" w:rsidP="00864623">
      <w:pPr>
        <w:pStyle w:val="Quote"/>
      </w:pPr>
      <w:r>
        <w:t>A lot of them don’t really have the drive … especially in first year, and these people like have dropped out, I haven’t seen them since, and they come in kind of with a high school kind of attitude.</w:t>
      </w:r>
      <w:r w:rsidR="00510D3B">
        <w:t xml:space="preserve"> </w:t>
      </w:r>
      <w:r>
        <w:t>You can see that.</w:t>
      </w:r>
      <w:r w:rsidR="00510D3B">
        <w:t xml:space="preserve"> </w:t>
      </w:r>
      <w:r>
        <w:t>Also, coming into such a conceptual course, they’</w:t>
      </w:r>
      <w:r w:rsidR="00EF4EC7">
        <w:t>re coming from high school</w:t>
      </w:r>
      <w:r>
        <w:t xml:space="preserve"> …</w:t>
      </w:r>
      <w:r w:rsidR="00EF4EC7">
        <w:t xml:space="preserve"> </w:t>
      </w:r>
      <w:r>
        <w:t>they’re quite lost for directions, they want directions, they need structure.</w:t>
      </w:r>
      <w:r w:rsidR="00510D3B">
        <w:t xml:space="preserve"> </w:t>
      </w:r>
      <w:r>
        <w:t>I’ve found some of them struggle with that.</w:t>
      </w:r>
      <w:r w:rsidR="00510D3B">
        <w:t xml:space="preserve"> </w:t>
      </w:r>
      <w:r>
        <w:t>But all the mature-age students I know definitely find it a lot easier.</w:t>
      </w:r>
      <w:r w:rsidR="00EF4EC7">
        <w:tab/>
      </w:r>
      <w:r>
        <w:t>(</w:t>
      </w:r>
      <w:r w:rsidR="00A33D8C">
        <w:t>Curtin University of Technology</w:t>
      </w:r>
      <w:r>
        <w:t>)</w:t>
      </w:r>
    </w:p>
    <w:p w:rsidR="008010C6" w:rsidRPr="00A959A0" w:rsidRDefault="00864623" w:rsidP="003159D3">
      <w:pPr>
        <w:pStyle w:val="Text"/>
      </w:pPr>
      <w:r>
        <w:t xml:space="preserve">Certainly, </w:t>
      </w:r>
      <w:r w:rsidR="00FE5233">
        <w:t xml:space="preserve">none </w:t>
      </w:r>
      <w:r>
        <w:t>of the students interviewed saw themselves as inferior to other cohort</w:t>
      </w:r>
      <w:r w:rsidR="00E02624">
        <w:t>s,</w:t>
      </w:r>
      <w:r w:rsidR="00FE5233">
        <w:t xml:space="preserve"> </w:t>
      </w:r>
      <w:r w:rsidR="00D84B22">
        <w:t xml:space="preserve">such as school leavers, </w:t>
      </w:r>
      <w:r>
        <w:t xml:space="preserve">although some indicated </w:t>
      </w:r>
      <w:r w:rsidR="00FE5233">
        <w:t xml:space="preserve">that </w:t>
      </w:r>
      <w:r>
        <w:t xml:space="preserve">they would not have had the current </w:t>
      </w:r>
      <w:r w:rsidR="00CF4A0F">
        <w:t>opinion of</w:t>
      </w:r>
      <w:r w:rsidR="00E133CD">
        <w:t xml:space="preserve"> themselves </w:t>
      </w:r>
      <w:r>
        <w:t xml:space="preserve">as </w:t>
      </w:r>
      <w:r w:rsidR="00860671">
        <w:t>cap</w:t>
      </w:r>
      <w:r w:rsidR="007453AE">
        <w:t xml:space="preserve">able </w:t>
      </w:r>
      <w:r w:rsidR="00E133CD">
        <w:t>students</w:t>
      </w:r>
      <w:r>
        <w:t xml:space="preserve"> without </w:t>
      </w:r>
      <w:r w:rsidR="00FE5233">
        <w:t xml:space="preserve">the </w:t>
      </w:r>
      <w:r>
        <w:t>experience of TAFE</w:t>
      </w:r>
      <w:r w:rsidR="003159D3">
        <w:t>.</w:t>
      </w:r>
      <w:r>
        <w:t xml:space="preserve"> </w:t>
      </w:r>
      <w:r w:rsidR="00611A1D">
        <w:t>While</w:t>
      </w:r>
      <w:r w:rsidR="00C22BC5">
        <w:t xml:space="preserve"> the majority of interview</w:t>
      </w:r>
      <w:r w:rsidR="00947B17">
        <w:t>ee</w:t>
      </w:r>
      <w:r w:rsidR="00C22BC5">
        <w:t>s valued their VET background</w:t>
      </w:r>
      <w:r w:rsidR="008869A7">
        <w:t>,</w:t>
      </w:r>
      <w:r w:rsidR="00C22BC5">
        <w:t xml:space="preserve"> they did not really </w:t>
      </w:r>
      <w:r w:rsidR="00947B17">
        <w:t xml:space="preserve">see themselves as a specific cohort who </w:t>
      </w:r>
      <w:r w:rsidR="00212A78">
        <w:t>‘</w:t>
      </w:r>
      <w:r w:rsidR="00947B17">
        <w:t>stuck together</w:t>
      </w:r>
      <w:r w:rsidR="00212A78">
        <w:t>’</w:t>
      </w:r>
      <w:r w:rsidR="00947B17">
        <w:t xml:space="preserve"> </w:t>
      </w:r>
      <w:r w:rsidR="00E87A88">
        <w:t xml:space="preserve">at university </w:t>
      </w:r>
      <w:r w:rsidR="004344B8">
        <w:t>except perhaps at the beginning of their university experience</w:t>
      </w:r>
      <w:r w:rsidR="00947B17">
        <w:t>:</w:t>
      </w:r>
    </w:p>
    <w:p w:rsidR="008010C6" w:rsidRPr="00B92F7F" w:rsidRDefault="008010C6" w:rsidP="008010C6">
      <w:pPr>
        <w:pStyle w:val="Quote"/>
      </w:pPr>
      <w:r>
        <w:t>T</w:t>
      </w:r>
      <w:r w:rsidRPr="00B92F7F">
        <w:t>hey had a special meeting of all the TAFE kids to explain the proc</w:t>
      </w:r>
      <w:r w:rsidR="00EF4EC7">
        <w:t>edures, but that was it really.</w:t>
      </w:r>
      <w:r w:rsidR="003F095C">
        <w:br/>
      </w:r>
      <w:r w:rsidR="00EF4EC7">
        <w:tab/>
      </w:r>
      <w:r>
        <w:t>(</w:t>
      </w:r>
      <w:r w:rsidR="00D70318">
        <w:t>University of Western Sydney</w:t>
      </w:r>
      <w:r w:rsidRPr="00B92F7F">
        <w:t>)</w:t>
      </w:r>
    </w:p>
    <w:p w:rsidR="007C3183" w:rsidRDefault="008010C6" w:rsidP="008010C6">
      <w:pPr>
        <w:pStyle w:val="Quote"/>
      </w:pPr>
      <w:r w:rsidRPr="00E71C33">
        <w:t>It was hard because of the numbers</w:t>
      </w:r>
      <w:r w:rsidR="00EF4EC7">
        <w:t xml:space="preserve"> [at university]</w:t>
      </w:r>
      <w:r w:rsidRPr="00E71C33">
        <w:t>, but then there were a few of us</w:t>
      </w:r>
      <w:r>
        <w:t>, so that didn’t matter so much</w:t>
      </w:r>
      <w:r w:rsidR="00EF4EC7">
        <w:t>.</w:t>
      </w:r>
      <w:r w:rsidR="00EF4EC7">
        <w:tab/>
      </w:r>
      <w:r w:rsidRPr="00E71C33">
        <w:t>(</w:t>
      </w:r>
      <w:r w:rsidR="00D70318">
        <w:t>University of Technology Sydney</w:t>
      </w:r>
      <w:r w:rsidRPr="00977AE9">
        <w:t>)</w:t>
      </w:r>
    </w:p>
    <w:p w:rsidR="004C4F55" w:rsidRDefault="004C4F55" w:rsidP="004C4F55">
      <w:pPr>
        <w:pStyle w:val="Heading3"/>
      </w:pPr>
      <w:r>
        <w:t>Strategy</w:t>
      </w:r>
      <w:r w:rsidR="0011530A">
        <w:t xml:space="preserve"> 4</w:t>
      </w:r>
      <w:r>
        <w:t xml:space="preserve">: Building </w:t>
      </w:r>
      <w:r w:rsidR="00EF4EC7">
        <w:t>c</w:t>
      </w:r>
      <w:r>
        <w:t>onfidence</w:t>
      </w:r>
    </w:p>
    <w:p w:rsidR="004C4F55" w:rsidRDefault="004C4F55" w:rsidP="003F095C">
      <w:pPr>
        <w:pStyle w:val="Text"/>
        <w:spacing w:before="80"/>
        <w:ind w:right="0"/>
      </w:pPr>
      <w:r>
        <w:t xml:space="preserve">Two </w:t>
      </w:r>
      <w:r w:rsidR="00E87A88">
        <w:t xml:space="preserve">characteristics form </w:t>
      </w:r>
      <w:r>
        <w:t>the basis for this strategy</w:t>
      </w:r>
      <w:r w:rsidR="00BB535F">
        <w:t xml:space="preserve"> in the </w:t>
      </w:r>
      <w:r w:rsidR="00EF4EC7">
        <w:t>matrix</w:t>
      </w:r>
      <w:r>
        <w:t>:</w:t>
      </w:r>
    </w:p>
    <w:p w:rsidR="004C4F55" w:rsidRDefault="00EF4EC7" w:rsidP="004C4F55">
      <w:pPr>
        <w:pStyle w:val="Dotpoint1"/>
      </w:pPr>
      <w:r>
        <w:t>c</w:t>
      </w:r>
      <w:r w:rsidR="004C4F55" w:rsidRPr="00860671">
        <w:t>ommunication/information</w:t>
      </w:r>
      <w:r w:rsidR="004C4F55">
        <w:t xml:space="preserve"> ab</w:t>
      </w:r>
      <w:r w:rsidR="006C7859">
        <w:t xml:space="preserve">out university life </w:t>
      </w:r>
      <w:r w:rsidR="004C4F55">
        <w:t>through digital and other media</w:t>
      </w:r>
    </w:p>
    <w:p w:rsidR="004C4F55" w:rsidRPr="00860671" w:rsidRDefault="00EF4EC7" w:rsidP="004C4F55">
      <w:pPr>
        <w:pStyle w:val="Dotpoint1"/>
      </w:pPr>
      <w:proofErr w:type="gramStart"/>
      <w:r>
        <w:t>f</w:t>
      </w:r>
      <w:r w:rsidR="004C4F55" w:rsidRPr="00860671">
        <w:t>amiliarisation</w:t>
      </w:r>
      <w:proofErr w:type="gramEnd"/>
      <w:r w:rsidR="004C4F55" w:rsidRPr="00860671">
        <w:t xml:space="preserve"> and sit</w:t>
      </w:r>
      <w:r w:rsidR="00FF1042" w:rsidRPr="00860671">
        <w:t>e experiences</w:t>
      </w:r>
      <w:r>
        <w:t>.</w:t>
      </w:r>
      <w:r w:rsidR="00FF1042" w:rsidRPr="00860671">
        <w:t xml:space="preserve"> </w:t>
      </w:r>
    </w:p>
    <w:p w:rsidR="00D84B22" w:rsidRDefault="00FF1042" w:rsidP="003F095C">
      <w:pPr>
        <w:pStyle w:val="Text"/>
      </w:pPr>
      <w:r>
        <w:t xml:space="preserve">Surprisingly, the availability of </w:t>
      </w:r>
      <w:r w:rsidR="00710C83">
        <w:t>web-</w:t>
      </w:r>
      <w:r w:rsidR="00B7380A">
        <w:t xml:space="preserve">based and other media </w:t>
      </w:r>
      <w:r>
        <w:t>communication</w:t>
      </w:r>
      <w:r w:rsidR="00B7380A">
        <w:t>s/information about pathways</w:t>
      </w:r>
      <w:r>
        <w:t xml:space="preserve"> did not feature highly </w:t>
      </w:r>
      <w:r w:rsidR="00BB535F">
        <w:t xml:space="preserve">as an enabler </w:t>
      </w:r>
      <w:r>
        <w:t>in the student interviews. It is surprising because these enablers are</w:t>
      </w:r>
      <w:r w:rsidR="00B7380A">
        <w:t xml:space="preserve"> often referred to as an essential component of effective pathways. Phillips KPA (2006) focused on the importance of such systems </w:t>
      </w:r>
      <w:r w:rsidR="00E133CD">
        <w:t>in enabling</w:t>
      </w:r>
      <w:r w:rsidR="00B7380A">
        <w:t xml:space="preserve"> students </w:t>
      </w:r>
      <w:r w:rsidR="00125DCF">
        <w:t>to</w:t>
      </w:r>
      <w:r w:rsidR="00B7380A">
        <w:t xml:space="preserve"> make informed decisions. Policy on pathways has also emphasised the importance of</w:t>
      </w:r>
      <w:r w:rsidR="00D84B22">
        <w:t xml:space="preserve"> effective</w:t>
      </w:r>
      <w:r w:rsidR="00125DCF">
        <w:t xml:space="preserve"> web</w:t>
      </w:r>
      <w:r w:rsidR="00D84B22">
        <w:t>site</w:t>
      </w:r>
      <w:r w:rsidR="00E133CD">
        <w:t>s</w:t>
      </w:r>
      <w:r w:rsidR="00D84B22">
        <w:t xml:space="preserve"> </w:t>
      </w:r>
      <w:r w:rsidR="00BB535F">
        <w:t>and other sources</w:t>
      </w:r>
      <w:r w:rsidR="00D84B22">
        <w:t xml:space="preserve"> as the means to</w:t>
      </w:r>
      <w:r w:rsidR="00510D3B">
        <w:t xml:space="preserve"> </w:t>
      </w:r>
      <w:r w:rsidR="00E133CD">
        <w:t>access</w:t>
      </w:r>
      <w:r w:rsidR="00125DCF">
        <w:t xml:space="preserve"> </w:t>
      </w:r>
      <w:r w:rsidR="00D84B22">
        <w:t>information provision on pathways</w:t>
      </w:r>
      <w:r w:rsidR="00B7380A">
        <w:t>.</w:t>
      </w:r>
      <w:r w:rsidR="00510D3B">
        <w:t xml:space="preserve"> </w:t>
      </w:r>
    </w:p>
    <w:p w:rsidR="00860671" w:rsidRDefault="00D84B22" w:rsidP="003F095C">
      <w:pPr>
        <w:pStyle w:val="Text"/>
      </w:pPr>
      <w:r>
        <w:t xml:space="preserve">In this study the students also identified </w:t>
      </w:r>
      <w:r w:rsidR="00B7380A">
        <w:t xml:space="preserve">communication and information provision </w:t>
      </w:r>
      <w:r>
        <w:t>on pathways and university life as</w:t>
      </w:r>
      <w:r w:rsidR="00B7380A">
        <w:t xml:space="preserve"> extremely imp</w:t>
      </w:r>
      <w:r w:rsidR="00710C83">
        <w:t>ortant</w:t>
      </w:r>
      <w:r>
        <w:t xml:space="preserve"> </w:t>
      </w:r>
      <w:r w:rsidR="007B6729">
        <w:t>where provided by teachers and other ‘</w:t>
      </w:r>
      <w:r w:rsidR="00710C83">
        <w:t>people-</w:t>
      </w:r>
      <w:r w:rsidR="00B7380A">
        <w:t>rich</w:t>
      </w:r>
      <w:r w:rsidR="007B6729">
        <w:t>’</w:t>
      </w:r>
      <w:r w:rsidR="00B7380A">
        <w:t xml:space="preserve"> sources</w:t>
      </w:r>
      <w:r w:rsidR="00125DCF">
        <w:t xml:space="preserve"> known and trusted by </w:t>
      </w:r>
      <w:r w:rsidR="00B7380A">
        <w:t xml:space="preserve">the students rather than </w:t>
      </w:r>
      <w:r w:rsidR="00BB535F">
        <w:t xml:space="preserve">through </w:t>
      </w:r>
      <w:r w:rsidR="00B7380A">
        <w:t>digital and other media. These findings are similar</w:t>
      </w:r>
      <w:r w:rsidR="00A63A3C">
        <w:t xml:space="preserve"> to those </w:t>
      </w:r>
      <w:r w:rsidR="00BB535F">
        <w:t>Byrnes et al</w:t>
      </w:r>
      <w:r w:rsidR="00125DCF">
        <w:t>.</w:t>
      </w:r>
      <w:r w:rsidR="00BB535F">
        <w:t xml:space="preserve"> (2011)</w:t>
      </w:r>
      <w:r w:rsidR="00860671">
        <w:t>.</w:t>
      </w:r>
    </w:p>
    <w:p w:rsidR="0087793E" w:rsidRDefault="007B6729" w:rsidP="003F095C">
      <w:pPr>
        <w:pStyle w:val="Text"/>
      </w:pPr>
      <w:r>
        <w:t>T</w:t>
      </w:r>
      <w:r w:rsidR="00934640">
        <w:t xml:space="preserve">he importance of familiarisation </w:t>
      </w:r>
      <w:r w:rsidR="00702D99">
        <w:t xml:space="preserve">and site visits </w:t>
      </w:r>
      <w:r w:rsidR="00125DCF">
        <w:t>became</w:t>
      </w:r>
      <w:r w:rsidR="00934640">
        <w:t xml:space="preserve"> evident </w:t>
      </w:r>
      <w:r>
        <w:t>in</w:t>
      </w:r>
      <w:r w:rsidR="00934640">
        <w:t xml:space="preserve"> </w:t>
      </w:r>
      <w:r w:rsidR="00710C83">
        <w:t xml:space="preserve">a number </w:t>
      </w:r>
      <w:r w:rsidR="00934640">
        <w:t xml:space="preserve">of the </w:t>
      </w:r>
      <w:r w:rsidR="00A63A3C">
        <w:t>interviews</w:t>
      </w:r>
      <w:r w:rsidR="00934640">
        <w:t>.</w:t>
      </w:r>
      <w:r w:rsidR="00A63A3C">
        <w:t xml:space="preserve"> </w:t>
      </w:r>
      <w:r w:rsidR="00A63A3C" w:rsidRPr="00970406">
        <w:t>Orientation and information n</w:t>
      </w:r>
      <w:r w:rsidR="00A63A3C">
        <w:t>ights were conducted in a number of</w:t>
      </w:r>
      <w:r w:rsidR="00A63A3C" w:rsidRPr="00970406">
        <w:t xml:space="preserve"> university and </w:t>
      </w:r>
      <w:r w:rsidR="00860671">
        <w:t>c</w:t>
      </w:r>
      <w:r w:rsidR="00A63A3C" w:rsidRPr="00970406">
        <w:t>ollege settings</w:t>
      </w:r>
      <w:r w:rsidR="00E133CD">
        <w:t>, at which</w:t>
      </w:r>
      <w:r w:rsidR="00125DCF">
        <w:t xml:space="preserve"> </w:t>
      </w:r>
      <w:r w:rsidR="0039106A">
        <w:t xml:space="preserve">briefings </w:t>
      </w:r>
      <w:r w:rsidR="00125DCF">
        <w:t xml:space="preserve">were provided </w:t>
      </w:r>
      <w:r w:rsidR="0039106A">
        <w:t>to students</w:t>
      </w:r>
      <w:r w:rsidR="00702D99">
        <w:t xml:space="preserve"> about transition to </w:t>
      </w:r>
      <w:r w:rsidR="00510D3B">
        <w:t>higher education</w:t>
      </w:r>
      <w:r w:rsidR="0039106A">
        <w:t xml:space="preserve"> before </w:t>
      </w:r>
      <w:r w:rsidR="00125DCF">
        <w:t>they</w:t>
      </w:r>
      <w:r w:rsidR="0039106A">
        <w:t xml:space="preserve"> commenced </w:t>
      </w:r>
      <w:r w:rsidR="00510D3B">
        <w:t>higher education</w:t>
      </w:r>
      <w:r w:rsidR="0039106A">
        <w:t xml:space="preserve"> studies</w:t>
      </w:r>
      <w:r w:rsidR="00702D99">
        <w:t>.</w:t>
      </w:r>
      <w:r w:rsidR="00510D3B">
        <w:t xml:space="preserve"> </w:t>
      </w:r>
    </w:p>
    <w:p w:rsidR="0087793E" w:rsidRDefault="00A63A3C" w:rsidP="003F095C">
      <w:pPr>
        <w:pStyle w:val="Text"/>
      </w:pPr>
      <w:r w:rsidRPr="00970406">
        <w:t xml:space="preserve">In the case </w:t>
      </w:r>
      <w:r w:rsidR="00125DCF">
        <w:t>of dual-</w:t>
      </w:r>
      <w:r w:rsidR="007B6729">
        <w:t>sector organisations (RMIT)</w:t>
      </w:r>
      <w:r w:rsidR="00125DCF">
        <w:t>, or co-</w:t>
      </w:r>
      <w:r w:rsidR="007B6729">
        <w:t>located campuses</w:t>
      </w:r>
      <w:r w:rsidR="00125DCF">
        <w:t xml:space="preserve"> </w:t>
      </w:r>
      <w:r w:rsidR="007B6729">
        <w:t>(</w:t>
      </w:r>
      <w:r w:rsidR="00A422D2">
        <w:t xml:space="preserve">Sydney </w:t>
      </w:r>
      <w:r w:rsidR="00786220">
        <w:t>Institute</w:t>
      </w:r>
      <w:r w:rsidR="00A422D2">
        <w:t xml:space="preserve"> of </w:t>
      </w:r>
      <w:r w:rsidR="007B6729">
        <w:t xml:space="preserve">TAFE </w:t>
      </w:r>
      <w:r w:rsidR="00125DCF">
        <w:t>and University of Technology</w:t>
      </w:r>
      <w:r w:rsidR="00A422D2">
        <w:t xml:space="preserve"> Sydney)</w:t>
      </w:r>
      <w:r w:rsidR="00710C83">
        <w:t>,</w:t>
      </w:r>
      <w:r w:rsidR="00702D99">
        <w:t xml:space="preserve"> </w:t>
      </w:r>
      <w:r w:rsidR="00E133CD">
        <w:t xml:space="preserve">the </w:t>
      </w:r>
      <w:r w:rsidRPr="00970406">
        <w:t>geography</w:t>
      </w:r>
      <w:r w:rsidR="00E133CD">
        <w:t xml:space="preserve"> of the sites</w:t>
      </w:r>
      <w:r w:rsidR="00702D99">
        <w:t xml:space="preserve"> made such site visits easier</w:t>
      </w:r>
      <w:r w:rsidRPr="00970406">
        <w:t xml:space="preserve">. </w:t>
      </w:r>
    </w:p>
    <w:p w:rsidR="0087793E" w:rsidRDefault="0087793E" w:rsidP="0087793E">
      <w:pPr>
        <w:pStyle w:val="Quote"/>
      </w:pPr>
      <w:r w:rsidRPr="00E71C33">
        <w:t>The best part was the orientation and information night, be</w:t>
      </w:r>
      <w:r w:rsidR="00125DCF">
        <w:t xml:space="preserve">cause only </w:t>
      </w:r>
      <w:proofErr w:type="gramStart"/>
      <w:r w:rsidR="00125DCF">
        <w:t>us</w:t>
      </w:r>
      <w:proofErr w:type="gramEnd"/>
      <w:r w:rsidR="00125DCF">
        <w:t xml:space="preserve"> TAFE kids went.</w:t>
      </w:r>
      <w:r w:rsidR="003F095C">
        <w:br/>
      </w:r>
      <w:r w:rsidR="00125DCF">
        <w:tab/>
      </w:r>
      <w:r w:rsidRPr="00322FFD">
        <w:t>(</w:t>
      </w:r>
      <w:r w:rsidR="00125DCF">
        <w:t>University of Technology Sydney</w:t>
      </w:r>
      <w:r w:rsidRPr="00322FFD">
        <w:t>)</w:t>
      </w:r>
    </w:p>
    <w:p w:rsidR="0087793E" w:rsidRPr="00322FFD" w:rsidRDefault="0087793E" w:rsidP="0087793E">
      <w:pPr>
        <w:pStyle w:val="Quote"/>
      </w:pPr>
      <w:r w:rsidRPr="00DE6BB4">
        <w:lastRenderedPageBreak/>
        <w:t>They took us to Deakin one day and explained all the pathways and the different career path</w:t>
      </w:r>
      <w:r w:rsidR="008869A7">
        <w:t>s</w:t>
      </w:r>
      <w:r w:rsidRPr="00DE6BB4">
        <w:t xml:space="preserve"> that we could take from there.</w:t>
      </w:r>
      <w:r w:rsidR="00125DCF">
        <w:tab/>
      </w:r>
      <w:r>
        <w:t xml:space="preserve">(Gordon TAFE </w:t>
      </w:r>
      <w:r w:rsidR="00F66544">
        <w:t>to Deakin University</w:t>
      </w:r>
      <w:r>
        <w:t>)</w:t>
      </w:r>
    </w:p>
    <w:p w:rsidR="0087793E" w:rsidRDefault="00A422D2" w:rsidP="003F095C">
      <w:pPr>
        <w:pStyle w:val="Text"/>
      </w:pPr>
      <w:r>
        <w:t xml:space="preserve">At </w:t>
      </w:r>
      <w:r w:rsidR="00F66544">
        <w:t xml:space="preserve">the </w:t>
      </w:r>
      <w:r w:rsidR="00D70318">
        <w:t>University of Western Sydney</w:t>
      </w:r>
      <w:r w:rsidR="0087793E">
        <w:t xml:space="preserve">, </w:t>
      </w:r>
      <w:r w:rsidR="00786220">
        <w:t xml:space="preserve">this </w:t>
      </w:r>
      <w:r w:rsidR="00786220" w:rsidRPr="00970406">
        <w:t>experience</w:t>
      </w:r>
      <w:r w:rsidR="0087793E">
        <w:t xml:space="preserve"> was enhanced</w:t>
      </w:r>
      <w:r w:rsidR="00F66544">
        <w:t xml:space="preserve"> by</w:t>
      </w:r>
      <w:r w:rsidR="00A63A3C" w:rsidRPr="00970406">
        <w:t xml:space="preserve"> </w:t>
      </w:r>
      <w:r w:rsidR="00702D99">
        <w:t xml:space="preserve">using </w:t>
      </w:r>
      <w:r w:rsidR="0087793E">
        <w:t>‘</w:t>
      </w:r>
      <w:r w:rsidR="00A63A3C" w:rsidRPr="00970406">
        <w:t>link</w:t>
      </w:r>
      <w:r w:rsidR="0087793E">
        <w:t>’</w:t>
      </w:r>
      <w:r w:rsidR="00A63A3C" w:rsidRPr="00970406">
        <w:t xml:space="preserve"> staff</w:t>
      </w:r>
      <w:r w:rsidR="00E133CD">
        <w:t>,</w:t>
      </w:r>
      <w:r w:rsidR="00A63A3C" w:rsidRPr="00970406">
        <w:t xml:space="preserve"> </w:t>
      </w:r>
      <w:r w:rsidR="00702D99">
        <w:t xml:space="preserve">who were </w:t>
      </w:r>
      <w:r w:rsidR="00A63A3C" w:rsidRPr="00970406">
        <w:t xml:space="preserve">familiar with </w:t>
      </w:r>
      <w:r w:rsidR="00702D99">
        <w:t xml:space="preserve">both the </w:t>
      </w:r>
      <w:r w:rsidR="00A63A3C" w:rsidRPr="00970406">
        <w:t xml:space="preserve">students and the </w:t>
      </w:r>
      <w:r w:rsidR="00702D99">
        <w:t xml:space="preserve">pathways model and </w:t>
      </w:r>
      <w:r w:rsidR="00A63A3C" w:rsidRPr="00970406">
        <w:t xml:space="preserve">who conducted special orientation nights. </w:t>
      </w:r>
      <w:r w:rsidR="00710C83">
        <w:t>In these experiences, s</w:t>
      </w:r>
      <w:r w:rsidR="00A63A3C" w:rsidRPr="00970406">
        <w:t xml:space="preserve">tudents were exposed to staff who had all been employed at the university for some time and </w:t>
      </w:r>
      <w:r w:rsidR="00710C83">
        <w:t xml:space="preserve">who </w:t>
      </w:r>
      <w:r w:rsidR="00A63A3C" w:rsidRPr="00970406">
        <w:t>were able to give casual advice about university pathways and credit transfer.</w:t>
      </w:r>
      <w:r w:rsidR="00510D3B">
        <w:t xml:space="preserve"> </w:t>
      </w:r>
    </w:p>
    <w:p w:rsidR="00A63A3C" w:rsidRPr="00970406" w:rsidRDefault="00702D99" w:rsidP="003F095C">
      <w:pPr>
        <w:pStyle w:val="Text"/>
      </w:pPr>
      <w:r>
        <w:t xml:space="preserve">Other students </w:t>
      </w:r>
      <w:r w:rsidR="00710C83">
        <w:t xml:space="preserve">indicated they simply </w:t>
      </w:r>
      <w:r>
        <w:t xml:space="preserve">used the same orientation programs and supports available to all students or simply familiarised themselves. </w:t>
      </w:r>
    </w:p>
    <w:p w:rsidR="00A63A3C" w:rsidRPr="00970406" w:rsidRDefault="00A63A3C" w:rsidP="00702D99">
      <w:pPr>
        <w:pStyle w:val="Quote"/>
      </w:pPr>
      <w:r w:rsidRPr="00E71C33">
        <w:t>Well I knew where to go, so that was fine</w:t>
      </w:r>
      <w:r w:rsidR="00F66544">
        <w:t>.</w:t>
      </w:r>
      <w:r w:rsidR="00F66544">
        <w:tab/>
      </w:r>
      <w:r w:rsidRPr="00322FFD">
        <w:t>(</w:t>
      </w:r>
      <w:r w:rsidR="00A33D8C">
        <w:t>Curtin University of Technology</w:t>
      </w:r>
      <w:r w:rsidRPr="00322FFD">
        <w:t>)</w:t>
      </w:r>
    </w:p>
    <w:p w:rsidR="00B126D3" w:rsidRDefault="00AD35AC" w:rsidP="003F095C">
      <w:pPr>
        <w:pStyle w:val="Text"/>
      </w:pPr>
      <w:r>
        <w:t xml:space="preserve">Another aspect of </w:t>
      </w:r>
      <w:r w:rsidR="00791623">
        <w:t>this</w:t>
      </w:r>
      <w:r w:rsidR="00A422D2">
        <w:t xml:space="preserve"> strategy </w:t>
      </w:r>
      <w:r>
        <w:t xml:space="preserve">that </w:t>
      </w:r>
      <w:r w:rsidR="003F07EF">
        <w:t xml:space="preserve">came through the </w:t>
      </w:r>
      <w:r w:rsidR="003512EB">
        <w:t xml:space="preserve">student </w:t>
      </w:r>
      <w:r w:rsidR="00E133CD">
        <w:t>comments</w:t>
      </w:r>
      <w:r w:rsidR="003F07EF">
        <w:t xml:space="preserve"> was </w:t>
      </w:r>
      <w:r w:rsidR="00EB4C9D">
        <w:t xml:space="preserve">the </w:t>
      </w:r>
      <w:r w:rsidR="003958D3" w:rsidRPr="003958D3">
        <w:t xml:space="preserve">transformation </w:t>
      </w:r>
      <w:r w:rsidR="00A508C8">
        <w:t xml:space="preserve">and boost </w:t>
      </w:r>
      <w:r w:rsidR="003958D3" w:rsidRPr="003958D3">
        <w:t xml:space="preserve">in </w:t>
      </w:r>
      <w:r w:rsidR="00A508C8">
        <w:t xml:space="preserve">confidence </w:t>
      </w:r>
      <w:r w:rsidR="001A6283">
        <w:t xml:space="preserve">levels </w:t>
      </w:r>
      <w:r w:rsidR="00EB4C9D">
        <w:t>created through</w:t>
      </w:r>
      <w:r w:rsidR="00A422D2">
        <w:t xml:space="preserve"> </w:t>
      </w:r>
      <w:r w:rsidR="004D4F8A">
        <w:t xml:space="preserve">the </w:t>
      </w:r>
      <w:r w:rsidR="00A422D2">
        <w:t xml:space="preserve">positive </w:t>
      </w:r>
      <w:r w:rsidR="004D4F8A">
        <w:t xml:space="preserve">learning experiences of </w:t>
      </w:r>
      <w:r w:rsidR="00510D3B">
        <w:t>vocational education and training</w:t>
      </w:r>
      <w:r w:rsidR="00A508C8">
        <w:t xml:space="preserve"> and consolidated </w:t>
      </w:r>
      <w:r w:rsidR="00A422D2">
        <w:t xml:space="preserve">by </w:t>
      </w:r>
      <w:r w:rsidR="00EB4C9D">
        <w:t xml:space="preserve">academic </w:t>
      </w:r>
      <w:r w:rsidR="00B126D3">
        <w:t xml:space="preserve">success in </w:t>
      </w:r>
      <w:r w:rsidR="00510D3B">
        <w:t>higher education</w:t>
      </w:r>
      <w:r w:rsidR="003F07EF">
        <w:t>.</w:t>
      </w:r>
      <w:r w:rsidR="00510D3B">
        <w:t xml:space="preserve"> </w:t>
      </w:r>
      <w:r w:rsidR="00864623">
        <w:t>A number of t</w:t>
      </w:r>
      <w:r w:rsidR="00B126D3">
        <w:t xml:space="preserve">he </w:t>
      </w:r>
      <w:r w:rsidR="004D4F8A">
        <w:t xml:space="preserve">students </w:t>
      </w:r>
      <w:r w:rsidR="001A6283">
        <w:t xml:space="preserve">had </w:t>
      </w:r>
      <w:r w:rsidR="00EB4C9D">
        <w:t>indicated</w:t>
      </w:r>
      <w:r w:rsidR="00A508C8">
        <w:t xml:space="preserve"> feelings of anxiety and</w:t>
      </w:r>
      <w:r w:rsidR="00F66544">
        <w:t xml:space="preserve"> genuine concern</w:t>
      </w:r>
      <w:r w:rsidR="004D4F8A">
        <w:t xml:space="preserve"> about their </w:t>
      </w:r>
      <w:r w:rsidR="004D4F8A" w:rsidRPr="003F095C">
        <w:t>ability</w:t>
      </w:r>
      <w:r w:rsidR="004D4F8A">
        <w:t xml:space="preserve"> to cope with university </w:t>
      </w:r>
      <w:r w:rsidR="00A508C8">
        <w:t xml:space="preserve">life </w:t>
      </w:r>
      <w:r w:rsidR="004D4F8A">
        <w:t xml:space="preserve">but found they were well prepared </w:t>
      </w:r>
      <w:r w:rsidR="00EB4C9D">
        <w:t xml:space="preserve">by </w:t>
      </w:r>
      <w:r w:rsidR="00E133CD">
        <w:t xml:space="preserve">their experiences in the VET sector </w:t>
      </w:r>
      <w:r w:rsidR="004D4F8A">
        <w:t xml:space="preserve">and often </w:t>
      </w:r>
      <w:r w:rsidR="00EB4C9D">
        <w:t xml:space="preserve">saw </w:t>
      </w:r>
      <w:proofErr w:type="gramStart"/>
      <w:r w:rsidR="00EB4C9D">
        <w:t>themselves</w:t>
      </w:r>
      <w:proofErr w:type="gramEnd"/>
      <w:r w:rsidR="00EB4C9D">
        <w:t xml:space="preserve"> as </w:t>
      </w:r>
      <w:r w:rsidR="004D4F8A">
        <w:t>better prepared than students</w:t>
      </w:r>
      <w:r w:rsidR="00EB4C9D">
        <w:t xml:space="preserve"> who had come straight from school</w:t>
      </w:r>
      <w:r w:rsidR="004D4F8A">
        <w:t>.</w:t>
      </w:r>
      <w:r w:rsidR="00F66544">
        <w:t xml:space="preserve"> T</w:t>
      </w:r>
      <w:r w:rsidR="00B126D3" w:rsidRPr="00431F89">
        <w:t>he researchers were</w:t>
      </w:r>
      <w:r w:rsidR="00F66544">
        <w:t xml:space="preserve"> c</w:t>
      </w:r>
      <w:r w:rsidR="00F66544" w:rsidRPr="00431F89">
        <w:t>ontinually</w:t>
      </w:r>
      <w:r w:rsidR="00B126D3" w:rsidRPr="00431F89">
        <w:t xml:space="preserve"> </w:t>
      </w:r>
      <w:r w:rsidR="00A508C8">
        <w:t>present</w:t>
      </w:r>
      <w:r w:rsidR="00B126D3">
        <w:t>ed with comments such as</w:t>
      </w:r>
      <w:r w:rsidR="001A6283">
        <w:t>:</w:t>
      </w:r>
    </w:p>
    <w:p w:rsidR="00040BFA" w:rsidRDefault="00B126D3" w:rsidP="00B126D3">
      <w:pPr>
        <w:pStyle w:val="Quote"/>
      </w:pPr>
      <w:r w:rsidRPr="00026DCE">
        <w:t>I didn’t think I could go to uni then I went through TAFE and changed my mind</w:t>
      </w:r>
      <w:r w:rsidR="00EB4C9D" w:rsidRPr="00026DCE">
        <w:t>.</w:t>
      </w:r>
      <w:r w:rsidR="00026DCE">
        <w:br/>
      </w:r>
      <w:r w:rsidR="00026DCE">
        <w:tab/>
        <w:t>(U</w:t>
      </w:r>
      <w:r w:rsidR="00026DCE" w:rsidRPr="00026DCE">
        <w:t>niversity of Newcastle</w:t>
      </w:r>
      <w:r w:rsidR="00026DCE">
        <w:t>)</w:t>
      </w:r>
    </w:p>
    <w:p w:rsidR="00040BFA" w:rsidRPr="00A959A0" w:rsidRDefault="00040BFA" w:rsidP="00040BFA">
      <w:pPr>
        <w:pStyle w:val="Quote"/>
      </w:pPr>
      <w:r w:rsidRPr="00B92F7F">
        <w:t>I just didn’t think I was clever enough to go</w:t>
      </w:r>
      <w:r w:rsidR="00F66544">
        <w:t xml:space="preserve"> </w:t>
      </w:r>
      <w:r w:rsidRPr="00B92F7F">
        <w:t>…</w:t>
      </w:r>
      <w:r w:rsidR="00F66544">
        <w:t xml:space="preserve"> </w:t>
      </w:r>
      <w:r w:rsidRPr="00B92F7F">
        <w:t>t</w:t>
      </w:r>
      <w:r w:rsidR="00864623">
        <w:t>hen I found out about TAFE h</w:t>
      </w:r>
      <w:r>
        <w:t>ere</w:t>
      </w:r>
      <w:r w:rsidR="00EB4C9D">
        <w:t>.</w:t>
      </w:r>
      <w:r w:rsidR="003F095C">
        <w:br/>
      </w:r>
      <w:r w:rsidR="00F66544">
        <w:tab/>
      </w:r>
      <w:r w:rsidR="00864623">
        <w:t>(</w:t>
      </w:r>
      <w:r w:rsidR="00F66544">
        <w:t xml:space="preserve">University of </w:t>
      </w:r>
      <w:r w:rsidR="00864623">
        <w:t>Newcastle</w:t>
      </w:r>
      <w:r w:rsidRPr="00B92F7F">
        <w:t>)</w:t>
      </w:r>
    </w:p>
    <w:p w:rsidR="00DC71CB" w:rsidRPr="001C7EA3" w:rsidRDefault="00DC71CB" w:rsidP="003F095C">
      <w:pPr>
        <w:pStyle w:val="Quote"/>
      </w:pPr>
      <w:r w:rsidRPr="001356C5">
        <w:t>Obvi</w:t>
      </w:r>
      <w:r w:rsidR="00F66544">
        <w:t xml:space="preserve">ously I used TAFE as a stepping </w:t>
      </w:r>
      <w:r w:rsidRPr="001356C5">
        <w:t xml:space="preserve">stone to here, but I learnt a lot along the way. I’m much better off, I’ve got much more than </w:t>
      </w:r>
      <w:r w:rsidR="00864623">
        <w:t>a stepping stone</w:t>
      </w:r>
      <w:r w:rsidR="003F095C">
        <w:t xml:space="preserve"> </w:t>
      </w:r>
      <w:r w:rsidR="007D173E">
        <w:t>…</w:t>
      </w:r>
      <w:r w:rsidR="00864623">
        <w:t xml:space="preserve"> I had one-on-</w:t>
      </w:r>
      <w:r w:rsidRPr="001356C5">
        <w:t xml:space="preserve">one </w:t>
      </w:r>
      <w:r w:rsidR="00786220" w:rsidRPr="001356C5">
        <w:t>learning;</w:t>
      </w:r>
      <w:r w:rsidRPr="001356C5">
        <w:t xml:space="preserve"> I learnt the environmen</w:t>
      </w:r>
      <w:r w:rsidR="00F66544">
        <w:t>t [of tertiary education]</w:t>
      </w:r>
      <w:r w:rsidR="001A6283">
        <w:t>. I</w:t>
      </w:r>
      <w:r w:rsidRPr="001356C5">
        <w:t>t was an adu</w:t>
      </w:r>
      <w:r w:rsidR="00E133CD">
        <w:t>lt environment. I’m more reliant</w:t>
      </w:r>
      <w:r w:rsidR="00512075">
        <w:t xml:space="preserve"> </w:t>
      </w:r>
      <w:r w:rsidR="00864623">
        <w:t>on myself now thanks to TAFE</w:t>
      </w:r>
      <w:r w:rsidR="00EB4C9D">
        <w:t>.</w:t>
      </w:r>
      <w:r w:rsidR="00F66544">
        <w:tab/>
      </w:r>
      <w:r w:rsidR="00864623">
        <w:t>(</w:t>
      </w:r>
      <w:r w:rsidR="00F66544">
        <w:t>University of Newcastle</w:t>
      </w:r>
      <w:r w:rsidRPr="00EC0B2C">
        <w:t>)</w:t>
      </w:r>
    </w:p>
    <w:p w:rsidR="00DC71CB" w:rsidRPr="00512075" w:rsidRDefault="00512075" w:rsidP="00133362">
      <w:pPr>
        <w:pStyle w:val="Quote"/>
      </w:pPr>
      <w:r w:rsidRPr="00512075">
        <w:t>I probably think it was the best thing that I did, was to do that first and then go through to university because I don’t think that I could have gone from school and ha</w:t>
      </w:r>
      <w:r w:rsidR="00F66544">
        <w:t xml:space="preserve">d </w:t>
      </w:r>
      <w:r w:rsidRPr="00512075">
        <w:t>the same sort of success that I’m having now at university as I would if I hadn’t gone through the path that I had.</w:t>
      </w:r>
      <w:r w:rsidR="00715E3E">
        <w:br/>
      </w:r>
      <w:r w:rsidR="00F66544">
        <w:tab/>
      </w:r>
      <w:r>
        <w:t>(</w:t>
      </w:r>
      <w:r w:rsidR="00A33D8C">
        <w:t>Curtin University of Technology</w:t>
      </w:r>
      <w:r>
        <w:t>)</w:t>
      </w:r>
    </w:p>
    <w:p w:rsidR="00512075" w:rsidRDefault="00512075" w:rsidP="00DC71CB">
      <w:pPr>
        <w:pStyle w:val="Text"/>
      </w:pPr>
      <w:r>
        <w:t>In some</w:t>
      </w:r>
      <w:r w:rsidR="00DC71CB" w:rsidRPr="00EF7E3C">
        <w:t xml:space="preserve"> cases</w:t>
      </w:r>
      <w:r w:rsidR="00864623">
        <w:t>,</w:t>
      </w:r>
      <w:r w:rsidR="00DC71CB" w:rsidRPr="00EF7E3C">
        <w:t xml:space="preserve"> students commented that they were performing better than their </w:t>
      </w:r>
      <w:r>
        <w:t xml:space="preserve">non-pathway </w:t>
      </w:r>
      <w:r w:rsidR="00DC71CB" w:rsidRPr="00EF7E3C">
        <w:t>peers</w:t>
      </w:r>
      <w:r>
        <w:t xml:space="preserve"> an</w:t>
      </w:r>
      <w:r w:rsidR="00DB32C4">
        <w:t>d that they were more motivated</w:t>
      </w:r>
      <w:r>
        <w:t xml:space="preserve">. </w:t>
      </w:r>
    </w:p>
    <w:p w:rsidR="00DB32C4" w:rsidRDefault="004A30C0" w:rsidP="00DB32C4">
      <w:pPr>
        <w:pStyle w:val="Quote"/>
      </w:pPr>
      <w:r w:rsidRPr="00B92F7F">
        <w:t>I definitely think TAFE helped build my confidence to cope here</w:t>
      </w:r>
      <w:r w:rsidR="00F66544">
        <w:t xml:space="preserve"> … </w:t>
      </w:r>
      <w:r w:rsidRPr="00B92F7F">
        <w:t>the ones straight from school are not as motivated</w:t>
      </w:r>
      <w:r w:rsidR="000355F1">
        <w:t>.</w:t>
      </w:r>
    </w:p>
    <w:p w:rsidR="00DB32C4" w:rsidRDefault="00DB32C4" w:rsidP="00DB32C4">
      <w:pPr>
        <w:pStyle w:val="Quote"/>
      </w:pPr>
      <w:r w:rsidRPr="00E71C33">
        <w:t>You want to be there so you work well</w:t>
      </w:r>
      <w:r w:rsidR="00F66544">
        <w:t xml:space="preserve"> </w:t>
      </w:r>
      <w:r w:rsidRPr="00E71C33">
        <w:t>… the kids are not so dedicated</w:t>
      </w:r>
      <w:r w:rsidR="000355F1">
        <w:t>.</w:t>
      </w:r>
      <w:r w:rsidR="00715E3E">
        <w:br/>
      </w:r>
      <w:r w:rsidR="00F66544">
        <w:tab/>
      </w:r>
      <w:r>
        <w:t>(</w:t>
      </w:r>
      <w:r w:rsidR="00363A4D">
        <w:t>University of South Australia</w:t>
      </w:r>
      <w:r w:rsidR="00F66544">
        <w:t>, student with f</w:t>
      </w:r>
      <w:r>
        <w:t>irst class honours)</w:t>
      </w:r>
    </w:p>
    <w:p w:rsidR="00DB32C4" w:rsidRDefault="00DB32C4" w:rsidP="00DB32C4">
      <w:pPr>
        <w:pStyle w:val="Quote"/>
      </w:pPr>
      <w:r w:rsidRPr="00E71C33">
        <w:t>If I’m going to be there</w:t>
      </w:r>
      <w:r>
        <w:t xml:space="preserve"> I’m going to do the best I can</w:t>
      </w:r>
      <w:r w:rsidR="000355F1">
        <w:t>.</w:t>
      </w:r>
      <w:r w:rsidR="00F66544">
        <w:tab/>
      </w:r>
      <w:r>
        <w:t>(</w:t>
      </w:r>
      <w:r w:rsidR="00A33D8C">
        <w:t>Curtin University of Technology</w:t>
      </w:r>
      <w:r>
        <w:t>)</w:t>
      </w:r>
    </w:p>
    <w:p w:rsidR="00AA78A0" w:rsidRDefault="00DB32C4" w:rsidP="00DB32C4">
      <w:pPr>
        <w:pStyle w:val="Quote"/>
      </w:pPr>
      <w:r w:rsidRPr="00F7435B">
        <w:t>I work</w:t>
      </w:r>
      <w:r w:rsidR="00BE38F3">
        <w:t xml:space="preserve"> much harder to do </w:t>
      </w:r>
      <w:r w:rsidR="00AA78A0">
        <w:t>well at uni</w:t>
      </w:r>
      <w:r w:rsidR="000355F1">
        <w:t>.</w:t>
      </w:r>
      <w:r w:rsidR="00F66544">
        <w:tab/>
      </w:r>
      <w:r w:rsidR="0053375B">
        <w:t>(</w:t>
      </w:r>
      <w:r>
        <w:t>Deakin</w:t>
      </w:r>
      <w:r w:rsidR="00F66544">
        <w:t xml:space="preserve"> University</w:t>
      </w:r>
      <w:r>
        <w:t>)</w:t>
      </w:r>
    </w:p>
    <w:p w:rsidR="00AA78A0" w:rsidRPr="005D3FE4" w:rsidRDefault="00F66544" w:rsidP="00AA78A0">
      <w:pPr>
        <w:pStyle w:val="Quote"/>
        <w:rPr>
          <w:i/>
        </w:rPr>
      </w:pPr>
      <w:r>
        <w:t>It [the pathway]</w:t>
      </w:r>
      <w:r w:rsidR="00AA78A0">
        <w:t xml:space="preserve"> has </w:t>
      </w:r>
      <w:r w:rsidR="00AA78A0" w:rsidRPr="00904F94">
        <w:t>been really good for me I think, in like maturing as a person and also in giving me a better understanding of where I want to go in the future</w:t>
      </w:r>
      <w:r w:rsidR="00EB4C9D">
        <w:t>.</w:t>
      </w:r>
    </w:p>
    <w:p w:rsidR="00512075" w:rsidRPr="00715E3E" w:rsidRDefault="00DB32C4" w:rsidP="00715E3E">
      <w:pPr>
        <w:pStyle w:val="Text"/>
        <w:ind w:right="-143"/>
      </w:pPr>
      <w:r>
        <w:t xml:space="preserve">One of the reasons </w:t>
      </w:r>
      <w:r w:rsidR="00BC4CB1">
        <w:t xml:space="preserve">students </w:t>
      </w:r>
      <w:r w:rsidR="00F66544">
        <w:t>propose</w:t>
      </w:r>
      <w:r w:rsidR="00BC4CB1">
        <w:t xml:space="preserve"> </w:t>
      </w:r>
      <w:r>
        <w:t xml:space="preserve">for </w:t>
      </w:r>
      <w:r w:rsidR="00FE5647">
        <w:t>their increased self-confidence, high motivation and success in</w:t>
      </w:r>
      <w:r w:rsidR="00715E3E">
        <w:t> </w:t>
      </w:r>
      <w:r w:rsidR="00510D3B">
        <w:t>higher education</w:t>
      </w:r>
      <w:r w:rsidR="00FE5647">
        <w:t xml:space="preserve"> </w:t>
      </w:r>
      <w:r w:rsidR="004C4110">
        <w:t>is</w:t>
      </w:r>
      <w:r>
        <w:t xml:space="preserve"> </w:t>
      </w:r>
      <w:r w:rsidR="00BC4CB1">
        <w:t xml:space="preserve">the </w:t>
      </w:r>
      <w:r w:rsidR="00040BFA">
        <w:t>pathway</w:t>
      </w:r>
      <w:r w:rsidR="00E133CD">
        <w:t>s</w:t>
      </w:r>
      <w:r w:rsidR="00040BFA">
        <w:t xml:space="preserve"> model </w:t>
      </w:r>
      <w:r w:rsidR="004C4110">
        <w:t xml:space="preserve">itself. By </w:t>
      </w:r>
      <w:r w:rsidR="00F66544">
        <w:t>undertaking</w:t>
      </w:r>
      <w:r w:rsidR="004C4110">
        <w:t xml:space="preserve"> </w:t>
      </w:r>
      <w:r w:rsidR="00510D3B">
        <w:t>vocational education and training</w:t>
      </w:r>
      <w:r w:rsidR="004C4110">
        <w:t xml:space="preserve"> first</w:t>
      </w:r>
      <w:r w:rsidR="00715E3E">
        <w:t> </w:t>
      </w:r>
      <w:r w:rsidR="004C4110">
        <w:t xml:space="preserve">they had developed </w:t>
      </w:r>
      <w:r w:rsidR="00040BFA">
        <w:t>a</w:t>
      </w:r>
      <w:r w:rsidR="00A8014B">
        <w:t xml:space="preserve"> far clearer understand</w:t>
      </w:r>
      <w:r>
        <w:t xml:space="preserve">ing of the </w:t>
      </w:r>
      <w:r w:rsidR="004C4110">
        <w:t>degree</w:t>
      </w:r>
      <w:r w:rsidR="002C5D62">
        <w:t>’s</w:t>
      </w:r>
      <w:r w:rsidR="004C4110">
        <w:t xml:space="preserve"> focus and </w:t>
      </w:r>
      <w:r w:rsidR="00E133CD">
        <w:t xml:space="preserve">the </w:t>
      </w:r>
      <w:r w:rsidR="00A8014B">
        <w:t>industry</w:t>
      </w:r>
      <w:r w:rsidR="004C4110">
        <w:t>/</w:t>
      </w:r>
      <w:r>
        <w:t xml:space="preserve">career they </w:t>
      </w:r>
      <w:r>
        <w:lastRenderedPageBreak/>
        <w:t>ha</w:t>
      </w:r>
      <w:r w:rsidR="004C4110">
        <w:t>d</w:t>
      </w:r>
      <w:r>
        <w:t xml:space="preserve"> chosen </w:t>
      </w:r>
      <w:r w:rsidR="004C4110">
        <w:t>compared with some of their peers;</w:t>
      </w:r>
      <w:r w:rsidR="00E02624">
        <w:t xml:space="preserve"> </w:t>
      </w:r>
      <w:r>
        <w:t>they kn</w:t>
      </w:r>
      <w:r w:rsidR="00BC4CB1">
        <w:t>e</w:t>
      </w:r>
      <w:r>
        <w:t xml:space="preserve">w from their VET studies what </w:t>
      </w:r>
      <w:r w:rsidR="004C4110">
        <w:t xml:space="preserve">the degree entailed and </w:t>
      </w:r>
      <w:r>
        <w:t xml:space="preserve">from studying in a tertiary </w:t>
      </w:r>
      <w:r w:rsidRPr="00715E3E">
        <w:t xml:space="preserve">environment they </w:t>
      </w:r>
      <w:r w:rsidR="004C4110" w:rsidRPr="00715E3E">
        <w:t xml:space="preserve">knew what they </w:t>
      </w:r>
      <w:r w:rsidRPr="00715E3E">
        <w:t>nee</w:t>
      </w:r>
      <w:r w:rsidR="004C4110" w:rsidRPr="00715E3E">
        <w:t xml:space="preserve">ded </w:t>
      </w:r>
      <w:r w:rsidRPr="00715E3E">
        <w:t>to do to succeed.</w:t>
      </w:r>
    </w:p>
    <w:p w:rsidR="00143D56" w:rsidRPr="00715E3E" w:rsidRDefault="00BE38F3" w:rsidP="00715E3E">
      <w:pPr>
        <w:pStyle w:val="Text"/>
      </w:pPr>
      <w:r w:rsidRPr="00715E3E">
        <w:t xml:space="preserve">Whether </w:t>
      </w:r>
      <w:r w:rsidR="00FE5647" w:rsidRPr="00715E3E">
        <w:t>the students’</w:t>
      </w:r>
      <w:r w:rsidRPr="00715E3E">
        <w:t xml:space="preserve"> views </w:t>
      </w:r>
      <w:r w:rsidR="0053375B" w:rsidRPr="00715E3E">
        <w:t xml:space="preserve">and perceptions </w:t>
      </w:r>
      <w:r w:rsidRPr="00715E3E">
        <w:t>are accurate</w:t>
      </w:r>
      <w:r w:rsidR="00143D56" w:rsidRPr="00715E3E">
        <w:t xml:space="preserve"> </w:t>
      </w:r>
      <w:r w:rsidRPr="00715E3E">
        <w:t xml:space="preserve">cannot be verified </w:t>
      </w:r>
      <w:r w:rsidR="0053375B" w:rsidRPr="00715E3E">
        <w:t xml:space="preserve">in this study. Such verification would need to be determined through </w:t>
      </w:r>
      <w:r w:rsidR="002C5D62" w:rsidRPr="00715E3E">
        <w:t>appropriate evidence-</w:t>
      </w:r>
      <w:r w:rsidR="00EB4C9D" w:rsidRPr="00715E3E">
        <w:t xml:space="preserve">based research </w:t>
      </w:r>
      <w:r w:rsidR="0053375B" w:rsidRPr="00715E3E">
        <w:t>and this is</w:t>
      </w:r>
      <w:r w:rsidRPr="00715E3E">
        <w:t xml:space="preserve"> outside the project’s scope</w:t>
      </w:r>
      <w:r w:rsidR="00DC71CB" w:rsidRPr="00715E3E">
        <w:t xml:space="preserve">. </w:t>
      </w:r>
      <w:r w:rsidRPr="00715E3E">
        <w:t xml:space="preserve">We note that </w:t>
      </w:r>
      <w:r w:rsidR="00E133CD" w:rsidRPr="00715E3E">
        <w:t xml:space="preserve">the </w:t>
      </w:r>
      <w:r w:rsidR="00D70318" w:rsidRPr="00715E3E">
        <w:t>University of Western Sydney</w:t>
      </w:r>
      <w:r w:rsidR="0053375B" w:rsidRPr="00715E3E">
        <w:t xml:space="preserve"> has</w:t>
      </w:r>
      <w:r w:rsidR="00DC71CB" w:rsidRPr="00715E3E">
        <w:t xml:space="preserve"> undertaken initial longitudinal s</w:t>
      </w:r>
      <w:r w:rsidR="0053375B" w:rsidRPr="00715E3E">
        <w:t xml:space="preserve">tudies of </w:t>
      </w:r>
      <w:r w:rsidR="000F2583" w:rsidRPr="00715E3E">
        <w:t>pathways</w:t>
      </w:r>
      <w:r w:rsidR="0053375B" w:rsidRPr="00715E3E">
        <w:t xml:space="preserve"> students</w:t>
      </w:r>
      <w:r w:rsidR="00DC71CB" w:rsidRPr="00715E3E">
        <w:t xml:space="preserve">. </w:t>
      </w:r>
      <w:r w:rsidR="002C5D62" w:rsidRPr="00715E3E">
        <w:t>The early</w:t>
      </w:r>
      <w:r w:rsidR="00DC71CB" w:rsidRPr="00715E3E">
        <w:t xml:space="preserve"> indications are that </w:t>
      </w:r>
      <w:r w:rsidR="000F2583" w:rsidRPr="00715E3E">
        <w:t>these</w:t>
      </w:r>
      <w:r w:rsidR="00DC71CB" w:rsidRPr="00715E3E">
        <w:t xml:space="preserve"> students are performing at equal or above average levels by comparison </w:t>
      </w:r>
      <w:r w:rsidR="00E133CD" w:rsidRPr="00715E3E">
        <w:t>with</w:t>
      </w:r>
      <w:r w:rsidR="00DC71CB" w:rsidRPr="00715E3E">
        <w:t xml:space="preserve"> non-articulating peers, but th</w:t>
      </w:r>
      <w:r w:rsidR="002C5D62" w:rsidRPr="00715E3E">
        <w:t>ese</w:t>
      </w:r>
      <w:r w:rsidR="00DC71CB" w:rsidRPr="00715E3E">
        <w:t xml:space="preserve"> </w:t>
      </w:r>
      <w:r w:rsidR="00E133CD" w:rsidRPr="00715E3E">
        <w:t xml:space="preserve">studies </w:t>
      </w:r>
      <w:r w:rsidR="002C5D62" w:rsidRPr="00715E3E">
        <w:t>are</w:t>
      </w:r>
      <w:r w:rsidR="00DC71CB" w:rsidRPr="00715E3E">
        <w:t xml:space="preserve"> still in </w:t>
      </w:r>
      <w:r w:rsidR="002C5D62" w:rsidRPr="00715E3E">
        <w:t>the</w:t>
      </w:r>
      <w:r w:rsidR="00DC71CB" w:rsidRPr="00715E3E">
        <w:t xml:space="preserve"> collection phase. </w:t>
      </w:r>
      <w:r w:rsidRPr="00715E3E">
        <w:t>Other such evaluations are also regularly undertaken as part of some u</w:t>
      </w:r>
      <w:r w:rsidR="0053375B" w:rsidRPr="00715E3E">
        <w:t>n</w:t>
      </w:r>
      <w:r w:rsidR="00143D56" w:rsidRPr="00715E3E">
        <w:t>iversity systems on pathways.</w:t>
      </w:r>
      <w:r w:rsidR="00510D3B" w:rsidRPr="00715E3E">
        <w:t xml:space="preserve"> </w:t>
      </w:r>
      <w:r w:rsidR="00143D56" w:rsidRPr="00715E3E">
        <w:t>Further resea</w:t>
      </w:r>
      <w:r w:rsidR="0053375B" w:rsidRPr="00715E3E">
        <w:t>r</w:t>
      </w:r>
      <w:r w:rsidR="00143D56" w:rsidRPr="00715E3E">
        <w:t>c</w:t>
      </w:r>
      <w:r w:rsidR="0053375B" w:rsidRPr="00715E3E">
        <w:t xml:space="preserve">h in this area </w:t>
      </w:r>
      <w:r w:rsidR="00143D56" w:rsidRPr="00715E3E">
        <w:t>is warranted.</w:t>
      </w:r>
    </w:p>
    <w:p w:rsidR="00E040B8" w:rsidRDefault="005A3061" w:rsidP="00715E3E">
      <w:pPr>
        <w:pStyle w:val="Text"/>
      </w:pPr>
      <w:r w:rsidRPr="00715E3E">
        <w:t>I</w:t>
      </w:r>
      <w:r w:rsidR="00143D56" w:rsidRPr="00715E3E">
        <w:t xml:space="preserve">n the context of this </w:t>
      </w:r>
      <w:r w:rsidRPr="00715E3E">
        <w:t>study</w:t>
      </w:r>
      <w:r w:rsidR="00E133CD" w:rsidRPr="00715E3E">
        <w:t>,</w:t>
      </w:r>
      <w:r w:rsidRPr="00715E3E">
        <w:t xml:space="preserve"> </w:t>
      </w:r>
      <w:r w:rsidR="00143D56" w:rsidRPr="00715E3E">
        <w:t>verification is no</w:t>
      </w:r>
      <w:r w:rsidR="00143D56">
        <w:t>t the point; rather</w:t>
      </w:r>
      <w:r w:rsidR="00F9591F">
        <w:t>,</w:t>
      </w:r>
      <w:r w:rsidR="00143D56">
        <w:t xml:space="preserve"> it is </w:t>
      </w:r>
      <w:r w:rsidR="005D1769">
        <w:t>the students’ perceptions of themselves as</w:t>
      </w:r>
      <w:r w:rsidR="002C5D62">
        <w:t xml:space="preserve"> more focu</w:t>
      </w:r>
      <w:r w:rsidR="00143D56">
        <w:t>sed,</w:t>
      </w:r>
      <w:r w:rsidR="005D1769">
        <w:t xml:space="preserve"> more motivated and prepared to</w:t>
      </w:r>
      <w:r w:rsidR="00143D56">
        <w:t xml:space="preserve"> do as well or better than other cohorts</w:t>
      </w:r>
      <w:r w:rsidR="005D1769">
        <w:t xml:space="preserve"> </w:t>
      </w:r>
      <w:r w:rsidR="00E040B8">
        <w:t>that</w:t>
      </w:r>
      <w:r w:rsidR="005D1769">
        <w:t xml:space="preserve"> is important</w:t>
      </w:r>
      <w:r w:rsidR="00143D56">
        <w:t xml:space="preserve">. </w:t>
      </w:r>
      <w:r w:rsidR="006B784D">
        <w:t xml:space="preserve">Two </w:t>
      </w:r>
      <w:r w:rsidR="00E040B8">
        <w:t xml:space="preserve">individual </w:t>
      </w:r>
      <w:r w:rsidR="006B784D">
        <w:t>capacities emerge from these responses</w:t>
      </w:r>
      <w:r w:rsidR="007D50F9">
        <w:t xml:space="preserve">, both </w:t>
      </w:r>
      <w:r w:rsidR="000355F1">
        <w:t>developed through</w:t>
      </w:r>
      <w:r w:rsidR="00786220">
        <w:t xml:space="preserve"> the</w:t>
      </w:r>
      <w:r w:rsidR="00E040B8">
        <w:t xml:space="preserve"> </w:t>
      </w:r>
      <w:r w:rsidR="007D50F9">
        <w:t>pathways experience:</w:t>
      </w:r>
      <w:r w:rsidR="006B784D">
        <w:t xml:space="preserve"> </w:t>
      </w:r>
    </w:p>
    <w:p w:rsidR="00DF2A95" w:rsidRDefault="006B784D">
      <w:pPr>
        <w:pStyle w:val="Dotpoint1"/>
      </w:pPr>
      <w:r>
        <w:t>the</w:t>
      </w:r>
      <w:r w:rsidR="00143D56">
        <w:t xml:space="preserve"> </w:t>
      </w:r>
      <w:r w:rsidR="005D1769">
        <w:t xml:space="preserve">sense of </w:t>
      </w:r>
      <w:r w:rsidR="00143D56">
        <w:t>self-belief</w:t>
      </w:r>
      <w:r>
        <w:t>/self-confidence</w:t>
      </w:r>
      <w:r w:rsidR="00510D3B">
        <w:t xml:space="preserve"> </w:t>
      </w:r>
    </w:p>
    <w:p w:rsidR="00E040B8" w:rsidRDefault="006B784D" w:rsidP="00E040B8">
      <w:pPr>
        <w:pStyle w:val="Dotpoint1"/>
      </w:pPr>
      <w:proofErr w:type="gramStart"/>
      <w:r>
        <w:t>the</w:t>
      </w:r>
      <w:proofErr w:type="gramEnd"/>
      <w:r w:rsidR="005D1769">
        <w:t xml:space="preserve"> capacity for self-directed learning</w:t>
      </w:r>
      <w:r>
        <w:t xml:space="preserve">. </w:t>
      </w:r>
    </w:p>
    <w:p w:rsidR="00DC71CB" w:rsidRDefault="00E040B8" w:rsidP="00715E3E">
      <w:pPr>
        <w:pStyle w:val="Text"/>
        <w:ind w:right="-143"/>
      </w:pPr>
      <w:r>
        <w:t>Each of t</w:t>
      </w:r>
      <w:r w:rsidR="006B784D">
        <w:t xml:space="preserve">hese </w:t>
      </w:r>
      <w:r w:rsidR="00786220">
        <w:t>constitutes</w:t>
      </w:r>
      <w:r w:rsidR="006651E9">
        <w:t xml:space="preserve"> </w:t>
      </w:r>
      <w:r w:rsidR="000355F1">
        <w:t xml:space="preserve">a </w:t>
      </w:r>
      <w:r w:rsidR="006651E9">
        <w:t xml:space="preserve">specific </w:t>
      </w:r>
      <w:r w:rsidR="00143D56">
        <w:t>enabler</w:t>
      </w:r>
      <w:r w:rsidR="000F2583">
        <w:t xml:space="preserve"> </w:t>
      </w:r>
      <w:r w:rsidR="005D1769">
        <w:t xml:space="preserve">within </w:t>
      </w:r>
      <w:r w:rsidR="00931A9F">
        <w:t xml:space="preserve">the </w:t>
      </w:r>
      <w:r w:rsidR="00143D56">
        <w:t xml:space="preserve">strategy of building confidence. </w:t>
      </w:r>
      <w:r>
        <w:t xml:space="preserve">This combination of motivation and capacity for self-directed learning are two key facets of the </w:t>
      </w:r>
      <w:r w:rsidR="002C5D62">
        <w:t>Organisation for Economic Co-operation and Development’s (OECD)</w:t>
      </w:r>
      <w:r>
        <w:t xml:space="preserve"> concept of </w:t>
      </w:r>
      <w:r w:rsidR="002C5D62">
        <w:t xml:space="preserve">lifelong learning </w:t>
      </w:r>
      <w:r w:rsidR="006651E9">
        <w:t>(OECD</w:t>
      </w:r>
      <w:r w:rsidR="00F9591F">
        <w:t xml:space="preserve"> </w:t>
      </w:r>
      <w:r w:rsidR="002C5D62" w:rsidRPr="00637E6C">
        <w:t>2007</w:t>
      </w:r>
      <w:r w:rsidR="00637E6C" w:rsidRPr="00637E6C">
        <w:t>)</w:t>
      </w:r>
      <w:r w:rsidR="00637E6C">
        <w:t>.</w:t>
      </w:r>
    </w:p>
    <w:p w:rsidR="00911147" w:rsidRDefault="00911147" w:rsidP="00911147">
      <w:pPr>
        <w:pStyle w:val="Text"/>
      </w:pPr>
      <w:r>
        <w:t xml:space="preserve">In summarising the </w:t>
      </w:r>
      <w:r w:rsidR="00786220">
        <w:t>outcomes from</w:t>
      </w:r>
      <w:r w:rsidR="00F9591F">
        <w:t xml:space="preserve"> the student interviews</w:t>
      </w:r>
      <w:r>
        <w:t>, the most commonly identified enablers were:</w:t>
      </w:r>
    </w:p>
    <w:p w:rsidR="00911147" w:rsidRDefault="002C5D62" w:rsidP="00911147">
      <w:pPr>
        <w:pStyle w:val="Dotpoint1"/>
      </w:pPr>
      <w:r>
        <w:t>people-</w:t>
      </w:r>
      <w:r w:rsidR="00911147">
        <w:t>rich resources, particularly teachers</w:t>
      </w:r>
      <w:r w:rsidR="00510D3B">
        <w:t xml:space="preserve"> </w:t>
      </w:r>
      <w:r w:rsidR="00E133CD">
        <w:t>(s</w:t>
      </w:r>
      <w:r w:rsidR="00911147">
        <w:t>trategy 1)</w:t>
      </w:r>
    </w:p>
    <w:p w:rsidR="004705A8" w:rsidRDefault="00911147" w:rsidP="00911147">
      <w:pPr>
        <w:pStyle w:val="Dotpoint1"/>
      </w:pPr>
      <w:r>
        <w:t>the recognition of difference</w:t>
      </w:r>
      <w:r w:rsidR="004705A8">
        <w:t xml:space="preserve">, expressed as credit </w:t>
      </w:r>
      <w:r w:rsidR="00E133CD">
        <w:t>(s</w:t>
      </w:r>
      <w:r>
        <w:t xml:space="preserve">trategy 2) </w:t>
      </w:r>
    </w:p>
    <w:p w:rsidR="004705A8" w:rsidRDefault="004705A8" w:rsidP="004705A8">
      <w:pPr>
        <w:pStyle w:val="Dotpoint1"/>
      </w:pPr>
      <w:r>
        <w:t>enhanced curric</w:t>
      </w:r>
      <w:r w:rsidR="009C38A7">
        <w:t xml:space="preserve">ulum through </w:t>
      </w:r>
      <w:r>
        <w:t xml:space="preserve">positive </w:t>
      </w:r>
      <w:r w:rsidR="009C38A7">
        <w:t xml:space="preserve">learning experiences and </w:t>
      </w:r>
      <w:r>
        <w:t>quality teachi</w:t>
      </w:r>
      <w:r w:rsidR="00E133CD">
        <w:t>ng in TAFE/VET (s</w:t>
      </w:r>
      <w:r>
        <w:t xml:space="preserve">trategy 2) </w:t>
      </w:r>
    </w:p>
    <w:p w:rsidR="00DF2A95" w:rsidRDefault="004705A8">
      <w:pPr>
        <w:pStyle w:val="Dotpoint1"/>
      </w:pPr>
      <w:proofErr w:type="gramStart"/>
      <w:r>
        <w:t>t</w:t>
      </w:r>
      <w:r w:rsidR="00911147">
        <w:t>he</w:t>
      </w:r>
      <w:proofErr w:type="gramEnd"/>
      <w:r w:rsidR="00911147">
        <w:t xml:space="preserve"> building of </w:t>
      </w:r>
      <w:r w:rsidR="002C5D62">
        <w:t>self</w:t>
      </w:r>
      <w:r>
        <w:t>-</w:t>
      </w:r>
      <w:r w:rsidR="00911147">
        <w:t xml:space="preserve">confidence </w:t>
      </w:r>
      <w:r>
        <w:t xml:space="preserve">and </w:t>
      </w:r>
      <w:r w:rsidR="00786220">
        <w:t>self-belief</w:t>
      </w:r>
      <w:r>
        <w:t xml:space="preserve"> </w:t>
      </w:r>
      <w:r w:rsidR="009C38A7">
        <w:t>through the pathway</w:t>
      </w:r>
      <w:r w:rsidR="00E133CD">
        <w:t>s</w:t>
      </w:r>
      <w:r w:rsidR="009C38A7">
        <w:t xml:space="preserve"> experience </w:t>
      </w:r>
      <w:r w:rsidR="00E133CD">
        <w:t>(s</w:t>
      </w:r>
      <w:r w:rsidR="00911147">
        <w:t>trategy 4).</w:t>
      </w:r>
    </w:p>
    <w:p w:rsidR="00911147" w:rsidRDefault="002C5D62" w:rsidP="00911147">
      <w:pPr>
        <w:pStyle w:val="Text"/>
      </w:pPr>
      <w:r>
        <w:t>While</w:t>
      </w:r>
      <w:r w:rsidR="00911147">
        <w:t xml:space="preserve"> these were the most common</w:t>
      </w:r>
      <w:r>
        <w:t xml:space="preserve"> enablers</w:t>
      </w:r>
      <w:r w:rsidR="00911147">
        <w:t xml:space="preserve">, it </w:t>
      </w:r>
      <w:r w:rsidR="00911147" w:rsidRPr="00014332">
        <w:t>is not appropri</w:t>
      </w:r>
      <w:r>
        <w:t>ate to rank or prioritise them</w:t>
      </w:r>
      <w:r w:rsidR="00212A78">
        <w:t>, given the qualitative focus</w:t>
      </w:r>
      <w:r w:rsidR="00911147">
        <w:t xml:space="preserve"> of the research and the limited number of interviewees</w:t>
      </w:r>
      <w:r w:rsidR="00911147" w:rsidRPr="00014332">
        <w:t>.</w:t>
      </w:r>
      <w:r w:rsidR="00510D3B">
        <w:t xml:space="preserve"> </w:t>
      </w:r>
    </w:p>
    <w:p w:rsidR="003075CF" w:rsidRDefault="003075CF">
      <w:pPr>
        <w:spacing w:before="0" w:line="240" w:lineRule="auto"/>
        <w:rPr>
          <w:rFonts w:ascii="Tahoma" w:hAnsi="Tahoma" w:cs="Tahoma"/>
          <w:color w:val="000000"/>
          <w:kern w:val="28"/>
          <w:sz w:val="56"/>
          <w:szCs w:val="56"/>
        </w:rPr>
      </w:pPr>
      <w:r>
        <w:br w:type="page"/>
      </w:r>
    </w:p>
    <w:p w:rsidR="007400E7" w:rsidRDefault="00DC71CB" w:rsidP="00C65A04">
      <w:pPr>
        <w:pStyle w:val="Heading1"/>
      </w:pPr>
      <w:bookmarkStart w:id="55" w:name="_Toc358115585"/>
      <w:r>
        <w:lastRenderedPageBreak/>
        <w:t>Perspectives from industry</w:t>
      </w:r>
      <w:r w:rsidR="003075CF">
        <w:t xml:space="preserve"> </w:t>
      </w:r>
      <w:r w:rsidRPr="00C65A04">
        <w:t>representatives</w:t>
      </w:r>
      <w:r>
        <w:t xml:space="preserve"> and other stakeholders</w:t>
      </w:r>
      <w:bookmarkEnd w:id="55"/>
    </w:p>
    <w:p w:rsidR="00DF2A95" w:rsidRDefault="00206994" w:rsidP="00C65A04">
      <w:pPr>
        <w:pStyle w:val="Text"/>
      </w:pPr>
      <w:r>
        <w:t>Roundt</w:t>
      </w:r>
      <w:r w:rsidR="00FF7CBE">
        <w:t>able</w:t>
      </w:r>
      <w:r w:rsidR="006E0FD2">
        <w:t xml:space="preserve"> forum</w:t>
      </w:r>
      <w:r w:rsidR="009D411D">
        <w:t>s</w:t>
      </w:r>
      <w:r w:rsidR="00AC4842">
        <w:t xml:space="preserve"> of industry and other stakeholders were held in each stage of the project to:</w:t>
      </w:r>
    </w:p>
    <w:p w:rsidR="006E0FD2" w:rsidRDefault="00FC3467" w:rsidP="00AC4842">
      <w:pPr>
        <w:pStyle w:val="Dotpoint1"/>
      </w:pPr>
      <w:r>
        <w:t xml:space="preserve">provide </w:t>
      </w:r>
      <w:r w:rsidR="009D411D">
        <w:t xml:space="preserve">industry and other </w:t>
      </w:r>
      <w:r>
        <w:t xml:space="preserve">stakeholders with information about </w:t>
      </w:r>
      <w:r w:rsidR="006E0FD2">
        <w:t xml:space="preserve">the </w:t>
      </w:r>
      <w:r w:rsidR="008869A7">
        <w:t>project, as part of communication and dissemination procedures</w:t>
      </w:r>
    </w:p>
    <w:p w:rsidR="006E0FD2" w:rsidRDefault="00AC4842" w:rsidP="00AC43E3">
      <w:pPr>
        <w:pStyle w:val="Dotpoint1"/>
      </w:pPr>
      <w:r>
        <w:t>enable</w:t>
      </w:r>
      <w:r w:rsidR="006E0FD2">
        <w:t xml:space="preserve"> the part</w:t>
      </w:r>
      <w:r w:rsidR="00AC43E3">
        <w:t>icipants to discuss the research</w:t>
      </w:r>
      <w:r w:rsidR="006E0FD2">
        <w:t xml:space="preserve"> </w:t>
      </w:r>
      <w:r w:rsidR="009D411D">
        <w:t xml:space="preserve">findings </w:t>
      </w:r>
      <w:r w:rsidR="006E0FD2">
        <w:t xml:space="preserve">and </w:t>
      </w:r>
      <w:r>
        <w:t xml:space="preserve">consider </w:t>
      </w:r>
      <w:r w:rsidR="00AC43E3">
        <w:t xml:space="preserve">the </w:t>
      </w:r>
      <w:r w:rsidR="00E148B1">
        <w:t>issues raised</w:t>
      </w:r>
    </w:p>
    <w:p w:rsidR="006E0FD2" w:rsidRDefault="00FC3467" w:rsidP="00AC43E3">
      <w:pPr>
        <w:pStyle w:val="Dotpoint1"/>
      </w:pPr>
      <w:proofErr w:type="gramStart"/>
      <w:r>
        <w:t>elicit</w:t>
      </w:r>
      <w:proofErr w:type="gramEnd"/>
      <w:r>
        <w:t xml:space="preserve"> </w:t>
      </w:r>
      <w:r w:rsidR="006E0FD2">
        <w:t xml:space="preserve">ideas and options on improving pathways in this industry </w:t>
      </w:r>
      <w:r>
        <w:t xml:space="preserve">to </w:t>
      </w:r>
      <w:r w:rsidR="00FF7CBE">
        <w:t xml:space="preserve">further </w:t>
      </w:r>
      <w:r>
        <w:t xml:space="preserve">inform the </w:t>
      </w:r>
      <w:r w:rsidR="00AC43E3">
        <w:t>project</w:t>
      </w:r>
      <w:r w:rsidR="009D411D">
        <w:t xml:space="preserve"> impacts</w:t>
      </w:r>
      <w:r w:rsidR="00AC43E3">
        <w:t>.</w:t>
      </w:r>
    </w:p>
    <w:p w:rsidR="00BC3AAB" w:rsidRPr="00C65A04" w:rsidRDefault="002E7C17" w:rsidP="00C65A04">
      <w:pPr>
        <w:pStyle w:val="Text"/>
      </w:pPr>
      <w:r>
        <w:t xml:space="preserve">The first </w:t>
      </w:r>
      <w:r w:rsidR="00206994">
        <w:t>roundtable</w:t>
      </w:r>
      <w:r>
        <w:t xml:space="preserve"> </w:t>
      </w:r>
      <w:r w:rsidR="00157863">
        <w:t xml:space="preserve">reviewed aspects of the </w:t>
      </w:r>
      <w:r w:rsidR="000154F3">
        <w:t>collated</w:t>
      </w:r>
      <w:r w:rsidR="00157863">
        <w:t xml:space="preserve"> education and industry data</w:t>
      </w:r>
      <w:r w:rsidR="00FF7CBE">
        <w:t xml:space="preserve">. </w:t>
      </w:r>
      <w:r w:rsidR="009D411D">
        <w:t xml:space="preserve">The second forum considered the </w:t>
      </w:r>
      <w:r w:rsidR="00157863">
        <w:t xml:space="preserve">outcomes from the </w:t>
      </w:r>
      <w:r w:rsidR="009D411D">
        <w:t xml:space="preserve">student </w:t>
      </w:r>
      <w:r w:rsidR="005175F8">
        <w:t xml:space="preserve">interview </w:t>
      </w:r>
      <w:r w:rsidR="009D411D">
        <w:t>data. To guide the proceedings, a discussion paper was</w:t>
      </w:r>
      <w:r w:rsidR="00BC3AAB">
        <w:t xml:space="preserve"> developed for each </w:t>
      </w:r>
      <w:r w:rsidR="00E148B1">
        <w:t xml:space="preserve">roundtable </w:t>
      </w:r>
      <w:r w:rsidR="008869A7">
        <w:t>containing</w:t>
      </w:r>
      <w:r w:rsidR="00BC3AAB">
        <w:t xml:space="preserve"> specific questions</w:t>
      </w:r>
      <w:r w:rsidR="008869A7">
        <w:t xml:space="preserve"> designed</w:t>
      </w:r>
      <w:r w:rsidR="00BC3AAB">
        <w:t xml:space="preserve"> to</w:t>
      </w:r>
      <w:r w:rsidR="009D411D">
        <w:t xml:space="preserve"> focus </w:t>
      </w:r>
      <w:r w:rsidR="00BC3AAB">
        <w:t>consideration of the issues</w:t>
      </w:r>
      <w:r w:rsidR="002056E8">
        <w:t xml:space="preserve">. The </w:t>
      </w:r>
      <w:r w:rsidR="00BC3AAB">
        <w:t xml:space="preserve">participants </w:t>
      </w:r>
      <w:r w:rsidR="002056E8">
        <w:t xml:space="preserve">showed keen interest </w:t>
      </w:r>
      <w:r w:rsidR="00BC3AAB">
        <w:t>in discussing the issu</w:t>
      </w:r>
      <w:r w:rsidR="00782540">
        <w:t>es and all were cognisant of the project’s</w:t>
      </w:r>
      <w:r w:rsidR="00BC3AAB">
        <w:t xml:space="preserve"> relevance to </w:t>
      </w:r>
      <w:r w:rsidR="00782540">
        <w:t xml:space="preserve">future workforce development and </w:t>
      </w:r>
      <w:r w:rsidR="00BC3AAB">
        <w:t>skill needs</w:t>
      </w:r>
      <w:r w:rsidR="00782540">
        <w:t xml:space="preserve"> in building and construction</w:t>
      </w:r>
      <w:r w:rsidR="00BC3AAB">
        <w:t>.</w:t>
      </w:r>
      <w:r w:rsidR="002056E8">
        <w:t xml:space="preserve"> All recognised the importance of building improved </w:t>
      </w:r>
      <w:r w:rsidR="002056E8" w:rsidRPr="00C65A04">
        <w:t xml:space="preserve">pathways between </w:t>
      </w:r>
      <w:r w:rsidR="00510D3B" w:rsidRPr="00C65A04">
        <w:t>vocational education and training</w:t>
      </w:r>
      <w:r w:rsidR="002056E8" w:rsidRPr="00C65A04">
        <w:t xml:space="preserve"> and </w:t>
      </w:r>
      <w:r w:rsidR="00E148B1" w:rsidRPr="00C65A04">
        <w:t xml:space="preserve">higher education </w:t>
      </w:r>
      <w:r w:rsidR="002056E8" w:rsidRPr="00C65A04">
        <w:t>as part of meeting industry skills needs.</w:t>
      </w:r>
    </w:p>
    <w:p w:rsidR="002056E8" w:rsidRPr="00C65A04" w:rsidRDefault="00782540" w:rsidP="00C65A04">
      <w:pPr>
        <w:pStyle w:val="Text"/>
      </w:pPr>
      <w:r w:rsidRPr="00C65A04">
        <w:t xml:space="preserve">One of the key points to </w:t>
      </w:r>
      <w:r w:rsidR="00026DCE" w:rsidRPr="00026DCE">
        <w:t>arise from the discussions</w:t>
      </w:r>
      <w:r w:rsidRPr="00C65A04">
        <w:t xml:space="preserve"> was industry recognition of the important role </w:t>
      </w:r>
      <w:r w:rsidR="00E148B1" w:rsidRPr="00C65A04">
        <w:t>it</w:t>
      </w:r>
      <w:r w:rsidRPr="00C65A04">
        <w:t xml:space="preserve"> can play in fostering </w:t>
      </w:r>
      <w:r w:rsidR="002056E8" w:rsidRPr="00C65A04">
        <w:t xml:space="preserve">and developing </w:t>
      </w:r>
      <w:r w:rsidRPr="00C65A04">
        <w:t>pathways for this industry and</w:t>
      </w:r>
      <w:r w:rsidR="005175F8" w:rsidRPr="00C65A04">
        <w:t xml:space="preserve"> </w:t>
      </w:r>
      <w:r w:rsidRPr="00C65A04">
        <w:t xml:space="preserve">in developing tertiary models of education that </w:t>
      </w:r>
      <w:r w:rsidR="00866CD3" w:rsidRPr="00C65A04">
        <w:t xml:space="preserve">address </w:t>
      </w:r>
      <w:r w:rsidR="00031A80" w:rsidRPr="00C65A04">
        <w:t xml:space="preserve">the </w:t>
      </w:r>
      <w:r w:rsidR="00866CD3" w:rsidRPr="00C65A04">
        <w:t xml:space="preserve">skills requirements </w:t>
      </w:r>
      <w:r w:rsidR="00031A80" w:rsidRPr="00C65A04">
        <w:t>of the industry</w:t>
      </w:r>
      <w:r w:rsidRPr="00C65A04">
        <w:t xml:space="preserve">. The industry representatives indicated that this </w:t>
      </w:r>
      <w:r w:rsidR="002056E8" w:rsidRPr="00C65A04">
        <w:t>was an area in which they had played a</w:t>
      </w:r>
      <w:r w:rsidR="005175F8" w:rsidRPr="00C65A04">
        <w:t>n in</w:t>
      </w:r>
      <w:r w:rsidR="002056E8" w:rsidRPr="00C65A04">
        <w:t>significant role in the past but which was now urgent in the light of skills shortages</w:t>
      </w:r>
      <w:r w:rsidR="00A8183C" w:rsidRPr="00C65A04">
        <w:t xml:space="preserve"> </w:t>
      </w:r>
      <w:r w:rsidR="000F2583" w:rsidRPr="00C65A04">
        <w:t xml:space="preserve">in construction management </w:t>
      </w:r>
      <w:r w:rsidR="00A8183C" w:rsidRPr="00C65A04">
        <w:t>and</w:t>
      </w:r>
      <w:r w:rsidR="00866CD3" w:rsidRPr="00C65A04">
        <w:t xml:space="preserve"> </w:t>
      </w:r>
      <w:r w:rsidR="002056E8" w:rsidRPr="00C65A04">
        <w:t xml:space="preserve">the </w:t>
      </w:r>
      <w:r w:rsidR="00BD5F2A" w:rsidRPr="00C65A04">
        <w:t xml:space="preserve">important economic role the </w:t>
      </w:r>
      <w:r w:rsidR="002056E8" w:rsidRPr="00C65A04">
        <w:t>industry</w:t>
      </w:r>
      <w:r w:rsidR="008869A7">
        <w:t xml:space="preserve"> played</w:t>
      </w:r>
      <w:r w:rsidR="00601D59" w:rsidRPr="00C65A04">
        <w:t>. I</w:t>
      </w:r>
      <w:r w:rsidR="002056E8" w:rsidRPr="00C65A04">
        <w:t>t</w:t>
      </w:r>
      <w:r w:rsidR="00A8183C" w:rsidRPr="00C65A04">
        <w:t xml:space="preserve"> was suggested that the time </w:t>
      </w:r>
      <w:r w:rsidR="00786220" w:rsidRPr="00C65A04">
        <w:t>might</w:t>
      </w:r>
      <w:r w:rsidR="00A8183C" w:rsidRPr="00C65A04">
        <w:t xml:space="preserve"> be</w:t>
      </w:r>
      <w:r w:rsidR="002056E8" w:rsidRPr="00C65A04">
        <w:t xml:space="preserve"> right to </w:t>
      </w:r>
      <w:r w:rsidR="00031A80" w:rsidRPr="00C65A04">
        <w:t xml:space="preserve">consider </w:t>
      </w:r>
      <w:r w:rsidR="002056E8" w:rsidRPr="00C65A04">
        <w:t xml:space="preserve">a national </w:t>
      </w:r>
      <w:r w:rsidR="00601D59" w:rsidRPr="00C65A04">
        <w:t xml:space="preserve">industry </w:t>
      </w:r>
      <w:r w:rsidR="002056E8" w:rsidRPr="00C65A04">
        <w:t>workforce development policy</w:t>
      </w:r>
      <w:r w:rsidR="008869A7">
        <w:t>, one</w:t>
      </w:r>
      <w:r w:rsidR="002056E8" w:rsidRPr="00C65A04">
        <w:t xml:space="preserve"> involving </w:t>
      </w:r>
      <w:r w:rsidR="00510D3B" w:rsidRPr="00C65A04">
        <w:t>vocational education and training</w:t>
      </w:r>
      <w:r w:rsidR="002056E8" w:rsidRPr="00C65A04">
        <w:t xml:space="preserve">, higher education, government and </w:t>
      </w:r>
      <w:proofErr w:type="gramStart"/>
      <w:r w:rsidR="002056E8" w:rsidRPr="00C65A04">
        <w:t>themselves</w:t>
      </w:r>
      <w:proofErr w:type="gramEnd"/>
      <w:r w:rsidR="002056E8" w:rsidRPr="00C65A04">
        <w:t>.</w:t>
      </w:r>
    </w:p>
    <w:p w:rsidR="00E148B1" w:rsidRPr="00C65A04" w:rsidRDefault="002056E8" w:rsidP="00C65A04">
      <w:pPr>
        <w:pStyle w:val="Text"/>
      </w:pPr>
      <w:r w:rsidRPr="00C65A04">
        <w:t>In relation to more specific assistance</w:t>
      </w:r>
      <w:r w:rsidR="00601D59" w:rsidRPr="00C65A04">
        <w:t xml:space="preserve"> in building pathways</w:t>
      </w:r>
      <w:r w:rsidRPr="00C65A04">
        <w:t xml:space="preserve">, </w:t>
      </w:r>
      <w:r w:rsidR="00601D59" w:rsidRPr="00C65A04">
        <w:t xml:space="preserve">the </w:t>
      </w:r>
      <w:r w:rsidRPr="00C65A04">
        <w:t xml:space="preserve">industry </w:t>
      </w:r>
      <w:r w:rsidR="00031A80" w:rsidRPr="00C65A04">
        <w:t>repre</w:t>
      </w:r>
      <w:r w:rsidR="00A8183C" w:rsidRPr="00C65A04">
        <w:t xml:space="preserve">sentatives identified </w:t>
      </w:r>
      <w:r w:rsidR="00031A80" w:rsidRPr="00C65A04">
        <w:t>improved career advice</w:t>
      </w:r>
      <w:r w:rsidR="00601D59" w:rsidRPr="00C65A04">
        <w:t xml:space="preserve"> in schools </w:t>
      </w:r>
      <w:r w:rsidR="00031A80" w:rsidRPr="00C65A04">
        <w:t>about jobs in the industry at paraprofessional and professional levels and pathway opportunities</w:t>
      </w:r>
      <w:r w:rsidR="00601D59" w:rsidRPr="00C65A04">
        <w:t xml:space="preserve"> as essential, recognising </w:t>
      </w:r>
      <w:r w:rsidR="008869A7">
        <w:t>also</w:t>
      </w:r>
      <w:r w:rsidR="000154F3" w:rsidRPr="00C65A04">
        <w:t xml:space="preserve"> </w:t>
      </w:r>
      <w:r w:rsidR="000F2583" w:rsidRPr="00C65A04">
        <w:t>that they needed</w:t>
      </w:r>
      <w:r w:rsidR="00A8183C" w:rsidRPr="00C65A04">
        <w:t xml:space="preserve"> to take a more proactive role</w:t>
      </w:r>
      <w:r w:rsidR="00601D59" w:rsidRPr="00C65A04">
        <w:t>,</w:t>
      </w:r>
      <w:r w:rsidR="00A8183C" w:rsidRPr="00C65A04">
        <w:t xml:space="preserve"> </w:t>
      </w:r>
      <w:r w:rsidR="00031A80" w:rsidRPr="00C65A04">
        <w:t>not only in guiding careers advice</w:t>
      </w:r>
      <w:r w:rsidR="000154F3" w:rsidRPr="00C65A04">
        <w:t>,</w:t>
      </w:r>
      <w:r w:rsidR="00031A80" w:rsidRPr="00C65A04">
        <w:t xml:space="preserve"> but </w:t>
      </w:r>
      <w:r w:rsidR="00A8183C" w:rsidRPr="00C65A04">
        <w:t>in</w:t>
      </w:r>
      <w:r w:rsidR="00031A80" w:rsidRPr="00C65A04">
        <w:t xml:space="preserve"> providing opportunities such </w:t>
      </w:r>
      <w:r w:rsidR="00E148B1" w:rsidRPr="00C65A04">
        <w:t xml:space="preserve">as cadetships for students </w:t>
      </w:r>
      <w:r w:rsidR="00031A80" w:rsidRPr="00C65A04">
        <w:t>studying</w:t>
      </w:r>
      <w:r w:rsidR="000F2583" w:rsidRPr="00C65A04">
        <w:t xml:space="preserve"> in </w:t>
      </w:r>
      <w:r w:rsidR="00510D3B" w:rsidRPr="00C65A04">
        <w:t>higher education</w:t>
      </w:r>
      <w:r w:rsidR="00A8183C" w:rsidRPr="00C65A04">
        <w:t>. In addition</w:t>
      </w:r>
      <w:r w:rsidR="000F2583" w:rsidRPr="00C65A04">
        <w:t>,</w:t>
      </w:r>
      <w:r w:rsidR="00A8183C" w:rsidRPr="00C65A04">
        <w:t xml:space="preserve"> </w:t>
      </w:r>
      <w:r w:rsidR="000F2583" w:rsidRPr="00C65A04">
        <w:t xml:space="preserve">the </w:t>
      </w:r>
      <w:r w:rsidR="00A8183C" w:rsidRPr="00C65A04">
        <w:t xml:space="preserve">industry </w:t>
      </w:r>
      <w:r w:rsidR="000F2583" w:rsidRPr="00C65A04">
        <w:t>representatives saw a need for industry associations</w:t>
      </w:r>
      <w:r w:rsidR="00A8183C" w:rsidRPr="00C65A04">
        <w:t xml:space="preserve"> to advocate more effectively with individual emplo</w:t>
      </w:r>
      <w:r w:rsidR="00BD5F2A" w:rsidRPr="00C65A04">
        <w:t>yers on the need for consta</w:t>
      </w:r>
      <w:r w:rsidR="00A8183C" w:rsidRPr="00C65A04">
        <w:t xml:space="preserve">nt </w:t>
      </w:r>
      <w:proofErr w:type="spellStart"/>
      <w:r w:rsidR="00A8183C" w:rsidRPr="00C65A04">
        <w:t>upskilling</w:t>
      </w:r>
      <w:proofErr w:type="spellEnd"/>
      <w:r w:rsidR="00BD5F2A" w:rsidRPr="00C65A04">
        <w:t xml:space="preserve"> and </w:t>
      </w:r>
      <w:r w:rsidR="00E148B1" w:rsidRPr="00C65A04">
        <w:t xml:space="preserve">the provision of </w:t>
      </w:r>
      <w:proofErr w:type="spellStart"/>
      <w:r w:rsidR="00E148B1" w:rsidRPr="00C65A04">
        <w:t>up</w:t>
      </w:r>
      <w:r w:rsidR="000F2583" w:rsidRPr="00C65A04">
        <w:t>skilling</w:t>
      </w:r>
      <w:proofErr w:type="spellEnd"/>
      <w:r w:rsidR="00BD5F2A" w:rsidRPr="00C65A04">
        <w:t xml:space="preserve"> opportun</w:t>
      </w:r>
      <w:r w:rsidR="000F2583" w:rsidRPr="00C65A04">
        <w:t>i</w:t>
      </w:r>
      <w:r w:rsidR="00BD5F2A" w:rsidRPr="00C65A04">
        <w:t>ties. T</w:t>
      </w:r>
      <w:r w:rsidR="000F2583" w:rsidRPr="00C65A04">
        <w:t>he link to licensing was also raised.</w:t>
      </w:r>
    </w:p>
    <w:p w:rsidR="0005260C" w:rsidRDefault="00E148B1" w:rsidP="0030552E">
      <w:pPr>
        <w:pStyle w:val="Text"/>
        <w:ind w:right="-143"/>
      </w:pPr>
      <w:r w:rsidRPr="00C65A04">
        <w:t>F</w:t>
      </w:r>
      <w:r w:rsidR="00BD5F2A" w:rsidRPr="00C65A04">
        <w:t xml:space="preserve">urther </w:t>
      </w:r>
      <w:r w:rsidR="00803701" w:rsidRPr="00C65A04">
        <w:t>issue</w:t>
      </w:r>
      <w:r w:rsidRPr="00C65A04">
        <w:t>s</w:t>
      </w:r>
      <w:r w:rsidR="00BD5F2A" w:rsidRPr="00C65A04">
        <w:t xml:space="preserve"> </w:t>
      </w:r>
      <w:r w:rsidRPr="00C65A04">
        <w:t>considered in the forums were</w:t>
      </w:r>
      <w:r w:rsidR="000F2583" w:rsidRPr="00C65A04">
        <w:t xml:space="preserve"> the low student numbers</w:t>
      </w:r>
      <w:r w:rsidR="008869A7">
        <w:t xml:space="preserve"> in</w:t>
      </w:r>
      <w:r w:rsidR="00601D59" w:rsidRPr="00C65A04">
        <w:t xml:space="preserve"> and graduates</w:t>
      </w:r>
      <w:r w:rsidR="008869A7">
        <w:t xml:space="preserve"> from</w:t>
      </w:r>
      <w:r w:rsidR="00510D3B" w:rsidRPr="00C65A04">
        <w:t xml:space="preserve"> </w:t>
      </w:r>
      <w:r w:rsidR="00BD5F2A" w:rsidRPr="00C65A04">
        <w:t>diplo</w:t>
      </w:r>
      <w:r w:rsidR="003A21E4" w:rsidRPr="00C65A04">
        <w:t>ma</w:t>
      </w:r>
      <w:r w:rsidR="005175F8" w:rsidRPr="00C65A04">
        <w:t>s</w:t>
      </w:r>
      <w:r w:rsidR="003A21E4" w:rsidRPr="00C65A04">
        <w:t xml:space="preserve"> and </w:t>
      </w:r>
      <w:r w:rsidR="000F2583" w:rsidRPr="00C65A04">
        <w:t xml:space="preserve">the </w:t>
      </w:r>
      <w:r w:rsidR="00786220" w:rsidRPr="00C65A04">
        <w:t>small supply</w:t>
      </w:r>
      <w:r w:rsidR="003A21E4" w:rsidRPr="00C65A04">
        <w:t xml:space="preserve"> </w:t>
      </w:r>
      <w:r w:rsidR="000F2583" w:rsidRPr="00C65A04">
        <w:t xml:space="preserve">of student places </w:t>
      </w:r>
      <w:r w:rsidR="003A21E4" w:rsidRPr="00C65A04">
        <w:t>in the degre</w:t>
      </w:r>
      <w:r w:rsidR="005175F8" w:rsidRPr="00C65A04">
        <w:t>e</w:t>
      </w:r>
      <w:r w:rsidR="00803701" w:rsidRPr="00C65A04">
        <w:t>. The</w:t>
      </w:r>
      <w:r w:rsidR="00803701">
        <w:t xml:space="preserve"> current levels </w:t>
      </w:r>
      <w:r>
        <w:t>of provision in both the Diploma of Building and Construction and degree-</w:t>
      </w:r>
      <w:r w:rsidR="00803701">
        <w:t>level studies present a significant constraint to improving the</w:t>
      </w:r>
      <w:r w:rsidR="00C65A04">
        <w:t> </w:t>
      </w:r>
      <w:r w:rsidR="00803701">
        <w:t>actual numbers of students who might make use of a pathway. In examining this issue the</w:t>
      </w:r>
      <w:r w:rsidR="00F147A1">
        <w:t> </w:t>
      </w:r>
      <w:r>
        <w:t>roundtable</w:t>
      </w:r>
      <w:r w:rsidR="00803701">
        <w:t xml:space="preserve"> partic</w:t>
      </w:r>
      <w:r w:rsidR="003A21E4">
        <w:t>i</w:t>
      </w:r>
      <w:r w:rsidR="00803701">
        <w:t>pants suggested that</w:t>
      </w:r>
      <w:r w:rsidR="008869A7">
        <w:t>,</w:t>
      </w:r>
      <w:r w:rsidR="00803701">
        <w:t xml:space="preserve"> rather than focus only on the Diploma of Building </w:t>
      </w:r>
      <w:r w:rsidR="0058777E">
        <w:t xml:space="preserve">and Construction </w:t>
      </w:r>
      <w:r w:rsidR="00803701">
        <w:t>as a pathway, more pathways could be opened up by the creation of alternatives such as a</w:t>
      </w:r>
      <w:r w:rsidR="00F147A1">
        <w:t> </w:t>
      </w:r>
      <w:r w:rsidR="00803701">
        <w:t>pathway from the</w:t>
      </w:r>
      <w:r w:rsidR="003A21E4">
        <w:t xml:space="preserve"> C</w:t>
      </w:r>
      <w:r w:rsidR="00803701">
        <w:t>ertif</w:t>
      </w:r>
      <w:r w:rsidR="003A21E4">
        <w:t>i</w:t>
      </w:r>
      <w:r w:rsidR="00803701">
        <w:t>cate IV</w:t>
      </w:r>
      <w:r w:rsidR="003A21E4">
        <w:t xml:space="preserve"> in Building</w:t>
      </w:r>
      <w:r w:rsidR="000154F3">
        <w:t>, which has a greater number</w:t>
      </w:r>
      <w:r w:rsidR="00803701">
        <w:t xml:space="preserve"> of student</w:t>
      </w:r>
      <w:r w:rsidR="003A21E4">
        <w:t xml:space="preserve"> enrolments, into an </w:t>
      </w:r>
      <w:r w:rsidR="0058777E">
        <w:t xml:space="preserve">associate degree or even from certificate </w:t>
      </w:r>
      <w:r w:rsidR="003A21E4">
        <w:t xml:space="preserve">III into this qualification. An alternative might be to modify </w:t>
      </w:r>
      <w:r w:rsidR="003A21E4">
        <w:lastRenderedPageBreak/>
        <w:t xml:space="preserve">a generic diploma of project management (currently a qualification of another </w:t>
      </w:r>
      <w:r w:rsidR="0058777E">
        <w:t>skills council</w:t>
      </w:r>
      <w:r w:rsidR="003A21E4">
        <w:t>)</w:t>
      </w:r>
      <w:r w:rsidR="00803701">
        <w:t xml:space="preserve"> </w:t>
      </w:r>
      <w:r w:rsidR="00F55472">
        <w:t>to</w:t>
      </w:r>
      <w:r w:rsidR="003A21E4">
        <w:t xml:space="preserve"> inclu</w:t>
      </w:r>
      <w:r w:rsidR="00F55472">
        <w:t>de an elective focus on construc</w:t>
      </w:r>
      <w:r w:rsidR="003A21E4">
        <w:t>tion</w:t>
      </w:r>
      <w:r w:rsidR="0005260C">
        <w:t xml:space="preserve"> and </w:t>
      </w:r>
      <w:r w:rsidR="000F2583">
        <w:t xml:space="preserve">to </w:t>
      </w:r>
      <w:r w:rsidR="0005260C">
        <w:t>use this as a key pathways</w:t>
      </w:r>
      <w:r w:rsidR="00F55472">
        <w:t xml:space="preserve"> qualification</w:t>
      </w:r>
      <w:r w:rsidR="000F2583">
        <w:t xml:space="preserve"> in the industry</w:t>
      </w:r>
      <w:r w:rsidR="00F55472">
        <w:t>.</w:t>
      </w:r>
    </w:p>
    <w:p w:rsidR="00F9591F" w:rsidRPr="00C65A04" w:rsidRDefault="000F2583" w:rsidP="00C65A04">
      <w:pPr>
        <w:pStyle w:val="Text"/>
        <w:ind w:right="141"/>
      </w:pPr>
      <w:r>
        <w:t>An overall point of agreement was</w:t>
      </w:r>
      <w:r w:rsidR="00F55472">
        <w:t xml:space="preserve"> that much greater flexibility </w:t>
      </w:r>
      <w:r w:rsidR="00A5657C">
        <w:t xml:space="preserve">is needed </w:t>
      </w:r>
      <w:r w:rsidR="00F55472">
        <w:t xml:space="preserve">in </w:t>
      </w:r>
      <w:r w:rsidR="00F708D7">
        <w:t xml:space="preserve">the </w:t>
      </w:r>
      <w:r w:rsidR="00A47917">
        <w:t>creation</w:t>
      </w:r>
      <w:r w:rsidR="00F55472">
        <w:t xml:space="preserve"> </w:t>
      </w:r>
      <w:r w:rsidR="00F708D7">
        <w:t xml:space="preserve">of </w:t>
      </w:r>
      <w:r w:rsidR="00F55472">
        <w:t>‘building</w:t>
      </w:r>
      <w:r w:rsidR="00A5657C">
        <w:t xml:space="preserve"> </w:t>
      </w:r>
      <w:r w:rsidR="0058777E">
        <w:t>and</w:t>
      </w:r>
      <w:r w:rsidR="00A5657C">
        <w:t xml:space="preserve"> construction</w:t>
      </w:r>
      <w:r w:rsidR="0058777E">
        <w:t>’ pathways,</w:t>
      </w:r>
      <w:r w:rsidR="00F55472">
        <w:t xml:space="preserve"> </w:t>
      </w:r>
      <w:r w:rsidR="000154F3">
        <w:t xml:space="preserve">with </w:t>
      </w:r>
      <w:r w:rsidR="00F55472">
        <w:t xml:space="preserve">different combinations of </w:t>
      </w:r>
      <w:r w:rsidR="0058777E">
        <w:t>VET</w:t>
      </w:r>
      <w:r w:rsidR="00F55472">
        <w:t xml:space="preserve"> and higher education qualifications </w:t>
      </w:r>
      <w:r w:rsidR="000154F3">
        <w:t xml:space="preserve">used </w:t>
      </w:r>
      <w:r w:rsidR="00F55472">
        <w:t>to create rolling en</w:t>
      </w:r>
      <w:r w:rsidR="0005260C">
        <w:t>t</w:t>
      </w:r>
      <w:r w:rsidR="00F55472">
        <w:t xml:space="preserve">ry and exit points and enabling students/employees to </w:t>
      </w:r>
      <w:proofErr w:type="spellStart"/>
      <w:r w:rsidR="00F55472">
        <w:t>upskill</w:t>
      </w:r>
      <w:proofErr w:type="spellEnd"/>
      <w:r w:rsidR="00F55472">
        <w:t xml:space="preserve"> in chunks that suit their work and other commitments.</w:t>
      </w:r>
      <w:r w:rsidR="00510D3B">
        <w:t xml:space="preserve"> </w:t>
      </w:r>
      <w:r w:rsidR="0005260C">
        <w:t>Greater use of the associate degree qualification was supported as a destination pathway qualification</w:t>
      </w:r>
      <w:r w:rsidR="0058777E">
        <w:t>,</w:t>
      </w:r>
      <w:r w:rsidR="0005260C">
        <w:t xml:space="preserve"> as long </w:t>
      </w:r>
      <w:r w:rsidR="0005260C" w:rsidRPr="00C65A04">
        <w:t>as it provides an ongoing pathway into the</w:t>
      </w:r>
      <w:r w:rsidR="00C65A04">
        <w:t> </w:t>
      </w:r>
      <w:r w:rsidR="0005260C" w:rsidRPr="00C65A04">
        <w:t>degree.</w:t>
      </w:r>
      <w:r w:rsidR="00510D3B" w:rsidRPr="00C65A04">
        <w:t xml:space="preserve"> </w:t>
      </w:r>
    </w:p>
    <w:p w:rsidR="00F708D7" w:rsidRPr="00C65A04" w:rsidRDefault="00F708D7" w:rsidP="00C65A04">
      <w:pPr>
        <w:pStyle w:val="Text"/>
      </w:pPr>
      <w:r w:rsidRPr="00C65A04">
        <w:t>Greater flexibility in pathway combinations may go some</w:t>
      </w:r>
      <w:r w:rsidR="0058777E" w:rsidRPr="00C65A04">
        <w:t xml:space="preserve"> way to ameliorating the supply-</w:t>
      </w:r>
      <w:r w:rsidRPr="00C65A04">
        <w:t>side constraints of provision in higher education. However, one of the main reasons for the low student numbers in building and construction degrees is the lack of suitably qualified academics and the availability of space</w:t>
      </w:r>
      <w:r w:rsidR="00865043" w:rsidRPr="00C65A04">
        <w:t>. The greater use of industry in high</w:t>
      </w:r>
      <w:r w:rsidR="00914372" w:rsidRPr="00C65A04">
        <w:t>er</w:t>
      </w:r>
      <w:r w:rsidR="00865043" w:rsidRPr="00C65A04">
        <w:t xml:space="preserve"> education provision, through</w:t>
      </w:r>
      <w:r w:rsidR="00D63E3A" w:rsidRPr="00C65A04">
        <w:t xml:space="preserve"> work-</w:t>
      </w:r>
      <w:r w:rsidR="00865043" w:rsidRPr="00C65A04">
        <w:t xml:space="preserve">based and blended learning, </w:t>
      </w:r>
      <w:r w:rsidRPr="00C65A04">
        <w:t xml:space="preserve">was identified as one mechanism that may help </w:t>
      </w:r>
      <w:r w:rsidR="00622318" w:rsidRPr="00C65A04">
        <w:t xml:space="preserve">to </w:t>
      </w:r>
      <w:r w:rsidRPr="00C65A04">
        <w:t>address these pressures</w:t>
      </w:r>
      <w:r w:rsidR="00865043" w:rsidRPr="00C65A04">
        <w:t xml:space="preserve"> and </w:t>
      </w:r>
      <w:r w:rsidR="00F94723" w:rsidRPr="00C65A04">
        <w:t xml:space="preserve">also provide students with </w:t>
      </w:r>
      <w:r w:rsidR="000154F3" w:rsidRPr="00C65A04">
        <w:t xml:space="preserve">the </w:t>
      </w:r>
      <w:r w:rsidR="00F94723" w:rsidRPr="00C65A04">
        <w:t>real-</w:t>
      </w:r>
      <w:r w:rsidR="00865043" w:rsidRPr="00C65A04">
        <w:t>world experiences of construction management</w:t>
      </w:r>
      <w:r w:rsidRPr="00C65A04">
        <w:t xml:space="preserve">. </w:t>
      </w:r>
    </w:p>
    <w:p w:rsidR="00C06C14" w:rsidRPr="00C65A04" w:rsidRDefault="00D63E3A" w:rsidP="00C65A04">
      <w:pPr>
        <w:pStyle w:val="Text"/>
      </w:pPr>
      <w:r w:rsidRPr="00C65A04">
        <w:t>A</w:t>
      </w:r>
      <w:r w:rsidR="0005260C" w:rsidRPr="00C65A04">
        <w:t xml:space="preserve"> specific concern</w:t>
      </w:r>
      <w:r w:rsidR="00E5419E" w:rsidRPr="00C65A04">
        <w:t xml:space="preserve"> </w:t>
      </w:r>
      <w:r w:rsidR="00865043" w:rsidRPr="00C65A04">
        <w:t>raise</w:t>
      </w:r>
      <w:r w:rsidRPr="00C65A04">
        <w:t xml:space="preserve">d </w:t>
      </w:r>
      <w:r w:rsidR="001004B1" w:rsidRPr="00C65A04">
        <w:t xml:space="preserve">by the </w:t>
      </w:r>
      <w:r w:rsidR="00F94723" w:rsidRPr="00C65A04">
        <w:t xml:space="preserve">roundtable </w:t>
      </w:r>
      <w:r w:rsidR="001004B1" w:rsidRPr="00C65A04">
        <w:t xml:space="preserve">discussions </w:t>
      </w:r>
      <w:r w:rsidR="00E5419E" w:rsidRPr="00C65A04">
        <w:t xml:space="preserve">is the limited </w:t>
      </w:r>
      <w:proofErr w:type="spellStart"/>
      <w:r w:rsidR="00E5419E" w:rsidRPr="00C65A04">
        <w:t>upskilling</w:t>
      </w:r>
      <w:proofErr w:type="spellEnd"/>
      <w:r w:rsidR="00E5419E" w:rsidRPr="00C65A04">
        <w:t xml:space="preserve"> </w:t>
      </w:r>
      <w:r w:rsidR="00622318" w:rsidRPr="00C65A04">
        <w:t xml:space="preserve">undertaken </w:t>
      </w:r>
      <w:r w:rsidR="00E5419E" w:rsidRPr="00C65A04">
        <w:t xml:space="preserve">by </w:t>
      </w:r>
      <w:r w:rsidR="00622318" w:rsidRPr="00C65A04">
        <w:t>graduates/</w:t>
      </w:r>
      <w:r w:rsidR="00E5419E" w:rsidRPr="00C65A04">
        <w:t xml:space="preserve">employees with </w:t>
      </w:r>
      <w:r w:rsidR="00622318" w:rsidRPr="00C65A04">
        <w:t>a c</w:t>
      </w:r>
      <w:r w:rsidR="00865043" w:rsidRPr="00C65A04">
        <w:t>ertificate III</w:t>
      </w:r>
      <w:r w:rsidR="008D5789" w:rsidRPr="00C65A04">
        <w:t>/</w:t>
      </w:r>
      <w:r w:rsidR="001004B1" w:rsidRPr="00C65A04">
        <w:t xml:space="preserve">trade qualification </w:t>
      </w:r>
      <w:r w:rsidR="000154F3" w:rsidRPr="00C65A04">
        <w:t>by means of</w:t>
      </w:r>
      <w:r w:rsidRPr="00C65A04">
        <w:t xml:space="preserve"> higher </w:t>
      </w:r>
      <w:r w:rsidR="00510D3B" w:rsidRPr="00C65A04">
        <w:t>vocational education and training</w:t>
      </w:r>
      <w:r w:rsidR="000154F3" w:rsidRPr="00C65A04">
        <w:t>, followed by</w:t>
      </w:r>
      <w:r w:rsidR="001004B1" w:rsidRPr="00C65A04">
        <w:t xml:space="preserve"> </w:t>
      </w:r>
      <w:r w:rsidR="00510D3B" w:rsidRPr="00C65A04">
        <w:t>higher education</w:t>
      </w:r>
      <w:r w:rsidR="00E5419E" w:rsidRPr="00C65A04">
        <w:t>.</w:t>
      </w:r>
      <w:r w:rsidR="00865043" w:rsidRPr="00C65A04">
        <w:t xml:space="preserve"> </w:t>
      </w:r>
      <w:r w:rsidR="00172028" w:rsidRPr="00C65A04">
        <w:t>One</w:t>
      </w:r>
      <w:r w:rsidR="00C06C14" w:rsidRPr="00C65A04">
        <w:t xml:space="preserve"> of the constraints</w:t>
      </w:r>
      <w:r w:rsidR="009D380F" w:rsidRPr="00C65A04">
        <w:t xml:space="preserve"> to further study</w:t>
      </w:r>
      <w:r w:rsidR="00C06C14" w:rsidRPr="00C65A04">
        <w:t xml:space="preserve"> identified </w:t>
      </w:r>
      <w:r w:rsidR="00172028" w:rsidRPr="00C65A04">
        <w:t xml:space="preserve">by </w:t>
      </w:r>
      <w:r w:rsidR="009D380F" w:rsidRPr="00C65A04">
        <w:t>the</w:t>
      </w:r>
      <w:r w:rsidR="00172028" w:rsidRPr="00C65A04">
        <w:t xml:space="preserve"> industry </w:t>
      </w:r>
      <w:r w:rsidR="009D380F" w:rsidRPr="00C65A04">
        <w:t xml:space="preserve">representatives </w:t>
      </w:r>
      <w:r w:rsidR="00172028" w:rsidRPr="00C65A04">
        <w:t xml:space="preserve">is the perceived loss of pay and benefits for these </w:t>
      </w:r>
      <w:r w:rsidR="00C06C14" w:rsidRPr="00C65A04">
        <w:t>workers</w:t>
      </w:r>
      <w:r w:rsidR="00172028" w:rsidRPr="00C65A04">
        <w:t xml:space="preserve">. </w:t>
      </w:r>
      <w:r w:rsidR="00C13BC8" w:rsidRPr="00C65A04">
        <w:t xml:space="preserve">The </w:t>
      </w:r>
      <w:r w:rsidR="00510D3B" w:rsidRPr="00C65A04">
        <w:t>higher education</w:t>
      </w:r>
      <w:r w:rsidR="00C13BC8" w:rsidRPr="00C65A04">
        <w:t xml:space="preserve"> in VET model described above may be one approach </w:t>
      </w:r>
      <w:r w:rsidR="00A47917">
        <w:t>to</w:t>
      </w:r>
      <w:r w:rsidR="00C13BC8" w:rsidRPr="00C65A04">
        <w:t xml:space="preserve"> support increased access </w:t>
      </w:r>
      <w:r w:rsidR="009D380F" w:rsidRPr="00C65A04">
        <w:t xml:space="preserve">for these workers </w:t>
      </w:r>
      <w:r w:rsidR="00A47917">
        <w:t>as well as offering</w:t>
      </w:r>
      <w:r w:rsidR="009D380F" w:rsidRPr="00C65A04">
        <w:t xml:space="preserve"> an appropriate learning model</w:t>
      </w:r>
      <w:r w:rsidR="00C13BC8" w:rsidRPr="00C65A04">
        <w:t xml:space="preserve">. </w:t>
      </w:r>
      <w:r w:rsidR="00172028" w:rsidRPr="00C65A04">
        <w:t xml:space="preserve">However, it does </w:t>
      </w:r>
      <w:r w:rsidR="00AD60D7" w:rsidRPr="00C65A04">
        <w:t>not support</w:t>
      </w:r>
      <w:r w:rsidR="00172028" w:rsidRPr="00C65A04">
        <w:t xml:space="preserve"> a continuous vocational learning pathway</w:t>
      </w:r>
      <w:r w:rsidR="00E5419E" w:rsidRPr="00C65A04">
        <w:t xml:space="preserve"> </w:t>
      </w:r>
      <w:r w:rsidR="00172028" w:rsidRPr="00C65A04">
        <w:t xml:space="preserve">for existing employees </w:t>
      </w:r>
      <w:r w:rsidR="00C06C14" w:rsidRPr="00C65A04">
        <w:t xml:space="preserve">who may want to scaffold their learning </w:t>
      </w:r>
      <w:r w:rsidR="00F94723" w:rsidRPr="00C65A04">
        <w:t>from the certificate III into c</w:t>
      </w:r>
      <w:r w:rsidR="00172028" w:rsidRPr="00C65A04">
        <w:t xml:space="preserve">ertificate IV and through to diplomas. </w:t>
      </w:r>
    </w:p>
    <w:p w:rsidR="00F708D7" w:rsidRPr="00C65A04" w:rsidRDefault="009D380F" w:rsidP="00C65A04">
      <w:pPr>
        <w:pStyle w:val="Text"/>
      </w:pPr>
      <w:r w:rsidRPr="00C65A04">
        <w:t xml:space="preserve">This lack of pathways from and between VET qualifications </w:t>
      </w:r>
      <w:r w:rsidR="00C06C14" w:rsidRPr="00C65A04">
        <w:t xml:space="preserve">was </w:t>
      </w:r>
      <w:r w:rsidR="00172028" w:rsidRPr="00C65A04">
        <w:t xml:space="preserve">identified by the educators in the </w:t>
      </w:r>
      <w:r w:rsidR="00F94723" w:rsidRPr="00C65A04">
        <w:t>roundtable</w:t>
      </w:r>
      <w:r w:rsidRPr="00C65A04">
        <w:t>,</w:t>
      </w:r>
      <w:r w:rsidR="00172028" w:rsidRPr="00C65A04">
        <w:t xml:space="preserve"> </w:t>
      </w:r>
      <w:r w:rsidRPr="00C65A04">
        <w:t xml:space="preserve">who suggested the current </w:t>
      </w:r>
      <w:r w:rsidR="003075CF" w:rsidRPr="00C65A04">
        <w:t>restrictions on</w:t>
      </w:r>
      <w:r w:rsidR="00A47917">
        <w:t xml:space="preserve"> the</w:t>
      </w:r>
      <w:r w:rsidR="003075CF" w:rsidRPr="00C65A04">
        <w:t xml:space="preserve"> nesting of qualifications within training packages</w:t>
      </w:r>
      <w:r w:rsidRPr="00C65A04">
        <w:t xml:space="preserve"> as the principal issue</w:t>
      </w:r>
      <w:r w:rsidR="008D5789" w:rsidRPr="00C65A04">
        <w:t xml:space="preserve">. Nesting qualifications </w:t>
      </w:r>
      <w:r w:rsidR="003075CF" w:rsidRPr="00C65A04">
        <w:t xml:space="preserve">creates an articulation pathway that </w:t>
      </w:r>
      <w:r w:rsidR="00BE382C" w:rsidRPr="00C65A04">
        <w:t>supports a</w:t>
      </w:r>
      <w:r w:rsidR="000154F3" w:rsidRPr="00C65A04">
        <w:t xml:space="preserve"> continuum of learning</w:t>
      </w:r>
      <w:r w:rsidR="008D5789" w:rsidRPr="00C65A04">
        <w:t xml:space="preserve"> with multiple entry and exit points</w:t>
      </w:r>
      <w:r w:rsidR="00A47917">
        <w:t xml:space="preserve"> and</w:t>
      </w:r>
      <w:r w:rsidR="008D5789" w:rsidRPr="00C65A04">
        <w:t xml:space="preserve"> </w:t>
      </w:r>
      <w:r w:rsidR="00A47917">
        <w:t>i</w:t>
      </w:r>
      <w:r w:rsidR="008D5789" w:rsidRPr="00C65A04">
        <w:t>s</w:t>
      </w:r>
      <w:r w:rsidR="003075CF" w:rsidRPr="00C65A04">
        <w:t xml:space="preserve"> </w:t>
      </w:r>
      <w:r w:rsidR="008D5789" w:rsidRPr="00C65A04">
        <w:t xml:space="preserve">very common </w:t>
      </w:r>
      <w:r w:rsidR="00F94723" w:rsidRPr="00C65A04">
        <w:t>in post</w:t>
      </w:r>
      <w:r w:rsidR="008D5789" w:rsidRPr="00C65A04">
        <w:t xml:space="preserve">graduate </w:t>
      </w:r>
      <w:r w:rsidR="00510D3B" w:rsidRPr="00C65A04">
        <w:t>higher education</w:t>
      </w:r>
      <w:r w:rsidR="008D5789" w:rsidRPr="00C65A04">
        <w:t xml:space="preserve"> courses and was common in previous VET qualifications</w:t>
      </w:r>
      <w:r w:rsidR="00BE382C" w:rsidRPr="00C65A04">
        <w:t>.</w:t>
      </w:r>
      <w:r w:rsidR="008D5789" w:rsidRPr="00C65A04">
        <w:t xml:space="preserve"> </w:t>
      </w:r>
      <w:r w:rsidR="00865043" w:rsidRPr="00C65A04">
        <w:t xml:space="preserve">Given the huge numbers of students and workers with these </w:t>
      </w:r>
      <w:r w:rsidR="00F94723" w:rsidRPr="00C65A04">
        <w:t>c</w:t>
      </w:r>
      <w:r w:rsidR="00172028" w:rsidRPr="00C65A04">
        <w:t xml:space="preserve">ertificate III </w:t>
      </w:r>
      <w:r w:rsidR="00865043" w:rsidRPr="00C65A04">
        <w:t>qualif</w:t>
      </w:r>
      <w:r w:rsidR="00622318" w:rsidRPr="00C65A04">
        <w:t>ications, this</w:t>
      </w:r>
      <w:r w:rsidR="000154F3" w:rsidRPr="00C65A04">
        <w:t xml:space="preserve"> gap in the pathways chain </w:t>
      </w:r>
      <w:r w:rsidR="00865043" w:rsidRPr="00C65A04">
        <w:t xml:space="preserve">in </w:t>
      </w:r>
      <w:r w:rsidR="00510D3B" w:rsidRPr="00C65A04">
        <w:t>vocational education and training</w:t>
      </w:r>
      <w:r w:rsidR="00865043" w:rsidRPr="00C65A04">
        <w:t xml:space="preserve"> is an issue that needs to be addressed.</w:t>
      </w:r>
      <w:r w:rsidR="00BE382C" w:rsidRPr="00C65A04">
        <w:t xml:space="preserve"> </w:t>
      </w:r>
    </w:p>
    <w:p w:rsidR="009C0584" w:rsidRDefault="00865043" w:rsidP="00C65A04">
      <w:pPr>
        <w:pStyle w:val="Text"/>
        <w:ind w:right="141"/>
      </w:pPr>
      <w:r w:rsidRPr="00C65A04">
        <w:t xml:space="preserve">One measure </w:t>
      </w:r>
      <w:r w:rsidR="0036423E" w:rsidRPr="00C65A04">
        <w:t>s</w:t>
      </w:r>
      <w:r w:rsidR="00BE382C" w:rsidRPr="00C65A04">
        <w:t xml:space="preserve">upported by the </w:t>
      </w:r>
      <w:r w:rsidR="00F94723" w:rsidRPr="00C65A04">
        <w:t xml:space="preserve">roundtable </w:t>
      </w:r>
      <w:r w:rsidR="00BE382C" w:rsidRPr="00C65A04">
        <w:t xml:space="preserve">participants </w:t>
      </w:r>
      <w:r w:rsidRPr="00C65A04">
        <w:t xml:space="preserve">that may </w:t>
      </w:r>
      <w:r w:rsidR="000154F3" w:rsidRPr="00C65A04">
        <w:t>prove helpful</w:t>
      </w:r>
      <w:r w:rsidRPr="00C65A04">
        <w:t xml:space="preserve"> is </w:t>
      </w:r>
      <w:r w:rsidR="003E2959" w:rsidRPr="00C65A04">
        <w:t xml:space="preserve">the </w:t>
      </w:r>
      <w:r w:rsidRPr="00C65A04">
        <w:t xml:space="preserve">much wider use of </w:t>
      </w:r>
      <w:r w:rsidR="00F94723" w:rsidRPr="00C65A04">
        <w:t>recognition of prior learning</w:t>
      </w:r>
      <w:r w:rsidR="00F708D7" w:rsidRPr="00C65A04">
        <w:t xml:space="preserve"> </w:t>
      </w:r>
      <w:r w:rsidR="003E2959" w:rsidRPr="00C65A04">
        <w:t xml:space="preserve">by both </w:t>
      </w:r>
      <w:r w:rsidR="00F94723" w:rsidRPr="00C65A04">
        <w:t>VET</w:t>
      </w:r>
      <w:r w:rsidR="003E2959" w:rsidRPr="00C65A04">
        <w:t xml:space="preserve"> and </w:t>
      </w:r>
      <w:r w:rsidR="00510D3B" w:rsidRPr="00C65A04">
        <w:t>higher education</w:t>
      </w:r>
      <w:r w:rsidR="003E2959">
        <w:t xml:space="preserve"> providers. This point </w:t>
      </w:r>
      <w:r w:rsidR="00F708D7">
        <w:t xml:space="preserve">was </w:t>
      </w:r>
      <w:r>
        <w:t>raised in both forums as an area needing urgent attention</w:t>
      </w:r>
      <w:r w:rsidR="00F94723">
        <w:t>:</w:t>
      </w:r>
      <w:r w:rsidR="00622318">
        <w:t xml:space="preserve"> if existing </w:t>
      </w:r>
      <w:r w:rsidR="003E2959">
        <w:t>workers could be as</w:t>
      </w:r>
      <w:r w:rsidR="009C0584">
        <w:t>sessed and given recognition through</w:t>
      </w:r>
      <w:r w:rsidR="003E2959">
        <w:t xml:space="preserve"> credit</w:t>
      </w:r>
      <w:r w:rsidR="000154F3">
        <w:t>,</w:t>
      </w:r>
      <w:r w:rsidR="003E2959">
        <w:t xml:space="preserve"> </w:t>
      </w:r>
      <w:r w:rsidR="009C0584">
        <w:t>then this may provide a strong incentive for undertaking a higher qualification.</w:t>
      </w:r>
    </w:p>
    <w:p w:rsidR="006850F6" w:rsidRPr="009C0584" w:rsidRDefault="006850F6" w:rsidP="00FC3467">
      <w:pPr>
        <w:pStyle w:val="Text"/>
      </w:pPr>
      <w:r>
        <w:br w:type="page"/>
      </w:r>
    </w:p>
    <w:p w:rsidR="00DC71CB" w:rsidRDefault="00DC71CB" w:rsidP="00DC71CB">
      <w:pPr>
        <w:pStyle w:val="Heading1"/>
      </w:pPr>
      <w:bookmarkStart w:id="56" w:name="_Toc358115586"/>
      <w:r>
        <w:lastRenderedPageBreak/>
        <w:t>Conclusions</w:t>
      </w:r>
      <w:bookmarkEnd w:id="56"/>
    </w:p>
    <w:p w:rsidR="004E3E71" w:rsidRDefault="00DB0C58" w:rsidP="006850F6">
      <w:pPr>
        <w:pStyle w:val="Text"/>
      </w:pPr>
      <w:r>
        <w:t xml:space="preserve">This study has examined </w:t>
      </w:r>
      <w:r w:rsidR="00AD5A60">
        <w:t xml:space="preserve">the enablers for </w:t>
      </w:r>
      <w:r w:rsidR="004E3E71">
        <w:t xml:space="preserve">improving student pathways </w:t>
      </w:r>
      <w:r>
        <w:t xml:space="preserve">between </w:t>
      </w:r>
      <w:r w:rsidR="00510D3B">
        <w:t>vocational education and training</w:t>
      </w:r>
      <w:r>
        <w:t xml:space="preserve"> and </w:t>
      </w:r>
      <w:r w:rsidR="00510D3B">
        <w:t>higher education</w:t>
      </w:r>
      <w:r>
        <w:t xml:space="preserve"> in building and const</w:t>
      </w:r>
      <w:r w:rsidR="004E3E71">
        <w:t>r</w:t>
      </w:r>
      <w:r>
        <w:t>uction</w:t>
      </w:r>
      <w:r w:rsidR="008010CB">
        <w:t xml:space="preserve"> through a number of </w:t>
      </w:r>
      <w:r w:rsidR="006F0C96">
        <w:t xml:space="preserve">different </w:t>
      </w:r>
      <w:r w:rsidR="008010CB">
        <w:t>lenses</w:t>
      </w:r>
      <w:r w:rsidR="004E3E71">
        <w:t>. The</w:t>
      </w:r>
      <w:r w:rsidR="008010CB">
        <w:t>se include</w:t>
      </w:r>
      <w:r w:rsidR="004E3E71">
        <w:t>:</w:t>
      </w:r>
    </w:p>
    <w:p w:rsidR="008010CB" w:rsidRDefault="00AD5A60" w:rsidP="008010CB">
      <w:pPr>
        <w:pStyle w:val="Dotpoint1"/>
      </w:pPr>
      <w:r>
        <w:t>consideration of the</w:t>
      </w:r>
      <w:r w:rsidR="004E3E71">
        <w:t xml:space="preserve"> workforce needs of the industry</w:t>
      </w:r>
      <w:r w:rsidR="005F4B77">
        <w:t>, in particular</w:t>
      </w:r>
      <w:r w:rsidR="00F94723">
        <w:t>,</w:t>
      </w:r>
      <w:r w:rsidR="005F4B77">
        <w:t xml:space="preserve"> for construction managers</w:t>
      </w:r>
      <w:r w:rsidR="00786220">
        <w:t>, and</w:t>
      </w:r>
      <w:r w:rsidR="006F0C96">
        <w:t xml:space="preserve"> </w:t>
      </w:r>
      <w:r w:rsidR="0036194A">
        <w:t xml:space="preserve">the </w:t>
      </w:r>
      <w:r w:rsidR="006F0C96">
        <w:t>implications for pathways</w:t>
      </w:r>
    </w:p>
    <w:p w:rsidR="004E3E71" w:rsidRDefault="00827833" w:rsidP="008010CB">
      <w:pPr>
        <w:pStyle w:val="Dotpoint1"/>
      </w:pPr>
      <w:r>
        <w:t xml:space="preserve">the levels of </w:t>
      </w:r>
      <w:r w:rsidR="00AD5A60">
        <w:t>c</w:t>
      </w:r>
      <w:r w:rsidR="008010CB">
        <w:t xml:space="preserve">urrent educational provision </w:t>
      </w:r>
      <w:r w:rsidR="00786220">
        <w:t>in diplomas</w:t>
      </w:r>
      <w:r w:rsidR="005F4B77">
        <w:t>, advanced diplomas</w:t>
      </w:r>
      <w:r w:rsidR="006F0C96">
        <w:t xml:space="preserve"> and </w:t>
      </w:r>
      <w:r w:rsidR="005F4B77">
        <w:t xml:space="preserve">bachelor </w:t>
      </w:r>
      <w:r w:rsidR="006F0C96">
        <w:t>degrees</w:t>
      </w:r>
      <w:r w:rsidR="0036194A">
        <w:t xml:space="preserve"> in this field</w:t>
      </w:r>
      <w:r w:rsidR="00F94723">
        <w:t>,</w:t>
      </w:r>
      <w:r w:rsidR="006F0C96">
        <w:t xml:space="preserve"> </w:t>
      </w:r>
      <w:r w:rsidR="008010CB">
        <w:t>a</w:t>
      </w:r>
      <w:r w:rsidR="0036194A">
        <w:t>long with</w:t>
      </w:r>
      <w:r w:rsidR="008010CB">
        <w:t xml:space="preserve"> pathways </w:t>
      </w:r>
      <w:r>
        <w:t xml:space="preserve">data </w:t>
      </w:r>
      <w:r w:rsidR="008010CB">
        <w:t xml:space="preserve">between </w:t>
      </w:r>
      <w:r w:rsidR="0036194A">
        <w:t xml:space="preserve">these qualifications and the </w:t>
      </w:r>
      <w:r w:rsidR="000154F3">
        <w:t>consequent implications</w:t>
      </w:r>
      <w:r w:rsidR="0036194A">
        <w:t xml:space="preserve"> </w:t>
      </w:r>
    </w:p>
    <w:p w:rsidR="008A6A13" w:rsidRDefault="00827833" w:rsidP="008010CB">
      <w:pPr>
        <w:pStyle w:val="Dotpoint1"/>
      </w:pPr>
      <w:r>
        <w:t>t</w:t>
      </w:r>
      <w:r w:rsidR="004E3E71">
        <w:t xml:space="preserve">he enablers </w:t>
      </w:r>
      <w:r w:rsidR="006F0C96">
        <w:t xml:space="preserve">as </w:t>
      </w:r>
      <w:r>
        <w:t xml:space="preserve">expressed </w:t>
      </w:r>
      <w:r w:rsidR="00AD5A60">
        <w:t xml:space="preserve">through </w:t>
      </w:r>
      <w:r w:rsidR="008224AF">
        <w:t xml:space="preserve">the </w:t>
      </w:r>
      <w:r w:rsidR="000154F3">
        <w:t>voices of pathways</w:t>
      </w:r>
      <w:r w:rsidR="008010CB">
        <w:t xml:space="preserve"> stud</w:t>
      </w:r>
      <w:r w:rsidR="004E3E71">
        <w:t>ents</w:t>
      </w:r>
    </w:p>
    <w:p w:rsidR="00DB0C58" w:rsidRDefault="00AD5A60" w:rsidP="008010CB">
      <w:pPr>
        <w:pStyle w:val="Dotpoint1"/>
      </w:pPr>
      <w:proofErr w:type="gramStart"/>
      <w:r>
        <w:t>stakeholder</w:t>
      </w:r>
      <w:proofErr w:type="gramEnd"/>
      <w:r>
        <w:t xml:space="preserve"> perspectives</w:t>
      </w:r>
      <w:r w:rsidR="0036194A">
        <w:t xml:space="preserve"> on the research</w:t>
      </w:r>
      <w:r w:rsidR="008A6A13">
        <w:t>.</w:t>
      </w:r>
    </w:p>
    <w:p w:rsidR="008010CB" w:rsidRPr="00C65A04" w:rsidRDefault="008010CB" w:rsidP="00C65A04">
      <w:pPr>
        <w:pStyle w:val="Text"/>
      </w:pPr>
      <w:r>
        <w:t xml:space="preserve">Information </w:t>
      </w:r>
      <w:r w:rsidR="008A6A13">
        <w:t>supporting the project has been collec</w:t>
      </w:r>
      <w:r>
        <w:t>ted thr</w:t>
      </w:r>
      <w:r w:rsidR="008A6A13">
        <w:t>o</w:t>
      </w:r>
      <w:r w:rsidR="006F0C96">
        <w:t>ugh</w:t>
      </w:r>
      <w:r w:rsidR="008A6A13">
        <w:t xml:space="preserve"> a mix of </w:t>
      </w:r>
      <w:r w:rsidR="00AD5A60">
        <w:t xml:space="preserve">quantitative </w:t>
      </w:r>
      <w:r>
        <w:t xml:space="preserve">data </w:t>
      </w:r>
      <w:r w:rsidR="00786220">
        <w:t>from nationally</w:t>
      </w:r>
      <w:r w:rsidR="006F0C96">
        <w:t xml:space="preserve"> published statistics</w:t>
      </w:r>
      <w:r w:rsidR="008224AF">
        <w:t xml:space="preserve"> and reports</w:t>
      </w:r>
      <w:r>
        <w:t xml:space="preserve">, interviews </w:t>
      </w:r>
      <w:r w:rsidR="008A6A13">
        <w:t xml:space="preserve">with students </w:t>
      </w:r>
      <w:r w:rsidR="00F94723">
        <w:t>from a number</w:t>
      </w:r>
      <w:r w:rsidR="006F0C96">
        <w:t xml:space="preserve"> of universities </w:t>
      </w:r>
      <w:r w:rsidR="003349C1">
        <w:t>and</w:t>
      </w:r>
      <w:r w:rsidR="006F0C96">
        <w:t xml:space="preserve"> </w:t>
      </w:r>
      <w:r w:rsidR="00F94723">
        <w:t>round</w:t>
      </w:r>
      <w:r w:rsidR="003349C1">
        <w:t xml:space="preserve">table dialogues </w:t>
      </w:r>
      <w:r>
        <w:t xml:space="preserve">with </w:t>
      </w:r>
      <w:r w:rsidRPr="00C65A04">
        <w:t xml:space="preserve">stakeholders. </w:t>
      </w:r>
    </w:p>
    <w:p w:rsidR="00B27CDF" w:rsidRPr="00C65A04" w:rsidRDefault="008010CB" w:rsidP="00646453">
      <w:pPr>
        <w:pStyle w:val="Text"/>
      </w:pPr>
      <w:r w:rsidRPr="00C65A04">
        <w:t xml:space="preserve">The </w:t>
      </w:r>
      <w:r w:rsidR="008A6A13" w:rsidRPr="00C65A04">
        <w:t xml:space="preserve">contextualisation of the research </w:t>
      </w:r>
      <w:r w:rsidR="000154F3" w:rsidRPr="00C65A04">
        <w:t>in relation to</w:t>
      </w:r>
      <w:r w:rsidR="008A6A13" w:rsidRPr="00C65A04">
        <w:t xml:space="preserve"> industry workforce </w:t>
      </w:r>
      <w:r w:rsidR="005F4B77" w:rsidRPr="00C65A04">
        <w:t xml:space="preserve">needs </w:t>
      </w:r>
      <w:r w:rsidR="00AD5A60" w:rsidRPr="00C65A04">
        <w:t>places pathways</w:t>
      </w:r>
      <w:r w:rsidR="008A6A13" w:rsidRPr="00C65A04">
        <w:t xml:space="preserve"> in a broader </w:t>
      </w:r>
      <w:r w:rsidR="00F94723" w:rsidRPr="00C65A04">
        <w:t>context</w:t>
      </w:r>
      <w:r w:rsidR="008A6A13" w:rsidRPr="00C65A04">
        <w:t xml:space="preserve"> and provides a </w:t>
      </w:r>
      <w:r w:rsidR="00AD5A60" w:rsidRPr="00C65A04">
        <w:t>further</w:t>
      </w:r>
      <w:r w:rsidR="008A6A13" w:rsidRPr="00C65A04">
        <w:t xml:space="preserve"> rati</w:t>
      </w:r>
      <w:r w:rsidR="00AD5A60" w:rsidRPr="00C65A04">
        <w:t>onale for pathways</w:t>
      </w:r>
      <w:r w:rsidR="008A6A13" w:rsidRPr="00C65A04">
        <w:t xml:space="preserve"> development.</w:t>
      </w:r>
      <w:r w:rsidR="00510D3B" w:rsidRPr="00C65A04">
        <w:t xml:space="preserve"> </w:t>
      </w:r>
      <w:r w:rsidR="00786220" w:rsidRPr="00C65A04">
        <w:t xml:space="preserve">As set out in the context section of this report, the industry </w:t>
      </w:r>
      <w:r w:rsidR="000154F3" w:rsidRPr="00C65A04">
        <w:t xml:space="preserve">currently </w:t>
      </w:r>
      <w:r w:rsidR="00786220" w:rsidRPr="00C65A04">
        <w:t>has a shortage of construction managers</w:t>
      </w:r>
      <w:r w:rsidR="00F94723" w:rsidRPr="00C65A04">
        <w:t>,</w:t>
      </w:r>
      <w:r w:rsidR="00786220" w:rsidRPr="00C65A04">
        <w:t xml:space="preserve"> the destination degree and principal occupation of the students in this study. </w:t>
      </w:r>
      <w:r w:rsidR="006F0C96" w:rsidRPr="00C65A04">
        <w:t>This occupation has also shown the most significant growth in percentage terms of any occupation in the industry in recent years</w:t>
      </w:r>
      <w:r w:rsidR="00F94723" w:rsidRPr="00C65A04">
        <w:t>. The i</w:t>
      </w:r>
      <w:r w:rsidR="00B27CDF" w:rsidRPr="00C65A04">
        <w:t xml:space="preserve">ndustry stakeholders represented at the </w:t>
      </w:r>
      <w:r w:rsidR="00F94723" w:rsidRPr="00C65A04">
        <w:t xml:space="preserve">roundtables </w:t>
      </w:r>
      <w:r w:rsidR="00B27CDF" w:rsidRPr="00C65A04">
        <w:t>also confirmed</w:t>
      </w:r>
      <w:r w:rsidR="00026972" w:rsidRPr="00C65A04">
        <w:t xml:space="preserve"> this workforce need. The </w:t>
      </w:r>
      <w:r w:rsidR="00580B58" w:rsidRPr="00C65A04">
        <w:t>Australian Workforce Productivity Agency</w:t>
      </w:r>
      <w:r w:rsidR="00026972" w:rsidRPr="00C65A04">
        <w:t xml:space="preserve"> </w:t>
      </w:r>
      <w:r w:rsidR="00B27CDF" w:rsidRPr="00C65A04">
        <w:t xml:space="preserve">identified this occupation as </w:t>
      </w:r>
      <w:r w:rsidR="005F4B77" w:rsidRPr="00C65A04">
        <w:t>‘</w:t>
      </w:r>
      <w:r w:rsidR="00B27CDF" w:rsidRPr="00C65A04">
        <w:t>specialised</w:t>
      </w:r>
      <w:r w:rsidR="005F4B77" w:rsidRPr="00C65A04">
        <w:t>’</w:t>
      </w:r>
      <w:r w:rsidR="00F94723" w:rsidRPr="00C65A04">
        <w:t>,</w:t>
      </w:r>
      <w:r w:rsidR="00B27CDF" w:rsidRPr="00C65A04">
        <w:t xml:space="preserve"> </w:t>
      </w:r>
      <w:r w:rsidR="00C6046F" w:rsidRPr="00C65A04">
        <w:t xml:space="preserve">that is, </w:t>
      </w:r>
      <w:r w:rsidR="00B27CDF" w:rsidRPr="00C65A04">
        <w:t xml:space="preserve">requiring a long </w:t>
      </w:r>
      <w:r w:rsidR="00F94723" w:rsidRPr="00C65A04">
        <w:t xml:space="preserve">lead </w:t>
      </w:r>
      <w:r w:rsidR="00786220" w:rsidRPr="00C65A04">
        <w:t>time</w:t>
      </w:r>
      <w:r w:rsidR="00B27CDF" w:rsidRPr="00C65A04">
        <w:t xml:space="preserve"> in formal education. </w:t>
      </w:r>
      <w:proofErr w:type="gramStart"/>
      <w:r w:rsidR="00B27CDF" w:rsidRPr="00C65A04">
        <w:t xml:space="preserve">Where once the </w:t>
      </w:r>
      <w:r w:rsidR="00646453">
        <w:t xml:space="preserve">required </w:t>
      </w:r>
      <w:r w:rsidR="00B27CDF" w:rsidRPr="00C65A04">
        <w:t xml:space="preserve">skills and knowledge </w:t>
      </w:r>
      <w:r w:rsidR="00F94723" w:rsidRPr="00C65A04">
        <w:t>were</w:t>
      </w:r>
      <w:r w:rsidR="00B27CDF" w:rsidRPr="00C65A04">
        <w:t xml:space="preserve"> grounded in</w:t>
      </w:r>
      <w:r w:rsidR="00646453">
        <w:t xml:space="preserve"> </w:t>
      </w:r>
      <w:r w:rsidR="00B27CDF" w:rsidRPr="00C65A04">
        <w:t>informal learning, the reality is that a degree is now necessary and expected f</w:t>
      </w:r>
      <w:r w:rsidR="00145CEA" w:rsidRPr="00C65A04">
        <w:t xml:space="preserve">or people </w:t>
      </w:r>
      <w:r w:rsidR="005F4B77" w:rsidRPr="00C65A04">
        <w:t>entering this</w:t>
      </w:r>
      <w:r w:rsidR="00C65A04">
        <w:t> </w:t>
      </w:r>
      <w:r w:rsidR="005F4B77" w:rsidRPr="00C65A04">
        <w:t>occupation</w:t>
      </w:r>
      <w:r w:rsidR="00B27CDF" w:rsidRPr="00C65A04">
        <w:t>.</w:t>
      </w:r>
      <w:proofErr w:type="gramEnd"/>
      <w:r w:rsidR="00B27CDF" w:rsidRPr="00C65A04">
        <w:t xml:space="preserve"> </w:t>
      </w:r>
    </w:p>
    <w:p w:rsidR="009A5D16" w:rsidRPr="00C65A04" w:rsidRDefault="00C9323A" w:rsidP="00C65A04">
      <w:pPr>
        <w:pStyle w:val="Text"/>
      </w:pPr>
      <w:r w:rsidRPr="00C65A04">
        <w:t>This</w:t>
      </w:r>
      <w:r w:rsidR="00B27CDF" w:rsidRPr="00C65A04">
        <w:t xml:space="preserve"> industry recognises that one</w:t>
      </w:r>
      <w:r w:rsidR="00026972" w:rsidRPr="00C65A04">
        <w:t xml:space="preserve"> of the means </w:t>
      </w:r>
      <w:r w:rsidR="00F94723" w:rsidRPr="00C65A04">
        <w:t>of</w:t>
      </w:r>
      <w:r w:rsidR="00026972" w:rsidRPr="00C65A04">
        <w:t xml:space="preserve"> address</w:t>
      </w:r>
      <w:r w:rsidR="008224AF" w:rsidRPr="00C65A04">
        <w:t>ing</w:t>
      </w:r>
      <w:r w:rsidR="00B27CDF" w:rsidRPr="00C65A04">
        <w:t xml:space="preserve"> skills shorta</w:t>
      </w:r>
      <w:r w:rsidR="00145CEA" w:rsidRPr="00C65A04">
        <w:t xml:space="preserve">ges </w:t>
      </w:r>
      <w:r w:rsidR="00B27CDF" w:rsidRPr="00C65A04">
        <w:t xml:space="preserve">is </w:t>
      </w:r>
      <w:r w:rsidR="00C6046F" w:rsidRPr="00C65A04">
        <w:t>improving</w:t>
      </w:r>
      <w:r w:rsidR="00F94723" w:rsidRPr="00C65A04">
        <w:t xml:space="preserve"> the</w:t>
      </w:r>
      <w:r w:rsidR="00B27CDF" w:rsidRPr="00C65A04">
        <w:t xml:space="preserve"> </w:t>
      </w:r>
      <w:proofErr w:type="spellStart"/>
      <w:r w:rsidR="00B27CDF" w:rsidRPr="00C65A04">
        <w:t>upskilling</w:t>
      </w:r>
      <w:proofErr w:type="spellEnd"/>
      <w:r w:rsidR="00B27CDF" w:rsidRPr="00C65A04">
        <w:t xml:space="preserve"> </w:t>
      </w:r>
      <w:r w:rsidR="00C6046F" w:rsidRPr="00C65A04">
        <w:t>procedure</w:t>
      </w:r>
      <w:r w:rsidR="00F94723" w:rsidRPr="00C65A04">
        <w:t xml:space="preserve">s </w:t>
      </w:r>
      <w:r w:rsidR="00B27CDF" w:rsidRPr="00C65A04">
        <w:t>of ex</w:t>
      </w:r>
      <w:r w:rsidR="00145CEA" w:rsidRPr="00C65A04">
        <w:t>i</w:t>
      </w:r>
      <w:r w:rsidR="00B27CDF" w:rsidRPr="00C65A04">
        <w:t>sting workers and students with</w:t>
      </w:r>
      <w:r w:rsidR="00F94723" w:rsidRPr="00C65A04">
        <w:t xml:space="preserve"> lower-</w:t>
      </w:r>
      <w:r w:rsidRPr="00C65A04">
        <w:t xml:space="preserve">level AQF qualifications </w:t>
      </w:r>
      <w:r w:rsidR="00145CEA" w:rsidRPr="00C65A04">
        <w:t xml:space="preserve">through pathways </w:t>
      </w:r>
      <w:r w:rsidR="00F94723" w:rsidRPr="00C65A04">
        <w:t>into higher-</w:t>
      </w:r>
      <w:r w:rsidRPr="00C65A04">
        <w:t>level qualifications</w:t>
      </w:r>
      <w:r w:rsidR="00C6046F" w:rsidRPr="00C65A04">
        <w:t>,</w:t>
      </w:r>
      <w:r w:rsidRPr="00C65A04">
        <w:t xml:space="preserve"> with due recognition </w:t>
      </w:r>
      <w:r w:rsidR="00145CEA" w:rsidRPr="00C65A04">
        <w:t>for relevant knowledge and skills.</w:t>
      </w:r>
      <w:r w:rsidR="00510D3B" w:rsidRPr="00C65A04">
        <w:t xml:space="preserve"> </w:t>
      </w:r>
      <w:r w:rsidR="00145CEA" w:rsidRPr="00C65A04">
        <w:t>Projecting</w:t>
      </w:r>
      <w:r w:rsidRPr="00C65A04">
        <w:t xml:space="preserve"> a workforce development need </w:t>
      </w:r>
      <w:r w:rsidR="004D5EEF" w:rsidRPr="00C65A04">
        <w:t>on to</w:t>
      </w:r>
      <w:r w:rsidR="00145CEA" w:rsidRPr="00C65A04">
        <w:t xml:space="preserve"> pathways </w:t>
      </w:r>
      <w:r w:rsidRPr="00C65A04">
        <w:t xml:space="preserve">development </w:t>
      </w:r>
      <w:r w:rsidR="00727D91" w:rsidRPr="00C65A04">
        <w:t xml:space="preserve">represents an </w:t>
      </w:r>
      <w:r w:rsidR="00BE4E24" w:rsidRPr="00C65A04">
        <w:t>enabler, providing a</w:t>
      </w:r>
      <w:r w:rsidRPr="00C65A04">
        <w:t xml:space="preserve"> workforce rationale. </w:t>
      </w:r>
    </w:p>
    <w:p w:rsidR="00B05040" w:rsidRPr="00C65A04" w:rsidRDefault="00B05040" w:rsidP="00C65A04">
      <w:pPr>
        <w:pStyle w:val="Text"/>
      </w:pPr>
      <w:r w:rsidRPr="00C65A04">
        <w:t>There is perhaps a greater role for employers in this industry, one that involves being part of the collaborative process of pathways development, p</w:t>
      </w:r>
      <w:r w:rsidR="00C6046F" w:rsidRPr="00C65A04">
        <w:t>ossibly</w:t>
      </w:r>
      <w:r w:rsidRPr="00C65A04">
        <w:t xml:space="preserve"> as an equal player working </w:t>
      </w:r>
      <w:r w:rsidR="00F20BEF" w:rsidRPr="00C65A04">
        <w:t xml:space="preserve">with VET </w:t>
      </w:r>
      <w:r w:rsidRPr="00C65A04">
        <w:t xml:space="preserve">and </w:t>
      </w:r>
      <w:r w:rsidR="00510D3B" w:rsidRPr="00C65A04">
        <w:t>higher education</w:t>
      </w:r>
      <w:r w:rsidRPr="00C65A04">
        <w:t xml:space="preserve"> institutions to build pathways </w:t>
      </w:r>
      <w:r w:rsidR="00F20BEF" w:rsidRPr="00C65A04">
        <w:t>related to</w:t>
      </w:r>
      <w:r w:rsidRPr="00C65A04">
        <w:t xml:space="preserve"> workforce needs.</w:t>
      </w:r>
      <w:r w:rsidR="00510D3B" w:rsidRPr="00C65A04">
        <w:t xml:space="preserve"> </w:t>
      </w:r>
      <w:r w:rsidRPr="00C65A04">
        <w:t xml:space="preserve">Collaboration with industry could also involve </w:t>
      </w:r>
      <w:r w:rsidR="00C6046F" w:rsidRPr="00C65A04">
        <w:t>an</w:t>
      </w:r>
      <w:r w:rsidRPr="00C65A04">
        <w:t xml:space="preserve"> improved dialogue between employer and professional bodies in the building industry and </w:t>
      </w:r>
      <w:r w:rsidR="00C6046F" w:rsidRPr="00C65A04">
        <w:t xml:space="preserve">the relevant </w:t>
      </w:r>
      <w:r w:rsidR="00F20BEF" w:rsidRPr="00C65A04">
        <w:t xml:space="preserve">skills councils </w:t>
      </w:r>
      <w:r w:rsidRPr="00C65A04">
        <w:t>to support skills needs and pathways into professional</w:t>
      </w:r>
      <w:r w:rsidR="00646453">
        <w:t> </w:t>
      </w:r>
      <w:r w:rsidRPr="00C65A04">
        <w:t>work.</w:t>
      </w:r>
    </w:p>
    <w:p w:rsidR="008A3BD6" w:rsidRDefault="008A3BD6" w:rsidP="00C65A04">
      <w:pPr>
        <w:pStyle w:val="Text"/>
      </w:pPr>
      <w:r w:rsidRPr="00C65A04">
        <w:t>The pathways students themselves</w:t>
      </w:r>
      <w:r>
        <w:t xml:space="preserve"> can also </w:t>
      </w:r>
      <w:r w:rsidR="00B05040">
        <w:t xml:space="preserve">be </w:t>
      </w:r>
      <w:r w:rsidR="000B008B">
        <w:t>interpreted as an ‘enabler’</w:t>
      </w:r>
      <w:r w:rsidR="00F20BEF">
        <w:t>,</w:t>
      </w:r>
      <w:r w:rsidR="000B008B">
        <w:t xml:space="preserve"> in the sense that they provide </w:t>
      </w:r>
      <w:r w:rsidR="00510D3B">
        <w:t>higher education</w:t>
      </w:r>
      <w:r w:rsidR="000B008B">
        <w:t xml:space="preserve"> institutions with a valuable source of capable students</w:t>
      </w:r>
      <w:r>
        <w:t>. Certainly, many of the pathway</w:t>
      </w:r>
      <w:r w:rsidR="004D5EEF">
        <w:t>s</w:t>
      </w:r>
      <w:r>
        <w:t xml:space="preserve"> students interviewed for this project considered themselves as equal or ‘bette</w:t>
      </w:r>
      <w:r w:rsidR="00F20BEF">
        <w:t>r’ students</w:t>
      </w:r>
      <w:r w:rsidR="00646453">
        <w:t xml:space="preserve"> and</w:t>
      </w:r>
      <w:r w:rsidR="00F20BEF">
        <w:t xml:space="preserve"> who were more focus</w:t>
      </w:r>
      <w:r>
        <w:t>ed and motivated than some of their peers.</w:t>
      </w:r>
      <w:r w:rsidR="00510D3B">
        <w:t xml:space="preserve"> </w:t>
      </w:r>
      <w:r w:rsidR="00F20BEF">
        <w:t>Where evidence-</w:t>
      </w:r>
      <w:r>
        <w:t>based research confirms these capabilities, it is a powerful tool in addressing</w:t>
      </w:r>
      <w:r w:rsidR="00C6046F">
        <w:t xml:space="preserve"> </w:t>
      </w:r>
      <w:r w:rsidR="00646453">
        <w:t xml:space="preserve">the </w:t>
      </w:r>
      <w:r w:rsidR="00C6046F">
        <w:t xml:space="preserve">cultural or other barriers </w:t>
      </w:r>
      <w:r>
        <w:t xml:space="preserve">in </w:t>
      </w:r>
      <w:r w:rsidR="00510D3B">
        <w:t>higher education</w:t>
      </w:r>
      <w:r>
        <w:t xml:space="preserve"> </w:t>
      </w:r>
      <w:r w:rsidR="00646453">
        <w:t>facing</w:t>
      </w:r>
      <w:r>
        <w:t xml:space="preserve"> these students. </w:t>
      </w:r>
    </w:p>
    <w:p w:rsidR="008A3BD6" w:rsidRDefault="000B008B" w:rsidP="008A3BD6">
      <w:pPr>
        <w:pStyle w:val="Text"/>
      </w:pPr>
      <w:r>
        <w:lastRenderedPageBreak/>
        <w:t xml:space="preserve">Based on the interviews for this study these </w:t>
      </w:r>
      <w:r w:rsidR="008224AF">
        <w:t>pathway</w:t>
      </w:r>
      <w:r w:rsidR="004D5EEF">
        <w:t>s</w:t>
      </w:r>
      <w:r w:rsidR="008224AF">
        <w:t xml:space="preserve"> </w:t>
      </w:r>
      <w:r>
        <w:t>students demonstrated</w:t>
      </w:r>
      <w:r w:rsidR="008A3BD6">
        <w:t>:</w:t>
      </w:r>
    </w:p>
    <w:p w:rsidR="00E93553" w:rsidRDefault="008A3BD6">
      <w:pPr>
        <w:pStyle w:val="Dotpoint1"/>
      </w:pPr>
      <w:r>
        <w:t>high levels of motivation to study and succeed at university</w:t>
      </w:r>
    </w:p>
    <w:p w:rsidR="00E93553" w:rsidRDefault="00786220">
      <w:pPr>
        <w:pStyle w:val="Dotpoint1"/>
      </w:pPr>
      <w:r>
        <w:t>a clear</w:t>
      </w:r>
      <w:r w:rsidR="000B008B">
        <w:t xml:space="preserve"> focus on the value of the </w:t>
      </w:r>
      <w:r w:rsidR="008A3BD6">
        <w:t xml:space="preserve">degree, the work </w:t>
      </w:r>
      <w:r w:rsidR="000B008B">
        <w:t xml:space="preserve">and career </w:t>
      </w:r>
      <w:r w:rsidR="008A3BD6">
        <w:t>it leads</w:t>
      </w:r>
      <w:r w:rsidR="008A3BD6" w:rsidRPr="00014332">
        <w:t xml:space="preserve"> </w:t>
      </w:r>
      <w:r w:rsidR="008A3BD6">
        <w:t xml:space="preserve">to and the industry </w:t>
      </w:r>
      <w:r w:rsidR="008224AF">
        <w:t>of choice</w:t>
      </w:r>
      <w:r w:rsidR="008A3BD6">
        <w:t xml:space="preserve"> </w:t>
      </w:r>
    </w:p>
    <w:p w:rsidR="00E93553" w:rsidRDefault="008A3BD6">
      <w:pPr>
        <w:pStyle w:val="Dotpoint1"/>
      </w:pPr>
      <w:r>
        <w:t xml:space="preserve">the value of existing knowledge and </w:t>
      </w:r>
      <w:r w:rsidR="00786220">
        <w:t>skills brought</w:t>
      </w:r>
      <w:r>
        <w:t xml:space="preserve"> to the degree studies through </w:t>
      </w:r>
      <w:r w:rsidR="00510D3B">
        <w:t>vocational education and training</w:t>
      </w:r>
      <w:r>
        <w:t xml:space="preserve"> </w:t>
      </w:r>
      <w:r w:rsidR="000B008B">
        <w:t xml:space="preserve">and which other </w:t>
      </w:r>
      <w:r w:rsidR="00510D3B">
        <w:t>higher education</w:t>
      </w:r>
      <w:r w:rsidR="000B008B">
        <w:t xml:space="preserve"> students don’t possess</w:t>
      </w:r>
    </w:p>
    <w:p w:rsidR="00E93553" w:rsidRDefault="008A3BD6">
      <w:pPr>
        <w:pStyle w:val="Dotpoint1"/>
      </w:pPr>
      <w:r w:rsidRPr="00014332">
        <w:t xml:space="preserve">commitment and perseverance in making the </w:t>
      </w:r>
      <w:r w:rsidR="00F20BEF">
        <w:t>VET</w:t>
      </w:r>
      <w:r w:rsidRPr="00014332">
        <w:t xml:space="preserve"> to </w:t>
      </w:r>
      <w:r w:rsidR="00510D3B">
        <w:t>higher education</w:t>
      </w:r>
      <w:r w:rsidRPr="00014332">
        <w:t xml:space="preserve"> transition successful</w:t>
      </w:r>
    </w:p>
    <w:p w:rsidR="00E93553" w:rsidRDefault="008A3BD6">
      <w:pPr>
        <w:pStyle w:val="Dotpoint1"/>
      </w:pPr>
      <w:r>
        <w:t xml:space="preserve">ongoing building of </w:t>
      </w:r>
      <w:r w:rsidR="00786220">
        <w:t>confidence as</w:t>
      </w:r>
      <w:r w:rsidR="000B008B">
        <w:t xml:space="preserve"> learners </w:t>
      </w:r>
    </w:p>
    <w:p w:rsidR="00E93553" w:rsidRDefault="00F20BEF">
      <w:pPr>
        <w:pStyle w:val="Dotpoint1"/>
      </w:pPr>
      <w:proofErr w:type="gramStart"/>
      <w:r>
        <w:t>a</w:t>
      </w:r>
      <w:proofErr w:type="gramEnd"/>
      <w:r>
        <w:t xml:space="preserve"> capacity for self-</w:t>
      </w:r>
      <w:r w:rsidR="008A3BD6">
        <w:t>directed learning.</w:t>
      </w:r>
    </w:p>
    <w:p w:rsidR="008224AF" w:rsidRDefault="00727D91" w:rsidP="008A3BD6">
      <w:pPr>
        <w:pStyle w:val="Text"/>
      </w:pPr>
      <w:r>
        <w:t>P</w:t>
      </w:r>
      <w:r w:rsidR="008A3BD6">
        <w:t>athways build both student motivation and the capacity for self-directed learning</w:t>
      </w:r>
      <w:r>
        <w:t xml:space="preserve">. Each of these could be considered as </w:t>
      </w:r>
      <w:r w:rsidR="00C6046F">
        <w:t>student-</w:t>
      </w:r>
      <w:r w:rsidR="00824818">
        <w:t xml:space="preserve">centred </w:t>
      </w:r>
      <w:r w:rsidR="008A3BD6">
        <w:t xml:space="preserve">‘enablers’. </w:t>
      </w:r>
    </w:p>
    <w:p w:rsidR="008A3BD6" w:rsidRDefault="008224AF" w:rsidP="008A3BD6">
      <w:pPr>
        <w:pStyle w:val="Text"/>
      </w:pPr>
      <w:r>
        <w:t xml:space="preserve">Other </w:t>
      </w:r>
      <w:r w:rsidR="008A3BD6">
        <w:t xml:space="preserve">enablers identified </w:t>
      </w:r>
      <w:r w:rsidR="00727D91">
        <w:t>by</w:t>
      </w:r>
      <w:r w:rsidR="008A3BD6">
        <w:t xml:space="preserve"> the students were:</w:t>
      </w:r>
    </w:p>
    <w:p w:rsidR="008A3BD6" w:rsidRDefault="00F20BEF" w:rsidP="008A3BD6">
      <w:pPr>
        <w:pStyle w:val="Dotpoint1"/>
      </w:pPr>
      <w:r>
        <w:t>p</w:t>
      </w:r>
      <w:r w:rsidR="008A3BD6" w:rsidRPr="00F20BEF">
        <w:t>eople-rich resources</w:t>
      </w:r>
      <w:r>
        <w:t>,</w:t>
      </w:r>
      <w:r w:rsidR="008A3BD6">
        <w:t xml:space="preserve"> the most significant </w:t>
      </w:r>
      <w:r>
        <w:t>being</w:t>
      </w:r>
      <w:r w:rsidR="008A3BD6">
        <w:t xml:space="preserve"> the teachers and other </w:t>
      </w:r>
      <w:r>
        <w:t>VET</w:t>
      </w:r>
      <w:r w:rsidR="008A3BD6">
        <w:t xml:space="preserve"> </w:t>
      </w:r>
      <w:r w:rsidR="00786220">
        <w:t>staff who</w:t>
      </w:r>
      <w:r w:rsidR="008A3BD6">
        <w:t xml:space="preserve"> gave guidance and advice to these students in </w:t>
      </w:r>
      <w:r>
        <w:t xml:space="preserve">areas </w:t>
      </w:r>
      <w:r w:rsidR="00C6046F">
        <w:t>such as future study,</w:t>
      </w:r>
      <w:r>
        <w:t xml:space="preserve"> </w:t>
      </w:r>
      <w:proofErr w:type="spellStart"/>
      <w:r>
        <w:t>up</w:t>
      </w:r>
      <w:r w:rsidR="00C6046F">
        <w:t>skilling</w:t>
      </w:r>
      <w:proofErr w:type="spellEnd"/>
      <w:r w:rsidR="00C6046F">
        <w:t xml:space="preserve"> options and</w:t>
      </w:r>
      <w:r w:rsidR="008A3BD6">
        <w:t xml:space="preserve"> </w:t>
      </w:r>
      <w:r>
        <w:t>career opportunities for higher-</w:t>
      </w:r>
      <w:r w:rsidR="00C6046F">
        <w:t>level qualifications</w:t>
      </w:r>
      <w:r w:rsidR="00646453">
        <w:t>,</w:t>
      </w:r>
      <w:r w:rsidR="00C6046F">
        <w:t xml:space="preserve"> and</w:t>
      </w:r>
      <w:r w:rsidR="008A3BD6">
        <w:t xml:space="preserve"> information on specific universities, </w:t>
      </w:r>
      <w:r w:rsidR="00C6046F">
        <w:t>credit and other relevant issues</w:t>
      </w:r>
    </w:p>
    <w:p w:rsidR="008A3BD6" w:rsidRDefault="00F20BEF" w:rsidP="008A3BD6">
      <w:pPr>
        <w:pStyle w:val="Dotpoint1"/>
      </w:pPr>
      <w:r>
        <w:t>t</w:t>
      </w:r>
      <w:r w:rsidR="008A3BD6" w:rsidRPr="00F20BEF">
        <w:t>he recognition of difference</w:t>
      </w:r>
      <w:r w:rsidR="008A3BD6">
        <w:t xml:space="preserve"> </w:t>
      </w:r>
      <w:r>
        <w:t>by the de</w:t>
      </w:r>
      <w:r w:rsidR="00C6046F">
        <w:t>stination universities,</w:t>
      </w:r>
      <w:r w:rsidR="008A3BD6">
        <w:t xml:space="preserve"> expressed through recognition </w:t>
      </w:r>
      <w:r>
        <w:t>of</w:t>
      </w:r>
      <w:r w:rsidR="00C6046F">
        <w:t xml:space="preserve"> prior VET studies in the form</w:t>
      </w:r>
      <w:r w:rsidR="008A3BD6">
        <w:t xml:space="preserve"> of credit and guaranteed entry (where provided) or ease of admission and the support given to transition students as indi</w:t>
      </w:r>
      <w:r>
        <w:t>vidual learners</w:t>
      </w:r>
    </w:p>
    <w:p w:rsidR="008A3BD6" w:rsidRDefault="00F20BEF" w:rsidP="008A3BD6">
      <w:pPr>
        <w:pStyle w:val="Dotpoint1"/>
      </w:pPr>
      <w:proofErr w:type="gramStart"/>
      <w:r>
        <w:t>enhanced</w:t>
      </w:r>
      <w:proofErr w:type="gramEnd"/>
      <w:r>
        <w:t xml:space="preserve"> curriculum </w:t>
      </w:r>
      <w:r w:rsidR="008A3BD6">
        <w:t xml:space="preserve">in </w:t>
      </w:r>
      <w:r w:rsidR="00510D3B">
        <w:t>vocational education and training</w:t>
      </w:r>
      <w:r w:rsidR="00C6046F">
        <w:t>,</w:t>
      </w:r>
      <w:r w:rsidR="008A3BD6">
        <w:t xml:space="preserve"> expressed through quality learn</w:t>
      </w:r>
      <w:r>
        <w:t>ing experiences and teaching</w:t>
      </w:r>
      <w:r w:rsidR="008A3BD6">
        <w:t xml:space="preserve">. In the case of the UWS College students, this enabler was further enhanced by the </w:t>
      </w:r>
      <w:r>
        <w:t>modified curriculum in the VET d</w:t>
      </w:r>
      <w:r w:rsidR="008A3BD6">
        <w:t>iploma to include foundation skills and a guaranteed pathway int</w:t>
      </w:r>
      <w:r>
        <w:t>o the second year of the degree</w:t>
      </w:r>
    </w:p>
    <w:p w:rsidR="008A3BD6" w:rsidRDefault="008A3BD6" w:rsidP="008A3BD6">
      <w:pPr>
        <w:pStyle w:val="Dotpoint1"/>
      </w:pPr>
      <w:proofErr w:type="gramStart"/>
      <w:r>
        <w:t>collaboration</w:t>
      </w:r>
      <w:proofErr w:type="gramEnd"/>
      <w:r>
        <w:t xml:space="preserve"> and communication between staff in the </w:t>
      </w:r>
      <w:r w:rsidR="00424B36">
        <w:t>VET</w:t>
      </w:r>
      <w:r>
        <w:t xml:space="preserve"> and </w:t>
      </w:r>
      <w:r w:rsidR="00510D3B">
        <w:t>higher education</w:t>
      </w:r>
      <w:r>
        <w:t xml:space="preserve"> providers</w:t>
      </w:r>
      <w:r w:rsidR="00C6046F">
        <w:t>,</w:t>
      </w:r>
      <w:r>
        <w:t xml:space="preserve"> expressed through familiarity activities such as orientations, strong co</w:t>
      </w:r>
      <w:r w:rsidR="00424B36">
        <w:t>mmunications between staff and ‘link’</w:t>
      </w:r>
      <w:r>
        <w:t xml:space="preserve"> personnel in both institutions.</w:t>
      </w:r>
    </w:p>
    <w:p w:rsidR="00995946" w:rsidRPr="00C65A04" w:rsidDel="00D66E8E" w:rsidRDefault="008A2E33" w:rsidP="00C65A04">
      <w:pPr>
        <w:pStyle w:val="Text"/>
      </w:pPr>
      <w:r>
        <w:t xml:space="preserve">One of the </w:t>
      </w:r>
      <w:r w:rsidR="005F4B77">
        <w:t xml:space="preserve">key </w:t>
      </w:r>
      <w:r>
        <w:t xml:space="preserve">constraints to </w:t>
      </w:r>
      <w:r w:rsidR="00BE4E24">
        <w:t xml:space="preserve">improving </w:t>
      </w:r>
      <w:r>
        <w:t xml:space="preserve">pathways </w:t>
      </w:r>
      <w:r w:rsidR="005F4B77">
        <w:t xml:space="preserve">in this field </w:t>
      </w:r>
      <w:r>
        <w:t xml:space="preserve">is the </w:t>
      </w:r>
      <w:r w:rsidR="002E7BBD">
        <w:t xml:space="preserve">size of provision </w:t>
      </w:r>
      <w:r w:rsidR="00BE4E24">
        <w:t xml:space="preserve">in both VET </w:t>
      </w:r>
      <w:r w:rsidR="005F4B77">
        <w:t>diploma</w:t>
      </w:r>
      <w:r w:rsidR="002E7BBD">
        <w:t>s</w:t>
      </w:r>
      <w:r w:rsidR="005F4B77">
        <w:t xml:space="preserve"> </w:t>
      </w:r>
      <w:r w:rsidR="00BE4E24">
        <w:t xml:space="preserve">and </w:t>
      </w:r>
      <w:r w:rsidR="005F4B77">
        <w:t xml:space="preserve">in </w:t>
      </w:r>
      <w:r w:rsidR="00510D3B">
        <w:t>higher education</w:t>
      </w:r>
      <w:r w:rsidR="002E7BBD">
        <w:t xml:space="preserve"> </w:t>
      </w:r>
      <w:r w:rsidR="005F4B77">
        <w:t>degrees</w:t>
      </w:r>
      <w:r w:rsidR="00BE4E24">
        <w:t>. As the NCVER data on student</w:t>
      </w:r>
      <w:r w:rsidR="005F4B77">
        <w:t xml:space="preserve"> enrolments and </w:t>
      </w:r>
      <w:r w:rsidR="005B08FA">
        <w:t xml:space="preserve">the data from the Student Outcomes Survey showed, the number of students and graduates </w:t>
      </w:r>
      <w:r w:rsidR="00424B36">
        <w:t>in building-</w:t>
      </w:r>
      <w:r w:rsidR="00BE4E24">
        <w:t>related diplomas is pitifully small</w:t>
      </w:r>
      <w:r w:rsidR="0036194A">
        <w:t xml:space="preserve">. </w:t>
      </w:r>
      <w:r w:rsidR="002E7BBD" w:rsidRPr="00C65A04">
        <w:t>The national statistics</w:t>
      </w:r>
      <w:r w:rsidR="005C44DB" w:rsidRPr="00C65A04">
        <w:t xml:space="preserve"> on higher education also </w:t>
      </w:r>
      <w:r w:rsidR="000D00AD" w:rsidRPr="00C65A04">
        <w:t>highlight</w:t>
      </w:r>
      <w:r w:rsidR="002E7BBD" w:rsidRPr="00C65A04">
        <w:t xml:space="preserve"> the extremely small </w:t>
      </w:r>
      <w:r w:rsidR="00C6046F" w:rsidRPr="00C65A04">
        <w:t>student numbers in building-</w:t>
      </w:r>
      <w:r w:rsidR="000D00AD" w:rsidRPr="00C65A04">
        <w:t xml:space="preserve">related studies. </w:t>
      </w:r>
    </w:p>
    <w:p w:rsidR="00D66E8E" w:rsidRPr="00C65A04" w:rsidDel="0036194A" w:rsidRDefault="005B08FA" w:rsidP="00C65A04">
      <w:pPr>
        <w:pStyle w:val="Text"/>
      </w:pPr>
      <w:r w:rsidRPr="00C65A04">
        <w:t xml:space="preserve">NCVER data </w:t>
      </w:r>
      <w:r w:rsidR="00424B36" w:rsidRPr="00C65A04">
        <w:t>from 2010</w:t>
      </w:r>
      <w:r w:rsidR="00646453">
        <w:t>—</w:t>
      </w:r>
      <w:r w:rsidR="00924ECE" w:rsidRPr="00C65A04">
        <w:t>11</w:t>
      </w:r>
      <w:r w:rsidR="00C16AB9" w:rsidRPr="00C65A04">
        <w:t xml:space="preserve"> </w:t>
      </w:r>
      <w:r w:rsidRPr="00C65A04">
        <w:t>also show that</w:t>
      </w:r>
      <w:r w:rsidR="00424B36" w:rsidRPr="00C65A04">
        <w:t>,</w:t>
      </w:r>
      <w:r w:rsidRPr="00C65A04">
        <w:t xml:space="preserve"> at diploma levels, graduates from this field of education move into higher education at around the same </w:t>
      </w:r>
      <w:r w:rsidR="00646453">
        <w:t>rate</w:t>
      </w:r>
      <w:r w:rsidRPr="00C65A04">
        <w:t xml:space="preserve"> as the average of all field</w:t>
      </w:r>
      <w:r w:rsidR="00924ECE" w:rsidRPr="00C65A04">
        <w:t>s</w:t>
      </w:r>
      <w:r w:rsidR="00455203" w:rsidRPr="00C65A04">
        <w:t>,</w:t>
      </w:r>
      <w:r w:rsidR="00924ECE" w:rsidRPr="00C65A04">
        <w:t xml:space="preserve"> with 16.5% enrolled in a bachelor degree six months after graduation.</w:t>
      </w:r>
      <w:r w:rsidRPr="00C65A04">
        <w:t xml:space="preserve"> </w:t>
      </w:r>
      <w:r w:rsidR="00424B36" w:rsidRPr="00C65A04">
        <w:t>This suggest</w:t>
      </w:r>
      <w:r w:rsidR="00C6046F" w:rsidRPr="00C65A04">
        <w:t>s</w:t>
      </w:r>
      <w:r w:rsidR="00BE4E24" w:rsidRPr="00C65A04">
        <w:t xml:space="preserve"> </w:t>
      </w:r>
      <w:r w:rsidR="00D70B9A" w:rsidRPr="00C65A04">
        <w:t xml:space="preserve">no ‘industry’ difference in transfer between this and other fields at these qualification levels. </w:t>
      </w:r>
      <w:r w:rsidR="00D66E8E" w:rsidRPr="00C65A04">
        <w:t>The main issue for this field, it would seem, is not the pipeline but the size of the pipe.</w:t>
      </w:r>
    </w:p>
    <w:p w:rsidR="00D70B9A" w:rsidRPr="00C65A04" w:rsidRDefault="00D66E8E" w:rsidP="00C65A04">
      <w:pPr>
        <w:pStyle w:val="Text"/>
      </w:pPr>
      <w:r w:rsidRPr="00C65A04">
        <w:t xml:space="preserve">If </w:t>
      </w:r>
      <w:r w:rsidR="000C38A2" w:rsidRPr="00C65A04">
        <w:t>the numbers of pathways students into degrees are to improve</w:t>
      </w:r>
      <w:r w:rsidR="00924ECE" w:rsidRPr="00C65A04">
        <w:t xml:space="preserve"> (and assuming the current percentage </w:t>
      </w:r>
      <w:r w:rsidR="00334898" w:rsidRPr="00C65A04">
        <w:t xml:space="preserve">rate </w:t>
      </w:r>
      <w:r w:rsidR="00924ECE" w:rsidRPr="00C65A04">
        <w:t>of transfer</w:t>
      </w:r>
      <w:r w:rsidR="00D70B9A" w:rsidRPr="00C65A04">
        <w:t xml:space="preserve"> is maintained</w:t>
      </w:r>
      <w:r w:rsidR="00924ECE" w:rsidRPr="00C65A04">
        <w:t>)</w:t>
      </w:r>
      <w:r w:rsidRPr="00C65A04">
        <w:t>, the pool of students and graduates in diplomas must be expanded</w:t>
      </w:r>
      <w:r w:rsidR="005E0CEC" w:rsidRPr="00C65A04">
        <w:t xml:space="preserve"> and the number of </w:t>
      </w:r>
      <w:r w:rsidR="00510D3B" w:rsidRPr="00C65A04">
        <w:t>higher education</w:t>
      </w:r>
      <w:r w:rsidR="005E0CEC" w:rsidRPr="00C65A04">
        <w:t xml:space="preserve"> students must also increase</w:t>
      </w:r>
      <w:r w:rsidR="00924ECE" w:rsidRPr="00C65A04">
        <w:t xml:space="preserve">. </w:t>
      </w:r>
    </w:p>
    <w:p w:rsidR="00995946" w:rsidRPr="00C65A04" w:rsidRDefault="00334898" w:rsidP="00C65A04">
      <w:pPr>
        <w:pStyle w:val="Text"/>
      </w:pPr>
      <w:r w:rsidRPr="00C65A04">
        <w:t xml:space="preserve">One of the </w:t>
      </w:r>
      <w:r w:rsidR="00D70B9A" w:rsidRPr="00C65A04">
        <w:t xml:space="preserve">most obvious sources for extending the </w:t>
      </w:r>
      <w:r w:rsidR="00424B36" w:rsidRPr="00C65A04">
        <w:t>diploma pool is graduates from c</w:t>
      </w:r>
      <w:r w:rsidR="00D70B9A" w:rsidRPr="00C65A04">
        <w:t xml:space="preserve">ertificate III/IV </w:t>
      </w:r>
      <w:r w:rsidR="005C44DB" w:rsidRPr="00C65A04">
        <w:t>qualifications</w:t>
      </w:r>
      <w:r w:rsidR="00C6046F" w:rsidRPr="00C65A04">
        <w:t>,</w:t>
      </w:r>
      <w:r w:rsidR="005C44DB" w:rsidRPr="00C65A04">
        <w:t xml:space="preserve"> </w:t>
      </w:r>
      <w:r w:rsidR="00D70B9A" w:rsidRPr="00C65A04">
        <w:t xml:space="preserve">but </w:t>
      </w:r>
      <w:r w:rsidR="00D66E8E" w:rsidRPr="00C65A04">
        <w:t xml:space="preserve">as </w:t>
      </w:r>
      <w:r w:rsidR="00D70B9A" w:rsidRPr="00C65A04">
        <w:t xml:space="preserve">the </w:t>
      </w:r>
      <w:r w:rsidR="00C6046F" w:rsidRPr="00C65A04">
        <w:t>2010—</w:t>
      </w:r>
      <w:r w:rsidRPr="00C65A04">
        <w:t xml:space="preserve">11 </w:t>
      </w:r>
      <w:r w:rsidR="00424B36" w:rsidRPr="00C65A04">
        <w:t>Student Outcomes Survey</w:t>
      </w:r>
      <w:r w:rsidR="00D66E8E" w:rsidRPr="00C65A04">
        <w:t xml:space="preserve"> </w:t>
      </w:r>
      <w:r w:rsidRPr="00C65A04">
        <w:t xml:space="preserve">data </w:t>
      </w:r>
      <w:r w:rsidR="00424B36" w:rsidRPr="00C65A04">
        <w:t>indicate</w:t>
      </w:r>
      <w:r w:rsidR="00C6046F" w:rsidRPr="00C65A04">
        <w:t>,</w:t>
      </w:r>
      <w:r w:rsidR="00D70B9A" w:rsidRPr="00C65A04">
        <w:t xml:space="preserve"> </w:t>
      </w:r>
      <w:r w:rsidR="005E0CEC" w:rsidRPr="00C65A04">
        <w:t xml:space="preserve">only </w:t>
      </w:r>
      <w:r w:rsidR="00D70B9A" w:rsidRPr="00C65A04">
        <w:t xml:space="preserve">3.1% </w:t>
      </w:r>
      <w:r w:rsidRPr="00C65A04">
        <w:t xml:space="preserve">of this cohort </w:t>
      </w:r>
      <w:r w:rsidR="00D70B9A" w:rsidRPr="00C65A04">
        <w:lastRenderedPageBreak/>
        <w:t xml:space="preserve">enrol in </w:t>
      </w:r>
      <w:r w:rsidRPr="00C65A04">
        <w:t>diplomas the following year</w:t>
      </w:r>
      <w:r w:rsidR="005C44DB" w:rsidRPr="00C65A04">
        <w:t xml:space="preserve">. One reason </w:t>
      </w:r>
      <w:r w:rsidR="00995946" w:rsidRPr="00C65A04">
        <w:t>so few graduates continue with further study may</w:t>
      </w:r>
      <w:r w:rsidR="00C6046F" w:rsidRPr="00C65A04">
        <w:t xml:space="preserve"> </w:t>
      </w:r>
      <w:r w:rsidR="00995946" w:rsidRPr="00C65A04">
        <w:t>be that</w:t>
      </w:r>
      <w:r w:rsidR="005C44DB" w:rsidRPr="00C65A04">
        <w:t xml:space="preserve"> the employment outcomes are </w:t>
      </w:r>
      <w:r w:rsidR="003D492E" w:rsidRPr="00C65A04">
        <w:t xml:space="preserve">very </w:t>
      </w:r>
      <w:r w:rsidR="00995946" w:rsidRPr="00C65A04">
        <w:t>high</w:t>
      </w:r>
      <w:r w:rsidR="005C44DB" w:rsidRPr="00C65A04">
        <w:t xml:space="preserve"> </w:t>
      </w:r>
      <w:r w:rsidR="00C16AB9" w:rsidRPr="00C65A04">
        <w:t>for ‘</w:t>
      </w:r>
      <w:r w:rsidR="003D492E" w:rsidRPr="00C65A04">
        <w:t>trade’ graduates</w:t>
      </w:r>
      <w:r w:rsidR="00995946" w:rsidRPr="00C65A04">
        <w:t>; another may be the lack of structured pathways into higher VET qualifications</w:t>
      </w:r>
      <w:r w:rsidR="005C44DB" w:rsidRPr="00C65A04">
        <w:t xml:space="preserve">. </w:t>
      </w:r>
    </w:p>
    <w:p w:rsidR="000C38A2" w:rsidRDefault="004204A6" w:rsidP="00C65A04">
      <w:pPr>
        <w:pStyle w:val="Text"/>
      </w:pPr>
      <w:r w:rsidRPr="00C65A04">
        <w:t>Whatever t</w:t>
      </w:r>
      <w:r w:rsidR="006138CE" w:rsidRPr="00C65A04">
        <w:t>he reasons</w:t>
      </w:r>
      <w:r w:rsidR="005C44DB" w:rsidRPr="00C65A04">
        <w:t xml:space="preserve"> </w:t>
      </w:r>
      <w:r w:rsidR="006138CE" w:rsidRPr="00C65A04">
        <w:t>(a</w:t>
      </w:r>
      <w:r w:rsidR="006138CE">
        <w:t xml:space="preserve"> subject worth exploring </w:t>
      </w:r>
      <w:r w:rsidR="003D492E">
        <w:t>further</w:t>
      </w:r>
      <w:r w:rsidR="006138CE">
        <w:t>), the data suggest that</w:t>
      </w:r>
      <w:r w:rsidR="006E6C0B">
        <w:t>,</w:t>
      </w:r>
      <w:r>
        <w:t xml:space="preserve"> </w:t>
      </w:r>
      <w:r w:rsidR="006E6C0B">
        <w:t xml:space="preserve">if pathways are to be enhanced, </w:t>
      </w:r>
      <w:r w:rsidR="006138CE">
        <w:t xml:space="preserve">a range of </w:t>
      </w:r>
      <w:r w:rsidR="00995946">
        <w:t xml:space="preserve">additional </w:t>
      </w:r>
      <w:r>
        <w:t xml:space="preserve">strategies </w:t>
      </w:r>
      <w:r w:rsidR="005C44DB">
        <w:t>is</w:t>
      </w:r>
      <w:r>
        <w:t xml:space="preserve"> needed to extend </w:t>
      </w:r>
      <w:r w:rsidR="006138CE">
        <w:t xml:space="preserve">the pool of students from </w:t>
      </w:r>
      <w:r w:rsidR="00510D3B">
        <w:t>vocational education and training</w:t>
      </w:r>
      <w:r w:rsidR="006138CE">
        <w:t xml:space="preserve"> who </w:t>
      </w:r>
      <w:r w:rsidR="00303120">
        <w:t xml:space="preserve">go on to </w:t>
      </w:r>
      <w:r w:rsidR="00510D3B">
        <w:t>higher education</w:t>
      </w:r>
      <w:r>
        <w:t>.</w:t>
      </w:r>
      <w:r w:rsidR="00510D3B">
        <w:t xml:space="preserve"> </w:t>
      </w:r>
      <w:r w:rsidR="00455203">
        <w:t>S</w:t>
      </w:r>
      <w:r w:rsidR="000C38A2">
        <w:t xml:space="preserve">takeholders </w:t>
      </w:r>
      <w:r w:rsidR="00455203">
        <w:t xml:space="preserve">identified a </w:t>
      </w:r>
      <w:r w:rsidR="000C38A2">
        <w:t xml:space="preserve">number of </w:t>
      </w:r>
      <w:r w:rsidR="00786220">
        <w:t>ideas that</w:t>
      </w:r>
      <w:r w:rsidR="00303120">
        <w:t xml:space="preserve"> were discussed and broadly supported</w:t>
      </w:r>
      <w:r w:rsidR="000C38A2">
        <w:t>. These included:</w:t>
      </w:r>
    </w:p>
    <w:p w:rsidR="000C38A2" w:rsidRDefault="00FC1A47" w:rsidP="000C38A2">
      <w:pPr>
        <w:pStyle w:val="Dotpoint1"/>
      </w:pPr>
      <w:r>
        <w:t xml:space="preserve">building </w:t>
      </w:r>
      <w:r w:rsidR="00424B36">
        <w:t xml:space="preserve">and construction </w:t>
      </w:r>
      <w:r w:rsidR="00455203">
        <w:t>i</w:t>
      </w:r>
      <w:r w:rsidR="000C38A2">
        <w:t xml:space="preserve">ndustry </w:t>
      </w:r>
      <w:r w:rsidR="00303120">
        <w:t xml:space="preserve">bodies </w:t>
      </w:r>
      <w:r w:rsidR="000C38A2">
        <w:t>taking a greater role in providing info</w:t>
      </w:r>
      <w:r w:rsidR="00F643FC">
        <w:t>r</w:t>
      </w:r>
      <w:r w:rsidR="000C38A2">
        <w:t xml:space="preserve">mation and </w:t>
      </w:r>
      <w:r w:rsidR="006E6C0B">
        <w:t>advice to school students on</w:t>
      </w:r>
      <w:r w:rsidR="000C38A2">
        <w:t xml:space="preserve"> </w:t>
      </w:r>
      <w:r w:rsidR="00786220">
        <w:t>different careers</w:t>
      </w:r>
      <w:r w:rsidR="000C38A2">
        <w:t xml:space="preserve"> and the different </w:t>
      </w:r>
      <w:r>
        <w:t xml:space="preserve">education </w:t>
      </w:r>
      <w:r w:rsidR="000C38A2">
        <w:t>routes into these careers</w:t>
      </w:r>
      <w:r w:rsidR="00424B36">
        <w:t>,</w:t>
      </w:r>
      <w:r w:rsidR="000C38A2">
        <w:t xml:space="preserve"> including </w:t>
      </w:r>
      <w:r w:rsidR="005F3B34">
        <w:t xml:space="preserve">the option of </w:t>
      </w:r>
      <w:r w:rsidR="00303120">
        <w:t xml:space="preserve">VET diploma to </w:t>
      </w:r>
      <w:r w:rsidR="00510D3B">
        <w:t>higher education</w:t>
      </w:r>
      <w:r w:rsidR="00303120">
        <w:t xml:space="preserve"> pathways</w:t>
      </w:r>
      <w:r w:rsidR="006138CE">
        <w:t xml:space="preserve">. It was noted </w:t>
      </w:r>
      <w:r w:rsidR="00303120">
        <w:t>t</w:t>
      </w:r>
      <w:r w:rsidR="006138CE">
        <w:t>hat</w:t>
      </w:r>
      <w:r w:rsidR="00424B36">
        <w:t>,</w:t>
      </w:r>
      <w:r w:rsidR="006138CE">
        <w:t xml:space="preserve"> </w:t>
      </w:r>
      <w:r w:rsidR="00611A1D">
        <w:t>while</w:t>
      </w:r>
      <w:r w:rsidR="00303120">
        <w:t xml:space="preserve"> some school students are aware of pathways</w:t>
      </w:r>
      <w:r w:rsidR="006138CE">
        <w:t xml:space="preserve">, </w:t>
      </w:r>
      <w:r w:rsidR="00646453">
        <w:t xml:space="preserve">a </w:t>
      </w:r>
      <w:r w:rsidR="006138CE">
        <w:t>greater emphasis by careers teachers working with industry</w:t>
      </w:r>
      <w:r w:rsidR="00303120">
        <w:t xml:space="preserve"> could expand interest</w:t>
      </w:r>
    </w:p>
    <w:p w:rsidR="004204A6" w:rsidRDefault="00BE4E24" w:rsidP="000C38A2">
      <w:pPr>
        <w:pStyle w:val="Dotpoint1"/>
      </w:pPr>
      <w:proofErr w:type="gramStart"/>
      <w:r>
        <w:t>extend</w:t>
      </w:r>
      <w:r w:rsidR="000C38A2">
        <w:t>ing</w:t>
      </w:r>
      <w:proofErr w:type="gramEnd"/>
      <w:r>
        <w:t xml:space="preserve"> the </w:t>
      </w:r>
      <w:r w:rsidR="000C38A2">
        <w:t>range of pathways</w:t>
      </w:r>
      <w:r w:rsidR="00303120">
        <w:t xml:space="preserve"> available</w:t>
      </w:r>
      <w:r w:rsidR="000C38A2">
        <w:t xml:space="preserve">, for </w:t>
      </w:r>
      <w:r w:rsidR="00786220">
        <w:t>example</w:t>
      </w:r>
      <w:r w:rsidR="00424B36">
        <w:t>,</w:t>
      </w:r>
      <w:r w:rsidR="00786220">
        <w:t xml:space="preserve"> by</w:t>
      </w:r>
      <w:r w:rsidR="005F3B34">
        <w:t xml:space="preserve"> building a pathway directly </w:t>
      </w:r>
      <w:r w:rsidR="00424B36">
        <w:t>from a c</w:t>
      </w:r>
      <w:r w:rsidR="000C38A2">
        <w:t>ertificate IV</w:t>
      </w:r>
      <w:r w:rsidR="0039677F">
        <w:t xml:space="preserve"> or diploma</w:t>
      </w:r>
      <w:r w:rsidR="000C38A2">
        <w:t xml:space="preserve"> </w:t>
      </w:r>
      <w:r w:rsidR="00F643FC">
        <w:t>into an associate</w:t>
      </w:r>
      <w:r w:rsidR="00424B36">
        <w:t xml:space="preserve"> degree, followed by</w:t>
      </w:r>
      <w:r w:rsidR="000C38A2">
        <w:t xml:space="preserve"> completion of the bachelor award</w:t>
      </w:r>
      <w:r w:rsidR="00303120">
        <w:t>. This approach would give great clarity and continuity to students, including guaranteed admission and credit</w:t>
      </w:r>
      <w:r w:rsidR="00510D3B">
        <w:t xml:space="preserve"> </w:t>
      </w:r>
    </w:p>
    <w:p w:rsidR="001703D1" w:rsidRDefault="000C38A2" w:rsidP="00A53A69">
      <w:pPr>
        <w:pStyle w:val="Dotpoint1"/>
      </w:pPr>
      <w:r>
        <w:t xml:space="preserve">improving </w:t>
      </w:r>
      <w:r w:rsidR="001703D1">
        <w:t xml:space="preserve">vocational learning </w:t>
      </w:r>
      <w:r>
        <w:t xml:space="preserve">pathways </w:t>
      </w:r>
      <w:r w:rsidR="00F643FC">
        <w:t xml:space="preserve">for </w:t>
      </w:r>
      <w:r w:rsidR="00FC1A47">
        <w:t xml:space="preserve">older </w:t>
      </w:r>
      <w:r w:rsidR="00026972">
        <w:t>workers with c</w:t>
      </w:r>
      <w:r w:rsidR="00F643FC">
        <w:t>ertif</w:t>
      </w:r>
      <w:r w:rsidR="00026972">
        <w:t>i</w:t>
      </w:r>
      <w:r w:rsidR="00F643FC">
        <w:t>cate III qualifica</w:t>
      </w:r>
      <w:r>
        <w:t xml:space="preserve">tions </w:t>
      </w:r>
      <w:r w:rsidR="005F3B34">
        <w:t xml:space="preserve">to </w:t>
      </w:r>
      <w:r w:rsidR="00424B36">
        <w:t>return to</w:t>
      </w:r>
      <w:r w:rsidR="005F3B34">
        <w:t xml:space="preserve"> study at diploma levels and </w:t>
      </w:r>
      <w:r>
        <w:t xml:space="preserve">then </w:t>
      </w:r>
      <w:r w:rsidR="004D5EEF">
        <w:t>on to</w:t>
      </w:r>
      <w:r>
        <w:t xml:space="preserve"> degrees</w:t>
      </w:r>
    </w:p>
    <w:p w:rsidR="00A53A69" w:rsidRDefault="000C38A2" w:rsidP="00995946">
      <w:pPr>
        <w:pStyle w:val="Dotpoint1"/>
      </w:pPr>
      <w:proofErr w:type="gramStart"/>
      <w:r>
        <w:t>improv</w:t>
      </w:r>
      <w:r w:rsidR="00A53A69">
        <w:t>ing</w:t>
      </w:r>
      <w:proofErr w:type="gramEnd"/>
      <w:r w:rsidR="00424B36">
        <w:t xml:space="preserve"> recognition of prior learning</w:t>
      </w:r>
      <w:r w:rsidR="00786220">
        <w:t xml:space="preserve"> in</w:t>
      </w:r>
      <w:r w:rsidR="00A53A69">
        <w:t xml:space="preserve"> general </w:t>
      </w:r>
      <w:r w:rsidR="00F643FC">
        <w:t xml:space="preserve">for industry employees </w:t>
      </w:r>
      <w:r w:rsidR="00A53A69">
        <w:t xml:space="preserve">so that it is not seen as a complicated and </w:t>
      </w:r>
      <w:r w:rsidR="00786220">
        <w:t>onerous</w:t>
      </w:r>
      <w:r w:rsidR="00A53A69">
        <w:t xml:space="preserve"> process and extending understanding of the availability of this assessment within the industry</w:t>
      </w:r>
      <w:r w:rsidR="001703D1">
        <w:t>.</w:t>
      </w:r>
    </w:p>
    <w:p w:rsidR="00562215" w:rsidRPr="00C65A04" w:rsidRDefault="00F643FC" w:rsidP="00C65A04">
      <w:pPr>
        <w:pStyle w:val="Text"/>
      </w:pPr>
      <w:r>
        <w:t xml:space="preserve">However, even if </w:t>
      </w:r>
      <w:r w:rsidR="00CC01E9">
        <w:t xml:space="preserve">the </w:t>
      </w:r>
      <w:r w:rsidR="008C6DD9">
        <w:t xml:space="preserve">VET </w:t>
      </w:r>
      <w:r w:rsidR="00CC01E9">
        <w:t xml:space="preserve">pool </w:t>
      </w:r>
      <w:r w:rsidR="001703D1">
        <w:t xml:space="preserve">of students and graduates at diploma levels </w:t>
      </w:r>
      <w:r w:rsidR="00CC01E9">
        <w:t xml:space="preserve">is </w:t>
      </w:r>
      <w:r>
        <w:t>increased</w:t>
      </w:r>
      <w:r w:rsidR="00A53A69">
        <w:t xml:space="preserve"> by such strategies</w:t>
      </w:r>
      <w:r w:rsidR="00CC01E9">
        <w:t xml:space="preserve">, the other </w:t>
      </w:r>
      <w:r w:rsidR="008C6DD9">
        <w:t xml:space="preserve">major </w:t>
      </w:r>
      <w:r w:rsidR="007920D0">
        <w:t>constraint</w:t>
      </w:r>
      <w:r>
        <w:t xml:space="preserve"> </w:t>
      </w:r>
      <w:r w:rsidR="008C6DD9">
        <w:t xml:space="preserve">is </w:t>
      </w:r>
      <w:r w:rsidR="009F7E71">
        <w:t xml:space="preserve">the </w:t>
      </w:r>
      <w:r w:rsidR="00D66E8E">
        <w:t>size</w:t>
      </w:r>
      <w:r w:rsidR="001703D1">
        <w:t xml:space="preserve"> </w:t>
      </w:r>
      <w:r w:rsidR="009F7E71">
        <w:t>of higher education provision</w:t>
      </w:r>
      <w:r w:rsidR="00961031">
        <w:t xml:space="preserve"> and the limited availability of university places. </w:t>
      </w:r>
      <w:r w:rsidR="001703D1">
        <w:t xml:space="preserve">If </w:t>
      </w:r>
      <w:r w:rsidR="00961031">
        <w:t xml:space="preserve">current </w:t>
      </w:r>
      <w:r w:rsidR="00510D3B">
        <w:t>higher education</w:t>
      </w:r>
      <w:r w:rsidR="001703D1">
        <w:t xml:space="preserve"> </w:t>
      </w:r>
      <w:r w:rsidR="00961031">
        <w:t xml:space="preserve">levels </w:t>
      </w:r>
      <w:r w:rsidR="001703D1">
        <w:t>are maintained</w:t>
      </w:r>
      <w:r w:rsidR="00424B36">
        <w:t>,</w:t>
      </w:r>
      <w:r w:rsidR="001703D1">
        <w:t xml:space="preserve"> </w:t>
      </w:r>
      <w:r w:rsidR="00D66E8E">
        <w:t>the</w:t>
      </w:r>
      <w:r w:rsidR="00AD12CC">
        <w:t>n the</w:t>
      </w:r>
      <w:r w:rsidR="00D66E8E">
        <w:t xml:space="preserve"> capacity to take on more pathw</w:t>
      </w:r>
      <w:r w:rsidR="00AD12CC">
        <w:t>ay</w:t>
      </w:r>
      <w:r w:rsidR="004D5EEF">
        <w:t>s</w:t>
      </w:r>
      <w:r w:rsidR="00AD12CC">
        <w:t xml:space="preserve"> students from </w:t>
      </w:r>
      <w:r w:rsidR="00510D3B">
        <w:t>vocational education and training</w:t>
      </w:r>
      <w:r w:rsidR="006E6C0B">
        <w:t xml:space="preserve"> is constrained</w:t>
      </w:r>
      <w:r>
        <w:t xml:space="preserve">. </w:t>
      </w:r>
      <w:r w:rsidR="00961031">
        <w:t xml:space="preserve">Why </w:t>
      </w:r>
      <w:r w:rsidR="00510D3B">
        <w:t>higher</w:t>
      </w:r>
      <w:r w:rsidR="00C65A04">
        <w:t> </w:t>
      </w:r>
      <w:r w:rsidR="00510D3B">
        <w:t>education</w:t>
      </w:r>
      <w:r w:rsidR="0033596E">
        <w:t xml:space="preserve"> provision in building is so small, particularly in the context of projected industry need, is beyond the scope of this project</w:t>
      </w:r>
      <w:r w:rsidR="005E0CEC">
        <w:t>.</w:t>
      </w:r>
      <w:r w:rsidR="0033596E">
        <w:t xml:space="preserve"> </w:t>
      </w:r>
      <w:r w:rsidR="003C103D">
        <w:t>One mechan</w:t>
      </w:r>
      <w:r w:rsidR="009F7E71">
        <w:t xml:space="preserve">ism </w:t>
      </w:r>
      <w:r w:rsidR="0039677F">
        <w:t>suggested by stakeholders that could</w:t>
      </w:r>
      <w:r w:rsidR="003C103D">
        <w:t xml:space="preserve"> </w:t>
      </w:r>
      <w:r w:rsidR="0039677F">
        <w:t xml:space="preserve">increase </w:t>
      </w:r>
      <w:r w:rsidR="0033596E">
        <w:t xml:space="preserve">current </w:t>
      </w:r>
      <w:r w:rsidR="009F7E71">
        <w:t xml:space="preserve">capacity </w:t>
      </w:r>
      <w:r w:rsidR="003C103D">
        <w:t xml:space="preserve">within </w:t>
      </w:r>
      <w:r w:rsidR="00510D3B">
        <w:t>higher education</w:t>
      </w:r>
      <w:r w:rsidR="0039677F">
        <w:t xml:space="preserve"> </w:t>
      </w:r>
      <w:r w:rsidR="003C103D">
        <w:t xml:space="preserve">institutions is </w:t>
      </w:r>
      <w:r w:rsidR="0039677F">
        <w:t xml:space="preserve">to extend </w:t>
      </w:r>
      <w:r w:rsidR="00424B36">
        <w:t>the work-based learning</w:t>
      </w:r>
      <w:r w:rsidR="003C103D">
        <w:t xml:space="preserve"> </w:t>
      </w:r>
      <w:r w:rsidR="00794D09">
        <w:t xml:space="preserve">and integrated </w:t>
      </w:r>
      <w:r w:rsidR="003C103D">
        <w:t xml:space="preserve">work and </w:t>
      </w:r>
      <w:r w:rsidR="00794D09">
        <w:t>learning models</w:t>
      </w:r>
      <w:r w:rsidR="00AD12CC">
        <w:t xml:space="preserve"> </w:t>
      </w:r>
      <w:r w:rsidR="00646453">
        <w:t>developed in collaboration with construction companies to</w:t>
      </w:r>
      <w:r w:rsidR="00AD12CC">
        <w:t xml:space="preserve"> the delivery of bachelor courses</w:t>
      </w:r>
      <w:r w:rsidR="00562215">
        <w:t xml:space="preserve">. This </w:t>
      </w:r>
      <w:r w:rsidR="003F1481">
        <w:t xml:space="preserve">partnership </w:t>
      </w:r>
      <w:r w:rsidR="00562215">
        <w:t>approach would also give industry a greater role in undergraduate education and</w:t>
      </w:r>
      <w:r w:rsidR="006E6C0B">
        <w:t>,</w:t>
      </w:r>
      <w:r w:rsidR="00794D09">
        <w:t xml:space="preserve"> </w:t>
      </w:r>
      <w:r w:rsidR="0039677F">
        <w:t xml:space="preserve">for </w:t>
      </w:r>
      <w:r w:rsidR="00794D09">
        <w:t>students</w:t>
      </w:r>
      <w:r w:rsidR="006E6C0B">
        <w:t>,</w:t>
      </w:r>
      <w:r w:rsidR="00794D09">
        <w:t xml:space="preserve"> improve</w:t>
      </w:r>
      <w:r w:rsidR="00424B36">
        <w:t xml:space="preserve">d </w:t>
      </w:r>
      <w:r w:rsidR="00424B36" w:rsidRPr="00C65A04">
        <w:t>access to real-</w:t>
      </w:r>
      <w:r w:rsidR="00562215" w:rsidRPr="00C65A04">
        <w:t>world project manag</w:t>
      </w:r>
      <w:r w:rsidR="00794D09" w:rsidRPr="00C65A04">
        <w:t>ement experiences.</w:t>
      </w:r>
    </w:p>
    <w:p w:rsidR="00C65A04" w:rsidRDefault="0014387F" w:rsidP="00C65A04">
      <w:pPr>
        <w:pStyle w:val="Text"/>
      </w:pPr>
      <w:r w:rsidRPr="00C65A04">
        <w:t>I</w:t>
      </w:r>
      <w:r w:rsidR="00B23B9D" w:rsidRPr="00C65A04">
        <w:t xml:space="preserve">t is hoped that this study has </w:t>
      </w:r>
      <w:r w:rsidR="00084281" w:rsidRPr="00C65A04">
        <w:t xml:space="preserve">contributed to </w:t>
      </w:r>
      <w:r w:rsidR="00E90618" w:rsidRPr="00C65A04">
        <w:t>wider</w:t>
      </w:r>
      <w:r w:rsidR="00084281" w:rsidRPr="00C65A04">
        <w:t xml:space="preserve"> unde</w:t>
      </w:r>
      <w:r w:rsidR="00084281">
        <w:t>rstanding</w:t>
      </w:r>
      <w:r w:rsidR="00E90618">
        <w:t>s</w:t>
      </w:r>
      <w:r w:rsidR="00084281">
        <w:t xml:space="preserve"> of the importance of pathways to </w:t>
      </w:r>
      <w:r w:rsidR="00646453">
        <w:t xml:space="preserve">the </w:t>
      </w:r>
      <w:r w:rsidR="00084281">
        <w:t xml:space="preserve">workforce needs </w:t>
      </w:r>
      <w:r w:rsidR="00646453">
        <w:t>of</w:t>
      </w:r>
      <w:r w:rsidR="00084281">
        <w:t xml:space="preserve"> the building and construction industry </w:t>
      </w:r>
      <w:r w:rsidR="00646453">
        <w:t xml:space="preserve">and </w:t>
      </w:r>
      <w:r w:rsidR="00084281">
        <w:t>the factors/</w:t>
      </w:r>
      <w:r w:rsidR="00786220">
        <w:t>enablers that</w:t>
      </w:r>
      <w:r w:rsidR="00084281">
        <w:t xml:space="preserve"> </w:t>
      </w:r>
      <w:r w:rsidR="00E90618">
        <w:t>assist students in using these pathways</w:t>
      </w:r>
      <w:r w:rsidR="00B65306">
        <w:t>,</w:t>
      </w:r>
      <w:r w:rsidR="00E90618">
        <w:t xml:space="preserve"> and</w:t>
      </w:r>
      <w:r w:rsidR="00646453">
        <w:t xml:space="preserve"> offered</w:t>
      </w:r>
      <w:r w:rsidR="00E90618">
        <w:t xml:space="preserve"> </w:t>
      </w:r>
      <w:r w:rsidR="006E120D">
        <w:t xml:space="preserve">further </w:t>
      </w:r>
      <w:r w:rsidR="00E90618">
        <w:t>i</w:t>
      </w:r>
      <w:r w:rsidR="00026972">
        <w:t xml:space="preserve">deas </w:t>
      </w:r>
      <w:r w:rsidR="00B23B9D">
        <w:t xml:space="preserve">and policy options </w:t>
      </w:r>
      <w:r w:rsidR="00026972">
        <w:t xml:space="preserve">upon which to build </w:t>
      </w:r>
      <w:r w:rsidR="006E120D">
        <w:t>and improve</w:t>
      </w:r>
      <w:r w:rsidR="00E90618">
        <w:t xml:space="preserve"> pathways.</w:t>
      </w:r>
    </w:p>
    <w:p w:rsidR="00D568BA" w:rsidRDefault="00DC71CB" w:rsidP="00B23B9D">
      <w:pPr>
        <w:pStyle w:val="Text"/>
      </w:pPr>
      <w:r>
        <w:br w:type="page"/>
      </w:r>
    </w:p>
    <w:p w:rsidR="00DC71CB" w:rsidRPr="00C65A04" w:rsidRDefault="00DC71CB" w:rsidP="00C65A04">
      <w:pPr>
        <w:pStyle w:val="Heading1"/>
      </w:pPr>
      <w:bookmarkStart w:id="57" w:name="_Toc358115587"/>
      <w:r w:rsidRPr="00C65A04">
        <w:lastRenderedPageBreak/>
        <w:t>References</w:t>
      </w:r>
      <w:bookmarkEnd w:id="57"/>
    </w:p>
    <w:p w:rsidR="004F3938" w:rsidRPr="00C65A04" w:rsidRDefault="004F3938" w:rsidP="00C65A04">
      <w:pPr>
        <w:pStyle w:val="References"/>
        <w:rPr>
          <w:szCs w:val="18"/>
        </w:rPr>
      </w:pPr>
      <w:r w:rsidRPr="00C65A04">
        <w:rPr>
          <w:szCs w:val="18"/>
        </w:rPr>
        <w:t xml:space="preserve">Abbot-Chapman, J 2011, </w:t>
      </w:r>
      <w:r w:rsidR="003F05F3" w:rsidRPr="00C65A04">
        <w:rPr>
          <w:szCs w:val="18"/>
        </w:rPr>
        <w:t>‘</w:t>
      </w:r>
      <w:r w:rsidR="003958D3" w:rsidRPr="00C65A04">
        <w:rPr>
          <w:szCs w:val="18"/>
        </w:rPr>
        <w:t>Making the most of the mosaic: facilitating post-school transitions to higher education of disadvantaged students</w:t>
      </w:r>
      <w:r w:rsidR="003F05F3" w:rsidRPr="00C65A04">
        <w:rPr>
          <w:szCs w:val="18"/>
        </w:rPr>
        <w:t>’</w:t>
      </w:r>
      <w:r w:rsidRPr="00C65A04">
        <w:rPr>
          <w:szCs w:val="18"/>
        </w:rPr>
        <w:t xml:space="preserve">, </w:t>
      </w:r>
      <w:r w:rsidRPr="00C65A04">
        <w:rPr>
          <w:i/>
          <w:szCs w:val="18"/>
        </w:rPr>
        <w:t xml:space="preserve">Australian </w:t>
      </w:r>
      <w:r w:rsidR="003F05F3" w:rsidRPr="00C65A04">
        <w:rPr>
          <w:i/>
          <w:szCs w:val="18"/>
        </w:rPr>
        <w:t>Educational Researcher</w:t>
      </w:r>
      <w:r w:rsidR="003F05F3" w:rsidRPr="00C65A04">
        <w:rPr>
          <w:szCs w:val="18"/>
        </w:rPr>
        <w:t>,</w:t>
      </w:r>
      <w:r w:rsidRPr="00C65A04">
        <w:rPr>
          <w:szCs w:val="18"/>
        </w:rPr>
        <w:t xml:space="preserve"> </w:t>
      </w:r>
      <w:r w:rsidR="006E6C0B" w:rsidRPr="00C65A04">
        <w:rPr>
          <w:szCs w:val="18"/>
        </w:rPr>
        <w:t>vol.38, no.1, pp.57—</w:t>
      </w:r>
      <w:r w:rsidRPr="00C65A04">
        <w:rPr>
          <w:szCs w:val="18"/>
        </w:rPr>
        <w:t>71,</w:t>
      </w:r>
      <w:r w:rsidR="003F05F3" w:rsidRPr="00C65A04">
        <w:rPr>
          <w:szCs w:val="18"/>
        </w:rPr>
        <w:t xml:space="preserve"> viewed 29 May 2013, </w:t>
      </w:r>
      <w:r w:rsidR="003F05F3" w:rsidRPr="00C65A04">
        <w:rPr>
          <w:szCs w:val="18"/>
          <w:u w:color="0000A1"/>
        </w:rPr>
        <w:t>&lt;</w:t>
      </w:r>
      <w:r w:rsidRPr="00C65A04">
        <w:rPr>
          <w:szCs w:val="18"/>
          <w:u w:color="0000A1"/>
        </w:rPr>
        <w:t>www.springerlink.com/content/tq316154117510p6/</w:t>
      </w:r>
      <w:r w:rsidR="003F05F3" w:rsidRPr="00C65A04">
        <w:rPr>
          <w:szCs w:val="18"/>
          <w:u w:color="0000A1"/>
        </w:rPr>
        <w:t>&gt;.</w:t>
      </w:r>
    </w:p>
    <w:p w:rsidR="00A23FF8" w:rsidRPr="00C65A04" w:rsidRDefault="003F05F3" w:rsidP="00C65A04">
      <w:pPr>
        <w:pStyle w:val="References"/>
        <w:rPr>
          <w:szCs w:val="18"/>
        </w:rPr>
      </w:pPr>
      <w:r w:rsidRPr="00C65A04">
        <w:rPr>
          <w:szCs w:val="18"/>
        </w:rPr>
        <w:t>Anderson, D</w:t>
      </w:r>
      <w:r w:rsidR="00A23FF8" w:rsidRPr="00C65A04">
        <w:rPr>
          <w:szCs w:val="18"/>
        </w:rPr>
        <w:t xml:space="preserve"> &amp; </w:t>
      </w:r>
      <w:proofErr w:type="spellStart"/>
      <w:r w:rsidR="00A23FF8" w:rsidRPr="00C65A04">
        <w:rPr>
          <w:szCs w:val="18"/>
        </w:rPr>
        <w:t>Vervoorn</w:t>
      </w:r>
      <w:proofErr w:type="spellEnd"/>
      <w:r w:rsidR="00FB0B1A">
        <w:rPr>
          <w:szCs w:val="18"/>
        </w:rPr>
        <w:t>,</w:t>
      </w:r>
      <w:r w:rsidR="00A23FF8" w:rsidRPr="00C65A04">
        <w:rPr>
          <w:szCs w:val="18"/>
        </w:rPr>
        <w:t xml:space="preserve"> A 1983</w:t>
      </w:r>
      <w:r w:rsidR="00FB0B1A">
        <w:rPr>
          <w:szCs w:val="18"/>
        </w:rPr>
        <w:t>,</w:t>
      </w:r>
      <w:r w:rsidR="00A23FF8" w:rsidRPr="00C65A04">
        <w:rPr>
          <w:szCs w:val="18"/>
        </w:rPr>
        <w:t xml:space="preserve"> </w:t>
      </w:r>
      <w:r w:rsidR="003958D3" w:rsidRPr="00C65A04">
        <w:rPr>
          <w:i/>
          <w:szCs w:val="18"/>
        </w:rPr>
        <w:t>Access to privilege: patterns of participation in Australian post-secondary education</w:t>
      </w:r>
      <w:r w:rsidR="00A23FF8" w:rsidRPr="00C65A04">
        <w:rPr>
          <w:szCs w:val="18"/>
        </w:rPr>
        <w:t xml:space="preserve">, </w:t>
      </w:r>
      <w:r w:rsidRPr="00C65A04">
        <w:rPr>
          <w:szCs w:val="18"/>
        </w:rPr>
        <w:t>ANU P</w:t>
      </w:r>
      <w:r w:rsidR="00A23FF8" w:rsidRPr="00C65A04">
        <w:rPr>
          <w:szCs w:val="18"/>
        </w:rPr>
        <w:t>ress</w:t>
      </w:r>
      <w:r w:rsidRPr="00C65A04">
        <w:rPr>
          <w:szCs w:val="18"/>
        </w:rPr>
        <w:t>, Canberra.</w:t>
      </w:r>
    </w:p>
    <w:p w:rsidR="00122E84" w:rsidRPr="00C65A04" w:rsidRDefault="003F05F3" w:rsidP="00FB0B1A">
      <w:pPr>
        <w:pStyle w:val="References"/>
        <w:ind w:right="-143"/>
        <w:rPr>
          <w:szCs w:val="18"/>
        </w:rPr>
      </w:pPr>
      <w:r w:rsidRPr="00C65A04">
        <w:rPr>
          <w:szCs w:val="18"/>
        </w:rPr>
        <w:t>ABS (</w:t>
      </w:r>
      <w:r w:rsidR="00122E84" w:rsidRPr="00C65A04">
        <w:rPr>
          <w:szCs w:val="18"/>
        </w:rPr>
        <w:t>Australian Bureau of Statistics</w:t>
      </w:r>
      <w:r w:rsidRPr="00C65A04">
        <w:rPr>
          <w:szCs w:val="18"/>
        </w:rPr>
        <w:t xml:space="preserve">) </w:t>
      </w:r>
      <w:r w:rsidR="00122E84" w:rsidRPr="00C65A04">
        <w:rPr>
          <w:szCs w:val="18"/>
        </w:rPr>
        <w:t xml:space="preserve">2008, </w:t>
      </w:r>
      <w:r w:rsidRPr="00C65A04">
        <w:rPr>
          <w:i/>
          <w:szCs w:val="18"/>
        </w:rPr>
        <w:t>Education and w</w:t>
      </w:r>
      <w:r w:rsidR="003958D3" w:rsidRPr="00C65A04">
        <w:rPr>
          <w:i/>
          <w:szCs w:val="18"/>
        </w:rPr>
        <w:t>ork</w:t>
      </w:r>
      <w:r w:rsidR="00122E84" w:rsidRPr="00C65A04">
        <w:rPr>
          <w:szCs w:val="18"/>
        </w:rPr>
        <w:t xml:space="preserve">, </w:t>
      </w:r>
      <w:r w:rsidRPr="00C65A04">
        <w:rPr>
          <w:szCs w:val="18"/>
        </w:rPr>
        <w:t>cat.no.</w:t>
      </w:r>
      <w:r w:rsidR="00122E84" w:rsidRPr="00C65A04">
        <w:rPr>
          <w:szCs w:val="18"/>
        </w:rPr>
        <w:t>6227.0</w:t>
      </w:r>
      <w:r w:rsidRPr="00C65A04">
        <w:rPr>
          <w:szCs w:val="18"/>
        </w:rPr>
        <w:t>, viewed</w:t>
      </w:r>
      <w:r w:rsidR="000C2CD3" w:rsidRPr="00C65A04">
        <w:rPr>
          <w:szCs w:val="18"/>
        </w:rPr>
        <w:t xml:space="preserve"> 20 February 2012</w:t>
      </w:r>
      <w:r w:rsidRPr="00C65A04">
        <w:rPr>
          <w:szCs w:val="18"/>
        </w:rPr>
        <w:t>,</w:t>
      </w:r>
      <w:r w:rsidR="00122E84" w:rsidRPr="00C65A04">
        <w:rPr>
          <w:szCs w:val="18"/>
        </w:rPr>
        <w:t xml:space="preserve"> </w:t>
      </w:r>
      <w:hyperlink r:id="rId14" w:history="1">
        <w:r w:rsidRPr="00C65A04">
          <w:rPr>
            <w:szCs w:val="18"/>
          </w:rPr>
          <w:t>&lt;</w:t>
        </w:r>
        <w:r w:rsidR="00122E84" w:rsidRPr="00C65A04">
          <w:rPr>
            <w:szCs w:val="18"/>
          </w:rPr>
          <w:t>www.ausstats.abs.gov.au/ausstats/subscriber.nsf/0/656CB57FE56C0491CA25750C000EF65B/$File/62270_may%202008.pdf</w:t>
        </w:r>
      </w:hyperlink>
      <w:r w:rsidRPr="00C65A04">
        <w:rPr>
          <w:szCs w:val="18"/>
        </w:rPr>
        <w:t>&gt;.</w:t>
      </w:r>
    </w:p>
    <w:p w:rsidR="00122E84" w:rsidRPr="00C65A04" w:rsidRDefault="003F05F3" w:rsidP="00C65A04">
      <w:pPr>
        <w:pStyle w:val="References"/>
        <w:rPr>
          <w:szCs w:val="18"/>
        </w:rPr>
      </w:pPr>
      <w:proofErr w:type="gramStart"/>
      <w:r w:rsidRPr="00C65A04">
        <w:rPr>
          <w:szCs w:val="18"/>
        </w:rPr>
        <w:t>——</w:t>
      </w:r>
      <w:r w:rsidR="00122E84" w:rsidRPr="00C65A04">
        <w:rPr>
          <w:szCs w:val="18"/>
        </w:rPr>
        <w:t>2010</w:t>
      </w:r>
      <w:r w:rsidR="00786220" w:rsidRPr="00C65A04">
        <w:rPr>
          <w:szCs w:val="18"/>
        </w:rPr>
        <w:t>,</w:t>
      </w:r>
      <w:r w:rsidR="00786220" w:rsidRPr="00C65A04">
        <w:rPr>
          <w:i/>
          <w:szCs w:val="18"/>
        </w:rPr>
        <w:t xml:space="preserve"> </w:t>
      </w:r>
      <w:r w:rsidR="00E93553" w:rsidRPr="00C65A04">
        <w:rPr>
          <w:i/>
          <w:szCs w:val="18"/>
        </w:rPr>
        <w:t>A</w:t>
      </w:r>
      <w:r w:rsidR="003958D3" w:rsidRPr="00C65A04">
        <w:rPr>
          <w:i/>
          <w:szCs w:val="18"/>
        </w:rPr>
        <w:t xml:space="preserve"> statistical overview of the construction industry, Australian economic indicators</w:t>
      </w:r>
      <w:r w:rsidR="00122E84" w:rsidRPr="00C65A04">
        <w:rPr>
          <w:szCs w:val="18"/>
        </w:rPr>
        <w:t xml:space="preserve">, </w:t>
      </w:r>
      <w:r w:rsidR="000C2CD3" w:rsidRPr="00C65A04">
        <w:rPr>
          <w:szCs w:val="18"/>
        </w:rPr>
        <w:t>viewed 20</w:t>
      </w:r>
      <w:r w:rsidR="00FB0B1A">
        <w:rPr>
          <w:szCs w:val="18"/>
        </w:rPr>
        <w:t> </w:t>
      </w:r>
      <w:r w:rsidR="000C2CD3" w:rsidRPr="00C65A04">
        <w:rPr>
          <w:szCs w:val="18"/>
        </w:rPr>
        <w:t>February 2012,</w:t>
      </w:r>
      <w:r w:rsidR="008E7DE5" w:rsidRPr="00C65A04">
        <w:rPr>
          <w:szCs w:val="18"/>
        </w:rPr>
        <w:t xml:space="preserve"> </w:t>
      </w:r>
      <w:hyperlink r:id="rId15" w:history="1">
        <w:r w:rsidRPr="00C65A04">
          <w:rPr>
            <w:rStyle w:val="Hyperlink"/>
            <w:sz w:val="18"/>
            <w:szCs w:val="18"/>
          </w:rPr>
          <w:t>&lt;</w:t>
        </w:r>
        <w:r w:rsidR="00122E84" w:rsidRPr="00C65A04">
          <w:rPr>
            <w:rStyle w:val="Hyperlink"/>
            <w:sz w:val="18"/>
            <w:szCs w:val="18"/>
          </w:rPr>
          <w:t>www.abs.gov.au/AUSSTATS/abs@.nsf/Lookup/1350.0Feature+Article1Oct+2010</w:t>
        </w:r>
      </w:hyperlink>
      <w:r w:rsidRPr="00C65A04">
        <w:rPr>
          <w:szCs w:val="18"/>
        </w:rPr>
        <w:t>&gt;.</w:t>
      </w:r>
      <w:proofErr w:type="gramEnd"/>
    </w:p>
    <w:p w:rsidR="00CC02C9" w:rsidRPr="00C65A04" w:rsidRDefault="008E7DE5" w:rsidP="00C65A04">
      <w:pPr>
        <w:pStyle w:val="References"/>
        <w:rPr>
          <w:szCs w:val="18"/>
        </w:rPr>
      </w:pPr>
      <w:proofErr w:type="gramStart"/>
      <w:r w:rsidRPr="00C65A04">
        <w:rPr>
          <w:szCs w:val="18"/>
        </w:rPr>
        <w:t>——</w:t>
      </w:r>
      <w:r w:rsidR="009F14F8" w:rsidRPr="00C65A04">
        <w:rPr>
          <w:szCs w:val="18"/>
        </w:rPr>
        <w:t>2012</w:t>
      </w:r>
      <w:r w:rsidR="00B5438F" w:rsidRPr="00C65A04">
        <w:rPr>
          <w:szCs w:val="18"/>
        </w:rPr>
        <w:t>,</w:t>
      </w:r>
      <w:r w:rsidR="009F14F8" w:rsidRPr="00C65A04">
        <w:rPr>
          <w:szCs w:val="18"/>
        </w:rPr>
        <w:t xml:space="preserve"> </w:t>
      </w:r>
      <w:r w:rsidRPr="00C65A04">
        <w:rPr>
          <w:i/>
          <w:szCs w:val="18"/>
        </w:rPr>
        <w:t>Year b</w:t>
      </w:r>
      <w:r w:rsidR="003958D3" w:rsidRPr="00C65A04">
        <w:rPr>
          <w:i/>
          <w:szCs w:val="18"/>
        </w:rPr>
        <w:t xml:space="preserve">ook, </w:t>
      </w:r>
      <w:r w:rsidRPr="00C65A04">
        <w:rPr>
          <w:szCs w:val="18"/>
        </w:rPr>
        <w:t>cat.</w:t>
      </w:r>
      <w:r w:rsidR="00FB0B1A">
        <w:rPr>
          <w:szCs w:val="18"/>
        </w:rPr>
        <w:t>n</w:t>
      </w:r>
      <w:r w:rsidRPr="00C65A04">
        <w:rPr>
          <w:szCs w:val="18"/>
        </w:rPr>
        <w:t>o.</w:t>
      </w:r>
      <w:r w:rsidR="00CC02C9" w:rsidRPr="00C65A04">
        <w:rPr>
          <w:szCs w:val="18"/>
        </w:rPr>
        <w:t xml:space="preserve">1301.0, </w:t>
      </w:r>
      <w:r w:rsidRPr="00C65A04">
        <w:rPr>
          <w:szCs w:val="18"/>
        </w:rPr>
        <w:t>ABS, Canberra.</w:t>
      </w:r>
      <w:proofErr w:type="gramEnd"/>
      <w:r w:rsidRPr="00C65A04">
        <w:rPr>
          <w:szCs w:val="18"/>
        </w:rPr>
        <w:t xml:space="preserve"> </w:t>
      </w:r>
    </w:p>
    <w:p w:rsidR="008E7DE5" w:rsidRPr="00C65A04" w:rsidRDefault="008E7DE5" w:rsidP="00C65A04">
      <w:pPr>
        <w:pStyle w:val="References"/>
        <w:rPr>
          <w:szCs w:val="18"/>
        </w:rPr>
      </w:pPr>
      <w:r w:rsidRPr="00C65A04">
        <w:rPr>
          <w:szCs w:val="18"/>
        </w:rPr>
        <w:t xml:space="preserve">Australian Qualifications Framework Council 2009, </w:t>
      </w:r>
      <w:r w:rsidRPr="00C65A04">
        <w:rPr>
          <w:i/>
          <w:szCs w:val="18"/>
        </w:rPr>
        <w:t>Building better connected learning through improved student pathways</w:t>
      </w:r>
      <w:r w:rsidRPr="00C65A04">
        <w:rPr>
          <w:szCs w:val="18"/>
        </w:rPr>
        <w:t>, AQF Pat</w:t>
      </w:r>
      <w:r w:rsidR="006E6C0B" w:rsidRPr="00C65A04">
        <w:rPr>
          <w:szCs w:val="18"/>
        </w:rPr>
        <w:t>hways Project, technical report</w:t>
      </w:r>
      <w:r w:rsidRPr="00C65A04">
        <w:rPr>
          <w:szCs w:val="18"/>
        </w:rPr>
        <w:t>, viewed 17 January 2013, &lt;www.aqf.edu.au/Portals/0/Documents/Projects/Pathways%20Project%20Technical%20Report%20November%202009.pdf&gt;.</w:t>
      </w:r>
    </w:p>
    <w:p w:rsidR="00122E84" w:rsidRPr="00C65A04" w:rsidRDefault="008E7DE5" w:rsidP="00FB0B1A">
      <w:pPr>
        <w:pStyle w:val="References"/>
        <w:ind w:right="-143"/>
        <w:rPr>
          <w:szCs w:val="18"/>
        </w:rPr>
      </w:pPr>
      <w:proofErr w:type="gramStart"/>
      <w:r w:rsidRPr="00C65A04">
        <w:rPr>
          <w:szCs w:val="18"/>
        </w:rPr>
        <w:t>——</w:t>
      </w:r>
      <w:r w:rsidR="00122E84" w:rsidRPr="00C65A04">
        <w:rPr>
          <w:szCs w:val="18"/>
        </w:rPr>
        <w:t xml:space="preserve">2011, </w:t>
      </w:r>
      <w:r w:rsidR="003958D3" w:rsidRPr="00C65A04">
        <w:rPr>
          <w:i/>
          <w:szCs w:val="18"/>
        </w:rPr>
        <w:t xml:space="preserve">Australian Qualifications Framework, </w:t>
      </w:r>
      <w:r w:rsidR="00B73A41" w:rsidRPr="00C65A04">
        <w:rPr>
          <w:szCs w:val="18"/>
        </w:rPr>
        <w:t>viewed</w:t>
      </w:r>
      <w:r w:rsidR="00510D3B" w:rsidRPr="00C65A04">
        <w:rPr>
          <w:szCs w:val="18"/>
        </w:rPr>
        <w:t xml:space="preserve"> </w:t>
      </w:r>
      <w:r w:rsidR="00B73A41" w:rsidRPr="00C65A04">
        <w:rPr>
          <w:szCs w:val="18"/>
        </w:rPr>
        <w:t>17 January 2013</w:t>
      </w:r>
      <w:r w:rsidRPr="00C65A04">
        <w:rPr>
          <w:szCs w:val="18"/>
        </w:rPr>
        <w:t>,</w:t>
      </w:r>
      <w:r w:rsidR="00B73A41" w:rsidRPr="00C65A04">
        <w:rPr>
          <w:szCs w:val="18"/>
        </w:rPr>
        <w:t xml:space="preserve"> </w:t>
      </w:r>
      <w:hyperlink r:id="rId16" w:history="1">
        <w:r w:rsidRPr="00C65A04">
          <w:rPr>
            <w:rStyle w:val="Hyperlink"/>
            <w:sz w:val="18"/>
            <w:szCs w:val="18"/>
          </w:rPr>
          <w:t>&lt;</w:t>
        </w:r>
        <w:r w:rsidR="00122E84" w:rsidRPr="00C65A04">
          <w:rPr>
            <w:rStyle w:val="Hyperlink"/>
            <w:sz w:val="18"/>
            <w:szCs w:val="18"/>
          </w:rPr>
          <w:t>www.aqf.edu.au/Portals/0/Documents/Handbook/AustQuals%20FrmwrkFirstEditionJuly2011_FINAL.pdf</w:t>
        </w:r>
      </w:hyperlink>
      <w:r w:rsidRPr="00C65A04">
        <w:rPr>
          <w:szCs w:val="18"/>
        </w:rPr>
        <w:t>&gt;.</w:t>
      </w:r>
      <w:proofErr w:type="gramEnd"/>
    </w:p>
    <w:p w:rsidR="002D3E70" w:rsidRPr="00C65A04" w:rsidRDefault="00E82B64" w:rsidP="00C65A04">
      <w:pPr>
        <w:pStyle w:val="References"/>
        <w:rPr>
          <w:szCs w:val="18"/>
        </w:rPr>
      </w:pPr>
      <w:proofErr w:type="gramStart"/>
      <w:r w:rsidRPr="00C65A04">
        <w:rPr>
          <w:szCs w:val="18"/>
        </w:rPr>
        <w:t>——</w:t>
      </w:r>
      <w:r w:rsidR="00BB535F" w:rsidRPr="00C65A04">
        <w:rPr>
          <w:szCs w:val="18"/>
        </w:rPr>
        <w:t>2013</w:t>
      </w:r>
      <w:r w:rsidR="002D3E70" w:rsidRPr="00C65A04">
        <w:rPr>
          <w:szCs w:val="18"/>
        </w:rPr>
        <w:t xml:space="preserve">, </w:t>
      </w:r>
      <w:r w:rsidR="002D3E70" w:rsidRPr="00C65A04">
        <w:rPr>
          <w:i/>
          <w:szCs w:val="18"/>
        </w:rPr>
        <w:t xml:space="preserve">Australian Qualifications Framework, </w:t>
      </w:r>
      <w:r w:rsidRPr="00C65A04">
        <w:rPr>
          <w:szCs w:val="18"/>
        </w:rPr>
        <w:t xml:space="preserve">2nd </w:t>
      </w:r>
      <w:proofErr w:type="spellStart"/>
      <w:r w:rsidRPr="00C65A04">
        <w:rPr>
          <w:szCs w:val="18"/>
        </w:rPr>
        <w:t>edn</w:t>
      </w:r>
      <w:proofErr w:type="spellEnd"/>
      <w:r w:rsidRPr="00C65A04">
        <w:rPr>
          <w:szCs w:val="18"/>
        </w:rPr>
        <w:t>,</w:t>
      </w:r>
      <w:r w:rsidR="002D3E70" w:rsidRPr="00C65A04">
        <w:rPr>
          <w:szCs w:val="18"/>
        </w:rPr>
        <w:t xml:space="preserve"> viewed</w:t>
      </w:r>
      <w:r w:rsidR="00510D3B" w:rsidRPr="00C65A04">
        <w:rPr>
          <w:szCs w:val="18"/>
        </w:rPr>
        <w:t xml:space="preserve"> </w:t>
      </w:r>
      <w:r w:rsidRPr="00C65A04">
        <w:rPr>
          <w:szCs w:val="18"/>
        </w:rPr>
        <w:t>5 February</w:t>
      </w:r>
      <w:r w:rsidR="002D3E70" w:rsidRPr="00C65A04">
        <w:rPr>
          <w:szCs w:val="18"/>
        </w:rPr>
        <w:t xml:space="preserve"> 2013, </w:t>
      </w:r>
      <w:r w:rsidRPr="00C65A04">
        <w:rPr>
          <w:szCs w:val="18"/>
        </w:rPr>
        <w:t>&lt;</w:t>
      </w:r>
      <w:r w:rsidR="002D3E70" w:rsidRPr="00C65A04">
        <w:rPr>
          <w:szCs w:val="18"/>
        </w:rPr>
        <w:t>www.aqf.edu.au/Portals/0/Documents/2013%20docs/AQF%202nd%20Edition%20January%202013.pdf</w:t>
      </w:r>
      <w:r w:rsidRPr="00C65A04">
        <w:rPr>
          <w:szCs w:val="18"/>
        </w:rPr>
        <w:t>&gt;.</w:t>
      </w:r>
      <w:proofErr w:type="gramEnd"/>
      <w:r w:rsidR="002D3E70" w:rsidRPr="00C65A04">
        <w:rPr>
          <w:szCs w:val="18"/>
        </w:rPr>
        <w:t xml:space="preserve"> </w:t>
      </w:r>
    </w:p>
    <w:p w:rsidR="00485A31" w:rsidRPr="00C65A04" w:rsidRDefault="00485A31" w:rsidP="00FB0B1A">
      <w:pPr>
        <w:pStyle w:val="References"/>
        <w:ind w:right="-143"/>
        <w:rPr>
          <w:szCs w:val="18"/>
        </w:rPr>
      </w:pPr>
      <w:proofErr w:type="gramStart"/>
      <w:r w:rsidRPr="00C65A04">
        <w:rPr>
          <w:szCs w:val="18"/>
        </w:rPr>
        <w:t>Australian Workforce Productivity Agency 2010</w:t>
      </w:r>
      <w:r w:rsidR="00E82B64" w:rsidRPr="00C65A04">
        <w:rPr>
          <w:szCs w:val="18"/>
        </w:rPr>
        <w:t>,</w:t>
      </w:r>
      <w:r w:rsidRPr="00C65A04">
        <w:rPr>
          <w:szCs w:val="18"/>
        </w:rPr>
        <w:t xml:space="preserve"> </w:t>
      </w:r>
      <w:r w:rsidRPr="00C65A04">
        <w:rPr>
          <w:i/>
          <w:szCs w:val="18"/>
        </w:rPr>
        <w:t xml:space="preserve">Australia’s </w:t>
      </w:r>
      <w:r w:rsidR="00E82B64" w:rsidRPr="00C65A04">
        <w:rPr>
          <w:i/>
          <w:szCs w:val="18"/>
        </w:rPr>
        <w:t>workforce futures</w:t>
      </w:r>
      <w:r w:rsidRPr="00C65A04">
        <w:rPr>
          <w:szCs w:val="18"/>
        </w:rPr>
        <w:t xml:space="preserve">, viewed 18 February 2013, </w:t>
      </w:r>
      <w:r w:rsidR="00E82B64" w:rsidRPr="00C65A04">
        <w:rPr>
          <w:szCs w:val="18"/>
        </w:rPr>
        <w:t>&lt;</w:t>
      </w:r>
      <w:r w:rsidRPr="00C65A04">
        <w:rPr>
          <w:szCs w:val="18"/>
        </w:rPr>
        <w:t>www.awpa.gov.au/our-work/national-workforce-development-strategy/documents/WWF_strategy.pdf</w:t>
      </w:r>
      <w:r w:rsidR="00E82B64" w:rsidRPr="00C65A04">
        <w:rPr>
          <w:szCs w:val="18"/>
        </w:rPr>
        <w:t>&gt;.</w:t>
      </w:r>
      <w:proofErr w:type="gramEnd"/>
    </w:p>
    <w:p w:rsidR="0017726F" w:rsidRPr="00C65A04" w:rsidRDefault="00E82B64" w:rsidP="00C65A04">
      <w:pPr>
        <w:pStyle w:val="References"/>
        <w:rPr>
          <w:szCs w:val="18"/>
        </w:rPr>
      </w:pPr>
      <w:r w:rsidRPr="00C65A04">
        <w:rPr>
          <w:szCs w:val="18"/>
        </w:rPr>
        <w:t>——</w:t>
      </w:r>
      <w:r w:rsidR="007E2796" w:rsidRPr="00C65A04">
        <w:rPr>
          <w:szCs w:val="18"/>
        </w:rPr>
        <w:t>2012a</w:t>
      </w:r>
      <w:r w:rsidRPr="00C65A04">
        <w:rPr>
          <w:szCs w:val="18"/>
        </w:rPr>
        <w:t>,</w:t>
      </w:r>
      <w:r w:rsidR="0017726F" w:rsidRPr="00C65A04">
        <w:rPr>
          <w:szCs w:val="18"/>
        </w:rPr>
        <w:t xml:space="preserve"> </w:t>
      </w:r>
      <w:r w:rsidR="007E2796" w:rsidRPr="00C65A04">
        <w:rPr>
          <w:i/>
          <w:szCs w:val="18"/>
        </w:rPr>
        <w:t xml:space="preserve">2010 </w:t>
      </w:r>
      <w:r w:rsidR="0017726F" w:rsidRPr="00C65A04">
        <w:rPr>
          <w:i/>
          <w:szCs w:val="18"/>
        </w:rPr>
        <w:t xml:space="preserve">Industry </w:t>
      </w:r>
      <w:r w:rsidRPr="00C65A04">
        <w:rPr>
          <w:i/>
          <w:szCs w:val="18"/>
        </w:rPr>
        <w:t>snapshots — construction</w:t>
      </w:r>
      <w:r w:rsidR="0017726F" w:rsidRPr="00C65A04">
        <w:rPr>
          <w:szCs w:val="18"/>
        </w:rPr>
        <w:t xml:space="preserve">, viewed 18 February 2013, </w:t>
      </w:r>
      <w:hyperlink w:history="1">
        <w:r w:rsidR="00FB0B1A" w:rsidRPr="007D2D93">
          <w:rPr>
            <w:rStyle w:val="Hyperlink"/>
            <w:sz w:val="18"/>
            <w:szCs w:val="18"/>
          </w:rPr>
          <w:t>&lt;www.awpa.gov.au/our-work/national-workforce-development-strategy/2012-workforce-development-strategy/documents/ Construction.pdf</w:t>
        </w:r>
      </w:hyperlink>
      <w:r w:rsidRPr="00C65A04">
        <w:rPr>
          <w:szCs w:val="18"/>
        </w:rPr>
        <w:t>&gt;.</w:t>
      </w:r>
    </w:p>
    <w:p w:rsidR="007807B1" w:rsidRPr="00C65A04" w:rsidRDefault="00E82B64" w:rsidP="00C65A04">
      <w:pPr>
        <w:pStyle w:val="References"/>
        <w:rPr>
          <w:szCs w:val="18"/>
        </w:rPr>
      </w:pPr>
      <w:r w:rsidRPr="00C65A04">
        <w:rPr>
          <w:szCs w:val="18"/>
        </w:rPr>
        <w:t>——</w:t>
      </w:r>
      <w:r w:rsidR="007807B1" w:rsidRPr="00C65A04">
        <w:rPr>
          <w:szCs w:val="18"/>
        </w:rPr>
        <w:t>2012</w:t>
      </w:r>
      <w:r w:rsidR="007E2796" w:rsidRPr="00C65A04">
        <w:rPr>
          <w:szCs w:val="18"/>
        </w:rPr>
        <w:t>b</w:t>
      </w:r>
      <w:r w:rsidR="00FB0B1A">
        <w:rPr>
          <w:szCs w:val="18"/>
        </w:rPr>
        <w:t>,</w:t>
      </w:r>
      <w:r w:rsidR="007807B1" w:rsidRPr="00C65A04">
        <w:rPr>
          <w:szCs w:val="18"/>
        </w:rPr>
        <w:t xml:space="preserve"> </w:t>
      </w:r>
      <w:r w:rsidRPr="00C65A04">
        <w:rPr>
          <w:i/>
          <w:szCs w:val="18"/>
        </w:rPr>
        <w:t>Specialised o</w:t>
      </w:r>
      <w:r w:rsidR="003958D3" w:rsidRPr="00C65A04">
        <w:rPr>
          <w:i/>
          <w:szCs w:val="18"/>
        </w:rPr>
        <w:t>ccupations fact sheet,</w:t>
      </w:r>
      <w:r w:rsidR="007807B1" w:rsidRPr="00C65A04">
        <w:rPr>
          <w:szCs w:val="18"/>
        </w:rPr>
        <w:t xml:space="preserve"> </w:t>
      </w:r>
      <w:hyperlink w:history="1">
        <w:r w:rsidR="00646453" w:rsidRPr="00335B7C">
          <w:rPr>
            <w:rStyle w:val="Hyperlink"/>
            <w:sz w:val="18"/>
            <w:szCs w:val="18"/>
          </w:rPr>
          <w:t>viewed 21 September 2012, &lt;www.awpa.gov.au/labour-market-information/skilled-occupation-list/documents/2012FactSheet.pdf</w:t>
        </w:r>
      </w:hyperlink>
      <w:r w:rsidRPr="00C65A04">
        <w:rPr>
          <w:szCs w:val="18"/>
        </w:rPr>
        <w:t>&gt;.</w:t>
      </w:r>
    </w:p>
    <w:p w:rsidR="00485A31" w:rsidRPr="00C65A04" w:rsidRDefault="00E82B64" w:rsidP="00C65A04">
      <w:pPr>
        <w:pStyle w:val="References"/>
        <w:rPr>
          <w:szCs w:val="18"/>
        </w:rPr>
      </w:pPr>
      <w:r w:rsidRPr="00C65A04">
        <w:rPr>
          <w:szCs w:val="18"/>
        </w:rPr>
        <w:t>——</w:t>
      </w:r>
      <w:r w:rsidR="00542DCD" w:rsidRPr="00C65A04">
        <w:rPr>
          <w:szCs w:val="18"/>
        </w:rPr>
        <w:t>2012</w:t>
      </w:r>
      <w:r w:rsidR="00485A31" w:rsidRPr="00C65A04">
        <w:rPr>
          <w:szCs w:val="18"/>
        </w:rPr>
        <w:t>c</w:t>
      </w:r>
      <w:r w:rsidR="00424B36" w:rsidRPr="00C65A04">
        <w:rPr>
          <w:szCs w:val="18"/>
        </w:rPr>
        <w:t>,</w:t>
      </w:r>
      <w:r w:rsidR="00542DCD" w:rsidRPr="00C65A04">
        <w:rPr>
          <w:szCs w:val="18"/>
        </w:rPr>
        <w:t xml:space="preserve"> </w:t>
      </w:r>
      <w:r w:rsidR="00485A31" w:rsidRPr="00C65A04">
        <w:rPr>
          <w:i/>
          <w:szCs w:val="18"/>
        </w:rPr>
        <w:t xml:space="preserve">Australia’s </w:t>
      </w:r>
      <w:r w:rsidRPr="00C65A04">
        <w:rPr>
          <w:i/>
          <w:szCs w:val="18"/>
        </w:rPr>
        <w:t>skills and workforce development needs — a discussion paper</w:t>
      </w:r>
      <w:r w:rsidR="00485A31" w:rsidRPr="00C65A04">
        <w:rPr>
          <w:szCs w:val="18"/>
        </w:rPr>
        <w:t xml:space="preserve">, </w:t>
      </w:r>
      <w:r w:rsidR="00721420" w:rsidRPr="00C65A04">
        <w:rPr>
          <w:szCs w:val="18"/>
        </w:rPr>
        <w:t xml:space="preserve">viewed </w:t>
      </w:r>
      <w:r w:rsidR="00485A31" w:rsidRPr="00C65A04">
        <w:rPr>
          <w:szCs w:val="18"/>
        </w:rPr>
        <w:t>18 February</w:t>
      </w:r>
      <w:r w:rsidR="00510D3B" w:rsidRPr="00C65A04">
        <w:rPr>
          <w:szCs w:val="18"/>
        </w:rPr>
        <w:t xml:space="preserve"> </w:t>
      </w:r>
      <w:r w:rsidR="00721420" w:rsidRPr="00C65A04">
        <w:rPr>
          <w:szCs w:val="18"/>
        </w:rPr>
        <w:t xml:space="preserve">2013, </w:t>
      </w:r>
      <w:r w:rsidRPr="00C65A04">
        <w:rPr>
          <w:szCs w:val="18"/>
        </w:rPr>
        <w:t>&lt;</w:t>
      </w:r>
      <w:r w:rsidR="00485A31" w:rsidRPr="00C65A04">
        <w:rPr>
          <w:szCs w:val="18"/>
        </w:rPr>
        <w:t>www.awpa.gov.au/publications/documents/Future-Focus-Australias-skills-and-workforce-development-needs-Discussion-Paper.pdf</w:t>
      </w:r>
      <w:r w:rsidRPr="00C65A04">
        <w:rPr>
          <w:szCs w:val="18"/>
        </w:rPr>
        <w:t>&gt;.</w:t>
      </w:r>
    </w:p>
    <w:p w:rsidR="004B63C9" w:rsidRPr="00C65A04" w:rsidRDefault="004B63C9" w:rsidP="00FB0B1A">
      <w:pPr>
        <w:pStyle w:val="References"/>
        <w:ind w:right="-143"/>
        <w:rPr>
          <w:szCs w:val="18"/>
        </w:rPr>
      </w:pPr>
      <w:r w:rsidRPr="00C65A04">
        <w:rPr>
          <w:szCs w:val="18"/>
        </w:rPr>
        <w:t>Bra</w:t>
      </w:r>
      <w:r w:rsidR="00F23AB6" w:rsidRPr="00C65A04">
        <w:rPr>
          <w:szCs w:val="18"/>
        </w:rPr>
        <w:t>dley</w:t>
      </w:r>
      <w:r w:rsidR="00EF421B" w:rsidRPr="00C65A04">
        <w:rPr>
          <w:szCs w:val="18"/>
        </w:rPr>
        <w:t>,</w:t>
      </w:r>
      <w:r w:rsidR="00F23AB6" w:rsidRPr="00C65A04">
        <w:rPr>
          <w:szCs w:val="18"/>
        </w:rPr>
        <w:t xml:space="preserve"> D,</w:t>
      </w:r>
      <w:r w:rsidR="00510D3B" w:rsidRPr="00C65A04">
        <w:rPr>
          <w:szCs w:val="18"/>
        </w:rPr>
        <w:t xml:space="preserve"> </w:t>
      </w:r>
      <w:r w:rsidR="00F23AB6" w:rsidRPr="00C65A04">
        <w:rPr>
          <w:szCs w:val="18"/>
        </w:rPr>
        <w:t>Noonan</w:t>
      </w:r>
      <w:r w:rsidR="00EF421B" w:rsidRPr="00C65A04">
        <w:rPr>
          <w:szCs w:val="18"/>
        </w:rPr>
        <w:t>,</w:t>
      </w:r>
      <w:r w:rsidR="00F23AB6" w:rsidRPr="00C65A04">
        <w:rPr>
          <w:szCs w:val="18"/>
        </w:rPr>
        <w:t xml:space="preserve"> P, Nugent</w:t>
      </w:r>
      <w:r w:rsidR="00EF421B" w:rsidRPr="00C65A04">
        <w:rPr>
          <w:szCs w:val="18"/>
        </w:rPr>
        <w:t>,</w:t>
      </w:r>
      <w:r w:rsidR="00F23AB6" w:rsidRPr="00C65A04">
        <w:rPr>
          <w:szCs w:val="18"/>
        </w:rPr>
        <w:t xml:space="preserve"> H</w:t>
      </w:r>
      <w:r w:rsidRPr="00C65A04">
        <w:rPr>
          <w:szCs w:val="18"/>
        </w:rPr>
        <w:t xml:space="preserve"> &amp; Scales</w:t>
      </w:r>
      <w:r w:rsidR="00EF421B" w:rsidRPr="00C65A04">
        <w:rPr>
          <w:szCs w:val="18"/>
        </w:rPr>
        <w:t>,</w:t>
      </w:r>
      <w:r w:rsidRPr="00C65A04">
        <w:rPr>
          <w:szCs w:val="18"/>
        </w:rPr>
        <w:t xml:space="preserve"> B 2008</w:t>
      </w:r>
      <w:r w:rsidR="00424B36" w:rsidRPr="00C65A04">
        <w:rPr>
          <w:szCs w:val="18"/>
        </w:rPr>
        <w:t>,</w:t>
      </w:r>
      <w:r w:rsidRPr="00C65A04">
        <w:rPr>
          <w:szCs w:val="18"/>
        </w:rPr>
        <w:t xml:space="preserve"> </w:t>
      </w:r>
      <w:r w:rsidRPr="00C65A04">
        <w:rPr>
          <w:i/>
          <w:szCs w:val="18"/>
        </w:rPr>
        <w:t xml:space="preserve">Review of Australian </w:t>
      </w:r>
      <w:r w:rsidR="00EF421B" w:rsidRPr="00C65A04">
        <w:rPr>
          <w:i/>
          <w:szCs w:val="18"/>
        </w:rPr>
        <w:t>higher education</w:t>
      </w:r>
      <w:r w:rsidR="006E6C0B" w:rsidRPr="00C65A04">
        <w:rPr>
          <w:i/>
          <w:szCs w:val="18"/>
        </w:rPr>
        <w:t>:</w:t>
      </w:r>
      <w:r w:rsidR="00EF421B" w:rsidRPr="00C65A04">
        <w:rPr>
          <w:i/>
          <w:szCs w:val="18"/>
        </w:rPr>
        <w:t xml:space="preserve"> final report</w:t>
      </w:r>
      <w:r w:rsidR="00EF421B" w:rsidRPr="00C65A04">
        <w:rPr>
          <w:szCs w:val="18"/>
        </w:rPr>
        <w:t xml:space="preserve"> </w:t>
      </w:r>
      <w:r w:rsidRPr="00C65A04">
        <w:rPr>
          <w:szCs w:val="18"/>
        </w:rPr>
        <w:t xml:space="preserve">(the Bradley </w:t>
      </w:r>
      <w:r w:rsidR="00646453" w:rsidRPr="00C65A04">
        <w:rPr>
          <w:szCs w:val="18"/>
        </w:rPr>
        <w:t>r</w:t>
      </w:r>
      <w:r w:rsidRPr="00C65A04">
        <w:rPr>
          <w:szCs w:val="18"/>
        </w:rPr>
        <w:t>eport</w:t>
      </w:r>
      <w:r w:rsidR="00EF421B" w:rsidRPr="00C65A04">
        <w:rPr>
          <w:szCs w:val="18"/>
        </w:rPr>
        <w:t>),</w:t>
      </w:r>
      <w:r w:rsidRPr="00C65A04">
        <w:rPr>
          <w:szCs w:val="18"/>
        </w:rPr>
        <w:t xml:space="preserve"> </w:t>
      </w:r>
      <w:r w:rsidR="00F23AB6" w:rsidRPr="00C65A04">
        <w:rPr>
          <w:szCs w:val="18"/>
        </w:rPr>
        <w:t>viewed 12 Februa</w:t>
      </w:r>
      <w:r w:rsidR="00EF421B" w:rsidRPr="00C65A04">
        <w:rPr>
          <w:szCs w:val="18"/>
        </w:rPr>
        <w:t>ry 2013, &lt;</w:t>
      </w:r>
      <w:r w:rsidRPr="00C65A04">
        <w:rPr>
          <w:szCs w:val="18"/>
        </w:rPr>
        <w:t>www.innovation.gov.au/HigherEducation/ResourcesAnd</w:t>
      </w:r>
      <w:r w:rsidR="00FB0B1A">
        <w:rPr>
          <w:szCs w:val="18"/>
        </w:rPr>
        <w:t xml:space="preserve"> </w:t>
      </w:r>
      <w:r w:rsidRPr="00C65A04">
        <w:rPr>
          <w:szCs w:val="18"/>
        </w:rPr>
        <w:t>Publications/ReviewOfAustralianHigherEducation/Pages/ReviewOfAustralianHigherEducationReport.aspx</w:t>
      </w:r>
      <w:r w:rsidR="00EF421B" w:rsidRPr="00C65A04">
        <w:rPr>
          <w:szCs w:val="18"/>
        </w:rPr>
        <w:t>&gt;.</w:t>
      </w:r>
    </w:p>
    <w:p w:rsidR="00266082" w:rsidRPr="00C65A04" w:rsidRDefault="00765198" w:rsidP="00C65A04">
      <w:pPr>
        <w:pStyle w:val="References"/>
        <w:rPr>
          <w:szCs w:val="18"/>
        </w:rPr>
      </w:pPr>
      <w:r w:rsidRPr="00C65A04">
        <w:rPr>
          <w:szCs w:val="18"/>
        </w:rPr>
        <w:t>Brown</w:t>
      </w:r>
      <w:r w:rsidR="00EF421B" w:rsidRPr="00C65A04">
        <w:rPr>
          <w:szCs w:val="18"/>
        </w:rPr>
        <w:t>,</w:t>
      </w:r>
      <w:r w:rsidRPr="00C65A04">
        <w:rPr>
          <w:szCs w:val="18"/>
        </w:rPr>
        <w:t xml:space="preserve"> </w:t>
      </w:r>
      <w:r w:rsidR="00D14B1A" w:rsidRPr="00C65A04">
        <w:rPr>
          <w:szCs w:val="18"/>
        </w:rPr>
        <w:t>M, Wi</w:t>
      </w:r>
      <w:r w:rsidR="00551731" w:rsidRPr="00C65A04">
        <w:rPr>
          <w:szCs w:val="18"/>
        </w:rPr>
        <w:t>thers</w:t>
      </w:r>
      <w:r w:rsidR="00EF421B" w:rsidRPr="00C65A04">
        <w:rPr>
          <w:szCs w:val="18"/>
        </w:rPr>
        <w:t>,</w:t>
      </w:r>
      <w:r w:rsidR="00551731" w:rsidRPr="00C65A04">
        <w:rPr>
          <w:szCs w:val="18"/>
        </w:rPr>
        <w:t xml:space="preserve"> E, Down</w:t>
      </w:r>
      <w:r w:rsidR="00EF421B" w:rsidRPr="00C65A04">
        <w:rPr>
          <w:szCs w:val="18"/>
        </w:rPr>
        <w:t>,</w:t>
      </w:r>
      <w:r w:rsidR="00551731" w:rsidRPr="00C65A04">
        <w:rPr>
          <w:szCs w:val="18"/>
        </w:rPr>
        <w:t xml:space="preserve"> C,</w:t>
      </w:r>
      <w:r w:rsidR="0066190D" w:rsidRPr="00C65A04">
        <w:rPr>
          <w:szCs w:val="18"/>
        </w:rPr>
        <w:t xml:space="preserve"> </w:t>
      </w:r>
      <w:proofErr w:type="spellStart"/>
      <w:r w:rsidR="00551731" w:rsidRPr="00C65A04">
        <w:rPr>
          <w:szCs w:val="18"/>
        </w:rPr>
        <w:t>Figgis</w:t>
      </w:r>
      <w:proofErr w:type="spellEnd"/>
      <w:r w:rsidR="00EF421B" w:rsidRPr="00C65A04">
        <w:rPr>
          <w:szCs w:val="18"/>
        </w:rPr>
        <w:t>,</w:t>
      </w:r>
      <w:r w:rsidR="00551731" w:rsidRPr="00C65A04">
        <w:rPr>
          <w:szCs w:val="18"/>
        </w:rPr>
        <w:t xml:space="preserve"> J </w:t>
      </w:r>
      <w:r w:rsidR="00EF421B" w:rsidRPr="00C65A04">
        <w:rPr>
          <w:szCs w:val="18"/>
        </w:rPr>
        <w:t>&amp;</w:t>
      </w:r>
      <w:r w:rsidR="00551731" w:rsidRPr="00C65A04">
        <w:rPr>
          <w:szCs w:val="18"/>
        </w:rPr>
        <w:t xml:space="preserve"> McM</w:t>
      </w:r>
      <w:r w:rsidR="0066190D" w:rsidRPr="00C65A04">
        <w:rPr>
          <w:szCs w:val="18"/>
        </w:rPr>
        <w:t>anus</w:t>
      </w:r>
      <w:r w:rsidR="00EF421B" w:rsidRPr="00C65A04">
        <w:rPr>
          <w:szCs w:val="18"/>
        </w:rPr>
        <w:t>,</w:t>
      </w:r>
      <w:r w:rsidR="0066190D" w:rsidRPr="00C65A04">
        <w:rPr>
          <w:szCs w:val="18"/>
        </w:rPr>
        <w:t xml:space="preserve"> J 2011</w:t>
      </w:r>
      <w:r w:rsidR="00424B36" w:rsidRPr="00C65A04">
        <w:rPr>
          <w:szCs w:val="18"/>
        </w:rPr>
        <w:t>,</w:t>
      </w:r>
      <w:r w:rsidR="0066190D" w:rsidRPr="00C65A04">
        <w:rPr>
          <w:szCs w:val="18"/>
        </w:rPr>
        <w:t xml:space="preserve"> </w:t>
      </w:r>
      <w:r w:rsidR="00EF421B" w:rsidRPr="00C65A04">
        <w:rPr>
          <w:szCs w:val="18"/>
        </w:rPr>
        <w:t>‘</w:t>
      </w:r>
      <w:r w:rsidR="003958D3" w:rsidRPr="00C65A04">
        <w:rPr>
          <w:szCs w:val="18"/>
        </w:rPr>
        <w:t>Pedagogical practices across the tertiary sector: summarising the literature on pedagogical support for students moving from VET to universities</w:t>
      </w:r>
      <w:r w:rsidR="00EF421B" w:rsidRPr="00C65A04">
        <w:rPr>
          <w:szCs w:val="18"/>
        </w:rPr>
        <w:t>’</w:t>
      </w:r>
      <w:r w:rsidR="00D14B1A" w:rsidRPr="00C65A04">
        <w:rPr>
          <w:szCs w:val="18"/>
        </w:rPr>
        <w:t>,</w:t>
      </w:r>
      <w:r w:rsidR="00702143" w:rsidRPr="00C65A04">
        <w:rPr>
          <w:szCs w:val="18"/>
        </w:rPr>
        <w:t xml:space="preserve"> </w:t>
      </w:r>
      <w:r w:rsidR="00EF421B" w:rsidRPr="00C65A04">
        <w:rPr>
          <w:szCs w:val="18"/>
        </w:rPr>
        <w:t xml:space="preserve">paper to 2011 </w:t>
      </w:r>
      <w:r w:rsidR="006E6C0B" w:rsidRPr="00C65A04">
        <w:rPr>
          <w:szCs w:val="18"/>
        </w:rPr>
        <w:t xml:space="preserve">Australian Vocational Education and Training Research Association </w:t>
      </w:r>
      <w:r w:rsidR="00702143" w:rsidRPr="00C65A04">
        <w:rPr>
          <w:szCs w:val="18"/>
        </w:rPr>
        <w:t>Conference</w:t>
      </w:r>
      <w:r w:rsidR="00551731" w:rsidRPr="00C65A04">
        <w:rPr>
          <w:szCs w:val="18"/>
        </w:rPr>
        <w:t>,</w:t>
      </w:r>
      <w:r w:rsidR="00EF421B" w:rsidRPr="00C65A04">
        <w:rPr>
          <w:szCs w:val="18"/>
        </w:rPr>
        <w:t xml:space="preserve"> Melbourne, April.</w:t>
      </w:r>
    </w:p>
    <w:p w:rsidR="00F5038F" w:rsidRPr="00C65A04" w:rsidRDefault="00F5038F" w:rsidP="00C65A04">
      <w:pPr>
        <w:pStyle w:val="References"/>
        <w:rPr>
          <w:szCs w:val="18"/>
        </w:rPr>
      </w:pPr>
      <w:r w:rsidRPr="00C65A04">
        <w:rPr>
          <w:szCs w:val="18"/>
        </w:rPr>
        <w:t>Byrnes</w:t>
      </w:r>
      <w:r w:rsidR="00EF421B" w:rsidRPr="00C65A04">
        <w:rPr>
          <w:szCs w:val="18"/>
        </w:rPr>
        <w:t>,</w:t>
      </w:r>
      <w:r w:rsidRPr="00C65A04">
        <w:rPr>
          <w:szCs w:val="18"/>
        </w:rPr>
        <w:t xml:space="preserve"> J</w:t>
      </w:r>
      <w:r w:rsidR="003958D3" w:rsidRPr="00C65A04">
        <w:rPr>
          <w:szCs w:val="18"/>
        </w:rPr>
        <w:t>, Beaumont</w:t>
      </w:r>
      <w:r w:rsidR="00EF421B" w:rsidRPr="00C65A04">
        <w:rPr>
          <w:szCs w:val="18"/>
        </w:rPr>
        <w:t>,</w:t>
      </w:r>
      <w:r w:rsidR="003958D3" w:rsidRPr="00C65A04">
        <w:rPr>
          <w:szCs w:val="18"/>
        </w:rPr>
        <w:t xml:space="preserve"> P, </w:t>
      </w:r>
      <w:proofErr w:type="spellStart"/>
      <w:r w:rsidR="003958D3" w:rsidRPr="00C65A04">
        <w:rPr>
          <w:szCs w:val="18"/>
        </w:rPr>
        <w:t>Paez</w:t>
      </w:r>
      <w:proofErr w:type="spellEnd"/>
      <w:r w:rsidR="00EF421B" w:rsidRPr="00C65A04">
        <w:rPr>
          <w:szCs w:val="18"/>
        </w:rPr>
        <w:t>,</w:t>
      </w:r>
      <w:r w:rsidR="003958D3" w:rsidRPr="00C65A04">
        <w:rPr>
          <w:szCs w:val="18"/>
        </w:rPr>
        <w:t xml:space="preserve"> D, Jackson</w:t>
      </w:r>
      <w:r w:rsidR="00EF421B" w:rsidRPr="00C65A04">
        <w:rPr>
          <w:szCs w:val="18"/>
        </w:rPr>
        <w:t>,</w:t>
      </w:r>
      <w:r w:rsidR="003958D3" w:rsidRPr="00C65A04">
        <w:rPr>
          <w:szCs w:val="18"/>
        </w:rPr>
        <w:t xml:space="preserve"> A, Blacker</w:t>
      </w:r>
      <w:r w:rsidR="00EF421B" w:rsidRPr="00C65A04">
        <w:rPr>
          <w:szCs w:val="18"/>
        </w:rPr>
        <w:t>,</w:t>
      </w:r>
      <w:r w:rsidR="003958D3" w:rsidRPr="00C65A04">
        <w:rPr>
          <w:szCs w:val="18"/>
        </w:rPr>
        <w:t xml:space="preserve"> J</w:t>
      </w:r>
      <w:r w:rsidR="00EF421B" w:rsidRPr="00C65A04">
        <w:rPr>
          <w:szCs w:val="18"/>
        </w:rPr>
        <w:t xml:space="preserve"> &amp;</w:t>
      </w:r>
      <w:r w:rsidR="003958D3" w:rsidRPr="00C65A04">
        <w:rPr>
          <w:szCs w:val="18"/>
        </w:rPr>
        <w:t xml:space="preserve"> Dwyer</w:t>
      </w:r>
      <w:r w:rsidR="00EF421B" w:rsidRPr="00C65A04">
        <w:rPr>
          <w:szCs w:val="18"/>
        </w:rPr>
        <w:t>,</w:t>
      </w:r>
      <w:r w:rsidR="003958D3" w:rsidRPr="00C65A04">
        <w:rPr>
          <w:szCs w:val="18"/>
        </w:rPr>
        <w:t xml:space="preserve"> C</w:t>
      </w:r>
      <w:r w:rsidRPr="00C65A04">
        <w:rPr>
          <w:szCs w:val="18"/>
        </w:rPr>
        <w:t xml:space="preserve"> 2010</w:t>
      </w:r>
      <w:r w:rsidR="00424B36" w:rsidRPr="00C65A04">
        <w:rPr>
          <w:szCs w:val="18"/>
        </w:rPr>
        <w:t>,</w:t>
      </w:r>
      <w:r w:rsidRPr="00C65A04">
        <w:rPr>
          <w:szCs w:val="18"/>
        </w:rPr>
        <w:t xml:space="preserve"> </w:t>
      </w:r>
      <w:r w:rsidR="003958D3" w:rsidRPr="00C65A04">
        <w:rPr>
          <w:i/>
          <w:szCs w:val="18"/>
        </w:rPr>
        <w:t xml:space="preserve">Student </w:t>
      </w:r>
      <w:r w:rsidR="00EF421B" w:rsidRPr="00C65A04">
        <w:rPr>
          <w:i/>
          <w:szCs w:val="18"/>
        </w:rPr>
        <w:t>awareness of articulation and credit transfer</w:t>
      </w:r>
      <w:r w:rsidR="003958D3" w:rsidRPr="00C65A04">
        <w:rPr>
          <w:i/>
          <w:szCs w:val="18"/>
        </w:rPr>
        <w:t xml:space="preserve"> in Queensland: results of a web-based survey</w:t>
      </w:r>
      <w:r w:rsidR="002160B4" w:rsidRPr="00C65A04">
        <w:rPr>
          <w:szCs w:val="18"/>
        </w:rPr>
        <w:t>, Integr</w:t>
      </w:r>
      <w:r w:rsidRPr="00C65A04">
        <w:rPr>
          <w:szCs w:val="18"/>
        </w:rPr>
        <w:t>a</w:t>
      </w:r>
      <w:r w:rsidR="002160B4" w:rsidRPr="00C65A04">
        <w:rPr>
          <w:szCs w:val="18"/>
        </w:rPr>
        <w:t>t</w:t>
      </w:r>
      <w:r w:rsidRPr="00C65A04">
        <w:rPr>
          <w:szCs w:val="18"/>
        </w:rPr>
        <w:t>ed Arti</w:t>
      </w:r>
      <w:r w:rsidR="002160B4" w:rsidRPr="00C65A04">
        <w:rPr>
          <w:szCs w:val="18"/>
        </w:rPr>
        <w:t xml:space="preserve">culation and Credit Transfer (IACT) Project, viewed 31 January 2013, </w:t>
      </w:r>
      <w:r w:rsidR="00EF421B" w:rsidRPr="00C65A04">
        <w:rPr>
          <w:szCs w:val="18"/>
        </w:rPr>
        <w:t>&lt;</w:t>
      </w:r>
      <w:r w:rsidR="002160B4" w:rsidRPr="00C65A04">
        <w:rPr>
          <w:szCs w:val="18"/>
        </w:rPr>
        <w:t>http://3darticulation.com.au/wp-content/uploads/Student_Awareness_Final_Sept_2011.pdf</w:t>
      </w:r>
      <w:r w:rsidR="00EF421B" w:rsidRPr="00C65A04">
        <w:rPr>
          <w:szCs w:val="18"/>
        </w:rPr>
        <w:t>&gt;.</w:t>
      </w:r>
    </w:p>
    <w:p w:rsidR="00DF2A95" w:rsidRPr="00C65A04" w:rsidRDefault="00BA2B02" w:rsidP="00C65A04">
      <w:pPr>
        <w:pStyle w:val="References"/>
        <w:rPr>
          <w:rFonts w:ascii="Helvetica" w:hAnsi="Helvetica" w:cs="Helvetica"/>
          <w:szCs w:val="18"/>
          <w:lang w:val="en-US"/>
        </w:rPr>
      </w:pPr>
      <w:r w:rsidRPr="00C65A04">
        <w:rPr>
          <w:szCs w:val="18"/>
          <w:lang w:val="en-US"/>
        </w:rPr>
        <w:t>Byrnes</w:t>
      </w:r>
      <w:r w:rsidR="00EF421B" w:rsidRPr="00C65A04">
        <w:rPr>
          <w:szCs w:val="18"/>
          <w:lang w:val="en-US"/>
        </w:rPr>
        <w:t>,</w:t>
      </w:r>
      <w:r w:rsidRPr="00C65A04">
        <w:rPr>
          <w:szCs w:val="18"/>
          <w:lang w:val="en-US"/>
        </w:rPr>
        <w:t xml:space="preserve"> J, </w:t>
      </w:r>
      <w:proofErr w:type="spellStart"/>
      <w:r w:rsidRPr="00C65A04">
        <w:rPr>
          <w:szCs w:val="18"/>
          <w:lang w:val="en-US"/>
        </w:rPr>
        <w:t>Paez</w:t>
      </w:r>
      <w:proofErr w:type="spellEnd"/>
      <w:r w:rsidR="00EF421B" w:rsidRPr="00C65A04">
        <w:rPr>
          <w:szCs w:val="18"/>
          <w:lang w:val="en-US"/>
        </w:rPr>
        <w:t>,</w:t>
      </w:r>
      <w:r w:rsidRPr="00C65A04">
        <w:rPr>
          <w:szCs w:val="18"/>
          <w:lang w:val="en-US"/>
        </w:rPr>
        <w:t xml:space="preserve"> D, Jackson</w:t>
      </w:r>
      <w:r w:rsidR="00EF421B" w:rsidRPr="00C65A04">
        <w:rPr>
          <w:szCs w:val="18"/>
          <w:lang w:val="en-US"/>
        </w:rPr>
        <w:t>,</w:t>
      </w:r>
      <w:r w:rsidRPr="00C65A04">
        <w:rPr>
          <w:szCs w:val="18"/>
          <w:lang w:val="en-US"/>
        </w:rPr>
        <w:t xml:space="preserve"> A, Dwyer</w:t>
      </w:r>
      <w:r w:rsidR="00EF421B" w:rsidRPr="00C65A04">
        <w:rPr>
          <w:szCs w:val="18"/>
          <w:lang w:val="en-US"/>
        </w:rPr>
        <w:t>, C &amp;</w:t>
      </w:r>
      <w:r w:rsidRPr="00C65A04">
        <w:rPr>
          <w:szCs w:val="18"/>
          <w:lang w:val="en-US"/>
        </w:rPr>
        <w:t xml:space="preserve"> Blacker</w:t>
      </w:r>
      <w:r w:rsidR="00EF421B" w:rsidRPr="00C65A04">
        <w:rPr>
          <w:szCs w:val="18"/>
          <w:lang w:val="en-US"/>
        </w:rPr>
        <w:t>,</w:t>
      </w:r>
      <w:r w:rsidR="0088098B" w:rsidRPr="00C65A04">
        <w:rPr>
          <w:szCs w:val="18"/>
          <w:lang w:val="en-US"/>
        </w:rPr>
        <w:t xml:space="preserve"> J, 2011, ‘Literature r</w:t>
      </w:r>
      <w:r w:rsidRPr="00C65A04">
        <w:rPr>
          <w:szCs w:val="18"/>
          <w:lang w:val="en-US"/>
        </w:rPr>
        <w:t xml:space="preserve">eview, </w:t>
      </w:r>
      <w:r w:rsidRPr="00C65A04">
        <w:rPr>
          <w:szCs w:val="18"/>
        </w:rPr>
        <w:t xml:space="preserve">Integrated Articulation and Credit Transfer </w:t>
      </w:r>
      <w:r w:rsidR="0088098B" w:rsidRPr="00C65A04">
        <w:rPr>
          <w:szCs w:val="18"/>
        </w:rPr>
        <w:t>(</w:t>
      </w:r>
      <w:r w:rsidRPr="00C65A04">
        <w:rPr>
          <w:szCs w:val="18"/>
        </w:rPr>
        <w:t>IACT) Project</w:t>
      </w:r>
      <w:r w:rsidR="0088098B" w:rsidRPr="00C65A04">
        <w:rPr>
          <w:szCs w:val="18"/>
        </w:rPr>
        <w:t>’, viewed 31 January</w:t>
      </w:r>
      <w:r w:rsidRPr="00C65A04">
        <w:rPr>
          <w:szCs w:val="18"/>
        </w:rPr>
        <w:t xml:space="preserve"> 2013, </w:t>
      </w:r>
      <w:r w:rsidR="0088098B" w:rsidRPr="00C65A04">
        <w:rPr>
          <w:szCs w:val="18"/>
        </w:rPr>
        <w:t>&lt;</w:t>
      </w:r>
      <w:r w:rsidRPr="00C65A04">
        <w:rPr>
          <w:szCs w:val="18"/>
        </w:rPr>
        <w:t>http://3darticulation.com.au/wp-content/</w:t>
      </w:r>
      <w:r w:rsidR="00FB0B1A">
        <w:rPr>
          <w:szCs w:val="18"/>
        </w:rPr>
        <w:t xml:space="preserve"> </w:t>
      </w:r>
      <w:r w:rsidRPr="00C65A04">
        <w:rPr>
          <w:szCs w:val="18"/>
        </w:rPr>
        <w:t>uploads/Lit-Review-Final-2011.pdf</w:t>
      </w:r>
      <w:r w:rsidR="0088098B" w:rsidRPr="00C65A04">
        <w:rPr>
          <w:szCs w:val="18"/>
        </w:rPr>
        <w:t>&gt;.</w:t>
      </w:r>
    </w:p>
    <w:p w:rsidR="00A6317E" w:rsidRPr="00C65A04" w:rsidRDefault="00701C29" w:rsidP="00C65A04">
      <w:pPr>
        <w:pStyle w:val="References"/>
        <w:rPr>
          <w:color w:val="000000"/>
          <w:szCs w:val="18"/>
        </w:rPr>
      </w:pPr>
      <w:r w:rsidRPr="00C65A04">
        <w:rPr>
          <w:color w:val="000000"/>
          <w:szCs w:val="18"/>
        </w:rPr>
        <w:t>Carnegie</w:t>
      </w:r>
      <w:r w:rsidR="00FB0B1A">
        <w:rPr>
          <w:color w:val="000000"/>
          <w:szCs w:val="18"/>
        </w:rPr>
        <w:t>,</w:t>
      </w:r>
      <w:r w:rsidRPr="00C65A04">
        <w:rPr>
          <w:color w:val="000000"/>
          <w:szCs w:val="18"/>
        </w:rPr>
        <w:t xml:space="preserve"> J </w:t>
      </w:r>
      <w:r w:rsidR="00551731" w:rsidRPr="00C65A04">
        <w:rPr>
          <w:color w:val="000000"/>
          <w:szCs w:val="18"/>
        </w:rPr>
        <w:t>2009</w:t>
      </w:r>
      <w:r w:rsidR="00FB0B1A">
        <w:rPr>
          <w:color w:val="000000"/>
          <w:szCs w:val="18"/>
        </w:rPr>
        <w:t>,</w:t>
      </w:r>
      <w:r w:rsidR="00551731" w:rsidRPr="00C65A04">
        <w:rPr>
          <w:color w:val="000000"/>
          <w:szCs w:val="18"/>
        </w:rPr>
        <w:t xml:space="preserve"> </w:t>
      </w:r>
      <w:r w:rsidR="003958D3" w:rsidRPr="00C65A04">
        <w:rPr>
          <w:i/>
          <w:color w:val="000000"/>
          <w:szCs w:val="18"/>
        </w:rPr>
        <w:t xml:space="preserve">Policy and </w:t>
      </w:r>
      <w:r w:rsidR="0088098B" w:rsidRPr="00C65A04">
        <w:rPr>
          <w:i/>
          <w:color w:val="000000"/>
          <w:szCs w:val="18"/>
        </w:rPr>
        <w:t>regulatory analysis background report</w:t>
      </w:r>
      <w:r w:rsidR="00551731" w:rsidRPr="00C65A04">
        <w:rPr>
          <w:color w:val="000000"/>
          <w:szCs w:val="18"/>
        </w:rPr>
        <w:t xml:space="preserve">, AQF Pathways Project, </w:t>
      </w:r>
      <w:r w:rsidR="00A6317E" w:rsidRPr="00C65A04">
        <w:rPr>
          <w:color w:val="000000"/>
          <w:szCs w:val="18"/>
        </w:rPr>
        <w:t>viewed 17</w:t>
      </w:r>
      <w:r w:rsidR="00FB0B1A">
        <w:rPr>
          <w:color w:val="000000"/>
          <w:szCs w:val="18"/>
        </w:rPr>
        <w:t> </w:t>
      </w:r>
      <w:r w:rsidR="00A6317E" w:rsidRPr="00C65A04">
        <w:rPr>
          <w:color w:val="000000"/>
          <w:szCs w:val="18"/>
        </w:rPr>
        <w:t xml:space="preserve">January 2013, </w:t>
      </w:r>
      <w:r w:rsidR="0088098B" w:rsidRPr="00C65A04">
        <w:rPr>
          <w:color w:val="000000"/>
          <w:szCs w:val="18"/>
        </w:rPr>
        <w:t>&lt;</w:t>
      </w:r>
      <w:hyperlink r:id="rId17" w:history="1">
        <w:r w:rsidR="00A6317E" w:rsidRPr="00C65A04">
          <w:rPr>
            <w:rStyle w:val="Hyperlink"/>
            <w:sz w:val="18"/>
            <w:szCs w:val="18"/>
          </w:rPr>
          <w:t>http://aqf.edu.au/Portals/0/Documents/Projects/Pathways%20Final%20Report%20-%20%20Policy%20and%20Regulatory%20Analysis.pdf</w:t>
        </w:r>
      </w:hyperlink>
      <w:r w:rsidR="0088098B" w:rsidRPr="00C65A04">
        <w:rPr>
          <w:szCs w:val="18"/>
        </w:rPr>
        <w:t>&gt;.</w:t>
      </w:r>
    </w:p>
    <w:p w:rsidR="007807B1" w:rsidRPr="00C65A04" w:rsidRDefault="007807B1" w:rsidP="00C65A04">
      <w:pPr>
        <w:pStyle w:val="References"/>
        <w:rPr>
          <w:szCs w:val="18"/>
        </w:rPr>
      </w:pPr>
      <w:r w:rsidRPr="00C65A04">
        <w:rPr>
          <w:szCs w:val="18"/>
        </w:rPr>
        <w:t>Construction and Property S</w:t>
      </w:r>
      <w:r w:rsidR="00E45489" w:rsidRPr="00C65A04">
        <w:rPr>
          <w:szCs w:val="18"/>
        </w:rPr>
        <w:t>ervices Industry Skills Council</w:t>
      </w:r>
      <w:r w:rsidR="000B635C" w:rsidRPr="00C65A04">
        <w:rPr>
          <w:szCs w:val="18"/>
        </w:rPr>
        <w:t xml:space="preserve"> </w:t>
      </w:r>
      <w:r w:rsidR="00D10680" w:rsidRPr="00C65A04">
        <w:rPr>
          <w:szCs w:val="18"/>
        </w:rPr>
        <w:t>2011</w:t>
      </w:r>
      <w:r w:rsidRPr="00C65A04">
        <w:rPr>
          <w:szCs w:val="18"/>
        </w:rPr>
        <w:t xml:space="preserve">, </w:t>
      </w:r>
      <w:r w:rsidR="003958D3" w:rsidRPr="00C65A04">
        <w:rPr>
          <w:i/>
          <w:szCs w:val="18"/>
        </w:rPr>
        <w:t xml:space="preserve">Workforce </w:t>
      </w:r>
      <w:r w:rsidR="000C2CD3" w:rsidRPr="00C65A04">
        <w:rPr>
          <w:i/>
          <w:szCs w:val="18"/>
        </w:rPr>
        <w:t>d</w:t>
      </w:r>
      <w:r w:rsidR="003958D3" w:rsidRPr="00C65A04">
        <w:rPr>
          <w:i/>
          <w:szCs w:val="18"/>
        </w:rPr>
        <w:t xml:space="preserve">evelopment </w:t>
      </w:r>
      <w:r w:rsidR="000C2CD3" w:rsidRPr="00C65A04">
        <w:rPr>
          <w:i/>
          <w:szCs w:val="18"/>
        </w:rPr>
        <w:t>s</w:t>
      </w:r>
      <w:r w:rsidR="003958D3" w:rsidRPr="00C65A04">
        <w:rPr>
          <w:i/>
          <w:szCs w:val="18"/>
        </w:rPr>
        <w:t xml:space="preserve">trategy: </w:t>
      </w:r>
      <w:r w:rsidR="000C2CD3" w:rsidRPr="00C65A04">
        <w:rPr>
          <w:i/>
          <w:szCs w:val="18"/>
        </w:rPr>
        <w:br/>
        <w:t>a</w:t>
      </w:r>
      <w:r w:rsidR="003958D3" w:rsidRPr="00C65A04">
        <w:rPr>
          <w:i/>
          <w:szCs w:val="18"/>
        </w:rPr>
        <w:t xml:space="preserve"> </w:t>
      </w:r>
      <w:r w:rsidR="000C2CD3" w:rsidRPr="00C65A04">
        <w:rPr>
          <w:i/>
          <w:szCs w:val="18"/>
        </w:rPr>
        <w:t>p</w:t>
      </w:r>
      <w:r w:rsidR="003958D3" w:rsidRPr="00C65A04">
        <w:rPr>
          <w:i/>
          <w:szCs w:val="18"/>
        </w:rPr>
        <w:t xml:space="preserve">olicy </w:t>
      </w:r>
      <w:r w:rsidR="000C2CD3" w:rsidRPr="00C65A04">
        <w:rPr>
          <w:i/>
          <w:szCs w:val="18"/>
        </w:rPr>
        <w:t>p</w:t>
      </w:r>
      <w:r w:rsidR="003958D3" w:rsidRPr="00C65A04">
        <w:rPr>
          <w:i/>
          <w:szCs w:val="18"/>
        </w:rPr>
        <w:t>aper</w:t>
      </w:r>
      <w:r w:rsidR="003958D3" w:rsidRPr="00C65A04">
        <w:rPr>
          <w:szCs w:val="18"/>
        </w:rPr>
        <w:t xml:space="preserve">, </w:t>
      </w:r>
      <w:r w:rsidR="000B635C" w:rsidRPr="00C65A04">
        <w:rPr>
          <w:szCs w:val="18"/>
        </w:rPr>
        <w:t xml:space="preserve">viewed 19 February 2013, </w:t>
      </w:r>
      <w:r w:rsidR="008B70F6" w:rsidRPr="00C65A04">
        <w:rPr>
          <w:szCs w:val="18"/>
        </w:rPr>
        <w:t>&lt;</w:t>
      </w:r>
      <w:r w:rsidR="000B635C" w:rsidRPr="00C65A04">
        <w:rPr>
          <w:szCs w:val="18"/>
        </w:rPr>
        <w:t>http://www.cpsisc.com.au/Resources/CPSISC/WD/</w:t>
      </w:r>
      <w:r w:rsidR="00FB0B1A">
        <w:rPr>
          <w:szCs w:val="18"/>
        </w:rPr>
        <w:t xml:space="preserve"> </w:t>
      </w:r>
      <w:r w:rsidR="000B635C" w:rsidRPr="00C65A04">
        <w:rPr>
          <w:szCs w:val="18"/>
        </w:rPr>
        <w:t>Workforce_Development_Strategy_FINAL_Paper_220211.pdf</w:t>
      </w:r>
      <w:r w:rsidR="008B70F6" w:rsidRPr="00C65A04">
        <w:rPr>
          <w:szCs w:val="18"/>
        </w:rPr>
        <w:t>&gt;.</w:t>
      </w:r>
      <w:r w:rsidR="003958D3" w:rsidRPr="00C65A04">
        <w:rPr>
          <w:szCs w:val="18"/>
        </w:rPr>
        <w:t xml:space="preserve"> </w:t>
      </w:r>
    </w:p>
    <w:p w:rsidR="006E6C0B" w:rsidRPr="00C65A04" w:rsidRDefault="006E6C0B" w:rsidP="00C65A04">
      <w:pPr>
        <w:pStyle w:val="References"/>
        <w:rPr>
          <w:szCs w:val="18"/>
        </w:rPr>
      </w:pPr>
      <w:r w:rsidRPr="00C65A04">
        <w:rPr>
          <w:szCs w:val="18"/>
        </w:rPr>
        <w:t>——2010, CPC50210 Diploma of Building and Construction (Building), viewed 19 February 2013, &lt;http://training.gov.au/TrainingComponentFiles/CPC08/CPC50210_R3.pdf&gt;.</w:t>
      </w:r>
    </w:p>
    <w:p w:rsidR="007C4642" w:rsidRPr="00C65A04" w:rsidRDefault="007C4642" w:rsidP="00C65A04">
      <w:pPr>
        <w:pStyle w:val="References"/>
        <w:rPr>
          <w:color w:val="000000"/>
          <w:szCs w:val="18"/>
        </w:rPr>
      </w:pPr>
      <w:r w:rsidRPr="00C65A04">
        <w:rPr>
          <w:color w:val="000000"/>
          <w:szCs w:val="18"/>
        </w:rPr>
        <w:t>Cram</w:t>
      </w:r>
      <w:r w:rsidR="0088098B" w:rsidRPr="00C65A04">
        <w:rPr>
          <w:color w:val="000000"/>
          <w:szCs w:val="18"/>
        </w:rPr>
        <w:t>,</w:t>
      </w:r>
      <w:r w:rsidRPr="00C65A04">
        <w:rPr>
          <w:color w:val="000000"/>
          <w:szCs w:val="18"/>
        </w:rPr>
        <w:t xml:space="preserve"> B </w:t>
      </w:r>
      <w:r w:rsidR="0088098B" w:rsidRPr="00C65A04">
        <w:rPr>
          <w:color w:val="000000"/>
          <w:szCs w:val="18"/>
        </w:rPr>
        <w:t>&amp; Watson, L</w:t>
      </w:r>
      <w:r w:rsidRPr="00C65A04">
        <w:rPr>
          <w:color w:val="000000"/>
          <w:szCs w:val="18"/>
        </w:rPr>
        <w:t xml:space="preserve"> </w:t>
      </w:r>
      <w:r w:rsidR="00551731" w:rsidRPr="00C65A04">
        <w:rPr>
          <w:color w:val="000000"/>
          <w:szCs w:val="18"/>
        </w:rPr>
        <w:t>2008</w:t>
      </w:r>
      <w:r w:rsidR="002754BB" w:rsidRPr="00C65A04">
        <w:rPr>
          <w:color w:val="000000"/>
          <w:szCs w:val="18"/>
        </w:rPr>
        <w:t>,</w:t>
      </w:r>
      <w:r w:rsidR="00551731" w:rsidRPr="00C65A04">
        <w:rPr>
          <w:color w:val="000000"/>
          <w:szCs w:val="18"/>
        </w:rPr>
        <w:t xml:space="preserve"> </w:t>
      </w:r>
      <w:r w:rsidR="002754BB" w:rsidRPr="00C65A04">
        <w:rPr>
          <w:color w:val="000000"/>
          <w:szCs w:val="18"/>
        </w:rPr>
        <w:t>‘</w:t>
      </w:r>
      <w:r w:rsidR="003958D3" w:rsidRPr="00C65A04">
        <w:rPr>
          <w:color w:val="000000"/>
          <w:szCs w:val="18"/>
        </w:rPr>
        <w:t>Managing credit transfer from VET to higher education: the case for cross sectoral collaboration</w:t>
      </w:r>
      <w:r w:rsidR="002754BB" w:rsidRPr="00C65A04">
        <w:rPr>
          <w:color w:val="000000"/>
          <w:szCs w:val="18"/>
        </w:rPr>
        <w:t>’</w:t>
      </w:r>
      <w:r w:rsidR="003958D3" w:rsidRPr="00C65A04">
        <w:rPr>
          <w:i/>
          <w:color w:val="000000"/>
          <w:szCs w:val="18"/>
        </w:rPr>
        <w:t>,</w:t>
      </w:r>
      <w:r w:rsidR="0002698E" w:rsidRPr="00C65A04">
        <w:rPr>
          <w:color w:val="000000"/>
          <w:szCs w:val="18"/>
        </w:rPr>
        <w:t xml:space="preserve"> </w:t>
      </w:r>
      <w:r w:rsidR="006E6C0B" w:rsidRPr="00C65A04">
        <w:rPr>
          <w:color w:val="000000"/>
          <w:szCs w:val="18"/>
        </w:rPr>
        <w:t xml:space="preserve">Australian Vocational Education and Training Research Association </w:t>
      </w:r>
      <w:r w:rsidR="0002698E" w:rsidRPr="00C65A04">
        <w:rPr>
          <w:color w:val="000000"/>
          <w:szCs w:val="18"/>
        </w:rPr>
        <w:t xml:space="preserve">Conference, </w:t>
      </w:r>
      <w:r w:rsidR="002754BB" w:rsidRPr="00C65A04">
        <w:rPr>
          <w:color w:val="000000"/>
          <w:szCs w:val="18"/>
        </w:rPr>
        <w:t xml:space="preserve">Adelaide, April. </w:t>
      </w:r>
    </w:p>
    <w:p w:rsidR="00BF181D" w:rsidRPr="00C65A04" w:rsidRDefault="00EB6FF6" w:rsidP="00C65A04">
      <w:pPr>
        <w:pStyle w:val="References"/>
        <w:rPr>
          <w:color w:val="000000"/>
          <w:szCs w:val="18"/>
        </w:rPr>
      </w:pPr>
      <w:r w:rsidRPr="00C65A04">
        <w:rPr>
          <w:color w:val="000000"/>
          <w:szCs w:val="18"/>
        </w:rPr>
        <w:lastRenderedPageBreak/>
        <w:t>Curtis D</w:t>
      </w:r>
      <w:r w:rsidR="005F5312" w:rsidRPr="00C65A04">
        <w:rPr>
          <w:color w:val="000000"/>
          <w:szCs w:val="18"/>
        </w:rPr>
        <w:t xml:space="preserve">, </w:t>
      </w:r>
      <w:r w:rsidR="00BF181D" w:rsidRPr="00C65A04">
        <w:rPr>
          <w:color w:val="000000"/>
          <w:szCs w:val="18"/>
        </w:rPr>
        <w:t>2009</w:t>
      </w:r>
      <w:r w:rsidR="00E878F0" w:rsidRPr="00C65A04">
        <w:rPr>
          <w:color w:val="000000"/>
          <w:szCs w:val="18"/>
        </w:rPr>
        <w:t xml:space="preserve">, </w:t>
      </w:r>
      <w:r w:rsidR="002754BB" w:rsidRPr="00C65A04">
        <w:rPr>
          <w:i/>
          <w:color w:val="000000"/>
          <w:szCs w:val="18"/>
        </w:rPr>
        <w:t>Student t</w:t>
      </w:r>
      <w:r w:rsidR="003958D3" w:rsidRPr="00C65A04">
        <w:rPr>
          <w:i/>
          <w:color w:val="000000"/>
          <w:szCs w:val="18"/>
        </w:rPr>
        <w:t>ransfer at a glance</w:t>
      </w:r>
      <w:r w:rsidR="005F5312" w:rsidRPr="00C65A04">
        <w:rPr>
          <w:color w:val="000000"/>
          <w:szCs w:val="18"/>
        </w:rPr>
        <w:t xml:space="preserve">, NCVER, viewed 17 January 2013, </w:t>
      </w:r>
      <w:hyperlink r:id="rId18" w:history="1">
        <w:r w:rsidR="002754BB" w:rsidRPr="00C65A04">
          <w:rPr>
            <w:rStyle w:val="Hyperlink"/>
            <w:sz w:val="18"/>
            <w:szCs w:val="18"/>
          </w:rPr>
          <w:t>&lt;</w:t>
        </w:r>
        <w:r w:rsidR="00542DCD" w:rsidRPr="00C65A04">
          <w:rPr>
            <w:rStyle w:val="Hyperlink"/>
            <w:sz w:val="18"/>
            <w:szCs w:val="18"/>
          </w:rPr>
          <w:t>www.ncver.edu.au/publications/2144.html</w:t>
        </w:r>
      </w:hyperlink>
      <w:r w:rsidR="002754BB" w:rsidRPr="00C65A04">
        <w:rPr>
          <w:szCs w:val="18"/>
        </w:rPr>
        <w:t>&gt;.</w:t>
      </w:r>
    </w:p>
    <w:p w:rsidR="002754BB" w:rsidRPr="00C65A04" w:rsidRDefault="002754BB" w:rsidP="00C65A04">
      <w:pPr>
        <w:pStyle w:val="References"/>
        <w:rPr>
          <w:szCs w:val="18"/>
        </w:rPr>
      </w:pPr>
      <w:r w:rsidRPr="00C65A04">
        <w:rPr>
          <w:szCs w:val="18"/>
        </w:rPr>
        <w:t>Department of Education, Employment and Workplace Relations</w:t>
      </w:r>
      <w:r w:rsidR="00FE664D" w:rsidRPr="00C65A04">
        <w:rPr>
          <w:szCs w:val="18"/>
        </w:rPr>
        <w:t xml:space="preserve"> </w:t>
      </w:r>
      <w:r w:rsidRPr="00C65A04">
        <w:rPr>
          <w:szCs w:val="18"/>
        </w:rPr>
        <w:t>2011a, ‘Skills info, construction report’, viewed 23 September 2012, &lt;http://skillsinfo.gov.au/NR/rdonlyres/253AA502-8ED7-4CB3-AFD2-DA27B2C35B18/0/2011Construction Report.pdf&gt;.</w:t>
      </w:r>
    </w:p>
    <w:p w:rsidR="002754BB" w:rsidRPr="00C65A04" w:rsidRDefault="002754BB" w:rsidP="00C65A04">
      <w:pPr>
        <w:pStyle w:val="References"/>
        <w:rPr>
          <w:szCs w:val="18"/>
        </w:rPr>
      </w:pPr>
      <w:r w:rsidRPr="00C65A04">
        <w:rPr>
          <w:szCs w:val="18"/>
        </w:rPr>
        <w:t xml:space="preserve">——2011b, </w:t>
      </w:r>
      <w:r w:rsidRPr="00C65A04">
        <w:rPr>
          <w:i/>
          <w:szCs w:val="18"/>
        </w:rPr>
        <w:t>Skill shortages in construction,</w:t>
      </w:r>
      <w:r w:rsidRPr="00C65A04">
        <w:rPr>
          <w:szCs w:val="18"/>
        </w:rPr>
        <w:t xml:space="preserve"> </w:t>
      </w:r>
      <w:r w:rsidR="006E6C0B" w:rsidRPr="00C65A04">
        <w:rPr>
          <w:szCs w:val="18"/>
        </w:rPr>
        <w:t xml:space="preserve">viewed </w:t>
      </w:r>
      <w:r w:rsidR="00D10680" w:rsidRPr="00C65A04">
        <w:rPr>
          <w:szCs w:val="18"/>
        </w:rPr>
        <w:t xml:space="preserve">20 February 2012, </w:t>
      </w:r>
      <w:hyperlink r:id="rId19" w:history="1">
        <w:r w:rsidRPr="00C65A04">
          <w:rPr>
            <w:rStyle w:val="Hyperlink"/>
            <w:sz w:val="18"/>
            <w:szCs w:val="18"/>
          </w:rPr>
          <w:t>&lt;www.deewr.gov.au/Employment/LMI/SkillShortages</w:t>
        </w:r>
      </w:hyperlink>
      <w:r w:rsidRPr="00C65A04">
        <w:rPr>
          <w:szCs w:val="18"/>
        </w:rPr>
        <w:t>&gt;.</w:t>
      </w:r>
    </w:p>
    <w:p w:rsidR="009F3BC2" w:rsidRPr="00C65A04" w:rsidRDefault="002754BB" w:rsidP="00C65A04">
      <w:pPr>
        <w:pStyle w:val="References"/>
        <w:rPr>
          <w:szCs w:val="18"/>
        </w:rPr>
      </w:pPr>
      <w:r w:rsidRPr="00C65A04">
        <w:rPr>
          <w:szCs w:val="18"/>
        </w:rPr>
        <w:t>——</w:t>
      </w:r>
      <w:r w:rsidR="009F3BC2" w:rsidRPr="00C65A04">
        <w:rPr>
          <w:szCs w:val="18"/>
        </w:rPr>
        <w:t>2012a</w:t>
      </w:r>
      <w:r w:rsidR="00FB0B1A">
        <w:rPr>
          <w:szCs w:val="18"/>
        </w:rPr>
        <w:t>,</w:t>
      </w:r>
      <w:r w:rsidR="009F3BC2" w:rsidRPr="00C65A04">
        <w:rPr>
          <w:szCs w:val="18"/>
        </w:rPr>
        <w:t xml:space="preserve"> </w:t>
      </w:r>
      <w:r w:rsidR="009F3BC2" w:rsidRPr="00C65A04">
        <w:rPr>
          <w:i/>
          <w:szCs w:val="18"/>
        </w:rPr>
        <w:t xml:space="preserve">Construction </w:t>
      </w:r>
      <w:r w:rsidRPr="00C65A04">
        <w:rPr>
          <w:i/>
          <w:szCs w:val="18"/>
        </w:rPr>
        <w:t>industry report, construction employment outlook</w:t>
      </w:r>
      <w:r w:rsidR="00D52353" w:rsidRPr="00C65A04">
        <w:rPr>
          <w:szCs w:val="18"/>
        </w:rPr>
        <w:t xml:space="preserve">, </w:t>
      </w:r>
      <w:r w:rsidR="009F3BC2" w:rsidRPr="00C65A04">
        <w:rPr>
          <w:szCs w:val="18"/>
        </w:rPr>
        <w:t>viewed 24 Janu</w:t>
      </w:r>
      <w:r w:rsidR="00FE664D" w:rsidRPr="00C65A04">
        <w:rPr>
          <w:szCs w:val="18"/>
        </w:rPr>
        <w:t>ary</w:t>
      </w:r>
      <w:r w:rsidR="009F3BC2" w:rsidRPr="00C65A04">
        <w:rPr>
          <w:szCs w:val="18"/>
        </w:rPr>
        <w:t xml:space="preserve"> 2013, </w:t>
      </w:r>
      <w:hyperlink r:id="rId20" w:history="1">
        <w:r w:rsidR="00FE664D" w:rsidRPr="00C65A04">
          <w:rPr>
            <w:szCs w:val="18"/>
          </w:rPr>
          <w:t>&lt;</w:t>
        </w:r>
        <w:r w:rsidR="003241B1" w:rsidRPr="00C65A04">
          <w:rPr>
            <w:szCs w:val="18"/>
          </w:rPr>
          <w:t>www.deewr.gov.au/lmip/default.aspx?LMIP/Publications/IndustryReports</w:t>
        </w:r>
      </w:hyperlink>
      <w:r w:rsidR="00FE664D" w:rsidRPr="00C65A04">
        <w:rPr>
          <w:szCs w:val="18"/>
        </w:rPr>
        <w:t>&gt;.</w:t>
      </w:r>
    </w:p>
    <w:p w:rsidR="009F3BC2" w:rsidRPr="00C65A04" w:rsidRDefault="00FE664D" w:rsidP="00C65A04">
      <w:pPr>
        <w:pStyle w:val="References"/>
        <w:rPr>
          <w:szCs w:val="18"/>
        </w:rPr>
      </w:pPr>
      <w:r w:rsidRPr="00C65A04">
        <w:rPr>
          <w:szCs w:val="18"/>
        </w:rPr>
        <w:t>——</w:t>
      </w:r>
      <w:r w:rsidR="009F3BC2" w:rsidRPr="00C65A04">
        <w:rPr>
          <w:szCs w:val="18"/>
        </w:rPr>
        <w:t xml:space="preserve">2012b, </w:t>
      </w:r>
      <w:r w:rsidRPr="00C65A04">
        <w:rPr>
          <w:i/>
          <w:szCs w:val="18"/>
        </w:rPr>
        <w:t>Skills s</w:t>
      </w:r>
      <w:r w:rsidR="009F3BC2" w:rsidRPr="00C65A04">
        <w:rPr>
          <w:i/>
          <w:szCs w:val="18"/>
        </w:rPr>
        <w:t xml:space="preserve">hortages in the construction trades, </w:t>
      </w:r>
      <w:r w:rsidR="009F3BC2" w:rsidRPr="00C65A04">
        <w:rPr>
          <w:szCs w:val="18"/>
        </w:rPr>
        <w:t>viewed 22 January 2013</w:t>
      </w:r>
      <w:r w:rsidR="009F3BC2" w:rsidRPr="00C65A04">
        <w:rPr>
          <w:i/>
          <w:szCs w:val="18"/>
        </w:rPr>
        <w:t xml:space="preserve">, </w:t>
      </w:r>
      <w:hyperlink r:id="rId21" w:history="1">
        <w:r w:rsidRPr="00C65A04">
          <w:rPr>
            <w:rStyle w:val="Hyperlink"/>
            <w:sz w:val="18"/>
            <w:szCs w:val="18"/>
          </w:rPr>
          <w:t>&lt;</w:t>
        </w:r>
        <w:r w:rsidR="009F3BC2" w:rsidRPr="00C65A04">
          <w:rPr>
            <w:rStyle w:val="Hyperlink"/>
            <w:sz w:val="18"/>
            <w:szCs w:val="18"/>
          </w:rPr>
          <w:t>www.deewr.gov.au/employment/lmi/skillshortages/pages/publications.aspx</w:t>
        </w:r>
      </w:hyperlink>
      <w:r w:rsidRPr="00C65A04">
        <w:rPr>
          <w:szCs w:val="18"/>
        </w:rPr>
        <w:t>&gt;.</w:t>
      </w:r>
    </w:p>
    <w:p w:rsidR="00CB67CF" w:rsidRPr="00C65A04" w:rsidRDefault="00CB67CF" w:rsidP="00C65A04">
      <w:pPr>
        <w:pStyle w:val="References"/>
        <w:rPr>
          <w:szCs w:val="18"/>
        </w:rPr>
      </w:pPr>
      <w:r w:rsidRPr="00C65A04">
        <w:rPr>
          <w:szCs w:val="18"/>
        </w:rPr>
        <w:t xml:space="preserve">Department of Industry, Innovation, Science, Research and Tertiary Education, </w:t>
      </w:r>
      <w:r w:rsidRPr="00C65A04">
        <w:rPr>
          <w:i/>
          <w:szCs w:val="18"/>
        </w:rPr>
        <w:t>Selected hig</w:t>
      </w:r>
      <w:r w:rsidR="00FE664D" w:rsidRPr="00C65A04">
        <w:rPr>
          <w:i/>
          <w:szCs w:val="18"/>
        </w:rPr>
        <w:t>her education s</w:t>
      </w:r>
      <w:r w:rsidRPr="00C65A04">
        <w:rPr>
          <w:i/>
          <w:szCs w:val="18"/>
        </w:rPr>
        <w:t>tatistics, 2009,</w:t>
      </w:r>
      <w:r w:rsidR="00510D3B" w:rsidRPr="00C65A04">
        <w:rPr>
          <w:i/>
          <w:szCs w:val="18"/>
        </w:rPr>
        <w:t xml:space="preserve"> </w:t>
      </w:r>
      <w:r w:rsidRPr="00C65A04">
        <w:rPr>
          <w:i/>
          <w:szCs w:val="18"/>
        </w:rPr>
        <w:t xml:space="preserve">2010, </w:t>
      </w:r>
      <w:r w:rsidR="006E6C0B" w:rsidRPr="00C65A04">
        <w:rPr>
          <w:i/>
          <w:szCs w:val="18"/>
        </w:rPr>
        <w:t>2011</w:t>
      </w:r>
      <w:r w:rsidRPr="00C65A04">
        <w:rPr>
          <w:i/>
          <w:szCs w:val="18"/>
        </w:rPr>
        <w:t xml:space="preserve">, </w:t>
      </w:r>
      <w:r w:rsidRPr="00C65A04">
        <w:rPr>
          <w:szCs w:val="18"/>
        </w:rPr>
        <w:t>viewed 31 January 2013</w:t>
      </w:r>
      <w:r w:rsidR="00FE664D" w:rsidRPr="00C65A04">
        <w:rPr>
          <w:szCs w:val="18"/>
        </w:rPr>
        <w:t>,</w:t>
      </w:r>
      <w:r w:rsidRPr="00C65A04">
        <w:rPr>
          <w:i/>
          <w:szCs w:val="18"/>
        </w:rPr>
        <w:t xml:space="preserve"> </w:t>
      </w:r>
      <w:r w:rsidR="00FB0B1A">
        <w:rPr>
          <w:i/>
          <w:szCs w:val="18"/>
        </w:rPr>
        <w:t>&lt;</w:t>
      </w:r>
      <w:hyperlink r:id="rId22" w:history="1">
        <w:r w:rsidR="00184F0F" w:rsidRPr="007D2D93">
          <w:rPr>
            <w:rStyle w:val="Hyperlink"/>
            <w:sz w:val="18"/>
            <w:szCs w:val="18"/>
          </w:rPr>
          <w:t>www.innovation.gov.au/HigherEducation/ HigherEducationStatistics/StatisticsPublications/Pages/default.aspx</w:t>
        </w:r>
      </w:hyperlink>
      <w:r w:rsidR="00FB0B1A">
        <w:rPr>
          <w:szCs w:val="18"/>
        </w:rPr>
        <w:t>&gt;.</w:t>
      </w:r>
    </w:p>
    <w:p w:rsidR="00DF2A95" w:rsidRPr="00C65A04" w:rsidRDefault="00FE664D" w:rsidP="00C65A04">
      <w:pPr>
        <w:pStyle w:val="References"/>
        <w:rPr>
          <w:szCs w:val="18"/>
        </w:rPr>
      </w:pPr>
      <w:r w:rsidRPr="00C65A04">
        <w:rPr>
          <w:szCs w:val="18"/>
        </w:rPr>
        <w:t>Eddington, N</w:t>
      </w:r>
      <w:r w:rsidR="00542DCD" w:rsidRPr="00C65A04">
        <w:rPr>
          <w:szCs w:val="18"/>
        </w:rPr>
        <w:t xml:space="preserve"> </w:t>
      </w:r>
      <w:r w:rsidRPr="00C65A04">
        <w:rPr>
          <w:szCs w:val="18"/>
        </w:rPr>
        <w:t>&amp;</w:t>
      </w:r>
      <w:r w:rsidR="00542DCD" w:rsidRPr="00C65A04">
        <w:rPr>
          <w:szCs w:val="18"/>
        </w:rPr>
        <w:t xml:space="preserve"> Toner</w:t>
      </w:r>
      <w:r w:rsidRPr="00C65A04">
        <w:rPr>
          <w:szCs w:val="18"/>
        </w:rPr>
        <w:t>, P</w:t>
      </w:r>
      <w:r w:rsidR="00542DCD" w:rsidRPr="00C65A04">
        <w:rPr>
          <w:szCs w:val="18"/>
        </w:rPr>
        <w:t xml:space="preserve"> 2012, </w:t>
      </w:r>
      <w:r w:rsidR="003958D3" w:rsidRPr="00C65A04">
        <w:rPr>
          <w:i/>
          <w:szCs w:val="18"/>
        </w:rPr>
        <w:t xml:space="preserve">Skills </w:t>
      </w:r>
      <w:r w:rsidRPr="00C65A04">
        <w:rPr>
          <w:i/>
          <w:szCs w:val="18"/>
        </w:rPr>
        <w:t>formation</w:t>
      </w:r>
      <w:r w:rsidRPr="00C65A04">
        <w:rPr>
          <w:rFonts w:ascii="Helvetica" w:hAnsi="Helvetica" w:cs="Helvetica"/>
          <w:i/>
          <w:szCs w:val="18"/>
        </w:rPr>
        <w:t xml:space="preserve"> </w:t>
      </w:r>
      <w:r w:rsidRPr="00C65A04">
        <w:rPr>
          <w:i/>
          <w:szCs w:val="18"/>
        </w:rPr>
        <w:t xml:space="preserve">strategies </w:t>
      </w:r>
      <w:r w:rsidR="003958D3" w:rsidRPr="00C65A04">
        <w:rPr>
          <w:i/>
          <w:szCs w:val="18"/>
        </w:rPr>
        <w:t xml:space="preserve">in Queensland: </w:t>
      </w:r>
      <w:r w:rsidRPr="00C65A04">
        <w:rPr>
          <w:i/>
          <w:szCs w:val="18"/>
        </w:rPr>
        <w:t>a skills shortage</w:t>
      </w:r>
      <w:r w:rsidR="003958D3" w:rsidRPr="00C65A04">
        <w:rPr>
          <w:i/>
          <w:szCs w:val="18"/>
        </w:rPr>
        <w:t>?,</w:t>
      </w:r>
      <w:r w:rsidR="00542DCD" w:rsidRPr="00C65A04">
        <w:rPr>
          <w:szCs w:val="18"/>
        </w:rPr>
        <w:t xml:space="preserve"> OECD</w:t>
      </w:r>
      <w:r w:rsidR="00542DCD" w:rsidRPr="00C65A04">
        <w:rPr>
          <w:rFonts w:ascii="Helvetica" w:hAnsi="Helvetica" w:cs="Helvetica"/>
          <w:szCs w:val="18"/>
        </w:rPr>
        <w:t xml:space="preserve"> </w:t>
      </w:r>
      <w:r w:rsidR="00542DCD" w:rsidRPr="00C65A04">
        <w:rPr>
          <w:szCs w:val="18"/>
        </w:rPr>
        <w:t xml:space="preserve">Local </w:t>
      </w:r>
      <w:r w:rsidR="0076732B" w:rsidRPr="00C65A04">
        <w:rPr>
          <w:szCs w:val="18"/>
        </w:rPr>
        <w:t>e</w:t>
      </w:r>
      <w:r w:rsidR="00542DCD" w:rsidRPr="00C65A04">
        <w:rPr>
          <w:szCs w:val="18"/>
        </w:rPr>
        <w:t xml:space="preserve">conomic and </w:t>
      </w:r>
      <w:r w:rsidR="0076732B" w:rsidRPr="00C65A04">
        <w:rPr>
          <w:szCs w:val="18"/>
        </w:rPr>
        <w:t xml:space="preserve">employment development </w:t>
      </w:r>
      <w:r w:rsidR="00542DCD" w:rsidRPr="00C65A04">
        <w:rPr>
          <w:szCs w:val="18"/>
        </w:rPr>
        <w:t>(LEED)</w:t>
      </w:r>
      <w:r w:rsidR="00542DCD" w:rsidRPr="00C65A04">
        <w:rPr>
          <w:rFonts w:ascii="Helvetica" w:hAnsi="Helvetica" w:cs="Helvetica"/>
          <w:szCs w:val="18"/>
        </w:rPr>
        <w:t xml:space="preserve"> </w:t>
      </w:r>
      <w:r w:rsidR="0076732B" w:rsidRPr="00C65A04">
        <w:rPr>
          <w:szCs w:val="18"/>
        </w:rPr>
        <w:t>w</w:t>
      </w:r>
      <w:r w:rsidR="006E6C0B" w:rsidRPr="00C65A04">
        <w:rPr>
          <w:szCs w:val="18"/>
        </w:rPr>
        <w:t>orking p</w:t>
      </w:r>
      <w:r w:rsidR="00542DCD" w:rsidRPr="00C65A04">
        <w:rPr>
          <w:szCs w:val="18"/>
        </w:rPr>
        <w:t>apers, 2012/07, OECD Publishing, viewed</w:t>
      </w:r>
      <w:r w:rsidR="00510D3B" w:rsidRPr="00C65A04">
        <w:rPr>
          <w:szCs w:val="18"/>
        </w:rPr>
        <w:t xml:space="preserve"> </w:t>
      </w:r>
      <w:r w:rsidR="00025068" w:rsidRPr="00C65A04">
        <w:rPr>
          <w:rFonts w:ascii="Helvetica" w:hAnsi="Helvetica" w:cs="Helvetica"/>
          <w:szCs w:val="18"/>
        </w:rPr>
        <w:t>21</w:t>
      </w:r>
      <w:r w:rsidR="00184F0F">
        <w:rPr>
          <w:rFonts w:ascii="Helvetica" w:hAnsi="Helvetica" w:cs="Helvetica"/>
          <w:szCs w:val="18"/>
        </w:rPr>
        <w:t> </w:t>
      </w:r>
      <w:r w:rsidR="00025068" w:rsidRPr="00C65A04">
        <w:rPr>
          <w:rFonts w:ascii="Helvetica" w:hAnsi="Helvetica" w:cs="Helvetica"/>
          <w:szCs w:val="18"/>
        </w:rPr>
        <w:t>J</w:t>
      </w:r>
      <w:r w:rsidR="00542DCD" w:rsidRPr="00C65A04">
        <w:rPr>
          <w:rFonts w:ascii="Helvetica" w:hAnsi="Helvetica" w:cs="Helvetica"/>
          <w:szCs w:val="18"/>
        </w:rPr>
        <w:t xml:space="preserve">anuary 2013, </w:t>
      </w:r>
      <w:hyperlink w:history="1">
        <w:r w:rsidR="00184F0F" w:rsidRPr="007D2D93">
          <w:rPr>
            <w:rStyle w:val="Hyperlink"/>
            <w:sz w:val="18"/>
            <w:szCs w:val="18"/>
          </w:rPr>
          <w:t>&lt;www.oecd.org/cfe/leed/Queensland%20Skills%20Formation%20Strategies% 20FINAL.pdf</w:t>
        </w:r>
      </w:hyperlink>
      <w:r w:rsidRPr="00C65A04">
        <w:rPr>
          <w:szCs w:val="18"/>
        </w:rPr>
        <w:t>&gt;.</w:t>
      </w:r>
    </w:p>
    <w:p w:rsidR="00701C29" w:rsidRPr="00C65A04" w:rsidRDefault="0002698E" w:rsidP="00C65A04">
      <w:pPr>
        <w:pStyle w:val="References"/>
        <w:rPr>
          <w:szCs w:val="18"/>
        </w:rPr>
      </w:pPr>
      <w:r w:rsidRPr="00C65A04">
        <w:rPr>
          <w:szCs w:val="18"/>
        </w:rPr>
        <w:t>Gale</w:t>
      </w:r>
      <w:r w:rsidR="00FE664D" w:rsidRPr="00C65A04">
        <w:rPr>
          <w:szCs w:val="18"/>
        </w:rPr>
        <w:t>,</w:t>
      </w:r>
      <w:r w:rsidRPr="00C65A04">
        <w:rPr>
          <w:szCs w:val="18"/>
        </w:rPr>
        <w:t xml:space="preserve"> T, </w:t>
      </w:r>
      <w:proofErr w:type="spellStart"/>
      <w:r w:rsidRPr="00C65A04">
        <w:rPr>
          <w:szCs w:val="18"/>
        </w:rPr>
        <w:t>Hattam</w:t>
      </w:r>
      <w:proofErr w:type="spellEnd"/>
      <w:r w:rsidR="00FE664D" w:rsidRPr="00C65A04">
        <w:rPr>
          <w:szCs w:val="18"/>
        </w:rPr>
        <w:t>,</w:t>
      </w:r>
      <w:r w:rsidRPr="00C65A04">
        <w:rPr>
          <w:szCs w:val="18"/>
        </w:rPr>
        <w:t xml:space="preserve"> R</w:t>
      </w:r>
      <w:r w:rsidR="007807B1" w:rsidRPr="00C65A04">
        <w:rPr>
          <w:szCs w:val="18"/>
        </w:rPr>
        <w:t>, Combe</w:t>
      </w:r>
      <w:r w:rsidRPr="00C65A04">
        <w:rPr>
          <w:szCs w:val="18"/>
        </w:rPr>
        <w:t>r</w:t>
      </w:r>
      <w:r w:rsidR="00FE664D" w:rsidRPr="00C65A04">
        <w:rPr>
          <w:szCs w:val="18"/>
        </w:rPr>
        <w:t>,</w:t>
      </w:r>
      <w:r w:rsidRPr="00C65A04">
        <w:rPr>
          <w:szCs w:val="18"/>
        </w:rPr>
        <w:t xml:space="preserve"> B, Tranter</w:t>
      </w:r>
      <w:r w:rsidR="00FE664D" w:rsidRPr="00C65A04">
        <w:rPr>
          <w:szCs w:val="18"/>
        </w:rPr>
        <w:t>,</w:t>
      </w:r>
      <w:r w:rsidRPr="00C65A04">
        <w:rPr>
          <w:szCs w:val="18"/>
        </w:rPr>
        <w:t xml:space="preserve"> D, Bills</w:t>
      </w:r>
      <w:r w:rsidR="00FE664D" w:rsidRPr="00C65A04">
        <w:rPr>
          <w:szCs w:val="18"/>
        </w:rPr>
        <w:t>,</w:t>
      </w:r>
      <w:r w:rsidRPr="00C65A04">
        <w:rPr>
          <w:szCs w:val="18"/>
        </w:rPr>
        <w:t xml:space="preserve"> D, </w:t>
      </w:r>
      <w:proofErr w:type="spellStart"/>
      <w:r w:rsidRPr="00C65A04">
        <w:rPr>
          <w:szCs w:val="18"/>
        </w:rPr>
        <w:t>Sellar</w:t>
      </w:r>
      <w:proofErr w:type="spellEnd"/>
      <w:r w:rsidR="00FE664D" w:rsidRPr="00C65A04">
        <w:rPr>
          <w:szCs w:val="18"/>
        </w:rPr>
        <w:t>, S</w:t>
      </w:r>
      <w:r w:rsidRPr="00C65A04">
        <w:rPr>
          <w:szCs w:val="18"/>
        </w:rPr>
        <w:t xml:space="preserve"> &amp; Parker</w:t>
      </w:r>
      <w:r w:rsidR="00FE664D" w:rsidRPr="00C65A04">
        <w:rPr>
          <w:szCs w:val="18"/>
        </w:rPr>
        <w:t>, S 2010,</w:t>
      </w:r>
      <w:r w:rsidR="00510D3B" w:rsidRPr="00C65A04">
        <w:rPr>
          <w:szCs w:val="18"/>
        </w:rPr>
        <w:t xml:space="preserve"> </w:t>
      </w:r>
      <w:r w:rsidR="003958D3" w:rsidRPr="00C65A04">
        <w:rPr>
          <w:i/>
          <w:szCs w:val="18"/>
        </w:rPr>
        <w:t>Interventions early in school as a means to improve higher education outcomes for disadvantaged students,</w:t>
      </w:r>
      <w:r w:rsidR="007807B1" w:rsidRPr="00C65A04">
        <w:rPr>
          <w:szCs w:val="18"/>
        </w:rPr>
        <w:t xml:space="preserve"> National Centre for Student </w:t>
      </w:r>
      <w:r w:rsidR="007D2147" w:rsidRPr="00C65A04">
        <w:rPr>
          <w:szCs w:val="18"/>
        </w:rPr>
        <w:t>Equity in Higher Education, University</w:t>
      </w:r>
      <w:r w:rsidR="007807B1" w:rsidRPr="00C65A04">
        <w:rPr>
          <w:szCs w:val="18"/>
        </w:rPr>
        <w:t xml:space="preserve"> of South Austra</w:t>
      </w:r>
      <w:r w:rsidR="00FE664D" w:rsidRPr="00C65A04">
        <w:rPr>
          <w:szCs w:val="18"/>
        </w:rPr>
        <w:t>lia, Adelaide.</w:t>
      </w:r>
      <w:r w:rsidR="007807B1" w:rsidRPr="00C65A04">
        <w:rPr>
          <w:szCs w:val="18"/>
        </w:rPr>
        <w:t xml:space="preserve"> </w:t>
      </w:r>
    </w:p>
    <w:p w:rsidR="007C4642" w:rsidRPr="00C65A04" w:rsidRDefault="007C4642" w:rsidP="00C65A04">
      <w:pPr>
        <w:pStyle w:val="References"/>
        <w:rPr>
          <w:color w:val="292526"/>
          <w:szCs w:val="18"/>
        </w:rPr>
      </w:pPr>
      <w:r w:rsidRPr="00C65A04">
        <w:rPr>
          <w:szCs w:val="18"/>
        </w:rPr>
        <w:t>Guthrie</w:t>
      </w:r>
      <w:r w:rsidR="00FE664D" w:rsidRPr="00C65A04">
        <w:rPr>
          <w:szCs w:val="18"/>
        </w:rPr>
        <w:t>,</w:t>
      </w:r>
      <w:r w:rsidR="0002698E" w:rsidRPr="00C65A04">
        <w:rPr>
          <w:szCs w:val="18"/>
        </w:rPr>
        <w:t xml:space="preserve"> H</w:t>
      </w:r>
      <w:r w:rsidRPr="00C65A04">
        <w:rPr>
          <w:szCs w:val="18"/>
        </w:rPr>
        <w:t>, Stanwick</w:t>
      </w:r>
      <w:r w:rsidR="00FE664D" w:rsidRPr="00C65A04">
        <w:rPr>
          <w:szCs w:val="18"/>
        </w:rPr>
        <w:t>,</w:t>
      </w:r>
      <w:r w:rsidRPr="00C65A04">
        <w:rPr>
          <w:szCs w:val="18"/>
        </w:rPr>
        <w:t xml:space="preserve"> </w:t>
      </w:r>
      <w:r w:rsidR="0002698E" w:rsidRPr="00C65A04">
        <w:rPr>
          <w:szCs w:val="18"/>
        </w:rPr>
        <w:t xml:space="preserve">J </w:t>
      </w:r>
      <w:r w:rsidRPr="00C65A04">
        <w:rPr>
          <w:szCs w:val="18"/>
        </w:rPr>
        <w:t>&amp; Karm</w:t>
      </w:r>
      <w:r w:rsidR="00D14B1A" w:rsidRPr="00C65A04">
        <w:rPr>
          <w:szCs w:val="18"/>
        </w:rPr>
        <w:t>el</w:t>
      </w:r>
      <w:r w:rsidR="00FE664D" w:rsidRPr="00C65A04">
        <w:rPr>
          <w:szCs w:val="18"/>
        </w:rPr>
        <w:t>,</w:t>
      </w:r>
      <w:r w:rsidR="00D14B1A" w:rsidRPr="00C65A04">
        <w:rPr>
          <w:szCs w:val="18"/>
        </w:rPr>
        <w:t xml:space="preserve"> </w:t>
      </w:r>
      <w:r w:rsidR="0002698E" w:rsidRPr="00C65A04">
        <w:rPr>
          <w:szCs w:val="18"/>
        </w:rPr>
        <w:t>T</w:t>
      </w:r>
      <w:r w:rsidR="00E878F0" w:rsidRPr="00C65A04">
        <w:rPr>
          <w:szCs w:val="18"/>
        </w:rPr>
        <w:t xml:space="preserve"> </w:t>
      </w:r>
      <w:r w:rsidRPr="00C65A04">
        <w:rPr>
          <w:szCs w:val="18"/>
        </w:rPr>
        <w:t>2011</w:t>
      </w:r>
      <w:r w:rsidR="0002698E" w:rsidRPr="00C65A04">
        <w:rPr>
          <w:szCs w:val="18"/>
        </w:rPr>
        <w:t xml:space="preserve"> </w:t>
      </w:r>
      <w:r w:rsidR="003958D3" w:rsidRPr="00C65A04">
        <w:rPr>
          <w:i/>
          <w:szCs w:val="18"/>
        </w:rPr>
        <w:t>Pathways: developing the skills of Australia’s workforce</w:t>
      </w:r>
      <w:r w:rsidR="0002698E" w:rsidRPr="00C65A04">
        <w:rPr>
          <w:szCs w:val="18"/>
        </w:rPr>
        <w:t xml:space="preserve">, NCVER, </w:t>
      </w:r>
      <w:r w:rsidR="001C1903" w:rsidRPr="00C65A04">
        <w:rPr>
          <w:szCs w:val="18"/>
        </w:rPr>
        <w:t xml:space="preserve">viewed 17 January 2013, </w:t>
      </w:r>
      <w:r w:rsidR="00FE664D" w:rsidRPr="00C65A04">
        <w:rPr>
          <w:szCs w:val="18"/>
        </w:rPr>
        <w:t>&lt;</w:t>
      </w:r>
      <w:r w:rsidR="0002698E" w:rsidRPr="00C65A04">
        <w:rPr>
          <w:szCs w:val="18"/>
        </w:rPr>
        <w:t>www.ncver.edu.au/publications/2376.html</w:t>
      </w:r>
      <w:r w:rsidR="00FE664D" w:rsidRPr="00C65A04">
        <w:rPr>
          <w:szCs w:val="18"/>
        </w:rPr>
        <w:t>&gt;.</w:t>
      </w:r>
    </w:p>
    <w:p w:rsidR="00D14B1A" w:rsidRPr="00C65A04" w:rsidRDefault="00D14B1A" w:rsidP="00C65A04">
      <w:pPr>
        <w:pStyle w:val="References"/>
        <w:rPr>
          <w:szCs w:val="18"/>
        </w:rPr>
      </w:pPr>
      <w:proofErr w:type="gramStart"/>
      <w:r w:rsidRPr="00C65A04">
        <w:rPr>
          <w:szCs w:val="18"/>
        </w:rPr>
        <w:t>Harris</w:t>
      </w:r>
      <w:r w:rsidR="00FE664D" w:rsidRPr="00C65A04">
        <w:rPr>
          <w:szCs w:val="18"/>
        </w:rPr>
        <w:t>,</w:t>
      </w:r>
      <w:r w:rsidR="0002698E" w:rsidRPr="00C65A04">
        <w:rPr>
          <w:szCs w:val="18"/>
        </w:rPr>
        <w:t xml:space="preserve"> R</w:t>
      </w:r>
      <w:r w:rsidRPr="00C65A04">
        <w:rPr>
          <w:szCs w:val="18"/>
        </w:rPr>
        <w:t>, Rainey</w:t>
      </w:r>
      <w:r w:rsidR="00FE664D" w:rsidRPr="00C65A04">
        <w:rPr>
          <w:szCs w:val="18"/>
        </w:rPr>
        <w:t>,</w:t>
      </w:r>
      <w:r w:rsidRPr="00C65A04">
        <w:rPr>
          <w:szCs w:val="18"/>
        </w:rPr>
        <w:t xml:space="preserve"> </w:t>
      </w:r>
      <w:r w:rsidR="0002698E" w:rsidRPr="00C65A04">
        <w:rPr>
          <w:szCs w:val="18"/>
        </w:rPr>
        <w:t xml:space="preserve">L </w:t>
      </w:r>
      <w:r w:rsidR="00FE664D" w:rsidRPr="00C65A04">
        <w:rPr>
          <w:szCs w:val="18"/>
        </w:rPr>
        <w:t>&amp;</w:t>
      </w:r>
      <w:r w:rsidRPr="00C65A04">
        <w:rPr>
          <w:szCs w:val="18"/>
        </w:rPr>
        <w:t xml:space="preserve"> Sumner</w:t>
      </w:r>
      <w:r w:rsidR="00FE664D" w:rsidRPr="00C65A04">
        <w:rPr>
          <w:szCs w:val="18"/>
        </w:rPr>
        <w:t>,</w:t>
      </w:r>
      <w:r w:rsidR="0002698E" w:rsidRPr="00C65A04">
        <w:rPr>
          <w:szCs w:val="18"/>
        </w:rPr>
        <w:t xml:space="preserve"> R</w:t>
      </w:r>
      <w:r w:rsidRPr="00C65A04">
        <w:rPr>
          <w:szCs w:val="18"/>
        </w:rPr>
        <w:t xml:space="preserve"> 2006</w:t>
      </w:r>
      <w:r w:rsidR="0002698E" w:rsidRPr="00C65A04">
        <w:rPr>
          <w:szCs w:val="18"/>
        </w:rPr>
        <w:t xml:space="preserve">, </w:t>
      </w:r>
      <w:r w:rsidR="003958D3" w:rsidRPr="00C65A04">
        <w:rPr>
          <w:i/>
          <w:szCs w:val="18"/>
        </w:rPr>
        <w:t xml:space="preserve">Crazy </w:t>
      </w:r>
      <w:r w:rsidR="00FE664D" w:rsidRPr="00C65A04">
        <w:rPr>
          <w:i/>
          <w:szCs w:val="18"/>
        </w:rPr>
        <w:t>paving or stepping stones</w:t>
      </w:r>
      <w:r w:rsidR="003958D3" w:rsidRPr="00C65A04">
        <w:rPr>
          <w:i/>
          <w:szCs w:val="18"/>
        </w:rPr>
        <w:t>?</w:t>
      </w:r>
      <w:proofErr w:type="gramEnd"/>
      <w:r w:rsidR="003958D3" w:rsidRPr="00C65A04">
        <w:rPr>
          <w:i/>
          <w:szCs w:val="18"/>
        </w:rPr>
        <w:t xml:space="preserve"> Learning pathways within and between vocational education and training and higher education</w:t>
      </w:r>
      <w:r w:rsidR="0002698E" w:rsidRPr="00C65A04">
        <w:rPr>
          <w:szCs w:val="18"/>
        </w:rPr>
        <w:t xml:space="preserve">, NCVER, </w:t>
      </w:r>
      <w:r w:rsidR="00730096" w:rsidRPr="00C65A04">
        <w:rPr>
          <w:szCs w:val="18"/>
        </w:rPr>
        <w:t>viewed 17 J</w:t>
      </w:r>
      <w:r w:rsidR="00BF181D" w:rsidRPr="00C65A04">
        <w:rPr>
          <w:szCs w:val="18"/>
        </w:rPr>
        <w:t xml:space="preserve">anuary 2013, </w:t>
      </w:r>
      <w:r w:rsidR="00FE664D" w:rsidRPr="00C65A04">
        <w:rPr>
          <w:szCs w:val="18"/>
        </w:rPr>
        <w:t>&lt;</w:t>
      </w:r>
      <w:hyperlink r:id="rId23" w:history="1">
        <w:r w:rsidR="00776553" w:rsidRPr="00C65A04">
          <w:rPr>
            <w:rStyle w:val="Hyperlink"/>
            <w:sz w:val="18"/>
            <w:szCs w:val="18"/>
          </w:rPr>
          <w:t>www.ncver.edu.au/publications/1722.html</w:t>
        </w:r>
      </w:hyperlink>
      <w:r w:rsidR="0072127E" w:rsidRPr="00C65A04">
        <w:rPr>
          <w:szCs w:val="18"/>
        </w:rPr>
        <w:t>&gt;.</w:t>
      </w:r>
    </w:p>
    <w:p w:rsidR="00CB67CF" w:rsidRPr="00C65A04" w:rsidRDefault="00776553" w:rsidP="00C65A04">
      <w:pPr>
        <w:pStyle w:val="References"/>
        <w:rPr>
          <w:szCs w:val="18"/>
        </w:rPr>
      </w:pPr>
      <w:r w:rsidRPr="00C65A04">
        <w:rPr>
          <w:szCs w:val="18"/>
        </w:rPr>
        <w:t>Integrated Articulation and Credit Transfer Project 2011</w:t>
      </w:r>
      <w:r w:rsidR="0072127E" w:rsidRPr="00C65A04">
        <w:rPr>
          <w:szCs w:val="18"/>
        </w:rPr>
        <w:t>,</w:t>
      </w:r>
      <w:r w:rsidRPr="00C65A04">
        <w:rPr>
          <w:szCs w:val="18"/>
        </w:rPr>
        <w:t xml:space="preserve"> </w:t>
      </w:r>
      <w:r w:rsidR="00E878F0" w:rsidRPr="00C65A04">
        <w:rPr>
          <w:szCs w:val="18"/>
        </w:rPr>
        <w:t>‘</w:t>
      </w:r>
      <w:r w:rsidRPr="00C65A04">
        <w:rPr>
          <w:szCs w:val="18"/>
        </w:rPr>
        <w:t>Toolbox of enabling resources’, viewed 17</w:t>
      </w:r>
      <w:r w:rsidR="00184F0F">
        <w:rPr>
          <w:szCs w:val="18"/>
        </w:rPr>
        <w:t> </w:t>
      </w:r>
      <w:r w:rsidRPr="00C65A04">
        <w:rPr>
          <w:szCs w:val="18"/>
        </w:rPr>
        <w:t xml:space="preserve">January 2013, </w:t>
      </w:r>
      <w:r w:rsidR="0072127E" w:rsidRPr="00C65A04">
        <w:rPr>
          <w:szCs w:val="18"/>
        </w:rPr>
        <w:t>&lt;</w:t>
      </w:r>
      <w:hyperlink r:id="rId24" w:history="1">
        <w:r w:rsidR="00C621CA" w:rsidRPr="00C65A04">
          <w:rPr>
            <w:rStyle w:val="Hyperlink"/>
            <w:sz w:val="18"/>
            <w:szCs w:val="18"/>
          </w:rPr>
          <w:t>http://3darticulation.com.au/</w:t>
        </w:r>
      </w:hyperlink>
      <w:r w:rsidR="0072127E" w:rsidRPr="00C65A04">
        <w:rPr>
          <w:szCs w:val="18"/>
        </w:rPr>
        <w:t>&gt;.</w:t>
      </w:r>
    </w:p>
    <w:p w:rsidR="00701C29" w:rsidRPr="00C65A04" w:rsidRDefault="00701C29" w:rsidP="00C65A04">
      <w:pPr>
        <w:pStyle w:val="References"/>
        <w:rPr>
          <w:szCs w:val="18"/>
        </w:rPr>
      </w:pPr>
      <w:r w:rsidRPr="00C65A04">
        <w:rPr>
          <w:color w:val="292526"/>
          <w:szCs w:val="18"/>
        </w:rPr>
        <w:t>K</w:t>
      </w:r>
      <w:r w:rsidR="0002698E" w:rsidRPr="00C65A04">
        <w:rPr>
          <w:color w:val="292526"/>
          <w:szCs w:val="18"/>
        </w:rPr>
        <w:t>i</w:t>
      </w:r>
      <w:r w:rsidRPr="00C65A04">
        <w:rPr>
          <w:color w:val="292526"/>
          <w:szCs w:val="18"/>
        </w:rPr>
        <w:t>ng</w:t>
      </w:r>
      <w:r w:rsidR="0072127E" w:rsidRPr="00C65A04">
        <w:rPr>
          <w:color w:val="292526"/>
          <w:szCs w:val="18"/>
        </w:rPr>
        <w:t>,</w:t>
      </w:r>
      <w:r w:rsidR="0002698E" w:rsidRPr="00C65A04">
        <w:rPr>
          <w:color w:val="292526"/>
          <w:szCs w:val="18"/>
        </w:rPr>
        <w:t xml:space="preserve"> R, Dowling</w:t>
      </w:r>
      <w:r w:rsidR="0072127E" w:rsidRPr="00C65A04">
        <w:rPr>
          <w:color w:val="292526"/>
          <w:szCs w:val="18"/>
        </w:rPr>
        <w:t>,</w:t>
      </w:r>
      <w:r w:rsidR="0002698E" w:rsidRPr="00C65A04">
        <w:rPr>
          <w:color w:val="292526"/>
          <w:szCs w:val="18"/>
        </w:rPr>
        <w:t xml:space="preserve"> D </w:t>
      </w:r>
      <w:r w:rsidR="0072127E" w:rsidRPr="00C65A04">
        <w:rPr>
          <w:color w:val="292526"/>
          <w:szCs w:val="18"/>
        </w:rPr>
        <w:t>&amp;</w:t>
      </w:r>
      <w:r w:rsidR="0002698E" w:rsidRPr="00C65A04">
        <w:rPr>
          <w:color w:val="292526"/>
          <w:szCs w:val="18"/>
        </w:rPr>
        <w:t xml:space="preserve"> Godfrey</w:t>
      </w:r>
      <w:r w:rsidR="0072127E" w:rsidRPr="00C65A04">
        <w:rPr>
          <w:color w:val="292526"/>
          <w:szCs w:val="18"/>
        </w:rPr>
        <w:t>, E</w:t>
      </w:r>
      <w:r w:rsidR="0002698E" w:rsidRPr="00C65A04">
        <w:rPr>
          <w:color w:val="292526"/>
          <w:szCs w:val="18"/>
        </w:rPr>
        <w:t xml:space="preserve"> </w:t>
      </w:r>
      <w:r w:rsidR="00420420" w:rsidRPr="00C65A04">
        <w:rPr>
          <w:color w:val="292526"/>
          <w:szCs w:val="18"/>
        </w:rPr>
        <w:t>2011</w:t>
      </w:r>
      <w:r w:rsidR="0072127E" w:rsidRPr="00C65A04">
        <w:rPr>
          <w:color w:val="292526"/>
          <w:szCs w:val="18"/>
        </w:rPr>
        <w:t>,</w:t>
      </w:r>
      <w:r w:rsidR="00420420" w:rsidRPr="00C65A04">
        <w:rPr>
          <w:color w:val="292526"/>
          <w:szCs w:val="18"/>
        </w:rPr>
        <w:t xml:space="preserve"> </w:t>
      </w:r>
      <w:r w:rsidR="003958D3" w:rsidRPr="00C65A04">
        <w:rPr>
          <w:i/>
          <w:color w:val="292526"/>
          <w:szCs w:val="18"/>
        </w:rPr>
        <w:t xml:space="preserve">Pathways </w:t>
      </w:r>
      <w:r w:rsidR="0072127E" w:rsidRPr="00C65A04">
        <w:rPr>
          <w:i/>
          <w:color w:val="292526"/>
          <w:szCs w:val="18"/>
        </w:rPr>
        <w:t>from VET awards to engineering d</w:t>
      </w:r>
      <w:r w:rsidR="003958D3" w:rsidRPr="00C65A04">
        <w:rPr>
          <w:i/>
          <w:color w:val="292526"/>
          <w:szCs w:val="18"/>
        </w:rPr>
        <w:t>egrees: a higher education perspective</w:t>
      </w:r>
      <w:r w:rsidR="0002698E" w:rsidRPr="00C65A04">
        <w:rPr>
          <w:color w:val="292526"/>
          <w:szCs w:val="18"/>
        </w:rPr>
        <w:t>, Australian Engineering Taskforce</w:t>
      </w:r>
      <w:r w:rsidR="00702143" w:rsidRPr="00C65A04">
        <w:rPr>
          <w:color w:val="292526"/>
          <w:szCs w:val="18"/>
        </w:rPr>
        <w:t xml:space="preserve">, </w:t>
      </w:r>
      <w:r w:rsidR="00420420" w:rsidRPr="00C65A04">
        <w:rPr>
          <w:color w:val="292526"/>
          <w:szCs w:val="18"/>
        </w:rPr>
        <w:t xml:space="preserve">viewed 21 January 2013, </w:t>
      </w:r>
      <w:r w:rsidR="0072127E" w:rsidRPr="00C65A04">
        <w:rPr>
          <w:color w:val="292526"/>
          <w:szCs w:val="18"/>
        </w:rPr>
        <w:t>&lt;</w:t>
      </w:r>
      <w:r w:rsidR="00702143" w:rsidRPr="00C65A04">
        <w:rPr>
          <w:szCs w:val="18"/>
        </w:rPr>
        <w:t>www.anet.org.au/wp-content/.../06/ANET-Higher-Ed-pathways.pdf</w:t>
      </w:r>
      <w:r w:rsidR="0072127E" w:rsidRPr="00C65A04">
        <w:rPr>
          <w:szCs w:val="18"/>
        </w:rPr>
        <w:t>&gt;.</w:t>
      </w:r>
      <w:r w:rsidR="00420420" w:rsidRPr="00C65A04">
        <w:rPr>
          <w:szCs w:val="18"/>
        </w:rPr>
        <w:t xml:space="preserve"> </w:t>
      </w:r>
    </w:p>
    <w:p w:rsidR="007807B1" w:rsidRPr="00C65A04" w:rsidRDefault="00765198" w:rsidP="00C65A04">
      <w:pPr>
        <w:pStyle w:val="References"/>
        <w:rPr>
          <w:szCs w:val="18"/>
        </w:rPr>
      </w:pPr>
      <w:r w:rsidRPr="00C65A04">
        <w:rPr>
          <w:szCs w:val="18"/>
        </w:rPr>
        <w:t>Moodie</w:t>
      </w:r>
      <w:r w:rsidR="0072127E" w:rsidRPr="00C65A04">
        <w:rPr>
          <w:szCs w:val="18"/>
        </w:rPr>
        <w:t>,</w:t>
      </w:r>
      <w:r w:rsidRPr="00C65A04">
        <w:rPr>
          <w:szCs w:val="18"/>
        </w:rPr>
        <w:t xml:space="preserve"> G</w:t>
      </w:r>
      <w:r w:rsidR="00702143" w:rsidRPr="00C65A04">
        <w:rPr>
          <w:szCs w:val="18"/>
        </w:rPr>
        <w:t xml:space="preserve"> 2010</w:t>
      </w:r>
      <w:r w:rsidR="0072127E" w:rsidRPr="00C65A04">
        <w:rPr>
          <w:szCs w:val="18"/>
        </w:rPr>
        <w:t>,</w:t>
      </w:r>
      <w:r w:rsidR="00702143" w:rsidRPr="00C65A04">
        <w:rPr>
          <w:szCs w:val="18"/>
        </w:rPr>
        <w:t xml:space="preserve"> </w:t>
      </w:r>
      <w:r w:rsidR="0072127E" w:rsidRPr="00C65A04">
        <w:rPr>
          <w:szCs w:val="18"/>
        </w:rPr>
        <w:t>‘</w:t>
      </w:r>
      <w:r w:rsidR="003958D3" w:rsidRPr="00C65A04">
        <w:rPr>
          <w:szCs w:val="18"/>
        </w:rPr>
        <w:t>Change and transformation in student transfer from Australian vocational education to higher education</w:t>
      </w:r>
      <w:r w:rsidR="0072127E" w:rsidRPr="00C65A04">
        <w:rPr>
          <w:szCs w:val="18"/>
        </w:rPr>
        <w:t>’</w:t>
      </w:r>
      <w:r w:rsidR="00702143" w:rsidRPr="00C65A04">
        <w:rPr>
          <w:szCs w:val="18"/>
        </w:rPr>
        <w:t xml:space="preserve">, </w:t>
      </w:r>
      <w:r w:rsidR="006E6C0B" w:rsidRPr="00C65A04">
        <w:rPr>
          <w:szCs w:val="18"/>
        </w:rPr>
        <w:t xml:space="preserve">Australian Vocational Education and Training Research Association </w:t>
      </w:r>
      <w:r w:rsidR="00702143" w:rsidRPr="00C65A04">
        <w:rPr>
          <w:szCs w:val="18"/>
        </w:rPr>
        <w:t xml:space="preserve">Conference, </w:t>
      </w:r>
      <w:r w:rsidR="0072127E" w:rsidRPr="00C65A04">
        <w:rPr>
          <w:szCs w:val="18"/>
        </w:rPr>
        <w:t>Fremantle, April</w:t>
      </w:r>
      <w:r w:rsidR="003F09D1" w:rsidRPr="00C65A04">
        <w:rPr>
          <w:szCs w:val="18"/>
        </w:rPr>
        <w:t xml:space="preserve">, viewed 18 January 2013, </w:t>
      </w:r>
      <w:r w:rsidR="0072127E" w:rsidRPr="00C65A04">
        <w:rPr>
          <w:szCs w:val="18"/>
        </w:rPr>
        <w:t>&lt;</w:t>
      </w:r>
      <w:hyperlink r:id="rId25" w:history="1">
        <w:r w:rsidR="003958D3" w:rsidRPr="00C65A04">
          <w:rPr>
            <w:szCs w:val="18"/>
          </w:rPr>
          <w:t>http://avetra.org.au/wp-content/uploads/2010/04/44.00-Gavin-Moodie.pdf</w:t>
        </w:r>
      </w:hyperlink>
      <w:r w:rsidR="0072127E" w:rsidRPr="00C65A04">
        <w:rPr>
          <w:szCs w:val="18"/>
        </w:rPr>
        <w:t>&gt;.</w:t>
      </w:r>
    </w:p>
    <w:p w:rsidR="00E03E8B" w:rsidRPr="00C65A04" w:rsidRDefault="0061406B" w:rsidP="00184F0F">
      <w:pPr>
        <w:pStyle w:val="References"/>
        <w:ind w:right="-143"/>
        <w:rPr>
          <w:szCs w:val="18"/>
        </w:rPr>
      </w:pPr>
      <w:r w:rsidRPr="00C65A04">
        <w:rPr>
          <w:szCs w:val="18"/>
        </w:rPr>
        <w:t xml:space="preserve">NCVER </w:t>
      </w:r>
      <w:r w:rsidR="0072127E" w:rsidRPr="00C65A04">
        <w:rPr>
          <w:szCs w:val="18"/>
        </w:rPr>
        <w:t xml:space="preserve">(National Centre for Vocational Education Research) 2011a, </w:t>
      </w:r>
      <w:r w:rsidR="0072127E" w:rsidRPr="00C65A04">
        <w:rPr>
          <w:i/>
          <w:szCs w:val="18"/>
        </w:rPr>
        <w:t xml:space="preserve">SOS on line, VET </w:t>
      </w:r>
      <w:r w:rsidR="00E03E8B" w:rsidRPr="00C65A04">
        <w:rPr>
          <w:i/>
          <w:szCs w:val="18"/>
        </w:rPr>
        <w:t>graduate outcomes, salaries and jobs</w:t>
      </w:r>
      <w:r w:rsidR="0072127E" w:rsidRPr="00C65A04">
        <w:rPr>
          <w:i/>
          <w:szCs w:val="18"/>
        </w:rPr>
        <w:t>, 2011</w:t>
      </w:r>
      <w:r w:rsidR="0072127E" w:rsidRPr="00C65A04">
        <w:rPr>
          <w:szCs w:val="18"/>
        </w:rPr>
        <w:t xml:space="preserve">, viewed 29 January 2013, </w:t>
      </w:r>
      <w:r w:rsidR="00E03E8B" w:rsidRPr="00C65A04">
        <w:rPr>
          <w:szCs w:val="18"/>
        </w:rPr>
        <w:t>&lt;</w:t>
      </w:r>
      <w:hyperlink r:id="rId26" w:history="1">
        <w:r w:rsidR="0072127E" w:rsidRPr="00C65A04">
          <w:rPr>
            <w:rStyle w:val="Hyperlink"/>
            <w:sz w:val="18"/>
            <w:szCs w:val="18"/>
          </w:rPr>
          <w:t>http://www.ncver.edu.au/resources/sos_online.html</w:t>
        </w:r>
      </w:hyperlink>
      <w:r w:rsidR="00E03E8B" w:rsidRPr="00C65A04">
        <w:rPr>
          <w:szCs w:val="18"/>
        </w:rPr>
        <w:t>&gt;.</w:t>
      </w:r>
    </w:p>
    <w:p w:rsidR="0072127E" w:rsidRPr="00C65A04" w:rsidRDefault="00E03E8B" w:rsidP="00C65A04">
      <w:pPr>
        <w:pStyle w:val="References"/>
        <w:rPr>
          <w:szCs w:val="18"/>
        </w:rPr>
      </w:pPr>
      <w:r w:rsidRPr="00C65A04">
        <w:rPr>
          <w:szCs w:val="18"/>
        </w:rPr>
        <w:t>——</w:t>
      </w:r>
      <w:r w:rsidR="0072127E" w:rsidRPr="00C65A04">
        <w:rPr>
          <w:szCs w:val="18"/>
        </w:rPr>
        <w:t>2011b</w:t>
      </w:r>
      <w:r w:rsidRPr="00C65A04">
        <w:rPr>
          <w:szCs w:val="18"/>
        </w:rPr>
        <w:t>,</w:t>
      </w:r>
      <w:r w:rsidR="0072127E" w:rsidRPr="00C65A04">
        <w:rPr>
          <w:szCs w:val="18"/>
        </w:rPr>
        <w:t xml:space="preserve"> </w:t>
      </w:r>
      <w:r w:rsidR="00EE3CB8" w:rsidRPr="00C65A04">
        <w:rPr>
          <w:szCs w:val="18"/>
        </w:rPr>
        <w:t xml:space="preserve">NCVER data, </w:t>
      </w:r>
      <w:r w:rsidR="0072127E" w:rsidRPr="00C65A04">
        <w:rPr>
          <w:szCs w:val="18"/>
        </w:rPr>
        <w:t>VET</w:t>
      </w:r>
      <w:r w:rsidR="0072127E" w:rsidRPr="00C65A04">
        <w:rPr>
          <w:i/>
          <w:szCs w:val="18"/>
        </w:rPr>
        <w:t xml:space="preserve"> </w:t>
      </w:r>
      <w:r w:rsidR="00EE3CB8" w:rsidRPr="00C65A04">
        <w:rPr>
          <w:i/>
          <w:szCs w:val="18"/>
        </w:rPr>
        <w:t>s</w:t>
      </w:r>
      <w:r w:rsidR="0072127E" w:rsidRPr="00C65A04">
        <w:rPr>
          <w:szCs w:val="18"/>
        </w:rPr>
        <w:t xml:space="preserve">tudent </w:t>
      </w:r>
      <w:r w:rsidR="00EE3CB8" w:rsidRPr="00C65A04">
        <w:rPr>
          <w:szCs w:val="18"/>
        </w:rPr>
        <w:t>o</w:t>
      </w:r>
      <w:r w:rsidR="0072127E" w:rsidRPr="00C65A04">
        <w:rPr>
          <w:szCs w:val="18"/>
        </w:rPr>
        <w:t xml:space="preserve">utcomes by </w:t>
      </w:r>
      <w:r w:rsidR="00EE3CB8" w:rsidRPr="00C65A04">
        <w:rPr>
          <w:szCs w:val="18"/>
        </w:rPr>
        <w:t>i</w:t>
      </w:r>
      <w:r w:rsidR="0072127E" w:rsidRPr="00C65A04">
        <w:rPr>
          <w:szCs w:val="18"/>
        </w:rPr>
        <w:t xml:space="preserve">ndustry </w:t>
      </w:r>
      <w:r w:rsidRPr="00C65A04">
        <w:rPr>
          <w:szCs w:val="18"/>
        </w:rPr>
        <w:t>and</w:t>
      </w:r>
      <w:r w:rsidR="0072127E" w:rsidRPr="00C65A04">
        <w:rPr>
          <w:szCs w:val="18"/>
        </w:rPr>
        <w:t xml:space="preserve"> </w:t>
      </w:r>
      <w:r w:rsidR="00EE3CB8" w:rsidRPr="00C65A04">
        <w:rPr>
          <w:szCs w:val="18"/>
        </w:rPr>
        <w:t>f</w:t>
      </w:r>
      <w:r w:rsidR="0072127E" w:rsidRPr="00C65A04">
        <w:rPr>
          <w:szCs w:val="18"/>
        </w:rPr>
        <w:t xml:space="preserve">ield of education </w:t>
      </w:r>
      <w:r w:rsidR="00184F0F">
        <w:rPr>
          <w:szCs w:val="18"/>
        </w:rPr>
        <w:t>—</w:t>
      </w:r>
      <w:r w:rsidR="0072127E" w:rsidRPr="00C65A04">
        <w:rPr>
          <w:szCs w:val="18"/>
        </w:rPr>
        <w:t xml:space="preserve"> 04 Architecture and Building 201</w:t>
      </w:r>
      <w:r w:rsidR="006352F8" w:rsidRPr="00C65A04">
        <w:rPr>
          <w:szCs w:val="18"/>
        </w:rPr>
        <w:t>0—</w:t>
      </w:r>
      <w:r w:rsidR="0072127E" w:rsidRPr="00C65A04">
        <w:rPr>
          <w:szCs w:val="18"/>
        </w:rPr>
        <w:t xml:space="preserve">11, </w:t>
      </w:r>
      <w:r w:rsidR="006352F8" w:rsidRPr="00C65A04">
        <w:rPr>
          <w:szCs w:val="18"/>
        </w:rPr>
        <w:t>t</w:t>
      </w:r>
      <w:r w:rsidR="00184F0F">
        <w:rPr>
          <w:szCs w:val="18"/>
        </w:rPr>
        <w:t xml:space="preserve">able 8, viewed </w:t>
      </w:r>
      <w:r w:rsidR="0072127E" w:rsidRPr="00C65A04">
        <w:rPr>
          <w:szCs w:val="18"/>
        </w:rPr>
        <w:t>4 June, 2012</w:t>
      </w:r>
      <w:r w:rsidR="00D10680" w:rsidRPr="00C65A04">
        <w:rPr>
          <w:szCs w:val="18"/>
        </w:rPr>
        <w:t>, &lt;</w:t>
      </w:r>
      <w:hyperlink r:id="rId27" w:history="1">
        <w:r w:rsidR="00D10680" w:rsidRPr="00C65A04">
          <w:rPr>
            <w:rStyle w:val="Hyperlink"/>
            <w:sz w:val="18"/>
            <w:szCs w:val="18"/>
          </w:rPr>
          <w:t>www.ncver.edu.au/resources/sos_online.html</w:t>
        </w:r>
      </w:hyperlink>
      <w:r w:rsidR="00D10680" w:rsidRPr="00C65A04">
        <w:rPr>
          <w:szCs w:val="18"/>
        </w:rPr>
        <w:t>&gt;.</w:t>
      </w:r>
    </w:p>
    <w:p w:rsidR="00E03E8B" w:rsidRPr="00C65A04" w:rsidRDefault="00E03E8B" w:rsidP="00C65A04">
      <w:pPr>
        <w:pStyle w:val="References"/>
        <w:rPr>
          <w:szCs w:val="18"/>
        </w:rPr>
      </w:pPr>
      <w:r w:rsidRPr="00C65A04">
        <w:rPr>
          <w:szCs w:val="18"/>
        </w:rPr>
        <w:t xml:space="preserve">——2012a, </w:t>
      </w:r>
      <w:r w:rsidRPr="00C65A04">
        <w:rPr>
          <w:i/>
          <w:szCs w:val="18"/>
        </w:rPr>
        <w:t>Student outcomes 2012</w:t>
      </w:r>
      <w:r w:rsidRPr="00C65A04">
        <w:rPr>
          <w:szCs w:val="18"/>
        </w:rPr>
        <w:t xml:space="preserve">, viewed 25 January 2013, </w:t>
      </w:r>
      <w:hyperlink r:id="rId28" w:history="1">
        <w:r w:rsidRPr="00C65A04">
          <w:rPr>
            <w:rStyle w:val="Hyperlink"/>
            <w:sz w:val="18"/>
            <w:szCs w:val="18"/>
          </w:rPr>
          <w:t>&lt;www.ncver.edu.au/publications/2572.html</w:t>
        </w:r>
      </w:hyperlink>
      <w:r w:rsidRPr="00C65A04">
        <w:rPr>
          <w:szCs w:val="18"/>
        </w:rPr>
        <w:t>&gt;.</w:t>
      </w:r>
    </w:p>
    <w:p w:rsidR="00800B07" w:rsidRPr="00C65A04" w:rsidRDefault="00E03E8B" w:rsidP="00C65A04">
      <w:pPr>
        <w:pStyle w:val="References"/>
        <w:rPr>
          <w:szCs w:val="18"/>
        </w:rPr>
      </w:pPr>
      <w:r w:rsidRPr="00C65A04">
        <w:rPr>
          <w:szCs w:val="18"/>
        </w:rPr>
        <w:t>——</w:t>
      </w:r>
      <w:r w:rsidR="0061406B" w:rsidRPr="00C65A04">
        <w:rPr>
          <w:szCs w:val="18"/>
        </w:rPr>
        <w:t>2012</w:t>
      </w:r>
      <w:r w:rsidR="00800B07" w:rsidRPr="00C65A04">
        <w:rPr>
          <w:szCs w:val="18"/>
        </w:rPr>
        <w:t>b</w:t>
      </w:r>
      <w:r w:rsidR="008C0ACB" w:rsidRPr="00C65A04">
        <w:rPr>
          <w:szCs w:val="18"/>
        </w:rPr>
        <w:t>, NCVER data,</w:t>
      </w:r>
      <w:r w:rsidR="00800B07" w:rsidRPr="00C65A04">
        <w:rPr>
          <w:szCs w:val="18"/>
        </w:rPr>
        <w:t xml:space="preserve"> </w:t>
      </w:r>
      <w:r w:rsidR="008C0ACB" w:rsidRPr="00C65A04">
        <w:rPr>
          <w:szCs w:val="18"/>
        </w:rPr>
        <w:t>t</w:t>
      </w:r>
      <w:r w:rsidR="003958D3" w:rsidRPr="00C65A04">
        <w:rPr>
          <w:szCs w:val="18"/>
        </w:rPr>
        <w:t xml:space="preserve">able 8: VET </w:t>
      </w:r>
      <w:r w:rsidR="006A1CD6" w:rsidRPr="00C65A04">
        <w:rPr>
          <w:szCs w:val="18"/>
        </w:rPr>
        <w:t>s</w:t>
      </w:r>
      <w:r w:rsidR="003958D3" w:rsidRPr="00C65A04">
        <w:rPr>
          <w:szCs w:val="18"/>
        </w:rPr>
        <w:t xml:space="preserve">tudent </w:t>
      </w:r>
      <w:r w:rsidR="006A1CD6" w:rsidRPr="00C65A04">
        <w:rPr>
          <w:szCs w:val="18"/>
        </w:rPr>
        <w:t>o</w:t>
      </w:r>
      <w:r w:rsidR="003958D3" w:rsidRPr="00C65A04">
        <w:rPr>
          <w:szCs w:val="18"/>
        </w:rPr>
        <w:t xml:space="preserve">utcomes by </w:t>
      </w:r>
      <w:r w:rsidR="006A1CD6" w:rsidRPr="00C65A04">
        <w:rPr>
          <w:szCs w:val="18"/>
        </w:rPr>
        <w:t>i</w:t>
      </w:r>
      <w:r w:rsidR="003958D3" w:rsidRPr="00C65A04">
        <w:rPr>
          <w:szCs w:val="18"/>
        </w:rPr>
        <w:t>ndustry</w:t>
      </w:r>
      <w:r w:rsidR="00510D3B" w:rsidRPr="00C65A04">
        <w:rPr>
          <w:szCs w:val="18"/>
        </w:rPr>
        <w:t xml:space="preserve"> </w:t>
      </w:r>
      <w:r w:rsidR="003958D3" w:rsidRPr="00C65A04">
        <w:rPr>
          <w:szCs w:val="18"/>
        </w:rPr>
        <w:t xml:space="preserve">&amp; </w:t>
      </w:r>
      <w:r w:rsidR="006A1CD6" w:rsidRPr="00C65A04">
        <w:rPr>
          <w:szCs w:val="18"/>
        </w:rPr>
        <w:t>field of education —</w:t>
      </w:r>
      <w:r w:rsidR="003958D3" w:rsidRPr="00C65A04">
        <w:rPr>
          <w:szCs w:val="18"/>
        </w:rPr>
        <w:t xml:space="preserve"> 04</w:t>
      </w:r>
      <w:r w:rsidR="006A1CD6" w:rsidRPr="00C65A04">
        <w:rPr>
          <w:szCs w:val="18"/>
        </w:rPr>
        <w:t xml:space="preserve"> Architecture and Building 2011—</w:t>
      </w:r>
      <w:r w:rsidR="003958D3" w:rsidRPr="00C65A04">
        <w:rPr>
          <w:szCs w:val="18"/>
        </w:rPr>
        <w:t>12</w:t>
      </w:r>
      <w:r w:rsidR="00800B07" w:rsidRPr="00C65A04">
        <w:rPr>
          <w:szCs w:val="18"/>
        </w:rPr>
        <w:t>, viewed 25 January 2013,</w:t>
      </w:r>
      <w:r w:rsidR="006A1CD6" w:rsidRPr="00C65A04">
        <w:rPr>
          <w:szCs w:val="18"/>
        </w:rPr>
        <w:t xml:space="preserve"> &lt;www.ncver.edu.au/resources/vsi/vsi_table.html?</w:t>
      </w:r>
      <w:r w:rsidR="00184F0F">
        <w:rPr>
          <w:szCs w:val="18"/>
        </w:rPr>
        <w:t xml:space="preserve"> </w:t>
      </w:r>
      <w:r w:rsidR="006A1CD6" w:rsidRPr="00C65A04">
        <w:rPr>
          <w:szCs w:val="18"/>
        </w:rPr>
        <w:t>table_list_class_type_id=4&amp;table_list_table_nr=8&amp;table_list_filter_id=4&amp;filter_name=04+-+Architecture+and+building&amp;classification_name=Field+of+Education&gt;</w:t>
      </w:r>
      <w:r w:rsidRPr="00C65A04">
        <w:rPr>
          <w:szCs w:val="18"/>
        </w:rPr>
        <w:t>.</w:t>
      </w:r>
    </w:p>
    <w:p w:rsidR="00566065" w:rsidRPr="00C65A04" w:rsidRDefault="00E03E8B" w:rsidP="00C65A04">
      <w:pPr>
        <w:pStyle w:val="References"/>
        <w:rPr>
          <w:szCs w:val="18"/>
        </w:rPr>
      </w:pPr>
      <w:r w:rsidRPr="00C65A04">
        <w:rPr>
          <w:szCs w:val="18"/>
        </w:rPr>
        <w:t>——</w:t>
      </w:r>
      <w:r w:rsidR="00566065" w:rsidRPr="00C65A04">
        <w:rPr>
          <w:szCs w:val="18"/>
        </w:rPr>
        <w:t>2012c</w:t>
      </w:r>
      <w:r w:rsidR="00184F0F">
        <w:rPr>
          <w:szCs w:val="18"/>
        </w:rPr>
        <w:t>,</w:t>
      </w:r>
      <w:r w:rsidR="00566065" w:rsidRPr="00C65A04">
        <w:rPr>
          <w:szCs w:val="18"/>
        </w:rPr>
        <w:t xml:space="preserve"> </w:t>
      </w:r>
      <w:r w:rsidR="00566065" w:rsidRPr="00C65A04">
        <w:rPr>
          <w:i/>
          <w:szCs w:val="18"/>
        </w:rPr>
        <w:t xml:space="preserve">Australian </w:t>
      </w:r>
      <w:r w:rsidRPr="00C65A04">
        <w:rPr>
          <w:i/>
          <w:szCs w:val="18"/>
        </w:rPr>
        <w:t>vocational education and training statistics, students and courses 2011,</w:t>
      </w:r>
      <w:r w:rsidR="006352F8" w:rsidRPr="00C65A04">
        <w:rPr>
          <w:i/>
          <w:szCs w:val="18"/>
        </w:rPr>
        <w:t xml:space="preserve"> </w:t>
      </w:r>
      <w:r w:rsidRPr="00C65A04">
        <w:rPr>
          <w:szCs w:val="18"/>
        </w:rPr>
        <w:t>viewed 11</w:t>
      </w:r>
      <w:r w:rsidR="00184F0F">
        <w:rPr>
          <w:szCs w:val="18"/>
        </w:rPr>
        <w:t> </w:t>
      </w:r>
      <w:r w:rsidRPr="00C65A04">
        <w:rPr>
          <w:szCs w:val="18"/>
        </w:rPr>
        <w:t>March</w:t>
      </w:r>
      <w:r w:rsidR="00566065" w:rsidRPr="00C65A04">
        <w:rPr>
          <w:szCs w:val="18"/>
        </w:rPr>
        <w:t xml:space="preserve"> 2013,</w:t>
      </w:r>
      <w:r w:rsidR="00510D3B" w:rsidRPr="00C65A04">
        <w:rPr>
          <w:szCs w:val="18"/>
        </w:rPr>
        <w:t xml:space="preserve"> </w:t>
      </w:r>
      <w:hyperlink r:id="rId29" w:history="1">
        <w:r w:rsidRPr="00C65A04">
          <w:rPr>
            <w:rStyle w:val="Hyperlink"/>
            <w:sz w:val="18"/>
            <w:szCs w:val="18"/>
          </w:rPr>
          <w:t>&lt;</w:t>
        </w:r>
        <w:r w:rsidR="00566065" w:rsidRPr="00C65A04">
          <w:rPr>
            <w:rStyle w:val="Hyperlink"/>
            <w:sz w:val="18"/>
            <w:szCs w:val="18"/>
          </w:rPr>
          <w:t>www.ncver.edu.au/publications/2509.html</w:t>
        </w:r>
      </w:hyperlink>
      <w:r w:rsidRPr="00C65A04">
        <w:rPr>
          <w:szCs w:val="18"/>
        </w:rPr>
        <w:t>&gt;.</w:t>
      </w:r>
      <w:r w:rsidR="00566065" w:rsidRPr="00C65A04">
        <w:rPr>
          <w:szCs w:val="18"/>
        </w:rPr>
        <w:t xml:space="preserve"> </w:t>
      </w:r>
    </w:p>
    <w:p w:rsidR="00566065" w:rsidRPr="00C65A04" w:rsidRDefault="00256457" w:rsidP="00184F0F">
      <w:pPr>
        <w:pStyle w:val="References"/>
        <w:ind w:right="-143"/>
        <w:rPr>
          <w:szCs w:val="18"/>
        </w:rPr>
      </w:pPr>
      <w:r w:rsidRPr="00C65A04">
        <w:rPr>
          <w:szCs w:val="18"/>
        </w:rPr>
        <w:t>——</w:t>
      </w:r>
      <w:r w:rsidR="00566065" w:rsidRPr="00C65A04">
        <w:rPr>
          <w:szCs w:val="18"/>
        </w:rPr>
        <w:t xml:space="preserve">2012d, </w:t>
      </w:r>
      <w:r w:rsidR="00091DA7" w:rsidRPr="00C65A04">
        <w:rPr>
          <w:szCs w:val="18"/>
        </w:rPr>
        <w:t>NCVER data, VET s</w:t>
      </w:r>
      <w:r w:rsidR="00566065" w:rsidRPr="00C65A04">
        <w:rPr>
          <w:szCs w:val="18"/>
        </w:rPr>
        <w:t xml:space="preserve">tudents by </w:t>
      </w:r>
      <w:r w:rsidR="00091DA7" w:rsidRPr="00C65A04">
        <w:rPr>
          <w:szCs w:val="18"/>
        </w:rPr>
        <w:t>i</w:t>
      </w:r>
      <w:r w:rsidR="00566065" w:rsidRPr="00C65A04">
        <w:rPr>
          <w:szCs w:val="18"/>
        </w:rPr>
        <w:t xml:space="preserve">ndustry, </w:t>
      </w:r>
      <w:r w:rsidR="00091DA7" w:rsidRPr="00C65A04">
        <w:rPr>
          <w:szCs w:val="18"/>
        </w:rPr>
        <w:t>field of education, t</w:t>
      </w:r>
      <w:r w:rsidR="00566065" w:rsidRPr="00C65A04">
        <w:rPr>
          <w:szCs w:val="18"/>
        </w:rPr>
        <w:t xml:space="preserve">able 1, VET </w:t>
      </w:r>
      <w:r w:rsidR="00091DA7" w:rsidRPr="00C65A04">
        <w:rPr>
          <w:szCs w:val="18"/>
        </w:rPr>
        <w:t>s</w:t>
      </w:r>
      <w:r w:rsidR="00566065" w:rsidRPr="00C65A04">
        <w:rPr>
          <w:szCs w:val="18"/>
        </w:rPr>
        <w:t>tudents enrolled by selected characteristics, Architecture and Building, 2007</w:t>
      </w:r>
      <w:r w:rsidR="00091DA7" w:rsidRPr="00C65A04">
        <w:rPr>
          <w:szCs w:val="18"/>
        </w:rPr>
        <w:t>—</w:t>
      </w:r>
      <w:r w:rsidR="00566065" w:rsidRPr="00C65A04">
        <w:rPr>
          <w:szCs w:val="18"/>
        </w:rPr>
        <w:t xml:space="preserve">2011, revised August 2012, </w:t>
      </w:r>
      <w:hyperlink r:id="rId30" w:history="1">
        <w:r w:rsidR="00184F0F" w:rsidRPr="007D2D93">
          <w:rPr>
            <w:rStyle w:val="Hyperlink"/>
            <w:sz w:val="18"/>
            <w:szCs w:val="18"/>
          </w:rPr>
          <w:t>www.ncver.edu.au/resources/vsi/vsi_table.html?table_list_class_type_id=4&amp;table_list_table_nr=1&amp;table_list_filter_id=4&amp;filter_name=04+-+Architecture+and+building&amp;classification_name=Field+of+Education</w:t>
        </w:r>
      </w:hyperlink>
      <w:r w:rsidR="00091DA7" w:rsidRPr="00C65A04">
        <w:rPr>
          <w:szCs w:val="18"/>
        </w:rPr>
        <w:t>.</w:t>
      </w:r>
    </w:p>
    <w:p w:rsidR="00566065" w:rsidRPr="00C65A04" w:rsidRDefault="00256457" w:rsidP="00184F0F">
      <w:pPr>
        <w:pStyle w:val="References"/>
        <w:ind w:right="-143"/>
        <w:rPr>
          <w:szCs w:val="18"/>
        </w:rPr>
      </w:pPr>
      <w:r w:rsidRPr="00C65A04">
        <w:rPr>
          <w:szCs w:val="18"/>
        </w:rPr>
        <w:t>——</w:t>
      </w:r>
      <w:r w:rsidR="00566065" w:rsidRPr="00C65A04">
        <w:rPr>
          <w:szCs w:val="18"/>
        </w:rPr>
        <w:t xml:space="preserve">2012e, </w:t>
      </w:r>
      <w:r w:rsidR="00566065" w:rsidRPr="00C65A04">
        <w:rPr>
          <w:i/>
          <w:szCs w:val="18"/>
        </w:rPr>
        <w:t xml:space="preserve">Vocational </w:t>
      </w:r>
      <w:r w:rsidRPr="00C65A04">
        <w:rPr>
          <w:i/>
          <w:szCs w:val="18"/>
        </w:rPr>
        <w:t>education statistics, students and courses and training 2011, p</w:t>
      </w:r>
      <w:r w:rsidR="00566065" w:rsidRPr="00C65A04">
        <w:rPr>
          <w:i/>
          <w:szCs w:val="18"/>
        </w:rPr>
        <w:t xml:space="preserve">ublicly funded training providers, </w:t>
      </w:r>
      <w:r w:rsidRPr="00C65A04">
        <w:rPr>
          <w:i/>
          <w:szCs w:val="18"/>
        </w:rPr>
        <w:t>r</w:t>
      </w:r>
      <w:r w:rsidR="00566065" w:rsidRPr="00C65A04">
        <w:rPr>
          <w:szCs w:val="18"/>
        </w:rPr>
        <w:t>evised December 2012,</w:t>
      </w:r>
      <w:r w:rsidRPr="00C65A04">
        <w:rPr>
          <w:szCs w:val="18"/>
        </w:rPr>
        <w:t xml:space="preserve"> viewed 11 March</w:t>
      </w:r>
      <w:r w:rsidR="00566065" w:rsidRPr="00C65A04">
        <w:rPr>
          <w:szCs w:val="18"/>
        </w:rPr>
        <w:t xml:space="preserve"> 2013, </w:t>
      </w:r>
      <w:hyperlink r:id="rId31" w:history="1">
        <w:r w:rsidRPr="00C65A04">
          <w:rPr>
            <w:rStyle w:val="Hyperlink"/>
            <w:sz w:val="18"/>
            <w:szCs w:val="18"/>
          </w:rPr>
          <w:t>&lt;</w:t>
        </w:r>
        <w:r w:rsidR="00566065" w:rsidRPr="00C65A04">
          <w:rPr>
            <w:rStyle w:val="Hyperlink"/>
            <w:sz w:val="18"/>
            <w:szCs w:val="18"/>
          </w:rPr>
          <w:t>www.ncver.edu.au/publications/2516.html</w:t>
        </w:r>
      </w:hyperlink>
      <w:r w:rsidRPr="00C65A04">
        <w:rPr>
          <w:szCs w:val="18"/>
        </w:rPr>
        <w:t>&gt;.</w:t>
      </w:r>
    </w:p>
    <w:p w:rsidR="009C7B5F" w:rsidRPr="00C65A04" w:rsidRDefault="009C7B5F" w:rsidP="00C65A04">
      <w:pPr>
        <w:pStyle w:val="References"/>
        <w:rPr>
          <w:szCs w:val="18"/>
        </w:rPr>
      </w:pPr>
      <w:proofErr w:type="gramStart"/>
      <w:r w:rsidRPr="00C65A04">
        <w:rPr>
          <w:szCs w:val="18"/>
        </w:rPr>
        <w:t xml:space="preserve">OECD </w:t>
      </w:r>
      <w:r w:rsidR="00256457" w:rsidRPr="00C65A04">
        <w:rPr>
          <w:szCs w:val="18"/>
        </w:rPr>
        <w:t xml:space="preserve">(Organisation for Economic Co-operation and Development) </w:t>
      </w:r>
      <w:r w:rsidRPr="00C65A04">
        <w:rPr>
          <w:szCs w:val="18"/>
        </w:rPr>
        <w:t>2007</w:t>
      </w:r>
      <w:r w:rsidR="00256457" w:rsidRPr="00C65A04">
        <w:rPr>
          <w:szCs w:val="18"/>
        </w:rPr>
        <w:t>,</w:t>
      </w:r>
      <w:r w:rsidRPr="00C65A04">
        <w:rPr>
          <w:szCs w:val="18"/>
        </w:rPr>
        <w:t xml:space="preserve"> </w:t>
      </w:r>
      <w:r w:rsidR="00256457" w:rsidRPr="00C65A04">
        <w:rPr>
          <w:i/>
          <w:szCs w:val="18"/>
        </w:rPr>
        <w:t>Qualifications s</w:t>
      </w:r>
      <w:r w:rsidR="0054214C" w:rsidRPr="00C65A04">
        <w:rPr>
          <w:i/>
          <w:szCs w:val="18"/>
        </w:rPr>
        <w:t>ystems bridges to lifelong learning</w:t>
      </w:r>
      <w:r w:rsidRPr="00C65A04">
        <w:rPr>
          <w:szCs w:val="18"/>
        </w:rPr>
        <w:t>, OECD</w:t>
      </w:r>
      <w:r w:rsidR="00256457" w:rsidRPr="00C65A04">
        <w:rPr>
          <w:szCs w:val="18"/>
        </w:rPr>
        <w:t>, Paris.</w:t>
      </w:r>
      <w:proofErr w:type="gramEnd"/>
    </w:p>
    <w:p w:rsidR="00625839" w:rsidRPr="00C65A04" w:rsidRDefault="00625839" w:rsidP="00C65A04">
      <w:pPr>
        <w:pStyle w:val="References"/>
        <w:rPr>
          <w:szCs w:val="18"/>
        </w:rPr>
      </w:pPr>
      <w:proofErr w:type="spellStart"/>
      <w:r w:rsidRPr="00C65A04">
        <w:rPr>
          <w:szCs w:val="18"/>
        </w:rPr>
        <w:t>Paez</w:t>
      </w:r>
      <w:proofErr w:type="spellEnd"/>
      <w:r w:rsidR="00256457" w:rsidRPr="00C65A04">
        <w:rPr>
          <w:szCs w:val="18"/>
        </w:rPr>
        <w:t>,</w:t>
      </w:r>
      <w:r w:rsidR="00772FC3" w:rsidRPr="00C65A04">
        <w:rPr>
          <w:szCs w:val="18"/>
        </w:rPr>
        <w:t xml:space="preserve"> D, Byrnes</w:t>
      </w:r>
      <w:r w:rsidR="00256457" w:rsidRPr="00C65A04">
        <w:rPr>
          <w:szCs w:val="18"/>
        </w:rPr>
        <w:t>,</w:t>
      </w:r>
      <w:r w:rsidR="00772FC3" w:rsidRPr="00C65A04">
        <w:rPr>
          <w:szCs w:val="18"/>
        </w:rPr>
        <w:t xml:space="preserve"> J, </w:t>
      </w:r>
      <w:r w:rsidRPr="00C65A04">
        <w:rPr>
          <w:szCs w:val="18"/>
        </w:rPr>
        <w:t>Blacker</w:t>
      </w:r>
      <w:r w:rsidR="00256457" w:rsidRPr="00C65A04">
        <w:rPr>
          <w:szCs w:val="18"/>
        </w:rPr>
        <w:t>,</w:t>
      </w:r>
      <w:r w:rsidRPr="00C65A04">
        <w:rPr>
          <w:szCs w:val="18"/>
        </w:rPr>
        <w:t xml:space="preserve"> J, </w:t>
      </w:r>
      <w:r w:rsidR="00772FC3" w:rsidRPr="00C65A04">
        <w:rPr>
          <w:szCs w:val="18"/>
        </w:rPr>
        <w:t>Jackson</w:t>
      </w:r>
      <w:r w:rsidR="00256457" w:rsidRPr="00C65A04">
        <w:rPr>
          <w:szCs w:val="18"/>
        </w:rPr>
        <w:t>,</w:t>
      </w:r>
      <w:r w:rsidR="00772FC3" w:rsidRPr="00C65A04">
        <w:rPr>
          <w:szCs w:val="18"/>
        </w:rPr>
        <w:t xml:space="preserve"> A &amp; Dwyer</w:t>
      </w:r>
      <w:r w:rsidR="00256457" w:rsidRPr="00C65A04">
        <w:rPr>
          <w:szCs w:val="18"/>
        </w:rPr>
        <w:t>,</w:t>
      </w:r>
      <w:r w:rsidR="00772FC3" w:rsidRPr="00C65A04">
        <w:rPr>
          <w:szCs w:val="18"/>
        </w:rPr>
        <w:t xml:space="preserve"> C 2010</w:t>
      </w:r>
      <w:r w:rsidRPr="00C65A04">
        <w:rPr>
          <w:szCs w:val="18"/>
        </w:rPr>
        <w:t xml:space="preserve">, </w:t>
      </w:r>
      <w:r w:rsidR="00772FC3" w:rsidRPr="00C65A04">
        <w:rPr>
          <w:szCs w:val="18"/>
        </w:rPr>
        <w:t>‘</w:t>
      </w:r>
      <w:r w:rsidR="00256457" w:rsidRPr="00C65A04">
        <w:rPr>
          <w:szCs w:val="18"/>
        </w:rPr>
        <w:t>Skills s</w:t>
      </w:r>
      <w:r w:rsidRPr="00C65A04">
        <w:rPr>
          <w:szCs w:val="18"/>
        </w:rPr>
        <w:t xml:space="preserve">hortages but who’s talking? The Integrated Articulation and Credit Transfer Project: </w:t>
      </w:r>
      <w:r w:rsidR="00256457" w:rsidRPr="00C65A04">
        <w:rPr>
          <w:szCs w:val="18"/>
        </w:rPr>
        <w:t>a report on research in progress’</w:t>
      </w:r>
      <w:r w:rsidRPr="00C65A04">
        <w:rPr>
          <w:szCs w:val="18"/>
        </w:rPr>
        <w:t xml:space="preserve">, </w:t>
      </w:r>
      <w:r w:rsidR="00256457" w:rsidRPr="00C65A04">
        <w:rPr>
          <w:szCs w:val="18"/>
        </w:rPr>
        <w:t>p</w:t>
      </w:r>
      <w:r w:rsidR="00772FC3" w:rsidRPr="00C65A04">
        <w:rPr>
          <w:szCs w:val="18"/>
        </w:rPr>
        <w:t xml:space="preserve">resentation to </w:t>
      </w:r>
      <w:r w:rsidR="00256457" w:rsidRPr="00C65A04">
        <w:rPr>
          <w:szCs w:val="18"/>
        </w:rPr>
        <w:t>the Australian University Community Engagement Alliance National Conference, 5—</w:t>
      </w:r>
      <w:r w:rsidR="00772FC3" w:rsidRPr="00C65A04">
        <w:rPr>
          <w:szCs w:val="18"/>
        </w:rPr>
        <w:t>7 July 2010, University of Tasmania, Launceston, Tasmania</w:t>
      </w:r>
      <w:r w:rsidR="00256457" w:rsidRPr="00C65A04">
        <w:rPr>
          <w:szCs w:val="18"/>
        </w:rPr>
        <w:t>, viewed 21 January</w:t>
      </w:r>
      <w:r w:rsidR="00772FC3" w:rsidRPr="00C65A04">
        <w:rPr>
          <w:szCs w:val="18"/>
        </w:rPr>
        <w:t xml:space="preserve"> 2013, </w:t>
      </w:r>
      <w:r w:rsidR="00256457" w:rsidRPr="00C65A04">
        <w:rPr>
          <w:szCs w:val="18"/>
        </w:rPr>
        <w:t>&lt;</w:t>
      </w:r>
      <w:r w:rsidR="00772FC3" w:rsidRPr="00C65A04">
        <w:rPr>
          <w:szCs w:val="18"/>
        </w:rPr>
        <w:t>http://3darticulation.com.au/wp-content/uploads/AUCEA_2010_Final.pdf</w:t>
      </w:r>
      <w:r w:rsidR="00256457" w:rsidRPr="00C65A04">
        <w:rPr>
          <w:szCs w:val="18"/>
        </w:rPr>
        <w:t>&gt;.</w:t>
      </w:r>
    </w:p>
    <w:p w:rsidR="00B73A41" w:rsidRPr="00C65A04" w:rsidRDefault="00701C29" w:rsidP="00C65A04">
      <w:pPr>
        <w:pStyle w:val="References"/>
        <w:rPr>
          <w:szCs w:val="18"/>
        </w:rPr>
      </w:pPr>
      <w:r w:rsidRPr="00C65A04">
        <w:rPr>
          <w:color w:val="292526"/>
          <w:szCs w:val="18"/>
        </w:rPr>
        <w:lastRenderedPageBreak/>
        <w:t>Phillips KPA 2006</w:t>
      </w:r>
      <w:r w:rsidR="00256457" w:rsidRPr="00C65A04">
        <w:rPr>
          <w:color w:val="292526"/>
          <w:szCs w:val="18"/>
        </w:rPr>
        <w:t>,</w:t>
      </w:r>
      <w:r w:rsidR="003958D3" w:rsidRPr="00C65A04">
        <w:rPr>
          <w:i/>
          <w:color w:val="292526"/>
          <w:szCs w:val="18"/>
        </w:rPr>
        <w:t xml:space="preserve"> Giving credit where credit is due: </w:t>
      </w:r>
      <w:r w:rsidR="00256457" w:rsidRPr="00C65A04">
        <w:rPr>
          <w:i/>
          <w:color w:val="292526"/>
          <w:szCs w:val="18"/>
        </w:rPr>
        <w:t>a</w:t>
      </w:r>
      <w:r w:rsidR="003958D3" w:rsidRPr="00C65A04">
        <w:rPr>
          <w:i/>
          <w:color w:val="292526"/>
          <w:szCs w:val="18"/>
        </w:rPr>
        <w:t xml:space="preserve"> national study to improve outcomes in credit transfer and articulation from vocational and technical education to higher education</w:t>
      </w:r>
      <w:r w:rsidR="00256457" w:rsidRPr="00C65A04">
        <w:rPr>
          <w:color w:val="292526"/>
          <w:szCs w:val="18"/>
        </w:rPr>
        <w:t xml:space="preserve">, </w:t>
      </w:r>
      <w:r w:rsidR="00A718A5" w:rsidRPr="00C65A04">
        <w:rPr>
          <w:color w:val="292526"/>
          <w:szCs w:val="18"/>
        </w:rPr>
        <w:t>viewed 17</w:t>
      </w:r>
      <w:r w:rsidR="00184F0F">
        <w:rPr>
          <w:color w:val="292526"/>
          <w:szCs w:val="18"/>
        </w:rPr>
        <w:t> </w:t>
      </w:r>
      <w:r w:rsidR="00776553" w:rsidRPr="00C65A04">
        <w:rPr>
          <w:color w:val="292526"/>
          <w:szCs w:val="18"/>
        </w:rPr>
        <w:t>January</w:t>
      </w:r>
      <w:r w:rsidR="00A718A5" w:rsidRPr="00C65A04">
        <w:rPr>
          <w:color w:val="292526"/>
          <w:szCs w:val="18"/>
        </w:rPr>
        <w:t xml:space="preserve"> 2013,</w:t>
      </w:r>
      <w:r w:rsidR="00776553" w:rsidRPr="00C65A04">
        <w:rPr>
          <w:color w:val="292526"/>
          <w:szCs w:val="18"/>
        </w:rPr>
        <w:t xml:space="preserve"> </w:t>
      </w:r>
      <w:hyperlink w:history="1">
        <w:r w:rsidR="00184F0F" w:rsidRPr="007D2D93">
          <w:rPr>
            <w:rStyle w:val="Hyperlink"/>
            <w:sz w:val="18"/>
            <w:szCs w:val="18"/>
          </w:rPr>
          <w:t>&lt;www.innovation.gov.au/HigherEducation/Quality/Documents/QualityAssurance/ Giving_Credit.pdf</w:t>
        </w:r>
      </w:hyperlink>
      <w:r w:rsidR="00256457" w:rsidRPr="00C65A04">
        <w:rPr>
          <w:szCs w:val="18"/>
        </w:rPr>
        <w:t>&gt;.</w:t>
      </w:r>
    </w:p>
    <w:p w:rsidR="00701C29" w:rsidRPr="00C65A04" w:rsidRDefault="0033247E" w:rsidP="00C65A04">
      <w:pPr>
        <w:pStyle w:val="References"/>
        <w:rPr>
          <w:szCs w:val="18"/>
        </w:rPr>
      </w:pPr>
      <w:proofErr w:type="gramStart"/>
      <w:r w:rsidRPr="00C65A04">
        <w:rPr>
          <w:color w:val="292526"/>
          <w:szCs w:val="18"/>
        </w:rPr>
        <w:t>——</w:t>
      </w:r>
      <w:r w:rsidR="00B73A41" w:rsidRPr="00C65A04">
        <w:rPr>
          <w:color w:val="292526"/>
          <w:szCs w:val="18"/>
        </w:rPr>
        <w:t>2010</w:t>
      </w:r>
      <w:r w:rsidRPr="00C65A04">
        <w:rPr>
          <w:color w:val="292526"/>
          <w:szCs w:val="18"/>
        </w:rPr>
        <w:t xml:space="preserve">, </w:t>
      </w:r>
      <w:r w:rsidR="003958D3" w:rsidRPr="00C65A04">
        <w:rPr>
          <w:i/>
          <w:color w:val="292526"/>
          <w:szCs w:val="18"/>
        </w:rPr>
        <w:t xml:space="preserve">Innovative </w:t>
      </w:r>
      <w:r w:rsidRPr="00C65A04">
        <w:rPr>
          <w:i/>
          <w:color w:val="292526"/>
          <w:szCs w:val="18"/>
        </w:rPr>
        <w:t>tertiary pathways models, final repor</w:t>
      </w:r>
      <w:r w:rsidRPr="00C65A04">
        <w:rPr>
          <w:color w:val="292526"/>
          <w:szCs w:val="18"/>
        </w:rPr>
        <w:t xml:space="preserve">t, </w:t>
      </w:r>
      <w:r w:rsidR="00776553" w:rsidRPr="00C65A04">
        <w:rPr>
          <w:color w:val="292526"/>
          <w:szCs w:val="18"/>
        </w:rPr>
        <w:t xml:space="preserve">viewed 13 January 2013, </w:t>
      </w:r>
      <w:r w:rsidRPr="00C65A04">
        <w:rPr>
          <w:color w:val="292526"/>
          <w:szCs w:val="18"/>
        </w:rPr>
        <w:t>&lt;</w:t>
      </w:r>
      <w:r w:rsidR="00776553" w:rsidRPr="00C65A04">
        <w:rPr>
          <w:color w:val="292526"/>
          <w:szCs w:val="18"/>
        </w:rPr>
        <w:t>www.bvet.nsw.gov.au/pdf/KPATertiarymodelsfinalreport.pdf</w:t>
      </w:r>
      <w:r w:rsidRPr="00C65A04">
        <w:rPr>
          <w:color w:val="292526"/>
          <w:szCs w:val="18"/>
        </w:rPr>
        <w:t>&gt;.</w:t>
      </w:r>
      <w:proofErr w:type="gramEnd"/>
      <w:r w:rsidR="00776553" w:rsidRPr="00C65A04">
        <w:rPr>
          <w:color w:val="292526"/>
          <w:szCs w:val="18"/>
        </w:rPr>
        <w:t xml:space="preserve"> </w:t>
      </w:r>
    </w:p>
    <w:p w:rsidR="007807B1" w:rsidRPr="00C65A04" w:rsidRDefault="00D54D82" w:rsidP="00C65A04">
      <w:pPr>
        <w:pStyle w:val="References"/>
        <w:rPr>
          <w:szCs w:val="18"/>
        </w:rPr>
      </w:pPr>
      <w:r w:rsidRPr="00C65A04">
        <w:rPr>
          <w:szCs w:val="18"/>
        </w:rPr>
        <w:t>Walls</w:t>
      </w:r>
      <w:r w:rsidR="0033247E" w:rsidRPr="00C65A04">
        <w:rPr>
          <w:szCs w:val="18"/>
        </w:rPr>
        <w:t>,</w:t>
      </w:r>
      <w:r w:rsidRPr="00C65A04">
        <w:rPr>
          <w:szCs w:val="18"/>
        </w:rPr>
        <w:t xml:space="preserve"> S &amp; </w:t>
      </w:r>
      <w:proofErr w:type="spellStart"/>
      <w:r w:rsidRPr="00C65A04">
        <w:rPr>
          <w:szCs w:val="18"/>
        </w:rPr>
        <w:t>Pardy</w:t>
      </w:r>
      <w:proofErr w:type="spellEnd"/>
      <w:r w:rsidR="0033247E" w:rsidRPr="00C65A04">
        <w:rPr>
          <w:szCs w:val="18"/>
        </w:rPr>
        <w:t>,</w:t>
      </w:r>
      <w:r w:rsidR="007807B1" w:rsidRPr="00C65A04">
        <w:rPr>
          <w:szCs w:val="18"/>
        </w:rPr>
        <w:t xml:space="preserve"> J 2010, </w:t>
      </w:r>
      <w:proofErr w:type="gramStart"/>
      <w:r w:rsidR="003958D3" w:rsidRPr="00C65A04">
        <w:rPr>
          <w:i/>
          <w:szCs w:val="18"/>
        </w:rPr>
        <w:t>Crediting</w:t>
      </w:r>
      <w:proofErr w:type="gramEnd"/>
      <w:r w:rsidR="003958D3" w:rsidRPr="00C65A04">
        <w:rPr>
          <w:i/>
          <w:szCs w:val="18"/>
        </w:rPr>
        <w:t xml:space="preserve"> vocational education and training for learner mobility</w:t>
      </w:r>
      <w:r w:rsidR="007807B1" w:rsidRPr="00C65A04">
        <w:rPr>
          <w:szCs w:val="18"/>
        </w:rPr>
        <w:t xml:space="preserve">, </w:t>
      </w:r>
      <w:r w:rsidR="0033247E" w:rsidRPr="00C65A04">
        <w:rPr>
          <w:szCs w:val="18"/>
        </w:rPr>
        <w:t>NCVER, Adelaide.</w:t>
      </w:r>
    </w:p>
    <w:p w:rsidR="00646DE2" w:rsidRPr="00C65A04" w:rsidRDefault="00646DE2" w:rsidP="00C65A04">
      <w:pPr>
        <w:pStyle w:val="References"/>
        <w:rPr>
          <w:szCs w:val="18"/>
        </w:rPr>
      </w:pPr>
      <w:r w:rsidRPr="00C65A04">
        <w:rPr>
          <w:szCs w:val="18"/>
        </w:rPr>
        <w:t>Watson</w:t>
      </w:r>
      <w:r w:rsidR="0033247E" w:rsidRPr="00C65A04">
        <w:rPr>
          <w:szCs w:val="18"/>
        </w:rPr>
        <w:t>,</w:t>
      </w:r>
      <w:r w:rsidRPr="00C65A04">
        <w:rPr>
          <w:szCs w:val="18"/>
        </w:rPr>
        <w:t xml:space="preserve"> L &amp; McIntyre</w:t>
      </w:r>
      <w:r w:rsidR="0033247E" w:rsidRPr="00C65A04">
        <w:rPr>
          <w:szCs w:val="18"/>
        </w:rPr>
        <w:t>, J</w:t>
      </w:r>
      <w:r w:rsidRPr="00C65A04">
        <w:rPr>
          <w:szCs w:val="18"/>
        </w:rPr>
        <w:t xml:space="preserve"> 2011</w:t>
      </w:r>
      <w:r w:rsidR="0033247E" w:rsidRPr="00C65A04">
        <w:rPr>
          <w:szCs w:val="18"/>
        </w:rPr>
        <w:t>,</w:t>
      </w:r>
      <w:r w:rsidRPr="00C65A04">
        <w:rPr>
          <w:szCs w:val="18"/>
        </w:rPr>
        <w:t xml:space="preserve"> </w:t>
      </w:r>
      <w:r w:rsidR="003958D3" w:rsidRPr="00C65A04">
        <w:rPr>
          <w:i/>
          <w:szCs w:val="18"/>
        </w:rPr>
        <w:t xml:space="preserve">Scaling </w:t>
      </w:r>
      <w:r w:rsidR="0033247E" w:rsidRPr="00C65A04">
        <w:rPr>
          <w:i/>
          <w:szCs w:val="18"/>
        </w:rPr>
        <w:t xml:space="preserve">up building </w:t>
      </w:r>
      <w:r w:rsidR="003958D3" w:rsidRPr="00C65A04">
        <w:rPr>
          <w:i/>
          <w:szCs w:val="18"/>
        </w:rPr>
        <w:t>engineering workforce capacity through education and training</w:t>
      </w:r>
      <w:r w:rsidRPr="00C65A04">
        <w:rPr>
          <w:szCs w:val="18"/>
        </w:rPr>
        <w:t xml:space="preserve">, </w:t>
      </w:r>
      <w:r w:rsidR="0033247E" w:rsidRPr="00C65A04">
        <w:rPr>
          <w:szCs w:val="18"/>
        </w:rPr>
        <w:t>f</w:t>
      </w:r>
      <w:r w:rsidR="00542DCD" w:rsidRPr="00C65A04">
        <w:rPr>
          <w:szCs w:val="18"/>
        </w:rPr>
        <w:t xml:space="preserve">inal report, </w:t>
      </w:r>
      <w:r w:rsidRPr="00C65A04">
        <w:rPr>
          <w:szCs w:val="18"/>
        </w:rPr>
        <w:t>University of Canberra</w:t>
      </w:r>
      <w:r w:rsidR="00542DCD" w:rsidRPr="00C65A04">
        <w:rPr>
          <w:szCs w:val="18"/>
        </w:rPr>
        <w:t>, viewed</w:t>
      </w:r>
      <w:r w:rsidR="00510D3B" w:rsidRPr="00C65A04">
        <w:rPr>
          <w:szCs w:val="18"/>
        </w:rPr>
        <w:t xml:space="preserve"> </w:t>
      </w:r>
      <w:r w:rsidR="00D13829" w:rsidRPr="00C65A04">
        <w:rPr>
          <w:szCs w:val="18"/>
        </w:rPr>
        <w:t>21 J</w:t>
      </w:r>
      <w:r w:rsidR="0033247E" w:rsidRPr="00C65A04">
        <w:rPr>
          <w:szCs w:val="18"/>
        </w:rPr>
        <w:t>anuary</w:t>
      </w:r>
      <w:r w:rsidR="00542DCD" w:rsidRPr="00C65A04">
        <w:rPr>
          <w:szCs w:val="18"/>
        </w:rPr>
        <w:t xml:space="preserve"> 2013, </w:t>
      </w:r>
      <w:r w:rsidR="0033247E" w:rsidRPr="00C65A04">
        <w:rPr>
          <w:szCs w:val="18"/>
        </w:rPr>
        <w:t>&lt;</w:t>
      </w:r>
      <w:r w:rsidR="00542DCD" w:rsidRPr="00C65A04">
        <w:rPr>
          <w:szCs w:val="18"/>
        </w:rPr>
        <w:t>www.anet.org.au/wp-content/uploads/2011/06/ANET-Scaling-Up2.pdf</w:t>
      </w:r>
      <w:r w:rsidR="0033247E" w:rsidRPr="00C65A04">
        <w:rPr>
          <w:szCs w:val="18"/>
        </w:rPr>
        <w:t>&gt;.</w:t>
      </w:r>
      <w:r w:rsidRPr="00C65A04">
        <w:rPr>
          <w:szCs w:val="18"/>
        </w:rPr>
        <w:t xml:space="preserve"> </w:t>
      </w:r>
    </w:p>
    <w:p w:rsidR="00EF31D3" w:rsidRPr="00C65A04" w:rsidRDefault="00EF31D3" w:rsidP="00C65A04">
      <w:pPr>
        <w:pStyle w:val="References"/>
        <w:rPr>
          <w:szCs w:val="18"/>
        </w:rPr>
      </w:pPr>
      <w:proofErr w:type="spellStart"/>
      <w:proofErr w:type="gramStart"/>
      <w:r w:rsidRPr="00C65A04">
        <w:rPr>
          <w:szCs w:val="18"/>
        </w:rPr>
        <w:t>Wheelahan</w:t>
      </w:r>
      <w:proofErr w:type="spellEnd"/>
      <w:r w:rsidR="0033247E" w:rsidRPr="00C65A04">
        <w:rPr>
          <w:szCs w:val="18"/>
        </w:rPr>
        <w:t>,</w:t>
      </w:r>
      <w:r w:rsidRPr="00C65A04">
        <w:rPr>
          <w:szCs w:val="18"/>
        </w:rPr>
        <w:t xml:space="preserve"> L</w:t>
      </w:r>
      <w:r w:rsidR="00510D3B" w:rsidRPr="00C65A04">
        <w:rPr>
          <w:szCs w:val="18"/>
        </w:rPr>
        <w:t xml:space="preserve"> </w:t>
      </w:r>
      <w:r w:rsidRPr="00C65A04">
        <w:rPr>
          <w:szCs w:val="18"/>
        </w:rPr>
        <w:t>2009a</w:t>
      </w:r>
      <w:r w:rsidR="006352F8" w:rsidRPr="00C65A04">
        <w:rPr>
          <w:szCs w:val="18"/>
        </w:rPr>
        <w:t>,</w:t>
      </w:r>
      <w:r w:rsidRPr="00C65A04">
        <w:rPr>
          <w:szCs w:val="18"/>
        </w:rPr>
        <w:t xml:space="preserve"> ‘The problem with CBT (and why constructivism makes things worse’</w:t>
      </w:r>
      <w:r w:rsidR="0033247E" w:rsidRPr="00C65A04">
        <w:rPr>
          <w:szCs w:val="18"/>
        </w:rPr>
        <w:t>,</w:t>
      </w:r>
      <w:r w:rsidRPr="00C65A04">
        <w:rPr>
          <w:szCs w:val="18"/>
        </w:rPr>
        <w:t xml:space="preserve"> </w:t>
      </w:r>
      <w:hyperlink r:id="rId32" w:history="1">
        <w:r w:rsidR="003958D3" w:rsidRPr="00C65A04">
          <w:rPr>
            <w:rFonts w:cs="Arial"/>
            <w:i/>
            <w:szCs w:val="18"/>
            <w:lang w:val="en-US"/>
          </w:rPr>
          <w:t>Journal of Education and Work</w:t>
        </w:r>
      </w:hyperlink>
      <w:r w:rsidR="003958D3" w:rsidRPr="00C65A04">
        <w:rPr>
          <w:rFonts w:cs="Arial"/>
          <w:color w:val="4B4941"/>
          <w:szCs w:val="18"/>
          <w:lang w:val="en-US"/>
        </w:rPr>
        <w:t xml:space="preserve">, </w:t>
      </w:r>
      <w:r w:rsidR="0033247E" w:rsidRPr="00C65A04">
        <w:rPr>
          <w:rFonts w:cs="Arial"/>
          <w:color w:val="4B4941"/>
          <w:szCs w:val="18"/>
          <w:lang w:val="en-US"/>
        </w:rPr>
        <w:t>vol.</w:t>
      </w:r>
      <w:r w:rsidR="003958D3" w:rsidRPr="00C65A04">
        <w:rPr>
          <w:rFonts w:cs="Arial"/>
          <w:color w:val="4B4941"/>
          <w:szCs w:val="18"/>
          <w:lang w:val="en-US"/>
        </w:rPr>
        <w:t>22, </w:t>
      </w:r>
      <w:r w:rsidR="0033247E" w:rsidRPr="00C65A04">
        <w:rPr>
          <w:rFonts w:cs="Arial"/>
          <w:color w:val="4B4941"/>
          <w:szCs w:val="18"/>
          <w:lang w:val="en-US"/>
        </w:rPr>
        <w:t>no.3, July, pp.227—</w:t>
      </w:r>
      <w:r w:rsidR="003958D3" w:rsidRPr="00C65A04">
        <w:rPr>
          <w:rFonts w:cs="Arial"/>
          <w:color w:val="4B4941"/>
          <w:szCs w:val="18"/>
          <w:lang w:val="en-US"/>
        </w:rPr>
        <w:t>42</w:t>
      </w:r>
      <w:r w:rsidR="006352F8" w:rsidRPr="00C65A04">
        <w:rPr>
          <w:rFonts w:cs="Arial"/>
          <w:color w:val="4B4941"/>
          <w:szCs w:val="18"/>
          <w:lang w:val="en-US"/>
        </w:rPr>
        <w:t>.</w:t>
      </w:r>
      <w:proofErr w:type="gramEnd"/>
    </w:p>
    <w:p w:rsidR="00192E26" w:rsidRPr="00C65A04" w:rsidRDefault="0033247E" w:rsidP="00C65A04">
      <w:pPr>
        <w:pStyle w:val="References"/>
        <w:rPr>
          <w:szCs w:val="18"/>
        </w:rPr>
      </w:pPr>
      <w:r w:rsidRPr="00C65A04">
        <w:rPr>
          <w:szCs w:val="18"/>
        </w:rPr>
        <w:t>——</w:t>
      </w:r>
      <w:r w:rsidR="00701C29" w:rsidRPr="00C65A04">
        <w:rPr>
          <w:szCs w:val="18"/>
        </w:rPr>
        <w:t>2009</w:t>
      </w:r>
      <w:r w:rsidR="00420420" w:rsidRPr="00C65A04">
        <w:rPr>
          <w:szCs w:val="18"/>
        </w:rPr>
        <w:t>b</w:t>
      </w:r>
      <w:r w:rsidRPr="00C65A04">
        <w:rPr>
          <w:szCs w:val="18"/>
        </w:rPr>
        <w:t>,</w:t>
      </w:r>
      <w:r w:rsidR="00D565D9" w:rsidRPr="00C65A04">
        <w:rPr>
          <w:szCs w:val="18"/>
        </w:rPr>
        <w:t xml:space="preserve"> </w:t>
      </w:r>
      <w:r w:rsidRPr="00C65A04">
        <w:rPr>
          <w:szCs w:val="18"/>
        </w:rPr>
        <w:t>‘</w:t>
      </w:r>
      <w:r w:rsidR="003958D3" w:rsidRPr="00C65A04">
        <w:rPr>
          <w:szCs w:val="18"/>
        </w:rPr>
        <w:t>What kind of access does VET provide to higher education for low SES students</w:t>
      </w:r>
      <w:r w:rsidR="00192E26" w:rsidRPr="00C65A04">
        <w:rPr>
          <w:szCs w:val="18"/>
        </w:rPr>
        <w:t>?</w:t>
      </w:r>
      <w:r w:rsidRPr="00C65A04">
        <w:rPr>
          <w:szCs w:val="18"/>
        </w:rPr>
        <w:t xml:space="preserve"> </w:t>
      </w:r>
      <w:r w:rsidR="003958D3" w:rsidRPr="00C65A04">
        <w:rPr>
          <w:szCs w:val="18"/>
        </w:rPr>
        <w:t>Not a lot</w:t>
      </w:r>
      <w:r w:rsidRPr="00C65A04">
        <w:rPr>
          <w:szCs w:val="18"/>
        </w:rPr>
        <w:t>’, p</w:t>
      </w:r>
      <w:r w:rsidR="00D565D9" w:rsidRPr="00C65A04">
        <w:rPr>
          <w:szCs w:val="18"/>
        </w:rPr>
        <w:t>aper to N</w:t>
      </w:r>
      <w:r w:rsidR="005F5312" w:rsidRPr="00C65A04">
        <w:rPr>
          <w:szCs w:val="18"/>
        </w:rPr>
        <w:t xml:space="preserve">ational </w:t>
      </w:r>
      <w:r w:rsidR="00D565D9" w:rsidRPr="00C65A04">
        <w:rPr>
          <w:szCs w:val="18"/>
        </w:rPr>
        <w:t>C</w:t>
      </w:r>
      <w:r w:rsidR="005F5312" w:rsidRPr="00C65A04">
        <w:rPr>
          <w:szCs w:val="18"/>
        </w:rPr>
        <w:t xml:space="preserve">entre for </w:t>
      </w:r>
      <w:r w:rsidR="00D565D9" w:rsidRPr="00C65A04">
        <w:rPr>
          <w:szCs w:val="18"/>
        </w:rPr>
        <w:t>S</w:t>
      </w:r>
      <w:r w:rsidR="005F5312" w:rsidRPr="00C65A04">
        <w:rPr>
          <w:szCs w:val="18"/>
        </w:rPr>
        <w:t xml:space="preserve">tudent </w:t>
      </w:r>
      <w:r w:rsidR="00D565D9" w:rsidRPr="00C65A04">
        <w:rPr>
          <w:szCs w:val="18"/>
        </w:rPr>
        <w:t>E</w:t>
      </w:r>
      <w:r w:rsidR="005F5312" w:rsidRPr="00C65A04">
        <w:rPr>
          <w:szCs w:val="18"/>
        </w:rPr>
        <w:t xml:space="preserve">quity in </w:t>
      </w:r>
      <w:r w:rsidR="00D565D9" w:rsidRPr="00C65A04">
        <w:rPr>
          <w:szCs w:val="18"/>
        </w:rPr>
        <w:t>H</w:t>
      </w:r>
      <w:r w:rsidR="005F5312" w:rsidRPr="00C65A04">
        <w:rPr>
          <w:szCs w:val="18"/>
        </w:rPr>
        <w:t xml:space="preserve">igher </w:t>
      </w:r>
      <w:r w:rsidR="00D565D9" w:rsidRPr="00C65A04">
        <w:rPr>
          <w:szCs w:val="18"/>
        </w:rPr>
        <w:t>E</w:t>
      </w:r>
      <w:r w:rsidR="005F5312" w:rsidRPr="00C65A04">
        <w:rPr>
          <w:szCs w:val="18"/>
        </w:rPr>
        <w:t>ducation, Launch and</w:t>
      </w:r>
      <w:r w:rsidR="00510D3B" w:rsidRPr="00C65A04">
        <w:rPr>
          <w:szCs w:val="18"/>
        </w:rPr>
        <w:t xml:space="preserve"> </w:t>
      </w:r>
      <w:r w:rsidR="005F5312" w:rsidRPr="00C65A04">
        <w:rPr>
          <w:szCs w:val="18"/>
        </w:rPr>
        <w:t>F</w:t>
      </w:r>
      <w:r w:rsidR="00D565D9" w:rsidRPr="00C65A04">
        <w:rPr>
          <w:szCs w:val="18"/>
        </w:rPr>
        <w:t>orum</w:t>
      </w:r>
      <w:r w:rsidR="005F5312" w:rsidRPr="00C65A04">
        <w:rPr>
          <w:szCs w:val="18"/>
        </w:rPr>
        <w:t xml:space="preserve">, </w:t>
      </w:r>
      <w:r w:rsidR="00192E26" w:rsidRPr="00C65A04">
        <w:rPr>
          <w:szCs w:val="18"/>
        </w:rPr>
        <w:t xml:space="preserve">University of South Australia, </w:t>
      </w:r>
      <w:r w:rsidRPr="00C65A04">
        <w:rPr>
          <w:szCs w:val="18"/>
        </w:rPr>
        <w:t>25—26 February</w:t>
      </w:r>
      <w:r w:rsidR="005F5312" w:rsidRPr="00C65A04">
        <w:rPr>
          <w:szCs w:val="18"/>
        </w:rPr>
        <w:t xml:space="preserve"> 2009,</w:t>
      </w:r>
      <w:r w:rsidR="006352F8" w:rsidRPr="00C65A04">
        <w:rPr>
          <w:szCs w:val="18"/>
        </w:rPr>
        <w:t xml:space="preserve"> </w:t>
      </w:r>
      <w:r w:rsidR="005F5312" w:rsidRPr="00C65A04">
        <w:rPr>
          <w:szCs w:val="18"/>
        </w:rPr>
        <w:t>vi</w:t>
      </w:r>
      <w:r w:rsidR="00192E26" w:rsidRPr="00C65A04">
        <w:rPr>
          <w:szCs w:val="18"/>
        </w:rPr>
        <w:t>e</w:t>
      </w:r>
      <w:r w:rsidR="005F5312" w:rsidRPr="00C65A04">
        <w:rPr>
          <w:szCs w:val="18"/>
        </w:rPr>
        <w:t>wed 17 January 2013</w:t>
      </w:r>
      <w:r w:rsidRPr="00C65A04">
        <w:rPr>
          <w:szCs w:val="18"/>
        </w:rPr>
        <w:t>, &lt;</w:t>
      </w:r>
      <w:hyperlink r:id="rId33" w:history="1">
        <w:r w:rsidR="00184F0F" w:rsidRPr="007D2D93">
          <w:rPr>
            <w:rStyle w:val="Hyperlink"/>
            <w:sz w:val="18"/>
            <w:szCs w:val="18"/>
          </w:rPr>
          <w:t>http://w3.unisa.edu.au/hawkeinstitute/ ncsehe/student-equity-forum-2009/wheelahan-what-kind-of-access.pdf</w:t>
        </w:r>
      </w:hyperlink>
      <w:r w:rsidRPr="00C65A04">
        <w:rPr>
          <w:szCs w:val="18"/>
        </w:rPr>
        <w:t>&gt;.</w:t>
      </w:r>
    </w:p>
    <w:p w:rsidR="00420420" w:rsidRPr="00C65A04" w:rsidRDefault="0033247E" w:rsidP="00C65A04">
      <w:pPr>
        <w:pStyle w:val="References"/>
        <w:rPr>
          <w:szCs w:val="18"/>
        </w:rPr>
      </w:pPr>
      <w:r w:rsidRPr="00C65A04">
        <w:rPr>
          <w:szCs w:val="18"/>
        </w:rPr>
        <w:t>——</w:t>
      </w:r>
      <w:r w:rsidR="00420420" w:rsidRPr="00C65A04">
        <w:rPr>
          <w:szCs w:val="18"/>
        </w:rPr>
        <w:t xml:space="preserve">2009c </w:t>
      </w:r>
      <w:r w:rsidR="003958D3" w:rsidRPr="00C65A04">
        <w:rPr>
          <w:i/>
          <w:szCs w:val="18"/>
        </w:rPr>
        <w:t xml:space="preserve">Programs and </w:t>
      </w:r>
      <w:r w:rsidRPr="00C65A04">
        <w:rPr>
          <w:i/>
          <w:szCs w:val="18"/>
        </w:rPr>
        <w:t>pathways report</w:t>
      </w:r>
      <w:r w:rsidR="00FA630A" w:rsidRPr="00C65A04">
        <w:rPr>
          <w:szCs w:val="18"/>
        </w:rPr>
        <w:t xml:space="preserve">, AQFC Pathways Project, viewed </w:t>
      </w:r>
      <w:r w:rsidR="00FD0EE0" w:rsidRPr="00C65A04">
        <w:rPr>
          <w:szCs w:val="18"/>
        </w:rPr>
        <w:t xml:space="preserve">20 August 2012, </w:t>
      </w:r>
      <w:hyperlink w:history="1">
        <w:r w:rsidR="00184F0F" w:rsidRPr="007D2D93">
          <w:rPr>
            <w:rStyle w:val="Hyperlink"/>
            <w:sz w:val="18"/>
            <w:szCs w:val="18"/>
          </w:rPr>
          <w:t>&lt;www.aqf.edu.au/Portals/0/Documents/Projects/Pathways%20Final%20Report%20-%20Programs% 20and%20pathways.pdf</w:t>
        </w:r>
      </w:hyperlink>
      <w:r w:rsidRPr="00C65A04">
        <w:rPr>
          <w:szCs w:val="18"/>
        </w:rPr>
        <w:t>&gt;.</w:t>
      </w:r>
    </w:p>
    <w:p w:rsidR="0090508E" w:rsidRPr="00C65A04" w:rsidRDefault="0090508E" w:rsidP="00C65A04">
      <w:pPr>
        <w:pStyle w:val="References"/>
        <w:rPr>
          <w:szCs w:val="18"/>
        </w:rPr>
      </w:pPr>
      <w:r w:rsidRPr="00C65A04">
        <w:rPr>
          <w:szCs w:val="18"/>
        </w:rPr>
        <w:t xml:space="preserve">——2010, </w:t>
      </w:r>
      <w:r w:rsidRPr="00C65A04">
        <w:rPr>
          <w:i/>
          <w:szCs w:val="18"/>
        </w:rPr>
        <w:t>Rethinking equity in tertiary education</w:t>
      </w:r>
      <w:r w:rsidR="0076732B">
        <w:rPr>
          <w:i/>
          <w:szCs w:val="18"/>
        </w:rPr>
        <w:t>:</w:t>
      </w:r>
      <w:r w:rsidRPr="00C65A04">
        <w:rPr>
          <w:i/>
          <w:szCs w:val="18"/>
        </w:rPr>
        <w:t xml:space="preserve"> </w:t>
      </w:r>
      <w:r w:rsidR="0076732B">
        <w:rPr>
          <w:i/>
          <w:szCs w:val="18"/>
        </w:rPr>
        <w:t>w</w:t>
      </w:r>
      <w:r w:rsidRPr="00C65A04">
        <w:rPr>
          <w:i/>
          <w:szCs w:val="18"/>
        </w:rPr>
        <w:t>hy we need to think as one sector not two</w:t>
      </w:r>
      <w:r w:rsidRPr="00C65A04">
        <w:rPr>
          <w:szCs w:val="18"/>
        </w:rPr>
        <w:t xml:space="preserve">, L H Martin Institute for Higher </w:t>
      </w:r>
      <w:r w:rsidR="00184F0F" w:rsidRPr="00C65A04">
        <w:rPr>
          <w:szCs w:val="18"/>
        </w:rPr>
        <w:t xml:space="preserve">Education </w:t>
      </w:r>
      <w:r w:rsidRPr="00C65A04">
        <w:rPr>
          <w:szCs w:val="18"/>
        </w:rPr>
        <w:t>Leadership and Management, University of Melbourne, viewed 18 January 2013, &lt;http://dtl.unimelb.edu.au:80/R/T6K2I2J4QA4RH4NHLTAAHIVSS96I969YBNPPEPEY32VXCYYAJ6-01195?func=dbin-jump-full&amp;object_id=264301&amp;local_base=GEN01&amp;pds_handle=GUEST&gt;.</w:t>
      </w:r>
    </w:p>
    <w:p w:rsidR="0090508E" w:rsidRPr="00C65A04" w:rsidRDefault="0090508E" w:rsidP="00C65A04">
      <w:pPr>
        <w:pStyle w:val="References"/>
        <w:rPr>
          <w:szCs w:val="18"/>
        </w:rPr>
      </w:pPr>
      <w:proofErr w:type="spellStart"/>
      <w:r w:rsidRPr="00C65A04">
        <w:rPr>
          <w:szCs w:val="18"/>
        </w:rPr>
        <w:t>Wheelahan</w:t>
      </w:r>
      <w:proofErr w:type="spellEnd"/>
      <w:r w:rsidRPr="00C65A04">
        <w:rPr>
          <w:szCs w:val="18"/>
        </w:rPr>
        <w:t xml:space="preserve">, L, Moodie, G &amp; Buchanan, J 2012, </w:t>
      </w:r>
      <w:r w:rsidRPr="00C65A04">
        <w:rPr>
          <w:i/>
          <w:szCs w:val="18"/>
        </w:rPr>
        <w:t>Revitalising the ‘vocational’ in flows of learning and labour</w:t>
      </w:r>
      <w:r w:rsidRPr="00C65A04">
        <w:rPr>
          <w:szCs w:val="18"/>
        </w:rPr>
        <w:t>, NVETRE discussion paper, NCVER, viewed 21 January 2013, &lt;www.ncver.edu.au/publications/2535.html&gt;.</w:t>
      </w:r>
    </w:p>
    <w:p w:rsidR="00196F53" w:rsidRDefault="004303F2" w:rsidP="00C65A04">
      <w:pPr>
        <w:pStyle w:val="References"/>
      </w:pPr>
      <w:proofErr w:type="spellStart"/>
      <w:proofErr w:type="gramStart"/>
      <w:r>
        <w:t>Wheelahan</w:t>
      </w:r>
      <w:proofErr w:type="spellEnd"/>
      <w:r w:rsidR="0033247E">
        <w:t>,</w:t>
      </w:r>
      <w:r>
        <w:t xml:space="preserve"> L</w:t>
      </w:r>
      <w:r w:rsidR="00196F53">
        <w:t>, Moodie</w:t>
      </w:r>
      <w:r w:rsidR="0033247E">
        <w:t>,</w:t>
      </w:r>
      <w:r w:rsidR="00196F53">
        <w:t xml:space="preserve"> G, Billett</w:t>
      </w:r>
      <w:r w:rsidR="0033247E">
        <w:t>, S</w:t>
      </w:r>
      <w:r w:rsidR="00196F53">
        <w:t xml:space="preserve"> &amp; Kelly</w:t>
      </w:r>
      <w:r w:rsidR="0033247E">
        <w:t>,</w:t>
      </w:r>
      <w:r w:rsidR="00196F53">
        <w:t xml:space="preserve"> </w:t>
      </w:r>
      <w:r>
        <w:t>A</w:t>
      </w:r>
      <w:r w:rsidR="00196F53">
        <w:t xml:space="preserve"> 2009</w:t>
      </w:r>
      <w:r w:rsidR="0033247E">
        <w:t>,</w:t>
      </w:r>
      <w:r w:rsidR="00196F53">
        <w:t xml:space="preserve"> </w:t>
      </w:r>
      <w:r w:rsidR="0033247E">
        <w:rPr>
          <w:i/>
        </w:rPr>
        <w:t>Higher e</w:t>
      </w:r>
      <w:r w:rsidR="003958D3" w:rsidRPr="003958D3">
        <w:rPr>
          <w:i/>
        </w:rPr>
        <w:t>ducation in TAFE</w:t>
      </w:r>
      <w:r w:rsidR="00196F53">
        <w:t xml:space="preserve">, NCVER, viewed 12 February 2013, </w:t>
      </w:r>
      <w:r w:rsidR="0033247E">
        <w:t>&lt;</w:t>
      </w:r>
      <w:r w:rsidR="00196F53" w:rsidRPr="00196F53">
        <w:t>www.ncver.edu.au/publications/2167.html</w:t>
      </w:r>
      <w:r w:rsidR="0033247E">
        <w:t>&gt;.</w:t>
      </w:r>
      <w:proofErr w:type="gramEnd"/>
    </w:p>
    <w:p w:rsidR="00953F27" w:rsidRPr="00171188" w:rsidRDefault="00D14B1A" w:rsidP="00C65A04">
      <w:pPr>
        <w:pStyle w:val="References"/>
      </w:pPr>
      <w:proofErr w:type="spellStart"/>
      <w:r>
        <w:t>Wheelahan</w:t>
      </w:r>
      <w:proofErr w:type="spellEnd"/>
      <w:r w:rsidR="0090508E">
        <w:t>,</w:t>
      </w:r>
      <w:r w:rsidR="00D565D9">
        <w:t xml:space="preserve"> L, </w:t>
      </w:r>
      <w:proofErr w:type="spellStart"/>
      <w:r w:rsidR="00D565D9">
        <w:t>Arkoudi</w:t>
      </w:r>
      <w:r w:rsidR="00D54D82">
        <w:t>s</w:t>
      </w:r>
      <w:proofErr w:type="spellEnd"/>
      <w:r w:rsidR="0090508E">
        <w:t>,</w:t>
      </w:r>
      <w:r w:rsidR="00D565D9">
        <w:t xml:space="preserve"> S, Moodie</w:t>
      </w:r>
      <w:r w:rsidR="0090508E">
        <w:t>,</w:t>
      </w:r>
      <w:r w:rsidR="00D565D9">
        <w:t xml:space="preserve"> G, Fredman</w:t>
      </w:r>
      <w:r w:rsidR="0090508E">
        <w:t>,</w:t>
      </w:r>
      <w:r w:rsidR="00D565D9">
        <w:t xml:space="preserve"> N </w:t>
      </w:r>
      <w:r w:rsidR="0090508E">
        <w:t>&amp;</w:t>
      </w:r>
      <w:r w:rsidR="00D565D9">
        <w:t xml:space="preserve"> B</w:t>
      </w:r>
      <w:r w:rsidR="00D94844">
        <w:t>e</w:t>
      </w:r>
      <w:r w:rsidR="00D565D9">
        <w:t>xley</w:t>
      </w:r>
      <w:r w:rsidR="0090508E">
        <w:t>,</w:t>
      </w:r>
      <w:r w:rsidR="00D565D9">
        <w:t xml:space="preserve"> E 2012</w:t>
      </w:r>
      <w:r w:rsidR="00D94844">
        <w:t>,</w:t>
      </w:r>
      <w:r w:rsidR="00D565D9">
        <w:t xml:space="preserve"> </w:t>
      </w:r>
      <w:r w:rsidR="003958D3" w:rsidRPr="003958D3">
        <w:rPr>
          <w:i/>
        </w:rPr>
        <w:t>Shaken not stirred? The development of one tertiary education sector in Australia</w:t>
      </w:r>
      <w:r w:rsidR="00D565D9">
        <w:t xml:space="preserve">, NCVER, </w:t>
      </w:r>
      <w:r w:rsidR="00953F27">
        <w:t>viewed 18 January 2013</w:t>
      </w:r>
      <w:r w:rsidR="0090508E">
        <w:t>,</w:t>
      </w:r>
      <w:r w:rsidR="00953F27">
        <w:t xml:space="preserve"> </w:t>
      </w:r>
      <w:hyperlink r:id="rId34" w:history="1">
        <w:r w:rsidR="0090508E">
          <w:t>&lt;</w:t>
        </w:r>
        <w:r w:rsidR="00953F27" w:rsidRPr="00171188">
          <w:t>www.ncver.edu.au/publications/2450.html</w:t>
        </w:r>
      </w:hyperlink>
      <w:r w:rsidR="0090508E">
        <w:t>&gt;.</w:t>
      </w:r>
    </w:p>
    <w:p w:rsidR="00530105" w:rsidRDefault="00530105" w:rsidP="007807B1">
      <w:pPr>
        <w:pStyle w:val="References"/>
        <w:rPr>
          <w:b/>
          <w:sz w:val="19"/>
        </w:rPr>
      </w:pPr>
    </w:p>
    <w:p w:rsidR="00566065" w:rsidRDefault="00566065">
      <w:pPr>
        <w:spacing w:before="0" w:line="240" w:lineRule="auto"/>
        <w:rPr>
          <w:rFonts w:ascii="Tahoma" w:hAnsi="Tahoma" w:cs="Tahoma"/>
          <w:color w:val="000000"/>
          <w:kern w:val="28"/>
          <w:sz w:val="56"/>
          <w:szCs w:val="56"/>
        </w:rPr>
      </w:pPr>
      <w:r>
        <w:br w:type="page"/>
      </w:r>
    </w:p>
    <w:p w:rsidR="00D60D4A" w:rsidRDefault="006E3ADD" w:rsidP="006E3ADD">
      <w:pPr>
        <w:pStyle w:val="Heading1"/>
      </w:pPr>
      <w:bookmarkStart w:id="58" w:name="_Toc358115588"/>
      <w:r w:rsidRPr="006E3ADD">
        <w:lastRenderedPageBreak/>
        <w:t>Appendix</w:t>
      </w:r>
      <w:bookmarkEnd w:id="58"/>
      <w:r>
        <w:t xml:space="preserve"> </w:t>
      </w:r>
    </w:p>
    <w:p w:rsidR="00B5497B" w:rsidRDefault="00B5497B" w:rsidP="00D60D4A">
      <w:pPr>
        <w:pStyle w:val="Heading2"/>
      </w:pPr>
      <w:bookmarkStart w:id="59" w:name="_Toc351107161"/>
      <w:bookmarkStart w:id="60" w:name="_Toc358115589"/>
      <w:r>
        <w:t>Additio</w:t>
      </w:r>
      <w:r w:rsidR="00D56905">
        <w:t>nal data on student</w:t>
      </w:r>
      <w:r w:rsidR="006C260D">
        <w:t>s, qualifications and providers</w:t>
      </w:r>
      <w:r>
        <w:t xml:space="preserve"> in the </w:t>
      </w:r>
      <w:r w:rsidR="00CD21F5">
        <w:t>field of architecture and building</w:t>
      </w:r>
      <w:bookmarkEnd w:id="59"/>
      <w:bookmarkEnd w:id="60"/>
    </w:p>
    <w:p w:rsidR="00DF2A95" w:rsidRDefault="00092B58" w:rsidP="006E3ADD">
      <w:pPr>
        <w:pStyle w:val="Heading3"/>
      </w:pPr>
      <w:bookmarkStart w:id="61" w:name="_Toc351107162"/>
      <w:r>
        <w:t>V</w:t>
      </w:r>
      <w:bookmarkEnd w:id="61"/>
      <w:r w:rsidR="00CD21F5">
        <w:t>ocational education and training</w:t>
      </w:r>
    </w:p>
    <w:p w:rsidR="00B40D69" w:rsidRPr="006E3ADD" w:rsidRDefault="00CD21F5" w:rsidP="00D63F94">
      <w:pPr>
        <w:pStyle w:val="Text"/>
        <w:spacing w:before="80"/>
        <w:ind w:right="0"/>
      </w:pPr>
      <w:r>
        <w:t>Depending on which NCVER data</w:t>
      </w:r>
      <w:r w:rsidR="00B40D69">
        <w:t>set is used,</w:t>
      </w:r>
      <w:r w:rsidR="00510D3B">
        <w:t xml:space="preserve"> </w:t>
      </w:r>
      <w:r>
        <w:t xml:space="preserve">there were 135 </w:t>
      </w:r>
      <w:r w:rsidR="00B40D69">
        <w:t>697 students enrolled in this field of education across all qualifications and courses of stud</w:t>
      </w:r>
      <w:r>
        <w:t xml:space="preserve">y in VET in 2011 (NCVER 2012c, table 4) or </w:t>
      </w:r>
      <w:r w:rsidR="00FA7C27" w:rsidRPr="00FA7C27">
        <w:t>168 </w:t>
      </w:r>
      <w:r w:rsidR="00B40D69" w:rsidRPr="00FA7C27">
        <w:t>029</w:t>
      </w:r>
      <w:r w:rsidR="00DC70AC" w:rsidRPr="00FA7C27">
        <w:t xml:space="preserve"> </w:t>
      </w:r>
      <w:r w:rsidR="00B40D69" w:rsidRPr="006E3ADD">
        <w:t>students by training provider and fi</w:t>
      </w:r>
      <w:r w:rsidRPr="006E3ADD">
        <w:t>eld of education (NCVER 2012e, t</w:t>
      </w:r>
      <w:r w:rsidR="00B40D69" w:rsidRPr="006E3ADD">
        <w:t>able 3).</w:t>
      </w:r>
    </w:p>
    <w:p w:rsidR="00B40D69" w:rsidRPr="006E3ADD" w:rsidRDefault="00B40D69" w:rsidP="006E3ADD">
      <w:pPr>
        <w:pStyle w:val="Text"/>
      </w:pPr>
      <w:r w:rsidRPr="006E3ADD">
        <w:t>Extrapolating</w:t>
      </w:r>
      <w:r w:rsidR="00CD21F5" w:rsidRPr="006E3ADD">
        <w:t xml:space="preserve"> from </w:t>
      </w:r>
      <w:r w:rsidR="00F74C5A">
        <w:t>NCVER</w:t>
      </w:r>
      <w:r w:rsidR="00CD21F5" w:rsidRPr="006E3ADD">
        <w:t xml:space="preserve"> data </w:t>
      </w:r>
      <w:r w:rsidR="00F74C5A">
        <w:t>(</w:t>
      </w:r>
      <w:r w:rsidR="00CD21F5" w:rsidRPr="006E3ADD">
        <w:t>2012e, table 3</w:t>
      </w:r>
      <w:r w:rsidR="00F74C5A">
        <w:t>)</w:t>
      </w:r>
      <w:r w:rsidR="00CD21F5" w:rsidRPr="006E3ADD">
        <w:t>, and cross-</w:t>
      </w:r>
      <w:r w:rsidRPr="006E3ADD">
        <w:t xml:space="preserve">referenced with details of </w:t>
      </w:r>
      <w:r w:rsidR="00CD21F5" w:rsidRPr="006E3ADD">
        <w:t>registered training organisations (RTOs)</w:t>
      </w:r>
      <w:r w:rsidRPr="006E3ADD">
        <w:t xml:space="preserve"> on the national register, provision is highly concentrated in the public sector and in two states, Victoria and N</w:t>
      </w:r>
      <w:r w:rsidR="00CD21F5" w:rsidRPr="006E3ADD">
        <w:t>ew South Wales. O</w:t>
      </w:r>
      <w:r w:rsidRPr="006E3ADD">
        <w:t xml:space="preserve">f 2250 </w:t>
      </w:r>
      <w:r w:rsidR="00CD21F5" w:rsidRPr="006E3ADD">
        <w:t>registered training organisations</w:t>
      </w:r>
      <w:r w:rsidR="00DC70AC" w:rsidRPr="006E3ADD">
        <w:t>,</w:t>
      </w:r>
      <w:r w:rsidR="00CD21F5" w:rsidRPr="006E3ADD">
        <w:t xml:space="preserve"> </w:t>
      </w:r>
      <w:r w:rsidRPr="006E3ADD">
        <w:t>only 222 are registered in this fiel</w:t>
      </w:r>
      <w:r w:rsidR="00CD21F5" w:rsidRPr="006E3ADD">
        <w:t>d of education</w:t>
      </w:r>
      <w:r w:rsidR="00DC70AC" w:rsidRPr="006E3ADD">
        <w:t>,</w:t>
      </w:r>
      <w:r w:rsidR="00CD21F5" w:rsidRPr="006E3ADD">
        <w:t xml:space="preserve"> with over three-</w:t>
      </w:r>
      <w:r w:rsidRPr="006E3ADD">
        <w:t>quarters of all provision in</w:t>
      </w:r>
      <w:r w:rsidR="00CD21F5" w:rsidRPr="006E3ADD">
        <w:t xml:space="preserve"> this field undertaken by TAFE i</w:t>
      </w:r>
      <w:r w:rsidRPr="006E3ADD">
        <w:t xml:space="preserve">nstitutes. Victoria had the highest number of TAFE enrolments, followed by </w:t>
      </w:r>
      <w:r w:rsidR="00CD21F5" w:rsidRPr="006E3ADD">
        <w:t>New South Wales</w:t>
      </w:r>
      <w:r w:rsidRPr="006E3ADD">
        <w:t xml:space="preserve">. Together these two states accounted for some 63% of all TAFE provision, followed by Queensland, </w:t>
      </w:r>
      <w:r w:rsidR="00CD21F5" w:rsidRPr="006E3ADD">
        <w:t>Western Australia</w:t>
      </w:r>
      <w:r w:rsidRPr="006E3ADD">
        <w:t xml:space="preserve">, </w:t>
      </w:r>
      <w:r w:rsidR="00CD21F5" w:rsidRPr="006E3ADD">
        <w:t>South Australia</w:t>
      </w:r>
      <w:r w:rsidRPr="006E3ADD">
        <w:t>, the A</w:t>
      </w:r>
      <w:r w:rsidR="00CD21F5" w:rsidRPr="006E3ADD">
        <w:t>ustralian Capital Territory, Tasmania and the Northern Territory</w:t>
      </w:r>
      <w:r w:rsidRPr="006E3ADD">
        <w:t xml:space="preserve">. </w:t>
      </w:r>
    </w:p>
    <w:p w:rsidR="00B40D69" w:rsidRPr="006E3ADD" w:rsidRDefault="00B40D69" w:rsidP="006E3ADD">
      <w:pPr>
        <w:pStyle w:val="Text"/>
      </w:pPr>
      <w:r w:rsidRPr="006E3ADD">
        <w:t xml:space="preserve">Public provision is further enhanced when government schools/enterprises are taken into account in NSW, Tasmania and WA. Private, industry and community </w:t>
      </w:r>
      <w:r w:rsidR="00CD21F5" w:rsidRPr="006E3ADD">
        <w:t>registered training organisations</w:t>
      </w:r>
      <w:r w:rsidRPr="006E3ADD">
        <w:t xml:space="preserve"> accounted for around 16% of all enrolments</w:t>
      </w:r>
      <w:r w:rsidR="00CD21F5" w:rsidRPr="006E3ADD">
        <w:t>,</w:t>
      </w:r>
      <w:r w:rsidRPr="006E3ADD">
        <w:t xml:space="preserve"> with Queensland having the highest number from this group</w:t>
      </w:r>
      <w:r w:rsidR="00DC70AC" w:rsidRPr="006E3ADD">
        <w:t>,</w:t>
      </w:r>
      <w:r w:rsidRPr="006E3ADD">
        <w:t xml:space="preserve"> followed by Victoria and NSW.</w:t>
      </w:r>
      <w:r w:rsidRPr="006E3ADD">
        <w:rPr>
          <w:rStyle w:val="FootnoteReference"/>
        </w:rPr>
        <w:footnoteReference w:id="7"/>
      </w:r>
    </w:p>
    <w:p w:rsidR="00B40D69" w:rsidRDefault="00B40D69" w:rsidP="006E3ADD">
      <w:pPr>
        <w:pStyle w:val="Text"/>
      </w:pPr>
      <w:r w:rsidRPr="006E3ADD">
        <w:t>In 2011, the ten main institu</w:t>
      </w:r>
      <w:r>
        <w:t>tions by enrolment delivering VET studies in this field</w:t>
      </w:r>
      <w:r w:rsidR="00510D3B">
        <w:t xml:space="preserve"> </w:t>
      </w:r>
      <w:r>
        <w:t>were:</w:t>
      </w:r>
    </w:p>
    <w:p w:rsidR="00B40D69" w:rsidRDefault="00CD21F5" w:rsidP="00B40D69">
      <w:pPr>
        <w:pStyle w:val="Dotpoint1"/>
      </w:pPr>
      <w:r>
        <w:t>Holmesglen Institute</w:t>
      </w:r>
      <w:r w:rsidR="006E3ADD">
        <w:t xml:space="preserve"> (Vic</w:t>
      </w:r>
      <w:r w:rsidR="00F74C5A">
        <w:t>.</w:t>
      </w:r>
      <w:r>
        <w:t xml:space="preserve">; 9908; </w:t>
      </w:r>
      <w:r w:rsidR="00B40D69">
        <w:t>TAFE)</w:t>
      </w:r>
    </w:p>
    <w:p w:rsidR="00B40D69" w:rsidRDefault="00CD21F5" w:rsidP="00B40D69">
      <w:pPr>
        <w:pStyle w:val="Dotpoint1"/>
      </w:pPr>
      <w:proofErr w:type="spellStart"/>
      <w:r>
        <w:t>Skillstech</w:t>
      </w:r>
      <w:proofErr w:type="spellEnd"/>
      <w:r>
        <w:t xml:space="preserve"> Australia</w:t>
      </w:r>
      <w:r w:rsidR="00510D3B">
        <w:t xml:space="preserve"> </w:t>
      </w:r>
      <w:r w:rsidR="00B40D69">
        <w:t>(</w:t>
      </w:r>
      <w:r w:rsidR="00D0038C">
        <w:t xml:space="preserve">Qld; </w:t>
      </w:r>
      <w:r w:rsidR="00B40D69">
        <w:t>9</w:t>
      </w:r>
      <w:r>
        <w:t xml:space="preserve">022; </w:t>
      </w:r>
      <w:r w:rsidR="00D0038C">
        <w:t>TAFE</w:t>
      </w:r>
      <w:r w:rsidR="00B40D69">
        <w:t>)</w:t>
      </w:r>
    </w:p>
    <w:p w:rsidR="00B40D69" w:rsidRDefault="00CD21F5" w:rsidP="00B40D69">
      <w:pPr>
        <w:pStyle w:val="Dotpoint1"/>
      </w:pPr>
      <w:r>
        <w:t>TAFENSW —</w:t>
      </w:r>
      <w:r w:rsidR="00B40D69">
        <w:t xml:space="preserve"> South West Sydney Institute (7562)</w:t>
      </w:r>
    </w:p>
    <w:p w:rsidR="00B40D69" w:rsidRDefault="00B40D69" w:rsidP="00B40D69">
      <w:pPr>
        <w:pStyle w:val="Dotpoint1"/>
      </w:pPr>
      <w:r>
        <w:t>Northern Metrop</w:t>
      </w:r>
      <w:r w:rsidR="006E3ADD">
        <w:t>olitan Institute of TAFE (Vic</w:t>
      </w:r>
      <w:r w:rsidR="00F74C5A">
        <w:t>.</w:t>
      </w:r>
      <w:r w:rsidR="00CD21F5">
        <w:t xml:space="preserve">; </w:t>
      </w:r>
      <w:r>
        <w:t>5490)</w:t>
      </w:r>
    </w:p>
    <w:p w:rsidR="00B40D69" w:rsidRDefault="006E3ADD" w:rsidP="00B40D69">
      <w:pPr>
        <w:pStyle w:val="Dotpoint1"/>
      </w:pPr>
      <w:r>
        <w:t>Skills Institute (Tas</w:t>
      </w:r>
      <w:r w:rsidR="00F74C5A">
        <w:t>.</w:t>
      </w:r>
      <w:r w:rsidR="00D0038C">
        <w:t>; 5433; government enterprise)</w:t>
      </w:r>
      <w:r w:rsidR="00B40D69">
        <w:t xml:space="preserve"> </w:t>
      </w:r>
    </w:p>
    <w:p w:rsidR="00B40D69" w:rsidRDefault="00D0038C" w:rsidP="00B40D69">
      <w:pPr>
        <w:pStyle w:val="Dotpoint1"/>
      </w:pPr>
      <w:r>
        <w:t>TAFENSW —</w:t>
      </w:r>
      <w:r w:rsidR="00B40D69">
        <w:t xml:space="preserve"> Sydney Institute (4966)</w:t>
      </w:r>
    </w:p>
    <w:p w:rsidR="00B40D69" w:rsidRDefault="00B40D69" w:rsidP="00B40D69">
      <w:pPr>
        <w:pStyle w:val="Dotpoint1"/>
      </w:pPr>
      <w:r>
        <w:t>Chisholm Institute (Vic</w:t>
      </w:r>
      <w:r w:rsidR="00F74C5A">
        <w:t>.</w:t>
      </w:r>
      <w:r w:rsidR="00D0038C">
        <w:t xml:space="preserve">; 4613; </w:t>
      </w:r>
      <w:r>
        <w:t>TAFE)</w:t>
      </w:r>
    </w:p>
    <w:p w:rsidR="00B40D69" w:rsidRDefault="00DC70AC" w:rsidP="00B40D69">
      <w:pPr>
        <w:pStyle w:val="Dotpoint1"/>
      </w:pPr>
      <w:r>
        <w:t>TAFE</w:t>
      </w:r>
      <w:r w:rsidR="00D0038C">
        <w:t>NSW —</w:t>
      </w:r>
      <w:r w:rsidR="00B40D69">
        <w:t xml:space="preserve"> North Sydney Institute</w:t>
      </w:r>
      <w:r w:rsidR="00510D3B">
        <w:t xml:space="preserve"> </w:t>
      </w:r>
      <w:r w:rsidR="00B40D69">
        <w:t>(3940)</w:t>
      </w:r>
    </w:p>
    <w:p w:rsidR="00B40D69" w:rsidRDefault="00D0038C" w:rsidP="00B40D69">
      <w:pPr>
        <w:pStyle w:val="Dotpoint1"/>
      </w:pPr>
      <w:r>
        <w:t>Victoria U</w:t>
      </w:r>
      <w:r w:rsidR="00B40D69">
        <w:t>niversity (</w:t>
      </w:r>
      <w:r w:rsidR="006E3ADD">
        <w:t>Vic</w:t>
      </w:r>
      <w:r w:rsidR="00F74C5A">
        <w:t>.</w:t>
      </w:r>
      <w:r>
        <w:t>; 3912; TAFE</w:t>
      </w:r>
      <w:r w:rsidR="00B40D69">
        <w:t>)</w:t>
      </w:r>
    </w:p>
    <w:p w:rsidR="00B40D69" w:rsidRDefault="00B40D69" w:rsidP="00B40D69">
      <w:pPr>
        <w:pStyle w:val="Dotpoint1"/>
      </w:pPr>
      <w:r>
        <w:t>Polytechnic West (</w:t>
      </w:r>
      <w:r w:rsidR="00D0038C">
        <w:t>WA; 3829; TAFE</w:t>
      </w:r>
      <w:r>
        <w:t>).</w:t>
      </w:r>
    </w:p>
    <w:p w:rsidR="00B40D69" w:rsidRPr="006E3ADD" w:rsidRDefault="00B40D69" w:rsidP="006E3ADD">
      <w:pPr>
        <w:pStyle w:val="Text"/>
      </w:pPr>
      <w:r>
        <w:t xml:space="preserve">The data available through NCVER </w:t>
      </w:r>
      <w:r w:rsidR="00D0038C">
        <w:t>(</w:t>
      </w:r>
      <w:r>
        <w:t>2012e</w:t>
      </w:r>
      <w:r w:rsidR="00D0038C">
        <w:t>)</w:t>
      </w:r>
      <w:r>
        <w:t xml:space="preserve"> on provider enrolment by field of education cover all courses and qualifications in this field. No enrolment data </w:t>
      </w:r>
      <w:r w:rsidR="00D0038C">
        <w:t>are</w:t>
      </w:r>
      <w:r>
        <w:t xml:space="preserve"> publicly available cross-tabulated by institution, field of education and </w:t>
      </w:r>
      <w:r w:rsidRPr="006E3ADD">
        <w:t>qualification level.</w:t>
      </w:r>
    </w:p>
    <w:p w:rsidR="00B40D69" w:rsidRPr="006E3ADD" w:rsidRDefault="00B40D69" w:rsidP="006E3ADD">
      <w:pPr>
        <w:pStyle w:val="Text"/>
      </w:pPr>
      <w:r w:rsidRPr="006E3ADD">
        <w:lastRenderedPageBreak/>
        <w:t xml:space="preserve">However, data </w:t>
      </w:r>
      <w:r w:rsidR="00D0038C" w:rsidRPr="006E3ADD">
        <w:t>are</w:t>
      </w:r>
      <w:r w:rsidRPr="006E3ADD">
        <w:t xml:space="preserve"> available on enrolments by AQF qualification in th</w:t>
      </w:r>
      <w:r w:rsidR="00D0038C" w:rsidRPr="006E3ADD">
        <w:t>is field. This data demonstrate the importance of the c</w:t>
      </w:r>
      <w:r w:rsidRPr="006E3ADD">
        <w:t>ertificate III/trade level, which accounted for 52% of</w:t>
      </w:r>
      <w:r w:rsidR="00D0038C" w:rsidRPr="006E3ADD">
        <w:t xml:space="preserve"> all enrolments in 2011 </w:t>
      </w:r>
      <w:r w:rsidR="006E3ADD">
        <w:br/>
      </w:r>
      <w:r w:rsidR="00D0038C" w:rsidRPr="006E3ADD">
        <w:t>(n = 62 223 in c</w:t>
      </w:r>
      <w:r w:rsidRPr="006E3ADD">
        <w:t>ertificate III of total enrolme</w:t>
      </w:r>
      <w:r w:rsidR="00D0038C" w:rsidRPr="006E3ADD">
        <w:t xml:space="preserve">nts by AQF qualification of 120 </w:t>
      </w:r>
      <w:r w:rsidRPr="006E3ADD">
        <w:t xml:space="preserve">196) (NCVER 2012d). </w:t>
      </w:r>
    </w:p>
    <w:p w:rsidR="00B40D69" w:rsidRDefault="00D0038C" w:rsidP="006E3ADD">
      <w:pPr>
        <w:pStyle w:val="Text"/>
      </w:pPr>
      <w:r w:rsidRPr="006E3ADD">
        <w:t>Diploma-</w:t>
      </w:r>
      <w:r w:rsidR="00B40D69" w:rsidRPr="006E3ADD">
        <w:t>level enrolments in 2011 acco</w:t>
      </w:r>
      <w:r w:rsidR="00B40D69">
        <w:t>unted for 7.2% of the total</w:t>
      </w:r>
      <w:r>
        <w:t>,</w:t>
      </w:r>
      <w:r w:rsidR="00B40D69">
        <w:t xml:space="preserve"> </w:t>
      </w:r>
      <w:r w:rsidR="00611A1D">
        <w:t>while</w:t>
      </w:r>
      <w:r w:rsidR="00B40D69">
        <w:t xml:space="preserve"> advanced diplomas made up just 2.3% of all</w:t>
      </w:r>
      <w:r>
        <w:t xml:space="preserve"> enrolments (NCVER</w:t>
      </w:r>
      <w:r w:rsidR="00B40D69">
        <w:t xml:space="preserve"> 2012d). Enrolments have remained fairly static over the</w:t>
      </w:r>
      <w:r>
        <w:t xml:space="preserve"> last five years as set out in t</w:t>
      </w:r>
      <w:r w:rsidR="00B40D69">
        <w:t xml:space="preserve">able </w:t>
      </w:r>
      <w:r w:rsidR="00F74C5A">
        <w:t>A</w:t>
      </w:r>
      <w:r w:rsidR="00B40D69">
        <w:t>1.</w:t>
      </w:r>
    </w:p>
    <w:p w:rsidR="00394D41" w:rsidRDefault="006E3ADD" w:rsidP="006E3ADD">
      <w:pPr>
        <w:pStyle w:val="tabletitle"/>
      </w:pPr>
      <w:bookmarkStart w:id="62" w:name="_Toc358115450"/>
      <w:r>
        <w:t>Table A1</w:t>
      </w:r>
      <w:r>
        <w:tab/>
        <w:t>VET enrolments, architecture and building, diplomas and advanced diplomas, 2007—11</w:t>
      </w:r>
      <w:bookmarkEnd w:id="62"/>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BF"/>
      </w:tblPr>
      <w:tblGrid>
        <w:gridCol w:w="2179"/>
        <w:gridCol w:w="1322"/>
        <w:gridCol w:w="1322"/>
        <w:gridCol w:w="1322"/>
        <w:gridCol w:w="1322"/>
        <w:gridCol w:w="1322"/>
      </w:tblGrid>
      <w:tr w:rsidR="00394D41" w:rsidTr="006E3ADD">
        <w:tc>
          <w:tcPr>
            <w:tcW w:w="2179" w:type="dxa"/>
            <w:tcBorders>
              <w:top w:val="single" w:sz="4" w:space="0" w:color="auto"/>
              <w:bottom w:val="single" w:sz="4" w:space="0" w:color="auto"/>
            </w:tcBorders>
          </w:tcPr>
          <w:p w:rsidR="00DF2A95" w:rsidRDefault="003958D3" w:rsidP="006E3ADD">
            <w:pPr>
              <w:pStyle w:val="Tablehead1"/>
            </w:pPr>
            <w:r w:rsidRPr="003958D3">
              <w:t>Qualification</w:t>
            </w:r>
          </w:p>
        </w:tc>
        <w:tc>
          <w:tcPr>
            <w:tcW w:w="1322" w:type="dxa"/>
            <w:tcBorders>
              <w:top w:val="single" w:sz="4" w:space="0" w:color="auto"/>
              <w:bottom w:val="single" w:sz="4" w:space="0" w:color="auto"/>
            </w:tcBorders>
          </w:tcPr>
          <w:p w:rsidR="00DF2A95" w:rsidRDefault="003958D3" w:rsidP="006E3ADD">
            <w:pPr>
              <w:pStyle w:val="Tablehead1"/>
              <w:jc w:val="center"/>
            </w:pPr>
            <w:r w:rsidRPr="003958D3">
              <w:t>2007</w:t>
            </w:r>
          </w:p>
        </w:tc>
        <w:tc>
          <w:tcPr>
            <w:tcW w:w="1322" w:type="dxa"/>
            <w:tcBorders>
              <w:top w:val="single" w:sz="4" w:space="0" w:color="auto"/>
              <w:bottom w:val="single" w:sz="4" w:space="0" w:color="auto"/>
            </w:tcBorders>
          </w:tcPr>
          <w:p w:rsidR="00DF2A95" w:rsidRDefault="003958D3" w:rsidP="006E3ADD">
            <w:pPr>
              <w:pStyle w:val="Tablehead1"/>
              <w:jc w:val="center"/>
            </w:pPr>
            <w:r w:rsidRPr="003958D3">
              <w:t>2008</w:t>
            </w:r>
          </w:p>
        </w:tc>
        <w:tc>
          <w:tcPr>
            <w:tcW w:w="1322" w:type="dxa"/>
            <w:tcBorders>
              <w:top w:val="single" w:sz="4" w:space="0" w:color="auto"/>
              <w:bottom w:val="single" w:sz="4" w:space="0" w:color="auto"/>
            </w:tcBorders>
          </w:tcPr>
          <w:p w:rsidR="00DF2A95" w:rsidRDefault="003958D3" w:rsidP="006E3ADD">
            <w:pPr>
              <w:pStyle w:val="Tablehead1"/>
              <w:jc w:val="center"/>
            </w:pPr>
            <w:r w:rsidRPr="003958D3">
              <w:t>2009</w:t>
            </w:r>
          </w:p>
        </w:tc>
        <w:tc>
          <w:tcPr>
            <w:tcW w:w="1322" w:type="dxa"/>
            <w:tcBorders>
              <w:top w:val="single" w:sz="4" w:space="0" w:color="auto"/>
              <w:bottom w:val="single" w:sz="4" w:space="0" w:color="auto"/>
            </w:tcBorders>
          </w:tcPr>
          <w:p w:rsidR="00DF2A95" w:rsidRDefault="003958D3" w:rsidP="006E3ADD">
            <w:pPr>
              <w:pStyle w:val="Tablehead1"/>
              <w:jc w:val="center"/>
            </w:pPr>
            <w:r w:rsidRPr="003958D3">
              <w:t>2010</w:t>
            </w:r>
          </w:p>
        </w:tc>
        <w:tc>
          <w:tcPr>
            <w:tcW w:w="1322" w:type="dxa"/>
            <w:tcBorders>
              <w:top w:val="single" w:sz="4" w:space="0" w:color="auto"/>
              <w:bottom w:val="single" w:sz="4" w:space="0" w:color="auto"/>
            </w:tcBorders>
          </w:tcPr>
          <w:p w:rsidR="00DF2A95" w:rsidRDefault="003958D3" w:rsidP="006E3ADD">
            <w:pPr>
              <w:pStyle w:val="Tablehead1"/>
              <w:jc w:val="center"/>
            </w:pPr>
            <w:r w:rsidRPr="003958D3">
              <w:t>2011</w:t>
            </w:r>
          </w:p>
        </w:tc>
      </w:tr>
      <w:tr w:rsidR="00394D41" w:rsidTr="006E3ADD">
        <w:tc>
          <w:tcPr>
            <w:tcW w:w="2179" w:type="dxa"/>
            <w:tcBorders>
              <w:top w:val="single" w:sz="4" w:space="0" w:color="auto"/>
            </w:tcBorders>
          </w:tcPr>
          <w:p w:rsidR="00DF2A95" w:rsidRDefault="002846E8" w:rsidP="006E3ADD">
            <w:pPr>
              <w:pStyle w:val="Tabletext"/>
            </w:pPr>
            <w:r>
              <w:t>Advance</w:t>
            </w:r>
            <w:r w:rsidR="00D0038C">
              <w:t>d d</w:t>
            </w:r>
            <w:r>
              <w:t>iploma</w:t>
            </w:r>
          </w:p>
        </w:tc>
        <w:tc>
          <w:tcPr>
            <w:tcW w:w="1322" w:type="dxa"/>
            <w:tcBorders>
              <w:top w:val="single" w:sz="4" w:space="0" w:color="auto"/>
            </w:tcBorders>
          </w:tcPr>
          <w:p w:rsidR="00DF2A95" w:rsidRDefault="002846E8" w:rsidP="00D63F94">
            <w:pPr>
              <w:pStyle w:val="Tabletext"/>
              <w:tabs>
                <w:tab w:val="decimal" w:pos="454"/>
              </w:tabs>
            </w:pPr>
            <w:r>
              <w:t>1</w:t>
            </w:r>
            <w:r w:rsidR="006E3ADD">
              <w:t xml:space="preserve"> </w:t>
            </w:r>
            <w:r>
              <w:t>121</w:t>
            </w:r>
          </w:p>
        </w:tc>
        <w:tc>
          <w:tcPr>
            <w:tcW w:w="1322" w:type="dxa"/>
            <w:tcBorders>
              <w:top w:val="single" w:sz="4" w:space="0" w:color="auto"/>
            </w:tcBorders>
          </w:tcPr>
          <w:p w:rsidR="00DF2A95" w:rsidRDefault="002846E8" w:rsidP="00D63F94">
            <w:pPr>
              <w:pStyle w:val="Tabletext"/>
              <w:tabs>
                <w:tab w:val="decimal" w:pos="454"/>
              </w:tabs>
            </w:pPr>
            <w:r>
              <w:t>1</w:t>
            </w:r>
            <w:r w:rsidR="006E3ADD">
              <w:t xml:space="preserve"> </w:t>
            </w:r>
            <w:r>
              <w:t>201</w:t>
            </w:r>
          </w:p>
        </w:tc>
        <w:tc>
          <w:tcPr>
            <w:tcW w:w="1322" w:type="dxa"/>
            <w:tcBorders>
              <w:top w:val="single" w:sz="4" w:space="0" w:color="auto"/>
            </w:tcBorders>
          </w:tcPr>
          <w:p w:rsidR="00DF2A95" w:rsidRDefault="002846E8" w:rsidP="00D63F94">
            <w:pPr>
              <w:pStyle w:val="Tabletext"/>
              <w:tabs>
                <w:tab w:val="decimal" w:pos="454"/>
              </w:tabs>
            </w:pPr>
            <w:r>
              <w:t>1</w:t>
            </w:r>
            <w:r w:rsidR="006E3ADD">
              <w:t xml:space="preserve"> </w:t>
            </w:r>
            <w:r>
              <w:t>583</w:t>
            </w:r>
          </w:p>
        </w:tc>
        <w:tc>
          <w:tcPr>
            <w:tcW w:w="1322" w:type="dxa"/>
            <w:tcBorders>
              <w:top w:val="single" w:sz="4" w:space="0" w:color="auto"/>
            </w:tcBorders>
          </w:tcPr>
          <w:p w:rsidR="00DF2A95" w:rsidRDefault="002846E8" w:rsidP="00D63F94">
            <w:pPr>
              <w:pStyle w:val="Tabletext"/>
              <w:tabs>
                <w:tab w:val="decimal" w:pos="454"/>
              </w:tabs>
            </w:pPr>
            <w:r>
              <w:t>2</w:t>
            </w:r>
            <w:r w:rsidR="006E3ADD">
              <w:t xml:space="preserve"> </w:t>
            </w:r>
            <w:r>
              <w:t>360</w:t>
            </w:r>
          </w:p>
        </w:tc>
        <w:tc>
          <w:tcPr>
            <w:tcW w:w="1322" w:type="dxa"/>
            <w:tcBorders>
              <w:top w:val="single" w:sz="4" w:space="0" w:color="auto"/>
            </w:tcBorders>
          </w:tcPr>
          <w:p w:rsidR="00DF2A95" w:rsidRDefault="002846E8" w:rsidP="00D63F94">
            <w:pPr>
              <w:pStyle w:val="Tabletext"/>
              <w:tabs>
                <w:tab w:val="decimal" w:pos="454"/>
              </w:tabs>
            </w:pPr>
            <w:r>
              <w:t>2</w:t>
            </w:r>
            <w:r w:rsidR="006E3ADD">
              <w:t xml:space="preserve"> </w:t>
            </w:r>
            <w:r>
              <w:t>725</w:t>
            </w:r>
          </w:p>
        </w:tc>
      </w:tr>
      <w:tr w:rsidR="00394D41" w:rsidTr="006E3ADD">
        <w:tc>
          <w:tcPr>
            <w:tcW w:w="2179" w:type="dxa"/>
          </w:tcPr>
          <w:p w:rsidR="00DF2A95" w:rsidRDefault="002846E8" w:rsidP="006E3ADD">
            <w:pPr>
              <w:pStyle w:val="Tabletext"/>
            </w:pPr>
            <w:r>
              <w:t>Diploma</w:t>
            </w:r>
          </w:p>
        </w:tc>
        <w:tc>
          <w:tcPr>
            <w:tcW w:w="1322" w:type="dxa"/>
          </w:tcPr>
          <w:p w:rsidR="00DF2A95" w:rsidRDefault="002846E8" w:rsidP="00D63F94">
            <w:pPr>
              <w:pStyle w:val="Tabletext"/>
              <w:tabs>
                <w:tab w:val="decimal" w:pos="454"/>
              </w:tabs>
            </w:pPr>
            <w:r>
              <w:t>9</w:t>
            </w:r>
            <w:r w:rsidR="006E3ADD">
              <w:t xml:space="preserve"> </w:t>
            </w:r>
            <w:r>
              <w:t>685</w:t>
            </w:r>
          </w:p>
        </w:tc>
        <w:tc>
          <w:tcPr>
            <w:tcW w:w="1322" w:type="dxa"/>
          </w:tcPr>
          <w:p w:rsidR="00DF2A95" w:rsidRDefault="002846E8" w:rsidP="00D63F94">
            <w:pPr>
              <w:pStyle w:val="Tabletext"/>
              <w:tabs>
                <w:tab w:val="decimal" w:pos="454"/>
              </w:tabs>
            </w:pPr>
            <w:r>
              <w:t>9</w:t>
            </w:r>
            <w:r w:rsidR="006E3ADD">
              <w:t xml:space="preserve"> </w:t>
            </w:r>
            <w:r>
              <w:t>411</w:t>
            </w:r>
          </w:p>
        </w:tc>
        <w:tc>
          <w:tcPr>
            <w:tcW w:w="1322" w:type="dxa"/>
          </w:tcPr>
          <w:p w:rsidR="00DF2A95" w:rsidRDefault="002846E8" w:rsidP="00D63F94">
            <w:pPr>
              <w:pStyle w:val="Tabletext"/>
              <w:tabs>
                <w:tab w:val="decimal" w:pos="454"/>
              </w:tabs>
            </w:pPr>
            <w:r>
              <w:t>8</w:t>
            </w:r>
            <w:r w:rsidR="006E3ADD">
              <w:t xml:space="preserve"> </w:t>
            </w:r>
            <w:r>
              <w:t>740</w:t>
            </w:r>
          </w:p>
        </w:tc>
        <w:tc>
          <w:tcPr>
            <w:tcW w:w="1322" w:type="dxa"/>
          </w:tcPr>
          <w:p w:rsidR="00DF2A95" w:rsidRDefault="002846E8" w:rsidP="00D63F94">
            <w:pPr>
              <w:pStyle w:val="Tabletext"/>
              <w:tabs>
                <w:tab w:val="decimal" w:pos="454"/>
              </w:tabs>
            </w:pPr>
            <w:r>
              <w:t>8</w:t>
            </w:r>
            <w:r w:rsidR="006E3ADD">
              <w:t xml:space="preserve"> </w:t>
            </w:r>
            <w:r>
              <w:t>274</w:t>
            </w:r>
          </w:p>
        </w:tc>
        <w:tc>
          <w:tcPr>
            <w:tcW w:w="1322" w:type="dxa"/>
          </w:tcPr>
          <w:p w:rsidR="00DF2A95" w:rsidRDefault="002846E8" w:rsidP="00D63F94">
            <w:pPr>
              <w:pStyle w:val="Tabletext"/>
              <w:tabs>
                <w:tab w:val="decimal" w:pos="454"/>
              </w:tabs>
            </w:pPr>
            <w:r>
              <w:t>8</w:t>
            </w:r>
            <w:r w:rsidR="006E3ADD">
              <w:t xml:space="preserve"> </w:t>
            </w:r>
            <w:r>
              <w:t>685</w:t>
            </w:r>
          </w:p>
        </w:tc>
      </w:tr>
      <w:tr w:rsidR="002846E8" w:rsidRPr="006E3ADD" w:rsidTr="006E3ADD">
        <w:tc>
          <w:tcPr>
            <w:tcW w:w="2179" w:type="dxa"/>
          </w:tcPr>
          <w:p w:rsidR="00DF2A95" w:rsidRPr="006E3ADD" w:rsidRDefault="002846E8" w:rsidP="006E3ADD">
            <w:pPr>
              <w:pStyle w:val="Tabletext"/>
              <w:rPr>
                <w:b/>
              </w:rPr>
            </w:pPr>
            <w:r w:rsidRPr="006E3ADD">
              <w:rPr>
                <w:b/>
              </w:rPr>
              <w:t>Totals</w:t>
            </w:r>
          </w:p>
        </w:tc>
        <w:tc>
          <w:tcPr>
            <w:tcW w:w="1322" w:type="dxa"/>
          </w:tcPr>
          <w:p w:rsidR="00DF2A95" w:rsidRPr="006E3ADD" w:rsidRDefault="002846E8" w:rsidP="00D63F94">
            <w:pPr>
              <w:pStyle w:val="Tabletext"/>
              <w:tabs>
                <w:tab w:val="decimal" w:pos="454"/>
              </w:tabs>
              <w:rPr>
                <w:b/>
              </w:rPr>
            </w:pPr>
            <w:r w:rsidRPr="006E3ADD">
              <w:rPr>
                <w:b/>
              </w:rPr>
              <w:t>10</w:t>
            </w:r>
            <w:r w:rsidR="006E3ADD">
              <w:rPr>
                <w:b/>
              </w:rPr>
              <w:t xml:space="preserve"> </w:t>
            </w:r>
            <w:r w:rsidRPr="006E3ADD">
              <w:rPr>
                <w:b/>
              </w:rPr>
              <w:t>806</w:t>
            </w:r>
          </w:p>
        </w:tc>
        <w:tc>
          <w:tcPr>
            <w:tcW w:w="1322" w:type="dxa"/>
          </w:tcPr>
          <w:p w:rsidR="00DF2A95" w:rsidRPr="006E3ADD" w:rsidRDefault="002D6C1A" w:rsidP="00D63F94">
            <w:pPr>
              <w:pStyle w:val="Tabletext"/>
              <w:tabs>
                <w:tab w:val="decimal" w:pos="454"/>
              </w:tabs>
              <w:rPr>
                <w:b/>
              </w:rPr>
            </w:pPr>
            <w:r w:rsidRPr="006E3ADD">
              <w:rPr>
                <w:b/>
              </w:rPr>
              <w:t>10</w:t>
            </w:r>
            <w:r w:rsidR="006E3ADD">
              <w:rPr>
                <w:b/>
              </w:rPr>
              <w:t xml:space="preserve"> </w:t>
            </w:r>
            <w:r w:rsidRPr="006E3ADD">
              <w:rPr>
                <w:b/>
              </w:rPr>
              <w:t>612</w:t>
            </w:r>
          </w:p>
        </w:tc>
        <w:tc>
          <w:tcPr>
            <w:tcW w:w="1322" w:type="dxa"/>
          </w:tcPr>
          <w:p w:rsidR="00DF2A95" w:rsidRPr="006E3ADD" w:rsidRDefault="002846E8" w:rsidP="00D63F94">
            <w:pPr>
              <w:pStyle w:val="Tabletext"/>
              <w:tabs>
                <w:tab w:val="decimal" w:pos="454"/>
              </w:tabs>
              <w:rPr>
                <w:b/>
              </w:rPr>
            </w:pPr>
            <w:r w:rsidRPr="006E3ADD">
              <w:rPr>
                <w:b/>
              </w:rPr>
              <w:t>10</w:t>
            </w:r>
            <w:r w:rsidR="006E3ADD">
              <w:rPr>
                <w:b/>
              </w:rPr>
              <w:t xml:space="preserve"> </w:t>
            </w:r>
            <w:r w:rsidRPr="006E3ADD">
              <w:rPr>
                <w:b/>
              </w:rPr>
              <w:t>323</w:t>
            </w:r>
          </w:p>
        </w:tc>
        <w:tc>
          <w:tcPr>
            <w:tcW w:w="1322" w:type="dxa"/>
          </w:tcPr>
          <w:p w:rsidR="00DF2A95" w:rsidRPr="006E3ADD" w:rsidRDefault="002846E8" w:rsidP="00D63F94">
            <w:pPr>
              <w:pStyle w:val="Tabletext"/>
              <w:tabs>
                <w:tab w:val="decimal" w:pos="454"/>
              </w:tabs>
              <w:rPr>
                <w:b/>
              </w:rPr>
            </w:pPr>
            <w:r w:rsidRPr="006E3ADD">
              <w:rPr>
                <w:b/>
              </w:rPr>
              <w:t>10</w:t>
            </w:r>
            <w:r w:rsidR="006E3ADD">
              <w:rPr>
                <w:b/>
              </w:rPr>
              <w:t xml:space="preserve"> </w:t>
            </w:r>
            <w:r w:rsidRPr="006E3ADD">
              <w:rPr>
                <w:b/>
              </w:rPr>
              <w:t>634</w:t>
            </w:r>
          </w:p>
        </w:tc>
        <w:tc>
          <w:tcPr>
            <w:tcW w:w="1322" w:type="dxa"/>
          </w:tcPr>
          <w:p w:rsidR="00DF2A95" w:rsidRPr="006E3ADD" w:rsidRDefault="002846E8" w:rsidP="00D63F94">
            <w:pPr>
              <w:pStyle w:val="Tabletext"/>
              <w:tabs>
                <w:tab w:val="decimal" w:pos="454"/>
              </w:tabs>
              <w:rPr>
                <w:b/>
              </w:rPr>
            </w:pPr>
            <w:r w:rsidRPr="006E3ADD">
              <w:rPr>
                <w:b/>
              </w:rPr>
              <w:t>11</w:t>
            </w:r>
            <w:r w:rsidR="006E3ADD">
              <w:rPr>
                <w:b/>
              </w:rPr>
              <w:t xml:space="preserve"> </w:t>
            </w:r>
            <w:r w:rsidRPr="006E3ADD">
              <w:rPr>
                <w:b/>
              </w:rPr>
              <w:t>410</w:t>
            </w:r>
          </w:p>
        </w:tc>
      </w:tr>
    </w:tbl>
    <w:p w:rsidR="00DF2A95" w:rsidRPr="006E3ADD" w:rsidRDefault="00D0038C" w:rsidP="006E3ADD">
      <w:pPr>
        <w:pStyle w:val="Source"/>
        <w:rPr>
          <w:rStyle w:val="FootnoteReference"/>
          <w:vertAlign w:val="baseline"/>
        </w:rPr>
      </w:pPr>
      <w:r w:rsidRPr="006E3ADD">
        <w:rPr>
          <w:rStyle w:val="FootnoteReference"/>
          <w:vertAlign w:val="baseline"/>
        </w:rPr>
        <w:t>Source:</w:t>
      </w:r>
      <w:r w:rsidR="006E3ADD">
        <w:tab/>
      </w:r>
      <w:r w:rsidRPr="006E3ADD">
        <w:rPr>
          <w:rStyle w:val="FootnoteReference"/>
          <w:vertAlign w:val="baseline"/>
        </w:rPr>
        <w:t>NCVER</w:t>
      </w:r>
      <w:r w:rsidR="003958D3" w:rsidRPr="006E3ADD">
        <w:rPr>
          <w:rStyle w:val="FootnoteReference"/>
          <w:vertAlign w:val="baseline"/>
        </w:rPr>
        <w:t xml:space="preserve"> (2012</w:t>
      </w:r>
      <w:r w:rsidR="00B40D69" w:rsidRPr="006E3ADD">
        <w:rPr>
          <w:rStyle w:val="FootnoteReference"/>
          <w:vertAlign w:val="baseline"/>
        </w:rPr>
        <w:t>d</w:t>
      </w:r>
      <w:r w:rsidRPr="006E3ADD">
        <w:rPr>
          <w:rStyle w:val="FootnoteReference"/>
          <w:vertAlign w:val="baseline"/>
        </w:rPr>
        <w:t xml:space="preserve">, </w:t>
      </w:r>
      <w:proofErr w:type="gramStart"/>
      <w:r w:rsidR="00E11D07" w:rsidRPr="006E3ADD">
        <w:t>t</w:t>
      </w:r>
      <w:proofErr w:type="gramEnd"/>
      <w:r w:rsidR="00E11D07" w:rsidRPr="006E3ADD">
        <w:rPr>
          <w:rStyle w:val="FootnoteReference"/>
          <w:vertAlign w:val="baseline"/>
        </w:rPr>
        <w:t>able 1).</w:t>
      </w:r>
    </w:p>
    <w:p w:rsidR="00D60D4A" w:rsidDel="00D60D4A" w:rsidRDefault="00675190" w:rsidP="006E3ADD">
      <w:pPr>
        <w:pStyle w:val="Textmorebefore"/>
      </w:pPr>
      <w:r>
        <w:t>This compares with significant growth in diploma/advanced diplomas across all fields in the same period, particularly in diploma qualifications.</w:t>
      </w:r>
    </w:p>
    <w:p w:rsidR="00675190" w:rsidRDefault="006E3ADD" w:rsidP="006E3ADD">
      <w:pPr>
        <w:pStyle w:val="tabletitle"/>
      </w:pPr>
      <w:bookmarkStart w:id="63" w:name="_Toc358115451"/>
      <w:r>
        <w:t>Table A2</w:t>
      </w:r>
      <w:r>
        <w:tab/>
        <w:t>VET enrolments, all fields of education, diplomas and advanced diplomas, 2007—11</w:t>
      </w:r>
      <w:bookmarkEnd w:id="63"/>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BF"/>
      </w:tblPr>
      <w:tblGrid>
        <w:gridCol w:w="2179"/>
        <w:gridCol w:w="1322"/>
        <w:gridCol w:w="1322"/>
        <w:gridCol w:w="1322"/>
        <w:gridCol w:w="1322"/>
        <w:gridCol w:w="1322"/>
      </w:tblGrid>
      <w:tr w:rsidR="00675190" w:rsidTr="006E3ADD">
        <w:tc>
          <w:tcPr>
            <w:tcW w:w="2179" w:type="dxa"/>
            <w:tcBorders>
              <w:top w:val="single" w:sz="4" w:space="0" w:color="auto"/>
              <w:bottom w:val="single" w:sz="4" w:space="0" w:color="auto"/>
            </w:tcBorders>
          </w:tcPr>
          <w:p w:rsidR="00675190" w:rsidRDefault="00675190" w:rsidP="006E3ADD">
            <w:pPr>
              <w:pStyle w:val="Tablehead1"/>
            </w:pPr>
            <w:r w:rsidRPr="00F76CAB">
              <w:t>Qualification</w:t>
            </w:r>
          </w:p>
        </w:tc>
        <w:tc>
          <w:tcPr>
            <w:tcW w:w="1322" w:type="dxa"/>
            <w:tcBorders>
              <w:top w:val="single" w:sz="4" w:space="0" w:color="auto"/>
              <w:bottom w:val="single" w:sz="4" w:space="0" w:color="auto"/>
            </w:tcBorders>
          </w:tcPr>
          <w:p w:rsidR="00DF2A95" w:rsidRDefault="00675190" w:rsidP="006E3ADD">
            <w:pPr>
              <w:pStyle w:val="Tablehead1"/>
              <w:jc w:val="center"/>
            </w:pPr>
            <w:r w:rsidRPr="00F76CAB">
              <w:t>2007</w:t>
            </w:r>
          </w:p>
        </w:tc>
        <w:tc>
          <w:tcPr>
            <w:tcW w:w="1322" w:type="dxa"/>
            <w:tcBorders>
              <w:top w:val="single" w:sz="4" w:space="0" w:color="auto"/>
              <w:bottom w:val="single" w:sz="4" w:space="0" w:color="auto"/>
            </w:tcBorders>
          </w:tcPr>
          <w:p w:rsidR="00DF2A95" w:rsidRDefault="00675190" w:rsidP="006E3ADD">
            <w:pPr>
              <w:pStyle w:val="Tablehead1"/>
              <w:jc w:val="center"/>
            </w:pPr>
            <w:r w:rsidRPr="00F76CAB">
              <w:t>2008</w:t>
            </w:r>
          </w:p>
        </w:tc>
        <w:tc>
          <w:tcPr>
            <w:tcW w:w="1322" w:type="dxa"/>
            <w:tcBorders>
              <w:top w:val="single" w:sz="4" w:space="0" w:color="auto"/>
              <w:bottom w:val="single" w:sz="4" w:space="0" w:color="auto"/>
            </w:tcBorders>
          </w:tcPr>
          <w:p w:rsidR="00DF2A95" w:rsidRDefault="00675190" w:rsidP="006E3ADD">
            <w:pPr>
              <w:pStyle w:val="Tablehead1"/>
              <w:jc w:val="center"/>
            </w:pPr>
            <w:r w:rsidRPr="00F76CAB">
              <w:t>2009</w:t>
            </w:r>
          </w:p>
        </w:tc>
        <w:tc>
          <w:tcPr>
            <w:tcW w:w="1322" w:type="dxa"/>
            <w:tcBorders>
              <w:top w:val="single" w:sz="4" w:space="0" w:color="auto"/>
              <w:bottom w:val="single" w:sz="4" w:space="0" w:color="auto"/>
            </w:tcBorders>
          </w:tcPr>
          <w:p w:rsidR="00DF2A95" w:rsidRDefault="00675190" w:rsidP="006E3ADD">
            <w:pPr>
              <w:pStyle w:val="Tablehead1"/>
              <w:jc w:val="center"/>
            </w:pPr>
            <w:r w:rsidRPr="00F76CAB">
              <w:t>2010</w:t>
            </w:r>
          </w:p>
        </w:tc>
        <w:tc>
          <w:tcPr>
            <w:tcW w:w="1322" w:type="dxa"/>
            <w:tcBorders>
              <w:top w:val="single" w:sz="4" w:space="0" w:color="auto"/>
              <w:bottom w:val="single" w:sz="4" w:space="0" w:color="auto"/>
            </w:tcBorders>
          </w:tcPr>
          <w:p w:rsidR="00DF2A95" w:rsidRDefault="00675190" w:rsidP="006E3ADD">
            <w:pPr>
              <w:pStyle w:val="Tablehead1"/>
              <w:jc w:val="center"/>
            </w:pPr>
            <w:r w:rsidRPr="00F76CAB">
              <w:t>2011</w:t>
            </w:r>
          </w:p>
        </w:tc>
      </w:tr>
      <w:tr w:rsidR="00675190" w:rsidTr="006E3ADD">
        <w:tc>
          <w:tcPr>
            <w:tcW w:w="2179" w:type="dxa"/>
            <w:tcBorders>
              <w:top w:val="single" w:sz="4" w:space="0" w:color="auto"/>
            </w:tcBorders>
          </w:tcPr>
          <w:p w:rsidR="00675190" w:rsidRDefault="00675190" w:rsidP="006E3ADD">
            <w:pPr>
              <w:pStyle w:val="Tabletext"/>
            </w:pPr>
            <w:r>
              <w:t xml:space="preserve">Advanced </w:t>
            </w:r>
            <w:r w:rsidR="00E11D07">
              <w:t>d</w:t>
            </w:r>
            <w:r>
              <w:t>iploma</w:t>
            </w:r>
          </w:p>
        </w:tc>
        <w:tc>
          <w:tcPr>
            <w:tcW w:w="1322" w:type="dxa"/>
            <w:tcBorders>
              <w:top w:val="single" w:sz="4" w:space="0" w:color="auto"/>
            </w:tcBorders>
          </w:tcPr>
          <w:p w:rsidR="00DF2A95" w:rsidRDefault="00675190" w:rsidP="00D63F94">
            <w:pPr>
              <w:pStyle w:val="Tabletext"/>
              <w:tabs>
                <w:tab w:val="decimal" w:pos="482"/>
              </w:tabs>
            </w:pPr>
            <w:r>
              <w:t>34</w:t>
            </w:r>
            <w:r w:rsidR="006E3ADD">
              <w:t xml:space="preserve"> </w:t>
            </w:r>
            <w:r>
              <w:t>900</w:t>
            </w:r>
          </w:p>
        </w:tc>
        <w:tc>
          <w:tcPr>
            <w:tcW w:w="1322" w:type="dxa"/>
            <w:tcBorders>
              <w:top w:val="single" w:sz="4" w:space="0" w:color="auto"/>
            </w:tcBorders>
          </w:tcPr>
          <w:p w:rsidR="00DF2A95" w:rsidRDefault="00675190" w:rsidP="00D63F94">
            <w:pPr>
              <w:pStyle w:val="Tabletext"/>
              <w:tabs>
                <w:tab w:val="decimal" w:pos="482"/>
              </w:tabs>
            </w:pPr>
            <w:r>
              <w:t>35</w:t>
            </w:r>
            <w:r w:rsidR="006E3ADD">
              <w:t xml:space="preserve"> </w:t>
            </w:r>
            <w:r>
              <w:t>000</w:t>
            </w:r>
          </w:p>
        </w:tc>
        <w:tc>
          <w:tcPr>
            <w:tcW w:w="1322" w:type="dxa"/>
            <w:tcBorders>
              <w:top w:val="single" w:sz="4" w:space="0" w:color="auto"/>
            </w:tcBorders>
          </w:tcPr>
          <w:p w:rsidR="00DF2A95" w:rsidRDefault="00675190" w:rsidP="00D63F94">
            <w:pPr>
              <w:pStyle w:val="Tabletext"/>
              <w:tabs>
                <w:tab w:val="decimal" w:pos="482"/>
              </w:tabs>
            </w:pPr>
            <w:r>
              <w:t>38</w:t>
            </w:r>
            <w:r w:rsidR="006E3ADD">
              <w:t xml:space="preserve"> </w:t>
            </w:r>
            <w:r>
              <w:t>100</w:t>
            </w:r>
          </w:p>
        </w:tc>
        <w:tc>
          <w:tcPr>
            <w:tcW w:w="1322" w:type="dxa"/>
            <w:tcBorders>
              <w:top w:val="single" w:sz="4" w:space="0" w:color="auto"/>
            </w:tcBorders>
          </w:tcPr>
          <w:p w:rsidR="00DF2A95" w:rsidRDefault="00675190" w:rsidP="00D63F94">
            <w:pPr>
              <w:pStyle w:val="Tabletext"/>
              <w:tabs>
                <w:tab w:val="decimal" w:pos="482"/>
              </w:tabs>
            </w:pPr>
            <w:r>
              <w:t>39</w:t>
            </w:r>
            <w:r w:rsidR="006E3ADD">
              <w:t xml:space="preserve"> </w:t>
            </w:r>
            <w:r>
              <w:t>300</w:t>
            </w:r>
          </w:p>
        </w:tc>
        <w:tc>
          <w:tcPr>
            <w:tcW w:w="1322" w:type="dxa"/>
            <w:tcBorders>
              <w:top w:val="single" w:sz="4" w:space="0" w:color="auto"/>
            </w:tcBorders>
          </w:tcPr>
          <w:p w:rsidR="00DF2A95" w:rsidRDefault="00675190" w:rsidP="00D63F94">
            <w:pPr>
              <w:pStyle w:val="Tabletext"/>
              <w:tabs>
                <w:tab w:val="decimal" w:pos="482"/>
              </w:tabs>
            </w:pPr>
            <w:r>
              <w:t>39</w:t>
            </w:r>
            <w:r w:rsidR="006E3ADD">
              <w:t xml:space="preserve"> </w:t>
            </w:r>
            <w:r>
              <w:t>600</w:t>
            </w:r>
          </w:p>
        </w:tc>
      </w:tr>
      <w:tr w:rsidR="00675190" w:rsidTr="006E3ADD">
        <w:tc>
          <w:tcPr>
            <w:tcW w:w="2179" w:type="dxa"/>
          </w:tcPr>
          <w:p w:rsidR="00675190" w:rsidRDefault="00675190" w:rsidP="006E3ADD">
            <w:pPr>
              <w:pStyle w:val="Tabletext"/>
            </w:pPr>
            <w:r>
              <w:t>Diploma</w:t>
            </w:r>
          </w:p>
        </w:tc>
        <w:tc>
          <w:tcPr>
            <w:tcW w:w="1322" w:type="dxa"/>
          </w:tcPr>
          <w:p w:rsidR="00DF2A95" w:rsidRDefault="00675190" w:rsidP="00D63F94">
            <w:pPr>
              <w:pStyle w:val="Tabletext"/>
              <w:tabs>
                <w:tab w:val="decimal" w:pos="482"/>
              </w:tabs>
            </w:pPr>
            <w:r>
              <w:t>129</w:t>
            </w:r>
            <w:r w:rsidR="006E3ADD">
              <w:t xml:space="preserve"> </w:t>
            </w:r>
            <w:r>
              <w:t>200</w:t>
            </w:r>
          </w:p>
        </w:tc>
        <w:tc>
          <w:tcPr>
            <w:tcW w:w="1322" w:type="dxa"/>
          </w:tcPr>
          <w:p w:rsidR="00DF2A95" w:rsidRDefault="00675190" w:rsidP="00D63F94">
            <w:pPr>
              <w:pStyle w:val="Tabletext"/>
              <w:tabs>
                <w:tab w:val="decimal" w:pos="482"/>
              </w:tabs>
            </w:pPr>
            <w:r>
              <w:t>135</w:t>
            </w:r>
            <w:r w:rsidR="006E3ADD">
              <w:t xml:space="preserve"> </w:t>
            </w:r>
            <w:r>
              <w:t>300</w:t>
            </w:r>
          </w:p>
        </w:tc>
        <w:tc>
          <w:tcPr>
            <w:tcW w:w="1322" w:type="dxa"/>
          </w:tcPr>
          <w:p w:rsidR="00DF2A95" w:rsidRDefault="00675190" w:rsidP="00D63F94">
            <w:pPr>
              <w:pStyle w:val="Tabletext"/>
              <w:tabs>
                <w:tab w:val="decimal" w:pos="482"/>
              </w:tabs>
            </w:pPr>
            <w:r>
              <w:t>157</w:t>
            </w:r>
            <w:r w:rsidR="006E3ADD">
              <w:t xml:space="preserve"> </w:t>
            </w:r>
            <w:r>
              <w:t>800</w:t>
            </w:r>
          </w:p>
        </w:tc>
        <w:tc>
          <w:tcPr>
            <w:tcW w:w="1322" w:type="dxa"/>
          </w:tcPr>
          <w:p w:rsidR="00DF2A95" w:rsidRDefault="00675190" w:rsidP="00D63F94">
            <w:pPr>
              <w:pStyle w:val="Tabletext"/>
              <w:tabs>
                <w:tab w:val="decimal" w:pos="482"/>
              </w:tabs>
            </w:pPr>
            <w:r>
              <w:t>189</w:t>
            </w:r>
            <w:r w:rsidR="006E3ADD">
              <w:t xml:space="preserve"> </w:t>
            </w:r>
            <w:r>
              <w:t>700</w:t>
            </w:r>
          </w:p>
        </w:tc>
        <w:tc>
          <w:tcPr>
            <w:tcW w:w="1322" w:type="dxa"/>
          </w:tcPr>
          <w:p w:rsidR="00DF2A95" w:rsidRDefault="00675190" w:rsidP="00D63F94">
            <w:pPr>
              <w:pStyle w:val="Tabletext"/>
              <w:tabs>
                <w:tab w:val="decimal" w:pos="482"/>
              </w:tabs>
            </w:pPr>
            <w:r>
              <w:t>217</w:t>
            </w:r>
            <w:r w:rsidR="006E3ADD">
              <w:t xml:space="preserve"> </w:t>
            </w:r>
            <w:r>
              <w:t>700</w:t>
            </w:r>
          </w:p>
        </w:tc>
      </w:tr>
      <w:tr w:rsidR="00675190" w:rsidRPr="006E3ADD" w:rsidTr="006E3ADD">
        <w:tc>
          <w:tcPr>
            <w:tcW w:w="2179" w:type="dxa"/>
          </w:tcPr>
          <w:p w:rsidR="00675190" w:rsidRPr="006E3ADD" w:rsidRDefault="00675190" w:rsidP="006E3ADD">
            <w:pPr>
              <w:pStyle w:val="Tabletext"/>
              <w:rPr>
                <w:b/>
              </w:rPr>
            </w:pPr>
            <w:r w:rsidRPr="006E3ADD">
              <w:rPr>
                <w:b/>
              </w:rPr>
              <w:t>Totals</w:t>
            </w:r>
          </w:p>
        </w:tc>
        <w:tc>
          <w:tcPr>
            <w:tcW w:w="1322" w:type="dxa"/>
          </w:tcPr>
          <w:p w:rsidR="00DF2A95" w:rsidRPr="006E3ADD" w:rsidRDefault="002925BE" w:rsidP="00D63F94">
            <w:pPr>
              <w:pStyle w:val="Tabletext"/>
              <w:tabs>
                <w:tab w:val="decimal" w:pos="482"/>
              </w:tabs>
              <w:rPr>
                <w:b/>
              </w:rPr>
            </w:pPr>
            <w:r w:rsidRPr="006E3ADD">
              <w:rPr>
                <w:b/>
              </w:rPr>
              <w:t>164</w:t>
            </w:r>
            <w:r w:rsidR="006E3ADD">
              <w:rPr>
                <w:b/>
              </w:rPr>
              <w:t xml:space="preserve"> </w:t>
            </w:r>
            <w:r w:rsidRPr="006E3ADD">
              <w:rPr>
                <w:b/>
              </w:rPr>
              <w:t>100</w:t>
            </w:r>
          </w:p>
        </w:tc>
        <w:tc>
          <w:tcPr>
            <w:tcW w:w="1322" w:type="dxa"/>
          </w:tcPr>
          <w:p w:rsidR="00DF2A95" w:rsidRPr="006E3ADD" w:rsidRDefault="006E3ADD" w:rsidP="00D63F94">
            <w:pPr>
              <w:pStyle w:val="Tabletext"/>
              <w:tabs>
                <w:tab w:val="decimal" w:pos="482"/>
              </w:tabs>
              <w:rPr>
                <w:b/>
              </w:rPr>
            </w:pPr>
            <w:r>
              <w:rPr>
                <w:b/>
              </w:rPr>
              <w:t xml:space="preserve">170 </w:t>
            </w:r>
            <w:r w:rsidR="002925BE" w:rsidRPr="006E3ADD">
              <w:rPr>
                <w:b/>
              </w:rPr>
              <w:t>300</w:t>
            </w:r>
          </w:p>
        </w:tc>
        <w:tc>
          <w:tcPr>
            <w:tcW w:w="1322" w:type="dxa"/>
          </w:tcPr>
          <w:p w:rsidR="00DF2A95" w:rsidRPr="006E3ADD" w:rsidRDefault="002925BE" w:rsidP="00D63F94">
            <w:pPr>
              <w:pStyle w:val="Tabletext"/>
              <w:tabs>
                <w:tab w:val="decimal" w:pos="482"/>
              </w:tabs>
              <w:rPr>
                <w:b/>
              </w:rPr>
            </w:pPr>
            <w:r w:rsidRPr="006E3ADD">
              <w:rPr>
                <w:b/>
              </w:rPr>
              <w:t>195</w:t>
            </w:r>
            <w:r w:rsidR="006E3ADD">
              <w:rPr>
                <w:b/>
              </w:rPr>
              <w:t xml:space="preserve"> </w:t>
            </w:r>
            <w:r w:rsidRPr="006E3ADD">
              <w:rPr>
                <w:b/>
              </w:rPr>
              <w:t>900</w:t>
            </w:r>
          </w:p>
        </w:tc>
        <w:tc>
          <w:tcPr>
            <w:tcW w:w="1322" w:type="dxa"/>
          </w:tcPr>
          <w:p w:rsidR="00DF2A95" w:rsidRPr="006E3ADD" w:rsidRDefault="006E3ADD" w:rsidP="00D63F94">
            <w:pPr>
              <w:pStyle w:val="Tabletext"/>
              <w:tabs>
                <w:tab w:val="decimal" w:pos="482"/>
              </w:tabs>
              <w:rPr>
                <w:b/>
              </w:rPr>
            </w:pPr>
            <w:r>
              <w:rPr>
                <w:b/>
              </w:rPr>
              <w:t xml:space="preserve">229 </w:t>
            </w:r>
            <w:r w:rsidR="002925BE" w:rsidRPr="006E3ADD">
              <w:rPr>
                <w:b/>
              </w:rPr>
              <w:t>000</w:t>
            </w:r>
          </w:p>
        </w:tc>
        <w:tc>
          <w:tcPr>
            <w:tcW w:w="1322" w:type="dxa"/>
          </w:tcPr>
          <w:p w:rsidR="00DF2A95" w:rsidRPr="006E3ADD" w:rsidRDefault="002925BE" w:rsidP="00D63F94">
            <w:pPr>
              <w:pStyle w:val="Tabletext"/>
              <w:tabs>
                <w:tab w:val="decimal" w:pos="482"/>
              </w:tabs>
              <w:rPr>
                <w:b/>
              </w:rPr>
            </w:pPr>
            <w:r w:rsidRPr="006E3ADD">
              <w:rPr>
                <w:b/>
              </w:rPr>
              <w:t>257</w:t>
            </w:r>
            <w:r w:rsidR="006E3ADD">
              <w:rPr>
                <w:b/>
              </w:rPr>
              <w:t xml:space="preserve"> </w:t>
            </w:r>
            <w:r w:rsidRPr="006E3ADD">
              <w:rPr>
                <w:b/>
              </w:rPr>
              <w:t>300</w:t>
            </w:r>
          </w:p>
        </w:tc>
      </w:tr>
    </w:tbl>
    <w:p w:rsidR="002925BE" w:rsidRPr="006E3ADD" w:rsidRDefault="00E11D07" w:rsidP="006E3ADD">
      <w:pPr>
        <w:pStyle w:val="Source"/>
        <w:rPr>
          <w:rStyle w:val="FootnoteReference"/>
          <w:vertAlign w:val="baseline"/>
        </w:rPr>
      </w:pPr>
      <w:r w:rsidRPr="006E3ADD">
        <w:rPr>
          <w:rStyle w:val="FootnoteReference"/>
          <w:vertAlign w:val="baseline"/>
        </w:rPr>
        <w:t>Source:</w:t>
      </w:r>
      <w:r w:rsidR="006E3ADD">
        <w:tab/>
      </w:r>
      <w:r w:rsidRPr="006E3ADD">
        <w:rPr>
          <w:rStyle w:val="FootnoteReference"/>
          <w:vertAlign w:val="baseline"/>
        </w:rPr>
        <w:t xml:space="preserve">NCVER </w:t>
      </w:r>
      <w:r w:rsidR="002925BE" w:rsidRPr="006E3ADD">
        <w:rPr>
          <w:rStyle w:val="FootnoteReference"/>
          <w:vertAlign w:val="baseline"/>
        </w:rPr>
        <w:t>(2012</w:t>
      </w:r>
      <w:r w:rsidR="00B40D69" w:rsidRPr="006E3ADD">
        <w:rPr>
          <w:rStyle w:val="FootnoteReference"/>
          <w:vertAlign w:val="baseline"/>
        </w:rPr>
        <w:t>c</w:t>
      </w:r>
      <w:r w:rsidRPr="006E3ADD">
        <w:rPr>
          <w:rStyle w:val="FootnoteReference"/>
          <w:vertAlign w:val="baseline"/>
        </w:rPr>
        <w:t>, table 4).</w:t>
      </w:r>
    </w:p>
    <w:p w:rsidR="00DF2A95" w:rsidRDefault="00E11D07" w:rsidP="006E3ADD">
      <w:pPr>
        <w:pStyle w:val="Textmorebefore"/>
      </w:pPr>
      <w:r>
        <w:t>The main diploma-</w:t>
      </w:r>
      <w:r w:rsidR="00D56905">
        <w:t xml:space="preserve">level courses offered in </w:t>
      </w:r>
      <w:r>
        <w:t xml:space="preserve">vocational education and training </w:t>
      </w:r>
      <w:r w:rsidR="00D56905">
        <w:t xml:space="preserve">in this field </w:t>
      </w:r>
      <w:r w:rsidR="00E13B2F">
        <w:t xml:space="preserve">by students </w:t>
      </w:r>
      <w:r w:rsidR="00D56905">
        <w:t>are</w:t>
      </w:r>
      <w:r w:rsidR="00E13B2F">
        <w:t xml:space="preserve"> the</w:t>
      </w:r>
      <w:r w:rsidR="00D56905">
        <w:t>:</w:t>
      </w:r>
    </w:p>
    <w:p w:rsidR="00DF2A95" w:rsidRDefault="00D56905">
      <w:pPr>
        <w:pStyle w:val="Dotpoint1"/>
      </w:pPr>
      <w:r>
        <w:t>Diploma of Building and Construction (Building)</w:t>
      </w:r>
    </w:p>
    <w:p w:rsidR="00DF2A95" w:rsidRDefault="00D56905">
      <w:pPr>
        <w:pStyle w:val="Dotpoint1"/>
      </w:pPr>
      <w:r>
        <w:t xml:space="preserve">Diploma of </w:t>
      </w:r>
      <w:r w:rsidR="00E11D07">
        <w:t>Building Design and Technology</w:t>
      </w:r>
    </w:p>
    <w:p w:rsidR="00DF2A95" w:rsidRDefault="00E11D07">
      <w:pPr>
        <w:pStyle w:val="Dotpoint1"/>
      </w:pPr>
      <w:r>
        <w:t>Diploma of B</w:t>
      </w:r>
      <w:r w:rsidR="00D56905">
        <w:t>uilding Surveying</w:t>
      </w:r>
    </w:p>
    <w:p w:rsidR="00DF2A95" w:rsidRDefault="00E11D07">
      <w:pPr>
        <w:pStyle w:val="Dotpoint1"/>
      </w:pPr>
      <w:r>
        <w:t>Advanced D</w:t>
      </w:r>
      <w:r w:rsidR="00D56905">
        <w:t>iploma</w:t>
      </w:r>
      <w:r>
        <w:t xml:space="preserve"> of B</w:t>
      </w:r>
      <w:r w:rsidR="00D56905">
        <w:t>uilding Design (Architectural).</w:t>
      </w:r>
    </w:p>
    <w:p w:rsidR="00DF2A95" w:rsidRDefault="00D56905" w:rsidP="006E3ADD">
      <w:pPr>
        <w:pStyle w:val="Heading3"/>
      </w:pPr>
      <w:bookmarkStart w:id="64" w:name="_Toc351107163"/>
      <w:r>
        <w:t>Higher education</w:t>
      </w:r>
      <w:bookmarkEnd w:id="64"/>
      <w:r>
        <w:t xml:space="preserve"> </w:t>
      </w:r>
    </w:p>
    <w:p w:rsidR="00B5497B" w:rsidRDefault="00B5497B" w:rsidP="00D63F94">
      <w:pPr>
        <w:pStyle w:val="Text"/>
        <w:spacing w:before="80"/>
        <w:ind w:right="0"/>
      </w:pPr>
      <w:r>
        <w:t xml:space="preserve">In higher education, the main providers for architecture and </w:t>
      </w:r>
      <w:r w:rsidR="009F29A1">
        <w:t xml:space="preserve">building and construction </w:t>
      </w:r>
      <w:r>
        <w:t>studies by student load are:</w:t>
      </w:r>
    </w:p>
    <w:p w:rsidR="00B5497B" w:rsidRDefault="00B5497B" w:rsidP="00B5497B">
      <w:pPr>
        <w:pStyle w:val="Dotpoint1"/>
      </w:pPr>
      <w:r>
        <w:t>R</w:t>
      </w:r>
      <w:r w:rsidR="009E11D6">
        <w:t>oyal Melb</w:t>
      </w:r>
      <w:r w:rsidR="00E11D07">
        <w:t>ourne Institute of Technology</w:t>
      </w:r>
    </w:p>
    <w:p w:rsidR="00B5497B" w:rsidRDefault="00B5497B" w:rsidP="00B5497B">
      <w:pPr>
        <w:pStyle w:val="Dotpoint1"/>
      </w:pPr>
      <w:r>
        <w:t>Unive</w:t>
      </w:r>
      <w:r w:rsidR="00E11D07">
        <w:t>rsity of Melbourne (mainly post</w:t>
      </w:r>
      <w:r>
        <w:t>graduate)</w:t>
      </w:r>
    </w:p>
    <w:p w:rsidR="00B5497B" w:rsidRDefault="009E11D6" w:rsidP="00B5497B">
      <w:pPr>
        <w:pStyle w:val="Dotpoint1"/>
      </w:pPr>
      <w:r>
        <w:t>Queen</w:t>
      </w:r>
      <w:r w:rsidR="00E11D07">
        <w:t xml:space="preserve">sland </w:t>
      </w:r>
      <w:r w:rsidR="00F74C5A">
        <w:t xml:space="preserve">University </w:t>
      </w:r>
      <w:r w:rsidR="00E11D07">
        <w:t>of Technology</w:t>
      </w:r>
    </w:p>
    <w:p w:rsidR="00B5497B" w:rsidRDefault="00E11D07" w:rsidP="00B5497B">
      <w:pPr>
        <w:pStyle w:val="Dotpoint1"/>
      </w:pPr>
      <w:r>
        <w:t>University of New South Wales</w:t>
      </w:r>
    </w:p>
    <w:p w:rsidR="009E11D6" w:rsidRDefault="009E11D6" w:rsidP="009E11D6">
      <w:pPr>
        <w:pStyle w:val="Dotpoint1"/>
      </w:pPr>
      <w:r>
        <w:t>Curtin University of Technology</w:t>
      </w:r>
    </w:p>
    <w:p w:rsidR="00B5497B" w:rsidRDefault="009E11D6" w:rsidP="00B5497B">
      <w:pPr>
        <w:pStyle w:val="Dotpoint1"/>
      </w:pPr>
      <w:r>
        <w:t>U</w:t>
      </w:r>
      <w:r w:rsidR="00E11D07">
        <w:t xml:space="preserve">niversity of Technology Sydney </w:t>
      </w:r>
    </w:p>
    <w:p w:rsidR="009E11D6" w:rsidRDefault="009E11D6" w:rsidP="00B5497B">
      <w:pPr>
        <w:pStyle w:val="Dotpoint1"/>
      </w:pPr>
      <w:r>
        <w:t>Uni</w:t>
      </w:r>
      <w:r w:rsidR="00E11D07">
        <w:t>versity of South Australia</w:t>
      </w:r>
    </w:p>
    <w:p w:rsidR="00F74C5A" w:rsidRDefault="00F74C5A">
      <w:pPr>
        <w:spacing w:before="0" w:line="240" w:lineRule="auto"/>
        <w:rPr>
          <w:color w:val="000000"/>
        </w:rPr>
      </w:pPr>
      <w:r>
        <w:br w:type="page"/>
      </w:r>
    </w:p>
    <w:p w:rsidR="009E11D6" w:rsidRDefault="009E11D6" w:rsidP="009E11D6">
      <w:pPr>
        <w:pStyle w:val="Dotpoint1"/>
      </w:pPr>
      <w:r>
        <w:lastRenderedPageBreak/>
        <w:t>Deakin University</w:t>
      </w:r>
    </w:p>
    <w:p w:rsidR="00B5497B" w:rsidRDefault="009E11D6" w:rsidP="004B2D24">
      <w:pPr>
        <w:pStyle w:val="Dotpoint1"/>
      </w:pPr>
      <w:r>
        <w:t xml:space="preserve">University of </w:t>
      </w:r>
      <w:r w:rsidR="00B5497B" w:rsidRPr="004B2D24">
        <w:t>Newcastle</w:t>
      </w:r>
      <w:r w:rsidR="00D60D4A">
        <w:t>.</w:t>
      </w:r>
      <w:r w:rsidR="00B5497B">
        <w:t xml:space="preserve"> </w:t>
      </w:r>
    </w:p>
    <w:p w:rsidR="00DF2A95" w:rsidRDefault="009E11D6" w:rsidP="004B2D24">
      <w:pPr>
        <w:pStyle w:val="Text"/>
      </w:pPr>
      <w:r>
        <w:t xml:space="preserve">Details of all higher education providers are set out in table </w:t>
      </w:r>
      <w:r w:rsidR="00F74C5A">
        <w:t>A3</w:t>
      </w:r>
      <w:r>
        <w:t>.</w:t>
      </w:r>
    </w:p>
    <w:p w:rsidR="008E7AC5" w:rsidRDefault="00D63F94" w:rsidP="004B2D24">
      <w:pPr>
        <w:pStyle w:val="tabletitle"/>
      </w:pPr>
      <w:bookmarkStart w:id="65" w:name="_Toc358115452"/>
      <w:r>
        <w:t>Table A3</w:t>
      </w:r>
      <w:r>
        <w:tab/>
        <w:t xml:space="preserve">Actual student load in the field of architecture </w:t>
      </w:r>
      <w:r w:rsidRPr="004B2D24">
        <w:t>and</w:t>
      </w:r>
      <w:r>
        <w:t xml:space="preserve"> building by </w:t>
      </w:r>
      <w:r>
        <w:br/>
        <w:t>higher education provider, 2011</w:t>
      </w:r>
      <w:bookmarkEnd w:id="65"/>
    </w:p>
    <w:tbl>
      <w:tblPr>
        <w:tblStyle w:val="TableGrid"/>
        <w:tblW w:w="6237"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424"/>
        <w:gridCol w:w="1813"/>
      </w:tblGrid>
      <w:tr w:rsidR="008E7AC5" w:rsidRPr="00D63F94" w:rsidTr="00B65306">
        <w:trPr>
          <w:tblHeader/>
        </w:trPr>
        <w:tc>
          <w:tcPr>
            <w:tcW w:w="4503" w:type="dxa"/>
            <w:tcBorders>
              <w:top w:val="single" w:sz="4" w:space="0" w:color="auto"/>
              <w:bottom w:val="single" w:sz="4" w:space="0" w:color="auto"/>
            </w:tcBorders>
          </w:tcPr>
          <w:p w:rsidR="00DF2A95" w:rsidRPr="00D63F94" w:rsidRDefault="008E7AC5" w:rsidP="00D63F94">
            <w:pPr>
              <w:pStyle w:val="Tablehead1"/>
            </w:pPr>
            <w:r w:rsidRPr="00D63F94">
              <w:t>State/</w:t>
            </w:r>
            <w:r w:rsidR="00D63F94" w:rsidRPr="00D63F94">
              <w:t>p</w:t>
            </w:r>
            <w:r w:rsidRPr="00D63F94">
              <w:t>roviders</w:t>
            </w:r>
          </w:p>
        </w:tc>
        <w:tc>
          <w:tcPr>
            <w:tcW w:w="1843" w:type="dxa"/>
            <w:tcBorders>
              <w:top w:val="single" w:sz="4" w:space="0" w:color="auto"/>
              <w:bottom w:val="single" w:sz="4" w:space="0" w:color="auto"/>
            </w:tcBorders>
          </w:tcPr>
          <w:p w:rsidR="00DF2A95" w:rsidRPr="00D63F94" w:rsidRDefault="008E7AC5" w:rsidP="0092727F">
            <w:pPr>
              <w:pStyle w:val="Tablehead1"/>
              <w:jc w:val="center"/>
            </w:pPr>
            <w:r w:rsidRPr="00D63F94">
              <w:t>Student load</w:t>
            </w:r>
          </w:p>
        </w:tc>
      </w:tr>
      <w:tr w:rsidR="008E7AC5" w:rsidRPr="00CD3C9E" w:rsidTr="00D63F94">
        <w:tc>
          <w:tcPr>
            <w:tcW w:w="4503" w:type="dxa"/>
            <w:tcBorders>
              <w:top w:val="single" w:sz="4" w:space="0" w:color="auto"/>
            </w:tcBorders>
          </w:tcPr>
          <w:p w:rsidR="00DF2A95" w:rsidRPr="00D63F94" w:rsidRDefault="008E7AC5" w:rsidP="00D63F94">
            <w:pPr>
              <w:pStyle w:val="Tabletext"/>
              <w:spacing w:after="0"/>
              <w:rPr>
                <w:i/>
              </w:rPr>
            </w:pPr>
            <w:r w:rsidRPr="00D63F94">
              <w:rPr>
                <w:i/>
              </w:rPr>
              <w:t>New South Wales</w:t>
            </w:r>
          </w:p>
        </w:tc>
        <w:tc>
          <w:tcPr>
            <w:tcW w:w="1843" w:type="dxa"/>
            <w:tcBorders>
              <w:top w:val="single" w:sz="4" w:space="0" w:color="auto"/>
            </w:tcBorders>
          </w:tcPr>
          <w:p w:rsidR="00DF2A95" w:rsidRPr="00CD3C9E" w:rsidRDefault="00DF2A95" w:rsidP="0092727F">
            <w:pPr>
              <w:pStyle w:val="Tabletext"/>
              <w:spacing w:after="0"/>
              <w:ind w:right="600"/>
              <w:jc w:val="right"/>
              <w:rPr>
                <w:bCs/>
                <w:sz w:val="20"/>
                <w:szCs w:val="20"/>
              </w:rPr>
            </w:pPr>
          </w:p>
        </w:tc>
      </w:tr>
      <w:tr w:rsidR="008E7AC5" w:rsidTr="00D63F94">
        <w:tc>
          <w:tcPr>
            <w:tcW w:w="4503" w:type="dxa"/>
          </w:tcPr>
          <w:p w:rsidR="00DF2A95" w:rsidRDefault="008E7AC5" w:rsidP="00F74C5A">
            <w:pPr>
              <w:pStyle w:val="Tabletext"/>
              <w:spacing w:after="30"/>
            </w:pPr>
            <w:r w:rsidRPr="00FF6E9F">
              <w:t>Charles Sturt University</w:t>
            </w:r>
          </w:p>
        </w:tc>
        <w:tc>
          <w:tcPr>
            <w:tcW w:w="1843" w:type="dxa"/>
          </w:tcPr>
          <w:p w:rsidR="00DF2A95" w:rsidRDefault="008E7AC5" w:rsidP="00F74C5A">
            <w:pPr>
              <w:pStyle w:val="Tabletext"/>
              <w:spacing w:after="30"/>
              <w:ind w:right="600"/>
              <w:jc w:val="right"/>
            </w:pPr>
            <w:r w:rsidRPr="003B56E9">
              <w:t>9</w:t>
            </w:r>
          </w:p>
        </w:tc>
      </w:tr>
      <w:tr w:rsidR="008E7AC5" w:rsidTr="00D63F94">
        <w:tc>
          <w:tcPr>
            <w:tcW w:w="4503" w:type="dxa"/>
          </w:tcPr>
          <w:p w:rsidR="00DF2A95" w:rsidRDefault="008E7AC5" w:rsidP="00F74C5A">
            <w:pPr>
              <w:pStyle w:val="Tabletext"/>
              <w:spacing w:after="30"/>
            </w:pPr>
            <w:r w:rsidRPr="00FF6E9F">
              <w:t>Macquarie University</w:t>
            </w:r>
          </w:p>
        </w:tc>
        <w:tc>
          <w:tcPr>
            <w:tcW w:w="1843" w:type="dxa"/>
          </w:tcPr>
          <w:p w:rsidR="00DF2A95" w:rsidRDefault="008E7AC5" w:rsidP="00F74C5A">
            <w:pPr>
              <w:pStyle w:val="Tabletext"/>
              <w:spacing w:after="30"/>
              <w:ind w:right="600"/>
              <w:jc w:val="right"/>
            </w:pPr>
            <w:r w:rsidRPr="003B56E9">
              <w:t>19</w:t>
            </w:r>
          </w:p>
        </w:tc>
      </w:tr>
      <w:tr w:rsidR="008E7AC5" w:rsidTr="00D63F94">
        <w:tc>
          <w:tcPr>
            <w:tcW w:w="4503" w:type="dxa"/>
          </w:tcPr>
          <w:p w:rsidR="00DF2A95" w:rsidRDefault="008E7AC5" w:rsidP="00F74C5A">
            <w:pPr>
              <w:pStyle w:val="Tabletext"/>
              <w:spacing w:after="30"/>
            </w:pPr>
            <w:r w:rsidRPr="00FF6E9F">
              <w:t>Southern Cross University</w:t>
            </w:r>
          </w:p>
        </w:tc>
        <w:tc>
          <w:tcPr>
            <w:tcW w:w="1843" w:type="dxa"/>
          </w:tcPr>
          <w:p w:rsidR="00DF2A95" w:rsidRDefault="008E7AC5" w:rsidP="00F74C5A">
            <w:pPr>
              <w:pStyle w:val="Tabletext"/>
              <w:spacing w:after="30"/>
              <w:ind w:right="600"/>
              <w:jc w:val="right"/>
            </w:pPr>
            <w:r w:rsidRPr="003B56E9">
              <w:t>0</w:t>
            </w:r>
          </w:p>
        </w:tc>
      </w:tr>
      <w:tr w:rsidR="008E7AC5" w:rsidTr="00D63F94">
        <w:tc>
          <w:tcPr>
            <w:tcW w:w="4503" w:type="dxa"/>
          </w:tcPr>
          <w:p w:rsidR="00DF2A95" w:rsidRDefault="008E7AC5" w:rsidP="00F74C5A">
            <w:pPr>
              <w:pStyle w:val="Tabletext"/>
              <w:spacing w:after="30"/>
            </w:pPr>
            <w:r w:rsidRPr="00FF6E9F">
              <w:t>University of New England</w:t>
            </w:r>
          </w:p>
        </w:tc>
        <w:tc>
          <w:tcPr>
            <w:tcW w:w="1843" w:type="dxa"/>
          </w:tcPr>
          <w:p w:rsidR="00DF2A95" w:rsidRDefault="008E7AC5" w:rsidP="00F74C5A">
            <w:pPr>
              <w:pStyle w:val="Tabletext"/>
              <w:spacing w:after="30"/>
              <w:ind w:right="600"/>
              <w:jc w:val="right"/>
            </w:pPr>
            <w:r w:rsidRPr="003B56E9">
              <w:t>112</w:t>
            </w:r>
          </w:p>
        </w:tc>
      </w:tr>
      <w:tr w:rsidR="008E7AC5" w:rsidTr="00D63F94">
        <w:tc>
          <w:tcPr>
            <w:tcW w:w="4503" w:type="dxa"/>
          </w:tcPr>
          <w:p w:rsidR="00DF2A95" w:rsidRDefault="008E7AC5" w:rsidP="00F74C5A">
            <w:pPr>
              <w:pStyle w:val="Tabletext"/>
              <w:spacing w:after="30"/>
            </w:pPr>
            <w:r w:rsidRPr="00FF6E9F">
              <w:t>University of New South Wales</w:t>
            </w:r>
          </w:p>
        </w:tc>
        <w:tc>
          <w:tcPr>
            <w:tcW w:w="1843" w:type="dxa"/>
          </w:tcPr>
          <w:p w:rsidR="00DF2A95" w:rsidRDefault="00D63F94" w:rsidP="00F74C5A">
            <w:pPr>
              <w:pStyle w:val="Tabletext"/>
              <w:spacing w:after="30"/>
              <w:ind w:right="600"/>
              <w:jc w:val="right"/>
            </w:pPr>
            <w:r>
              <w:t xml:space="preserve">1 </w:t>
            </w:r>
            <w:r w:rsidR="008E7AC5" w:rsidRPr="003B56E9">
              <w:t>735</w:t>
            </w:r>
          </w:p>
        </w:tc>
      </w:tr>
      <w:tr w:rsidR="008E7AC5" w:rsidTr="00D63F94">
        <w:tc>
          <w:tcPr>
            <w:tcW w:w="4503" w:type="dxa"/>
          </w:tcPr>
          <w:p w:rsidR="00DF2A95" w:rsidRDefault="008E7AC5" w:rsidP="00F74C5A">
            <w:pPr>
              <w:pStyle w:val="Tabletext"/>
              <w:spacing w:after="30"/>
            </w:pPr>
            <w:r w:rsidRPr="00FF6E9F">
              <w:t>University of Newcastle</w:t>
            </w:r>
          </w:p>
        </w:tc>
        <w:tc>
          <w:tcPr>
            <w:tcW w:w="1843" w:type="dxa"/>
          </w:tcPr>
          <w:p w:rsidR="00DF2A95" w:rsidRDefault="008E7AC5" w:rsidP="00F74C5A">
            <w:pPr>
              <w:pStyle w:val="Tabletext"/>
              <w:spacing w:after="30"/>
              <w:ind w:right="600"/>
              <w:jc w:val="right"/>
            </w:pPr>
            <w:r w:rsidRPr="003B56E9">
              <w:t>967</w:t>
            </w:r>
          </w:p>
        </w:tc>
      </w:tr>
      <w:tr w:rsidR="008E7AC5" w:rsidTr="00D63F94">
        <w:tc>
          <w:tcPr>
            <w:tcW w:w="4503" w:type="dxa"/>
          </w:tcPr>
          <w:p w:rsidR="00DF2A95" w:rsidRDefault="008E7AC5" w:rsidP="00F74C5A">
            <w:pPr>
              <w:pStyle w:val="Tabletext"/>
              <w:spacing w:after="30"/>
            </w:pPr>
            <w:r w:rsidRPr="00FF6E9F">
              <w:t>University of Sydney</w:t>
            </w:r>
          </w:p>
        </w:tc>
        <w:tc>
          <w:tcPr>
            <w:tcW w:w="1843" w:type="dxa"/>
          </w:tcPr>
          <w:p w:rsidR="00DF2A95" w:rsidRDefault="008E7AC5" w:rsidP="00F74C5A">
            <w:pPr>
              <w:pStyle w:val="Tabletext"/>
              <w:spacing w:after="30"/>
              <w:ind w:right="600"/>
              <w:jc w:val="right"/>
            </w:pPr>
            <w:r w:rsidRPr="003B56E9">
              <w:t>941</w:t>
            </w:r>
          </w:p>
        </w:tc>
      </w:tr>
      <w:tr w:rsidR="008E7AC5" w:rsidTr="00D63F94">
        <w:tc>
          <w:tcPr>
            <w:tcW w:w="4503" w:type="dxa"/>
          </w:tcPr>
          <w:p w:rsidR="00DF2A95" w:rsidRDefault="00E11D07" w:rsidP="00F74C5A">
            <w:pPr>
              <w:pStyle w:val="Tabletext"/>
              <w:spacing w:after="30"/>
            </w:pPr>
            <w:r>
              <w:t>University of Technology</w:t>
            </w:r>
            <w:r w:rsidR="008E7AC5" w:rsidRPr="00FF6E9F">
              <w:t xml:space="preserve"> Sydney</w:t>
            </w:r>
          </w:p>
        </w:tc>
        <w:tc>
          <w:tcPr>
            <w:tcW w:w="1843" w:type="dxa"/>
          </w:tcPr>
          <w:p w:rsidR="00DF2A95" w:rsidRDefault="00D63F94" w:rsidP="00F74C5A">
            <w:pPr>
              <w:pStyle w:val="Tabletext"/>
              <w:spacing w:after="30"/>
              <w:ind w:right="600"/>
              <w:jc w:val="right"/>
            </w:pPr>
            <w:r>
              <w:t xml:space="preserve">1 </w:t>
            </w:r>
            <w:r w:rsidR="008E7AC5" w:rsidRPr="003B56E9">
              <w:t>321</w:t>
            </w:r>
          </w:p>
        </w:tc>
      </w:tr>
      <w:tr w:rsidR="008E7AC5" w:rsidTr="00D63F94">
        <w:tc>
          <w:tcPr>
            <w:tcW w:w="4503" w:type="dxa"/>
          </w:tcPr>
          <w:p w:rsidR="00DF2A95" w:rsidRDefault="008E7AC5" w:rsidP="00F74C5A">
            <w:pPr>
              <w:pStyle w:val="Tabletext"/>
              <w:spacing w:after="30"/>
            </w:pPr>
            <w:r w:rsidRPr="00FF6E9F">
              <w:t>University of Western Sydney</w:t>
            </w:r>
          </w:p>
        </w:tc>
        <w:tc>
          <w:tcPr>
            <w:tcW w:w="1843" w:type="dxa"/>
          </w:tcPr>
          <w:p w:rsidR="00DF2A95" w:rsidRDefault="008E7AC5" w:rsidP="00F74C5A">
            <w:pPr>
              <w:pStyle w:val="Tabletext"/>
              <w:spacing w:after="30"/>
              <w:ind w:right="600"/>
              <w:jc w:val="right"/>
            </w:pPr>
            <w:r w:rsidRPr="003B56E9">
              <w:t>368</w:t>
            </w:r>
          </w:p>
        </w:tc>
      </w:tr>
      <w:tr w:rsidR="008E7AC5" w:rsidTr="00D63F94">
        <w:tc>
          <w:tcPr>
            <w:tcW w:w="4503" w:type="dxa"/>
            <w:tcBorders>
              <w:bottom w:val="nil"/>
            </w:tcBorders>
          </w:tcPr>
          <w:p w:rsidR="00DF2A95" w:rsidRDefault="008E7AC5" w:rsidP="00F74C5A">
            <w:pPr>
              <w:pStyle w:val="Tabletext"/>
              <w:spacing w:after="30"/>
            </w:pPr>
            <w:r w:rsidRPr="00FF6E9F">
              <w:t>University of Wollongong</w:t>
            </w:r>
          </w:p>
        </w:tc>
        <w:tc>
          <w:tcPr>
            <w:tcW w:w="1843" w:type="dxa"/>
            <w:tcBorders>
              <w:bottom w:val="nil"/>
            </w:tcBorders>
          </w:tcPr>
          <w:p w:rsidR="00DF2A95" w:rsidRDefault="008E7AC5" w:rsidP="00F74C5A">
            <w:pPr>
              <w:pStyle w:val="Tabletext"/>
              <w:spacing w:after="30"/>
              <w:ind w:right="600"/>
              <w:jc w:val="right"/>
            </w:pPr>
            <w:r w:rsidRPr="003B56E9">
              <w:t>0</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35</w:t>
            </w:r>
          </w:p>
        </w:tc>
      </w:tr>
      <w:tr w:rsidR="008E7AC5" w:rsidTr="00D63F94">
        <w:tc>
          <w:tcPr>
            <w:tcW w:w="4503" w:type="dxa"/>
            <w:tcBorders>
              <w:top w:val="dashed" w:sz="4" w:space="0" w:color="auto"/>
            </w:tcBorders>
          </w:tcPr>
          <w:p w:rsidR="00E3227A" w:rsidRPr="00D63F94" w:rsidRDefault="008E7AC5" w:rsidP="0092727F">
            <w:pPr>
              <w:pStyle w:val="Tabletext"/>
              <w:spacing w:before="80"/>
              <w:rPr>
                <w:i/>
              </w:rPr>
            </w:pPr>
            <w:r w:rsidRPr="00D63F94">
              <w:rPr>
                <w:i/>
              </w:rPr>
              <w:t>Victoria</w:t>
            </w:r>
          </w:p>
        </w:tc>
        <w:tc>
          <w:tcPr>
            <w:tcW w:w="1843" w:type="dxa"/>
            <w:tcBorders>
              <w:top w:val="dashed" w:sz="4" w:space="0" w:color="auto"/>
            </w:tcBorders>
          </w:tcPr>
          <w:p w:rsidR="00DF2A95" w:rsidRDefault="008E7AC5" w:rsidP="0092727F">
            <w:pPr>
              <w:pStyle w:val="Tabletext"/>
              <w:spacing w:before="80"/>
              <w:ind w:right="600"/>
              <w:jc w:val="right"/>
            </w:pPr>
            <w:r w:rsidRPr="003B56E9">
              <w:t> </w:t>
            </w:r>
          </w:p>
        </w:tc>
      </w:tr>
      <w:tr w:rsidR="008E7AC5" w:rsidTr="00D63F94">
        <w:tc>
          <w:tcPr>
            <w:tcW w:w="4503" w:type="dxa"/>
          </w:tcPr>
          <w:p w:rsidR="00DF2A95" w:rsidRDefault="008E7AC5" w:rsidP="00F74C5A">
            <w:pPr>
              <w:pStyle w:val="Tabletext"/>
              <w:spacing w:after="30"/>
            </w:pPr>
            <w:r w:rsidRPr="00FF6E9F">
              <w:t>Deakin University</w:t>
            </w:r>
          </w:p>
        </w:tc>
        <w:tc>
          <w:tcPr>
            <w:tcW w:w="1843" w:type="dxa"/>
          </w:tcPr>
          <w:p w:rsidR="00DF2A95" w:rsidRDefault="008E7AC5" w:rsidP="00F74C5A">
            <w:pPr>
              <w:pStyle w:val="Tabletext"/>
              <w:spacing w:after="30"/>
              <w:ind w:right="600"/>
              <w:jc w:val="right"/>
            </w:pPr>
            <w:r w:rsidRPr="003B56E9">
              <w:t>986</w:t>
            </w:r>
          </w:p>
        </w:tc>
      </w:tr>
      <w:tr w:rsidR="008E7AC5" w:rsidTr="00D63F94">
        <w:tc>
          <w:tcPr>
            <w:tcW w:w="4503" w:type="dxa"/>
          </w:tcPr>
          <w:p w:rsidR="00DF2A95" w:rsidRDefault="008E7AC5" w:rsidP="00F74C5A">
            <w:pPr>
              <w:pStyle w:val="Tabletext"/>
              <w:spacing w:after="30"/>
            </w:pPr>
            <w:r w:rsidRPr="00FF6E9F">
              <w:t>La Trobe University</w:t>
            </w:r>
          </w:p>
        </w:tc>
        <w:tc>
          <w:tcPr>
            <w:tcW w:w="1843" w:type="dxa"/>
          </w:tcPr>
          <w:p w:rsidR="00DF2A95" w:rsidRDefault="008E7AC5" w:rsidP="00F74C5A">
            <w:pPr>
              <w:pStyle w:val="Tabletext"/>
              <w:spacing w:after="30"/>
              <w:ind w:right="600"/>
              <w:jc w:val="right"/>
            </w:pPr>
            <w:r w:rsidRPr="003B56E9">
              <w:t>67</w:t>
            </w:r>
          </w:p>
        </w:tc>
      </w:tr>
      <w:tr w:rsidR="008E7AC5" w:rsidTr="00D63F94">
        <w:tc>
          <w:tcPr>
            <w:tcW w:w="4503" w:type="dxa"/>
          </w:tcPr>
          <w:p w:rsidR="00DF2A95" w:rsidRDefault="008E7AC5" w:rsidP="00F74C5A">
            <w:pPr>
              <w:pStyle w:val="Tabletext"/>
              <w:spacing w:after="30"/>
            </w:pPr>
            <w:r w:rsidRPr="00FF6E9F">
              <w:t>Melbourne College of Divinity</w:t>
            </w:r>
          </w:p>
        </w:tc>
        <w:tc>
          <w:tcPr>
            <w:tcW w:w="1843" w:type="dxa"/>
          </w:tcPr>
          <w:p w:rsidR="00DF2A95" w:rsidRDefault="008E7AC5" w:rsidP="00F74C5A">
            <w:pPr>
              <w:pStyle w:val="Tabletext"/>
              <w:spacing w:after="30"/>
              <w:ind w:right="600"/>
              <w:jc w:val="right"/>
            </w:pPr>
            <w:r w:rsidRPr="003B56E9">
              <w:t>0</w:t>
            </w:r>
          </w:p>
        </w:tc>
      </w:tr>
      <w:tr w:rsidR="008E7AC5" w:rsidTr="00D63F94">
        <w:tc>
          <w:tcPr>
            <w:tcW w:w="4503" w:type="dxa"/>
          </w:tcPr>
          <w:p w:rsidR="00DF2A95" w:rsidRDefault="008E7AC5" w:rsidP="00F74C5A">
            <w:pPr>
              <w:pStyle w:val="Tabletext"/>
              <w:spacing w:after="30"/>
            </w:pPr>
            <w:r w:rsidRPr="00FF6E9F">
              <w:t>Monash University</w:t>
            </w:r>
          </w:p>
        </w:tc>
        <w:tc>
          <w:tcPr>
            <w:tcW w:w="1843" w:type="dxa"/>
          </w:tcPr>
          <w:p w:rsidR="00DF2A95" w:rsidRDefault="008E7AC5" w:rsidP="00F74C5A">
            <w:pPr>
              <w:pStyle w:val="Tabletext"/>
              <w:spacing w:after="30"/>
              <w:ind w:right="600"/>
              <w:jc w:val="right"/>
            </w:pPr>
            <w:r w:rsidRPr="003B56E9">
              <w:t>262</w:t>
            </w:r>
          </w:p>
        </w:tc>
      </w:tr>
      <w:tr w:rsidR="008E7AC5" w:rsidTr="00D63F94">
        <w:tc>
          <w:tcPr>
            <w:tcW w:w="4503" w:type="dxa"/>
          </w:tcPr>
          <w:p w:rsidR="00DF2A95" w:rsidRDefault="008E7AC5" w:rsidP="00F74C5A">
            <w:pPr>
              <w:pStyle w:val="Tabletext"/>
              <w:spacing w:after="30"/>
            </w:pPr>
            <w:r w:rsidRPr="00FF6E9F">
              <w:t>RMIT University</w:t>
            </w:r>
          </w:p>
        </w:tc>
        <w:tc>
          <w:tcPr>
            <w:tcW w:w="1843" w:type="dxa"/>
          </w:tcPr>
          <w:p w:rsidR="00DF2A95" w:rsidRDefault="00D63F94" w:rsidP="00F74C5A">
            <w:pPr>
              <w:pStyle w:val="Tabletext"/>
              <w:spacing w:after="30"/>
              <w:ind w:right="600"/>
              <w:jc w:val="right"/>
            </w:pPr>
            <w:r>
              <w:t xml:space="preserve">2 </w:t>
            </w:r>
            <w:r w:rsidR="008E7AC5" w:rsidRPr="003B56E9">
              <w:t>115</w:t>
            </w:r>
          </w:p>
        </w:tc>
      </w:tr>
      <w:tr w:rsidR="008E7AC5" w:rsidTr="00D63F94">
        <w:tc>
          <w:tcPr>
            <w:tcW w:w="4503" w:type="dxa"/>
          </w:tcPr>
          <w:p w:rsidR="00DF2A95" w:rsidRDefault="008E7AC5" w:rsidP="00F74C5A">
            <w:pPr>
              <w:pStyle w:val="Tabletext"/>
              <w:spacing w:after="30"/>
            </w:pPr>
            <w:r w:rsidRPr="00FF6E9F">
              <w:t>Swinburne University of Technology</w:t>
            </w:r>
          </w:p>
        </w:tc>
        <w:tc>
          <w:tcPr>
            <w:tcW w:w="1843" w:type="dxa"/>
          </w:tcPr>
          <w:p w:rsidR="00DF2A95" w:rsidRDefault="008E7AC5" w:rsidP="00F74C5A">
            <w:pPr>
              <w:pStyle w:val="Tabletext"/>
              <w:spacing w:after="30"/>
              <w:ind w:right="600"/>
              <w:jc w:val="right"/>
            </w:pPr>
            <w:r w:rsidRPr="003B56E9">
              <w:t>226</w:t>
            </w:r>
          </w:p>
        </w:tc>
      </w:tr>
      <w:tr w:rsidR="008E7AC5" w:rsidTr="00D63F94">
        <w:tc>
          <w:tcPr>
            <w:tcW w:w="4503" w:type="dxa"/>
          </w:tcPr>
          <w:p w:rsidR="00DF2A95" w:rsidRDefault="008E7AC5" w:rsidP="00F74C5A">
            <w:pPr>
              <w:pStyle w:val="Tabletext"/>
              <w:spacing w:after="30"/>
            </w:pPr>
            <w:r w:rsidRPr="00FF6E9F">
              <w:t>University of Melbourne</w:t>
            </w:r>
          </w:p>
        </w:tc>
        <w:tc>
          <w:tcPr>
            <w:tcW w:w="1843" w:type="dxa"/>
          </w:tcPr>
          <w:p w:rsidR="00DF2A95" w:rsidRDefault="00D63F94" w:rsidP="00F74C5A">
            <w:pPr>
              <w:pStyle w:val="Tabletext"/>
              <w:spacing w:after="30"/>
              <w:ind w:right="600"/>
              <w:jc w:val="right"/>
            </w:pPr>
            <w:r>
              <w:t xml:space="preserve">1 </w:t>
            </w:r>
            <w:r w:rsidR="008E7AC5" w:rsidRPr="003B56E9">
              <w:t>861</w:t>
            </w:r>
          </w:p>
        </w:tc>
      </w:tr>
      <w:tr w:rsidR="008E7AC5" w:rsidTr="00D63F94">
        <w:tc>
          <w:tcPr>
            <w:tcW w:w="4503" w:type="dxa"/>
          </w:tcPr>
          <w:p w:rsidR="00DF2A95" w:rsidRDefault="008E7AC5" w:rsidP="00F74C5A">
            <w:pPr>
              <w:pStyle w:val="Tabletext"/>
              <w:spacing w:after="30"/>
            </w:pPr>
            <w:r w:rsidRPr="00FF6E9F">
              <w:t>University of Ballarat</w:t>
            </w:r>
          </w:p>
        </w:tc>
        <w:tc>
          <w:tcPr>
            <w:tcW w:w="1843" w:type="dxa"/>
          </w:tcPr>
          <w:p w:rsidR="00DF2A95" w:rsidRDefault="008E7AC5" w:rsidP="00F74C5A">
            <w:pPr>
              <w:pStyle w:val="Tabletext"/>
              <w:spacing w:after="30"/>
              <w:ind w:right="600"/>
              <w:jc w:val="right"/>
            </w:pPr>
            <w:r w:rsidRPr="003B56E9">
              <w:t>0</w:t>
            </w:r>
          </w:p>
        </w:tc>
      </w:tr>
      <w:tr w:rsidR="008E7AC5" w:rsidTr="00D63F94">
        <w:tc>
          <w:tcPr>
            <w:tcW w:w="4503" w:type="dxa"/>
            <w:tcBorders>
              <w:bottom w:val="nil"/>
            </w:tcBorders>
          </w:tcPr>
          <w:p w:rsidR="00DF2A95" w:rsidRDefault="008E7AC5" w:rsidP="00F74C5A">
            <w:pPr>
              <w:pStyle w:val="Tabletext"/>
              <w:spacing w:after="30"/>
            </w:pPr>
            <w:r w:rsidRPr="00FF6E9F">
              <w:t>Victoria University</w:t>
            </w:r>
          </w:p>
        </w:tc>
        <w:tc>
          <w:tcPr>
            <w:tcW w:w="1843" w:type="dxa"/>
            <w:tcBorders>
              <w:bottom w:val="nil"/>
            </w:tcBorders>
          </w:tcPr>
          <w:p w:rsidR="00DF2A95" w:rsidRDefault="008E7AC5" w:rsidP="00F74C5A">
            <w:pPr>
              <w:pStyle w:val="Tabletext"/>
              <w:spacing w:after="30"/>
              <w:ind w:right="600"/>
              <w:jc w:val="right"/>
            </w:pPr>
            <w:r w:rsidRPr="003B56E9">
              <w:t>6</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141</w:t>
            </w:r>
          </w:p>
        </w:tc>
      </w:tr>
      <w:tr w:rsidR="008E7AC5" w:rsidTr="00D63F94">
        <w:tc>
          <w:tcPr>
            <w:tcW w:w="4503" w:type="dxa"/>
            <w:tcBorders>
              <w:top w:val="dashed" w:sz="4" w:space="0" w:color="auto"/>
            </w:tcBorders>
          </w:tcPr>
          <w:p w:rsidR="00DF2A95" w:rsidRPr="00D63F94" w:rsidRDefault="008E7AC5" w:rsidP="0092727F">
            <w:pPr>
              <w:pStyle w:val="Tabletext"/>
              <w:spacing w:before="80"/>
              <w:rPr>
                <w:i/>
              </w:rPr>
            </w:pPr>
            <w:r w:rsidRPr="00D63F94">
              <w:rPr>
                <w:i/>
              </w:rPr>
              <w:t>Queensland</w:t>
            </w:r>
          </w:p>
        </w:tc>
        <w:tc>
          <w:tcPr>
            <w:tcW w:w="1843" w:type="dxa"/>
            <w:tcBorders>
              <w:top w:val="dashed" w:sz="4" w:space="0" w:color="auto"/>
            </w:tcBorders>
          </w:tcPr>
          <w:p w:rsidR="00DF2A95" w:rsidRDefault="008E7AC5" w:rsidP="0092727F">
            <w:pPr>
              <w:pStyle w:val="Tabletext"/>
              <w:spacing w:before="80"/>
              <w:ind w:right="600"/>
              <w:jc w:val="right"/>
            </w:pPr>
            <w:r w:rsidRPr="003B56E9">
              <w:t> </w:t>
            </w:r>
          </w:p>
        </w:tc>
      </w:tr>
      <w:tr w:rsidR="008E7AC5" w:rsidTr="00D63F94">
        <w:tc>
          <w:tcPr>
            <w:tcW w:w="4503" w:type="dxa"/>
          </w:tcPr>
          <w:p w:rsidR="00DF2A95" w:rsidRDefault="008E7AC5" w:rsidP="00F74C5A">
            <w:pPr>
              <w:pStyle w:val="Tabletext"/>
              <w:spacing w:after="30"/>
            </w:pPr>
            <w:r w:rsidRPr="00FF6E9F">
              <w:t>Bond University</w:t>
            </w:r>
          </w:p>
        </w:tc>
        <w:tc>
          <w:tcPr>
            <w:tcW w:w="1843" w:type="dxa"/>
          </w:tcPr>
          <w:p w:rsidR="00DF2A95" w:rsidRDefault="008E7AC5" w:rsidP="00F74C5A">
            <w:pPr>
              <w:pStyle w:val="Tabletext"/>
              <w:spacing w:after="30"/>
              <w:ind w:right="600"/>
              <w:jc w:val="right"/>
            </w:pPr>
            <w:r w:rsidRPr="003B56E9">
              <w:t>186</w:t>
            </w:r>
          </w:p>
        </w:tc>
      </w:tr>
      <w:tr w:rsidR="008E7AC5" w:rsidTr="00D63F94">
        <w:tc>
          <w:tcPr>
            <w:tcW w:w="4503" w:type="dxa"/>
          </w:tcPr>
          <w:p w:rsidR="00DF2A95" w:rsidRDefault="008E7AC5" w:rsidP="00F74C5A">
            <w:pPr>
              <w:pStyle w:val="Tabletext"/>
              <w:spacing w:after="30"/>
            </w:pPr>
            <w:r w:rsidRPr="00FF6E9F">
              <w:t>Central Queensland University</w:t>
            </w:r>
          </w:p>
        </w:tc>
        <w:tc>
          <w:tcPr>
            <w:tcW w:w="1843" w:type="dxa"/>
          </w:tcPr>
          <w:p w:rsidR="00DF2A95" w:rsidRDefault="008E7AC5" w:rsidP="00F74C5A">
            <w:pPr>
              <w:pStyle w:val="Tabletext"/>
              <w:spacing w:after="30"/>
              <w:ind w:right="600"/>
              <w:jc w:val="right"/>
            </w:pPr>
            <w:r w:rsidRPr="003B56E9">
              <w:t>172</w:t>
            </w:r>
          </w:p>
        </w:tc>
      </w:tr>
      <w:tr w:rsidR="008E7AC5" w:rsidTr="00D63F94">
        <w:tc>
          <w:tcPr>
            <w:tcW w:w="4503" w:type="dxa"/>
          </w:tcPr>
          <w:p w:rsidR="00DF2A95" w:rsidRDefault="008E7AC5" w:rsidP="00F74C5A">
            <w:pPr>
              <w:pStyle w:val="Tabletext"/>
              <w:spacing w:after="30"/>
            </w:pPr>
            <w:r w:rsidRPr="00FF6E9F">
              <w:t>Griffith University</w:t>
            </w:r>
          </w:p>
        </w:tc>
        <w:tc>
          <w:tcPr>
            <w:tcW w:w="1843" w:type="dxa"/>
          </w:tcPr>
          <w:p w:rsidR="00DF2A95" w:rsidRDefault="008E7AC5" w:rsidP="00F74C5A">
            <w:pPr>
              <w:pStyle w:val="Tabletext"/>
              <w:spacing w:after="30"/>
              <w:ind w:right="600"/>
              <w:jc w:val="right"/>
            </w:pPr>
            <w:r w:rsidRPr="003B56E9">
              <w:t>301</w:t>
            </w:r>
          </w:p>
        </w:tc>
      </w:tr>
      <w:tr w:rsidR="008E7AC5" w:rsidTr="00D63F94">
        <w:tc>
          <w:tcPr>
            <w:tcW w:w="4503" w:type="dxa"/>
          </w:tcPr>
          <w:p w:rsidR="00DF2A95" w:rsidRDefault="008E7AC5" w:rsidP="00F74C5A">
            <w:pPr>
              <w:pStyle w:val="Tabletext"/>
              <w:spacing w:after="30"/>
            </w:pPr>
            <w:r w:rsidRPr="00FF6E9F">
              <w:t>James Cook University</w:t>
            </w:r>
          </w:p>
        </w:tc>
        <w:tc>
          <w:tcPr>
            <w:tcW w:w="1843" w:type="dxa"/>
          </w:tcPr>
          <w:p w:rsidR="00DF2A95" w:rsidRDefault="008E7AC5" w:rsidP="00F74C5A">
            <w:pPr>
              <w:pStyle w:val="Tabletext"/>
              <w:spacing w:after="30"/>
              <w:ind w:right="600"/>
              <w:jc w:val="right"/>
            </w:pPr>
            <w:r w:rsidRPr="003B56E9">
              <w:t>26</w:t>
            </w:r>
          </w:p>
        </w:tc>
      </w:tr>
      <w:tr w:rsidR="008E7AC5" w:rsidTr="00D63F94">
        <w:tc>
          <w:tcPr>
            <w:tcW w:w="4503" w:type="dxa"/>
          </w:tcPr>
          <w:p w:rsidR="00DF2A95" w:rsidRDefault="008E7AC5" w:rsidP="00F74C5A">
            <w:pPr>
              <w:pStyle w:val="Tabletext"/>
              <w:spacing w:after="30"/>
            </w:pPr>
            <w:r w:rsidRPr="00FF6E9F">
              <w:t>Queensland University of Technology</w:t>
            </w:r>
          </w:p>
        </w:tc>
        <w:tc>
          <w:tcPr>
            <w:tcW w:w="1843" w:type="dxa"/>
          </w:tcPr>
          <w:p w:rsidR="00DF2A95" w:rsidRDefault="00D63F94" w:rsidP="00F74C5A">
            <w:pPr>
              <w:pStyle w:val="Tabletext"/>
              <w:spacing w:after="30"/>
              <w:ind w:right="600"/>
              <w:jc w:val="right"/>
            </w:pPr>
            <w:r>
              <w:t xml:space="preserve">1 </w:t>
            </w:r>
            <w:r w:rsidR="008E7AC5" w:rsidRPr="003B56E9">
              <w:t>826</w:t>
            </w:r>
          </w:p>
        </w:tc>
      </w:tr>
      <w:tr w:rsidR="008E7AC5" w:rsidTr="00D63F94">
        <w:tc>
          <w:tcPr>
            <w:tcW w:w="4503" w:type="dxa"/>
          </w:tcPr>
          <w:p w:rsidR="00DF2A95" w:rsidRDefault="008E7AC5" w:rsidP="00F74C5A">
            <w:pPr>
              <w:pStyle w:val="Tabletext"/>
              <w:spacing w:after="30"/>
            </w:pPr>
            <w:r w:rsidRPr="00FF6E9F">
              <w:t>University of Queensland</w:t>
            </w:r>
          </w:p>
        </w:tc>
        <w:tc>
          <w:tcPr>
            <w:tcW w:w="1843" w:type="dxa"/>
          </w:tcPr>
          <w:p w:rsidR="00DF2A95" w:rsidRDefault="008E7AC5" w:rsidP="00F74C5A">
            <w:pPr>
              <w:pStyle w:val="Tabletext"/>
              <w:spacing w:after="30"/>
              <w:ind w:right="600"/>
              <w:jc w:val="right"/>
            </w:pPr>
            <w:r w:rsidRPr="003B56E9">
              <w:t>645</w:t>
            </w:r>
          </w:p>
        </w:tc>
      </w:tr>
      <w:tr w:rsidR="008E7AC5" w:rsidTr="00D63F94">
        <w:tc>
          <w:tcPr>
            <w:tcW w:w="4503" w:type="dxa"/>
          </w:tcPr>
          <w:p w:rsidR="00DF2A95" w:rsidRDefault="008E7AC5" w:rsidP="00F74C5A">
            <w:pPr>
              <w:pStyle w:val="Tabletext"/>
              <w:spacing w:after="30"/>
            </w:pPr>
            <w:r w:rsidRPr="00FF6E9F">
              <w:t>University of Southern Queensland</w:t>
            </w:r>
          </w:p>
        </w:tc>
        <w:tc>
          <w:tcPr>
            <w:tcW w:w="1843" w:type="dxa"/>
          </w:tcPr>
          <w:p w:rsidR="00DF2A95" w:rsidRDefault="008E7AC5" w:rsidP="00F74C5A">
            <w:pPr>
              <w:pStyle w:val="Tabletext"/>
              <w:spacing w:after="30"/>
              <w:ind w:right="600"/>
              <w:jc w:val="right"/>
            </w:pPr>
            <w:r w:rsidRPr="003B56E9">
              <w:t>45</w:t>
            </w:r>
          </w:p>
        </w:tc>
      </w:tr>
      <w:tr w:rsidR="008E7AC5" w:rsidTr="00D63F94">
        <w:tc>
          <w:tcPr>
            <w:tcW w:w="4503" w:type="dxa"/>
            <w:tcBorders>
              <w:bottom w:val="nil"/>
            </w:tcBorders>
          </w:tcPr>
          <w:p w:rsidR="00DF2A95" w:rsidRDefault="008E7AC5" w:rsidP="00F74C5A">
            <w:pPr>
              <w:pStyle w:val="Tabletext"/>
              <w:spacing w:after="30"/>
            </w:pPr>
            <w:r w:rsidRPr="00FF6E9F">
              <w:t>University of the Sunshine Coast</w:t>
            </w:r>
          </w:p>
        </w:tc>
        <w:tc>
          <w:tcPr>
            <w:tcW w:w="1843" w:type="dxa"/>
            <w:tcBorders>
              <w:bottom w:val="nil"/>
            </w:tcBorders>
          </w:tcPr>
          <w:p w:rsidR="00DF2A95" w:rsidRDefault="008E7AC5" w:rsidP="00F74C5A">
            <w:pPr>
              <w:pStyle w:val="Tabletext"/>
              <w:spacing w:after="30"/>
              <w:ind w:right="600"/>
              <w:jc w:val="right"/>
            </w:pPr>
            <w:r w:rsidRPr="003B56E9">
              <w:t>50</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11</w:t>
            </w:r>
          </w:p>
        </w:tc>
      </w:tr>
      <w:tr w:rsidR="008E7AC5" w:rsidTr="00D63F94">
        <w:tc>
          <w:tcPr>
            <w:tcW w:w="4503" w:type="dxa"/>
            <w:tcBorders>
              <w:top w:val="dashed" w:sz="4" w:space="0" w:color="auto"/>
            </w:tcBorders>
          </w:tcPr>
          <w:p w:rsidR="00DF2A95" w:rsidRPr="00D63F94" w:rsidRDefault="008E7AC5" w:rsidP="0092727F">
            <w:pPr>
              <w:pStyle w:val="Tabletext"/>
              <w:spacing w:before="80"/>
              <w:rPr>
                <w:i/>
              </w:rPr>
            </w:pPr>
            <w:r w:rsidRPr="00D63F94">
              <w:rPr>
                <w:i/>
              </w:rPr>
              <w:t>Western Australia</w:t>
            </w:r>
          </w:p>
        </w:tc>
        <w:tc>
          <w:tcPr>
            <w:tcW w:w="1843" w:type="dxa"/>
            <w:tcBorders>
              <w:top w:val="dashed" w:sz="4" w:space="0" w:color="auto"/>
            </w:tcBorders>
          </w:tcPr>
          <w:p w:rsidR="00DF2A95" w:rsidRDefault="008E7AC5" w:rsidP="0092727F">
            <w:pPr>
              <w:pStyle w:val="Tabletext"/>
              <w:spacing w:before="80"/>
              <w:ind w:right="600"/>
              <w:jc w:val="right"/>
            </w:pPr>
            <w:r w:rsidRPr="003B56E9">
              <w:t> </w:t>
            </w:r>
          </w:p>
        </w:tc>
      </w:tr>
      <w:tr w:rsidR="008E7AC5" w:rsidTr="00D63F94">
        <w:tc>
          <w:tcPr>
            <w:tcW w:w="4503" w:type="dxa"/>
          </w:tcPr>
          <w:p w:rsidR="00DF2A95" w:rsidRDefault="008E7AC5" w:rsidP="00F74C5A">
            <w:pPr>
              <w:pStyle w:val="Tabletext"/>
              <w:spacing w:after="30"/>
            </w:pPr>
            <w:r w:rsidRPr="00FF6E9F">
              <w:t>Curtin University of Technology</w:t>
            </w:r>
          </w:p>
        </w:tc>
        <w:tc>
          <w:tcPr>
            <w:tcW w:w="1843" w:type="dxa"/>
          </w:tcPr>
          <w:p w:rsidR="00DF2A95" w:rsidRDefault="008E7AC5" w:rsidP="00F74C5A">
            <w:pPr>
              <w:pStyle w:val="Tabletext"/>
              <w:spacing w:after="30"/>
              <w:ind w:right="600"/>
              <w:jc w:val="right"/>
            </w:pPr>
            <w:r w:rsidRPr="003B56E9">
              <w:t>1</w:t>
            </w:r>
            <w:r w:rsidR="00D63F94">
              <w:t xml:space="preserve"> </w:t>
            </w:r>
            <w:r w:rsidRPr="003B56E9">
              <w:t>492</w:t>
            </w:r>
          </w:p>
        </w:tc>
      </w:tr>
      <w:tr w:rsidR="008E7AC5" w:rsidTr="00D63F94">
        <w:tc>
          <w:tcPr>
            <w:tcW w:w="4503" w:type="dxa"/>
          </w:tcPr>
          <w:p w:rsidR="00DF2A95" w:rsidRDefault="008E7AC5" w:rsidP="00F74C5A">
            <w:pPr>
              <w:pStyle w:val="Tabletext"/>
              <w:spacing w:after="30"/>
            </w:pPr>
            <w:r w:rsidRPr="00FF6E9F">
              <w:t>Edith Cowan University</w:t>
            </w:r>
          </w:p>
        </w:tc>
        <w:tc>
          <w:tcPr>
            <w:tcW w:w="1843" w:type="dxa"/>
          </w:tcPr>
          <w:p w:rsidR="00DF2A95" w:rsidRDefault="008E7AC5" w:rsidP="00F74C5A">
            <w:pPr>
              <w:pStyle w:val="Tabletext"/>
              <w:spacing w:after="30"/>
              <w:ind w:right="600"/>
              <w:jc w:val="right"/>
            </w:pPr>
            <w:r w:rsidRPr="003B56E9">
              <w:t>34</w:t>
            </w:r>
          </w:p>
        </w:tc>
      </w:tr>
      <w:tr w:rsidR="008E7AC5" w:rsidTr="00D63F94">
        <w:tc>
          <w:tcPr>
            <w:tcW w:w="4503" w:type="dxa"/>
          </w:tcPr>
          <w:p w:rsidR="00DF2A95" w:rsidRDefault="008E7AC5" w:rsidP="00F74C5A">
            <w:pPr>
              <w:pStyle w:val="Tabletext"/>
              <w:spacing w:after="30"/>
            </w:pPr>
            <w:r w:rsidRPr="00FF6E9F">
              <w:t>Murdoch University</w:t>
            </w:r>
          </w:p>
        </w:tc>
        <w:tc>
          <w:tcPr>
            <w:tcW w:w="1843" w:type="dxa"/>
          </w:tcPr>
          <w:p w:rsidR="00DF2A95" w:rsidRDefault="008E7AC5" w:rsidP="00F74C5A">
            <w:pPr>
              <w:pStyle w:val="Tabletext"/>
              <w:spacing w:after="30"/>
              <w:ind w:right="600"/>
              <w:jc w:val="right"/>
            </w:pPr>
            <w:r w:rsidRPr="003B56E9">
              <w:t>12</w:t>
            </w:r>
          </w:p>
        </w:tc>
      </w:tr>
      <w:tr w:rsidR="008E7AC5" w:rsidTr="00D63F94">
        <w:tc>
          <w:tcPr>
            <w:tcW w:w="4503" w:type="dxa"/>
          </w:tcPr>
          <w:p w:rsidR="00DF2A95" w:rsidRDefault="008E7AC5" w:rsidP="00F74C5A">
            <w:pPr>
              <w:pStyle w:val="Tabletext"/>
              <w:spacing w:after="30"/>
            </w:pPr>
            <w:r w:rsidRPr="00FF6E9F">
              <w:t>University of Notre Dame Australia</w:t>
            </w:r>
          </w:p>
        </w:tc>
        <w:tc>
          <w:tcPr>
            <w:tcW w:w="1843" w:type="dxa"/>
          </w:tcPr>
          <w:p w:rsidR="00DF2A95" w:rsidRDefault="008E7AC5" w:rsidP="00F74C5A">
            <w:pPr>
              <w:pStyle w:val="Tabletext"/>
              <w:spacing w:after="30"/>
              <w:ind w:right="600"/>
              <w:jc w:val="right"/>
            </w:pPr>
            <w:r w:rsidRPr="003B56E9">
              <w:t>0</w:t>
            </w:r>
          </w:p>
        </w:tc>
      </w:tr>
      <w:tr w:rsidR="008E7AC5" w:rsidTr="00D63F94">
        <w:tc>
          <w:tcPr>
            <w:tcW w:w="4503" w:type="dxa"/>
            <w:tcBorders>
              <w:bottom w:val="nil"/>
            </w:tcBorders>
          </w:tcPr>
          <w:p w:rsidR="00DF2A95" w:rsidRDefault="008E7AC5" w:rsidP="00F74C5A">
            <w:pPr>
              <w:pStyle w:val="Tabletext"/>
              <w:spacing w:after="30"/>
            </w:pPr>
            <w:r w:rsidRPr="00FF6E9F">
              <w:t>University of Western Australia</w:t>
            </w:r>
          </w:p>
        </w:tc>
        <w:tc>
          <w:tcPr>
            <w:tcW w:w="1843" w:type="dxa"/>
            <w:tcBorders>
              <w:bottom w:val="nil"/>
            </w:tcBorders>
          </w:tcPr>
          <w:p w:rsidR="00DF2A95" w:rsidRDefault="008E7AC5" w:rsidP="00F74C5A">
            <w:pPr>
              <w:pStyle w:val="Tabletext"/>
              <w:spacing w:after="30"/>
              <w:ind w:right="600"/>
              <w:jc w:val="right"/>
            </w:pPr>
            <w:r w:rsidRPr="003B56E9">
              <w:t>832</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39</w:t>
            </w:r>
          </w:p>
        </w:tc>
      </w:tr>
      <w:tr w:rsidR="008E7AC5" w:rsidTr="00D63F94">
        <w:tc>
          <w:tcPr>
            <w:tcW w:w="4503" w:type="dxa"/>
            <w:tcBorders>
              <w:top w:val="dashed" w:sz="4" w:space="0" w:color="auto"/>
            </w:tcBorders>
          </w:tcPr>
          <w:p w:rsidR="00DF2A95" w:rsidRPr="00D63F94" w:rsidRDefault="008E7AC5" w:rsidP="0092727F">
            <w:pPr>
              <w:pStyle w:val="Tabletext"/>
              <w:spacing w:before="80"/>
              <w:rPr>
                <w:i/>
              </w:rPr>
            </w:pPr>
            <w:r w:rsidRPr="00D63F94">
              <w:rPr>
                <w:i/>
              </w:rPr>
              <w:t>South Australia</w:t>
            </w:r>
          </w:p>
        </w:tc>
        <w:tc>
          <w:tcPr>
            <w:tcW w:w="1843" w:type="dxa"/>
            <w:tcBorders>
              <w:top w:val="dashed" w:sz="4" w:space="0" w:color="auto"/>
            </w:tcBorders>
          </w:tcPr>
          <w:p w:rsidR="00DF2A95" w:rsidRDefault="008E7AC5" w:rsidP="0092727F">
            <w:pPr>
              <w:pStyle w:val="Tabletext"/>
              <w:spacing w:before="80"/>
              <w:ind w:right="600"/>
              <w:jc w:val="right"/>
            </w:pPr>
            <w:r w:rsidRPr="003B56E9">
              <w:t> </w:t>
            </w:r>
          </w:p>
        </w:tc>
      </w:tr>
      <w:tr w:rsidR="008E7AC5" w:rsidTr="00D63F94">
        <w:tc>
          <w:tcPr>
            <w:tcW w:w="4503" w:type="dxa"/>
          </w:tcPr>
          <w:p w:rsidR="00DF2A95" w:rsidRDefault="008E7AC5" w:rsidP="00F74C5A">
            <w:pPr>
              <w:pStyle w:val="Tabletext"/>
              <w:spacing w:after="30"/>
            </w:pPr>
            <w:r w:rsidRPr="00FF6E9F">
              <w:t>Flinders University of South Australia</w:t>
            </w:r>
          </w:p>
        </w:tc>
        <w:tc>
          <w:tcPr>
            <w:tcW w:w="1843" w:type="dxa"/>
          </w:tcPr>
          <w:p w:rsidR="00DF2A95" w:rsidRDefault="008E7AC5" w:rsidP="00F74C5A">
            <w:pPr>
              <w:pStyle w:val="Tabletext"/>
              <w:spacing w:after="30"/>
              <w:ind w:right="600"/>
              <w:jc w:val="right"/>
            </w:pPr>
            <w:r w:rsidRPr="003B56E9">
              <w:t>0</w:t>
            </w:r>
          </w:p>
        </w:tc>
      </w:tr>
      <w:tr w:rsidR="008E7AC5" w:rsidTr="00D63F94">
        <w:tc>
          <w:tcPr>
            <w:tcW w:w="4503" w:type="dxa"/>
          </w:tcPr>
          <w:p w:rsidR="00DF2A95" w:rsidRDefault="008E7AC5" w:rsidP="00F74C5A">
            <w:pPr>
              <w:pStyle w:val="Tabletext"/>
              <w:spacing w:after="30"/>
            </w:pPr>
            <w:r w:rsidRPr="00FF6E9F">
              <w:t>University of Adelaide</w:t>
            </w:r>
          </w:p>
        </w:tc>
        <w:tc>
          <w:tcPr>
            <w:tcW w:w="1843" w:type="dxa"/>
          </w:tcPr>
          <w:p w:rsidR="00DF2A95" w:rsidRDefault="008E7AC5" w:rsidP="00F74C5A">
            <w:pPr>
              <w:pStyle w:val="Tabletext"/>
              <w:spacing w:after="30"/>
              <w:ind w:right="600"/>
              <w:jc w:val="right"/>
            </w:pPr>
            <w:r w:rsidRPr="003B56E9">
              <w:t>574</w:t>
            </w:r>
          </w:p>
        </w:tc>
      </w:tr>
      <w:tr w:rsidR="008E7AC5" w:rsidTr="00D63F94">
        <w:tc>
          <w:tcPr>
            <w:tcW w:w="4503" w:type="dxa"/>
            <w:tcBorders>
              <w:bottom w:val="nil"/>
            </w:tcBorders>
          </w:tcPr>
          <w:p w:rsidR="00DF2A95" w:rsidRDefault="008E7AC5" w:rsidP="00F74C5A">
            <w:pPr>
              <w:pStyle w:val="Tabletext"/>
              <w:spacing w:after="30"/>
            </w:pPr>
            <w:r w:rsidRPr="00FF6E9F">
              <w:t>University of South Australia</w:t>
            </w:r>
          </w:p>
        </w:tc>
        <w:tc>
          <w:tcPr>
            <w:tcW w:w="1843" w:type="dxa"/>
            <w:tcBorders>
              <w:bottom w:val="nil"/>
            </w:tcBorders>
          </w:tcPr>
          <w:p w:rsidR="00DF2A95" w:rsidRDefault="008E7AC5" w:rsidP="00F74C5A">
            <w:pPr>
              <w:pStyle w:val="Tabletext"/>
              <w:spacing w:after="30"/>
              <w:ind w:right="600"/>
              <w:jc w:val="right"/>
            </w:pPr>
            <w:r w:rsidRPr="003B56E9">
              <w:t>1</w:t>
            </w:r>
            <w:r w:rsidR="00D63F94">
              <w:t xml:space="preserve"> </w:t>
            </w:r>
            <w:r w:rsidRPr="003B56E9">
              <w:t>073</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0</w:t>
            </w:r>
          </w:p>
        </w:tc>
      </w:tr>
      <w:tr w:rsidR="008E7AC5" w:rsidTr="00D63F94">
        <w:tc>
          <w:tcPr>
            <w:tcW w:w="4503" w:type="dxa"/>
            <w:tcBorders>
              <w:top w:val="dashed" w:sz="4" w:space="0" w:color="auto"/>
            </w:tcBorders>
          </w:tcPr>
          <w:p w:rsidR="00DF2A95" w:rsidRPr="00D63F94" w:rsidRDefault="008E7AC5" w:rsidP="00D63F94">
            <w:pPr>
              <w:pStyle w:val="Tabletext"/>
              <w:rPr>
                <w:i/>
              </w:rPr>
            </w:pPr>
            <w:r w:rsidRPr="00D63F94">
              <w:rPr>
                <w:i/>
              </w:rPr>
              <w:lastRenderedPageBreak/>
              <w:t>Tasmania</w:t>
            </w:r>
          </w:p>
        </w:tc>
        <w:tc>
          <w:tcPr>
            <w:tcW w:w="1843" w:type="dxa"/>
            <w:tcBorders>
              <w:top w:val="dashed" w:sz="4" w:space="0" w:color="auto"/>
            </w:tcBorders>
          </w:tcPr>
          <w:p w:rsidR="00DF2A95" w:rsidRDefault="008E7AC5" w:rsidP="0092727F">
            <w:pPr>
              <w:pStyle w:val="Tabletext"/>
              <w:ind w:right="600"/>
              <w:jc w:val="right"/>
            </w:pPr>
            <w:r w:rsidRPr="003B56E9">
              <w:t> </w:t>
            </w:r>
          </w:p>
        </w:tc>
      </w:tr>
      <w:tr w:rsidR="008E7AC5" w:rsidTr="0092727F">
        <w:tc>
          <w:tcPr>
            <w:tcW w:w="4503" w:type="dxa"/>
            <w:tcBorders>
              <w:bottom w:val="nil"/>
            </w:tcBorders>
          </w:tcPr>
          <w:p w:rsidR="00DF2A95" w:rsidRDefault="008E7AC5" w:rsidP="00F74C5A">
            <w:pPr>
              <w:pStyle w:val="Tabletext"/>
              <w:spacing w:after="30"/>
            </w:pPr>
            <w:r w:rsidRPr="00FF6E9F">
              <w:t>University of Tasmania</w:t>
            </w:r>
          </w:p>
        </w:tc>
        <w:tc>
          <w:tcPr>
            <w:tcW w:w="1843" w:type="dxa"/>
            <w:tcBorders>
              <w:bottom w:val="nil"/>
            </w:tcBorders>
          </w:tcPr>
          <w:p w:rsidR="00DF2A95" w:rsidRDefault="008E7AC5" w:rsidP="00F74C5A">
            <w:pPr>
              <w:pStyle w:val="Tabletext"/>
              <w:spacing w:after="30"/>
              <w:ind w:right="600"/>
              <w:jc w:val="right"/>
            </w:pPr>
            <w:r w:rsidRPr="003B56E9">
              <w:t>402</w:t>
            </w:r>
          </w:p>
        </w:tc>
      </w:tr>
      <w:tr w:rsidR="008E7AC5" w:rsidTr="0092727F">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0</w:t>
            </w:r>
          </w:p>
        </w:tc>
      </w:tr>
      <w:tr w:rsidR="008E7AC5" w:rsidTr="0092727F">
        <w:tc>
          <w:tcPr>
            <w:tcW w:w="4503" w:type="dxa"/>
            <w:tcBorders>
              <w:top w:val="dashed" w:sz="4" w:space="0" w:color="auto"/>
            </w:tcBorders>
          </w:tcPr>
          <w:p w:rsidR="00DF2A95" w:rsidRPr="00D63F94" w:rsidRDefault="008E7AC5" w:rsidP="0092727F">
            <w:pPr>
              <w:pStyle w:val="Tabletext"/>
              <w:spacing w:before="80"/>
              <w:rPr>
                <w:i/>
              </w:rPr>
            </w:pPr>
            <w:r w:rsidRPr="00D63F94">
              <w:rPr>
                <w:i/>
              </w:rPr>
              <w:t>Northern Territory</w:t>
            </w:r>
          </w:p>
        </w:tc>
        <w:tc>
          <w:tcPr>
            <w:tcW w:w="1843" w:type="dxa"/>
            <w:tcBorders>
              <w:top w:val="dashed" w:sz="4" w:space="0" w:color="auto"/>
            </w:tcBorders>
          </w:tcPr>
          <w:p w:rsidR="00DF2A95" w:rsidRDefault="008E7AC5" w:rsidP="0092727F">
            <w:pPr>
              <w:pStyle w:val="Tabletext"/>
              <w:spacing w:before="80"/>
              <w:ind w:right="600"/>
              <w:jc w:val="right"/>
            </w:pPr>
            <w:r w:rsidRPr="003B56E9">
              <w:t> </w:t>
            </w:r>
          </w:p>
        </w:tc>
      </w:tr>
      <w:tr w:rsidR="008E7AC5" w:rsidTr="00D63F94">
        <w:tc>
          <w:tcPr>
            <w:tcW w:w="4503" w:type="dxa"/>
            <w:tcBorders>
              <w:bottom w:val="nil"/>
            </w:tcBorders>
          </w:tcPr>
          <w:p w:rsidR="00DF2A95" w:rsidRDefault="008E7AC5" w:rsidP="00F74C5A">
            <w:pPr>
              <w:pStyle w:val="Tabletext"/>
              <w:spacing w:after="30"/>
            </w:pPr>
            <w:proofErr w:type="spellStart"/>
            <w:r w:rsidRPr="00FF6E9F">
              <w:t>Batchelor</w:t>
            </w:r>
            <w:proofErr w:type="spellEnd"/>
            <w:r w:rsidRPr="00FF6E9F">
              <w:t xml:space="preserve"> Institute of Indigenous Tertiary Education</w:t>
            </w:r>
          </w:p>
        </w:tc>
        <w:tc>
          <w:tcPr>
            <w:tcW w:w="1843" w:type="dxa"/>
            <w:tcBorders>
              <w:bottom w:val="nil"/>
            </w:tcBorders>
          </w:tcPr>
          <w:p w:rsidR="00DF2A95" w:rsidRDefault="008E7AC5" w:rsidP="00F74C5A">
            <w:pPr>
              <w:pStyle w:val="Tabletext"/>
              <w:spacing w:after="30"/>
              <w:ind w:right="600"/>
              <w:jc w:val="right"/>
            </w:pPr>
            <w:r w:rsidRPr="003B56E9">
              <w:t>0</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Charles Darwin University</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17</w:t>
            </w:r>
          </w:p>
        </w:tc>
      </w:tr>
      <w:tr w:rsidR="008E7AC5" w:rsidTr="00D63F94">
        <w:tc>
          <w:tcPr>
            <w:tcW w:w="4503" w:type="dxa"/>
            <w:tcBorders>
              <w:top w:val="dashed" w:sz="4" w:space="0" w:color="auto"/>
            </w:tcBorders>
          </w:tcPr>
          <w:p w:rsidR="00DF2A95" w:rsidRPr="00D63F94" w:rsidRDefault="008E7AC5" w:rsidP="0092727F">
            <w:pPr>
              <w:pStyle w:val="Tabletext"/>
              <w:spacing w:before="80"/>
              <w:rPr>
                <w:i/>
              </w:rPr>
            </w:pPr>
            <w:r w:rsidRPr="00D63F94">
              <w:rPr>
                <w:i/>
              </w:rPr>
              <w:t>Australian Capital Territory</w:t>
            </w:r>
          </w:p>
        </w:tc>
        <w:tc>
          <w:tcPr>
            <w:tcW w:w="1843" w:type="dxa"/>
            <w:tcBorders>
              <w:top w:val="dashed" w:sz="4" w:space="0" w:color="auto"/>
            </w:tcBorders>
          </w:tcPr>
          <w:p w:rsidR="00DF2A95" w:rsidRDefault="008E7AC5" w:rsidP="0092727F">
            <w:pPr>
              <w:pStyle w:val="Tabletext"/>
              <w:spacing w:before="80"/>
              <w:ind w:right="600"/>
              <w:jc w:val="right"/>
            </w:pPr>
            <w:r w:rsidRPr="003B56E9">
              <w:t> </w:t>
            </w:r>
          </w:p>
        </w:tc>
      </w:tr>
      <w:tr w:rsidR="008E7AC5" w:rsidTr="00D63F94">
        <w:tc>
          <w:tcPr>
            <w:tcW w:w="4503" w:type="dxa"/>
          </w:tcPr>
          <w:p w:rsidR="00DF2A95" w:rsidRDefault="008E7AC5" w:rsidP="00F74C5A">
            <w:pPr>
              <w:pStyle w:val="Tabletext"/>
              <w:spacing w:after="30"/>
            </w:pPr>
            <w:r w:rsidRPr="00FF6E9F">
              <w:t>Australian National University</w:t>
            </w:r>
          </w:p>
        </w:tc>
        <w:tc>
          <w:tcPr>
            <w:tcW w:w="1843" w:type="dxa"/>
          </w:tcPr>
          <w:p w:rsidR="00DF2A95" w:rsidRDefault="008E7AC5" w:rsidP="00F74C5A">
            <w:pPr>
              <w:pStyle w:val="Tabletext"/>
              <w:spacing w:after="30"/>
              <w:ind w:right="600"/>
              <w:jc w:val="right"/>
            </w:pPr>
            <w:r w:rsidRPr="003B56E9">
              <w:t>0</w:t>
            </w:r>
          </w:p>
        </w:tc>
      </w:tr>
      <w:tr w:rsidR="008E7AC5" w:rsidTr="00D63F94">
        <w:tc>
          <w:tcPr>
            <w:tcW w:w="4503" w:type="dxa"/>
            <w:tcBorders>
              <w:bottom w:val="nil"/>
            </w:tcBorders>
          </w:tcPr>
          <w:p w:rsidR="00DF2A95" w:rsidRDefault="008E7AC5" w:rsidP="00F74C5A">
            <w:pPr>
              <w:pStyle w:val="Tabletext"/>
              <w:spacing w:after="30"/>
            </w:pPr>
            <w:r w:rsidRPr="00FF6E9F">
              <w:t>University of Canberra</w:t>
            </w:r>
          </w:p>
        </w:tc>
        <w:tc>
          <w:tcPr>
            <w:tcW w:w="1843" w:type="dxa"/>
            <w:tcBorders>
              <w:bottom w:val="nil"/>
            </w:tcBorders>
          </w:tcPr>
          <w:p w:rsidR="00DF2A95" w:rsidRDefault="008E7AC5" w:rsidP="00F74C5A">
            <w:pPr>
              <w:pStyle w:val="Tabletext"/>
              <w:spacing w:after="30"/>
              <w:ind w:right="600"/>
              <w:jc w:val="right"/>
            </w:pPr>
            <w:r w:rsidRPr="003B56E9">
              <w:t>393</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0</w:t>
            </w:r>
          </w:p>
        </w:tc>
      </w:tr>
      <w:tr w:rsidR="008E7AC5" w:rsidTr="00D63F94">
        <w:tc>
          <w:tcPr>
            <w:tcW w:w="4503" w:type="dxa"/>
            <w:tcBorders>
              <w:top w:val="dashed" w:sz="4" w:space="0" w:color="auto"/>
            </w:tcBorders>
          </w:tcPr>
          <w:p w:rsidR="00DF2A95" w:rsidRPr="00D63F94" w:rsidRDefault="00D63F94" w:rsidP="0092727F">
            <w:pPr>
              <w:pStyle w:val="Tabletext"/>
              <w:spacing w:before="80"/>
              <w:rPr>
                <w:i/>
              </w:rPr>
            </w:pPr>
            <w:r>
              <w:rPr>
                <w:i/>
              </w:rPr>
              <w:t>Multi-s</w:t>
            </w:r>
            <w:r w:rsidR="008E7AC5" w:rsidRPr="00D63F94">
              <w:rPr>
                <w:i/>
              </w:rPr>
              <w:t>tate</w:t>
            </w:r>
          </w:p>
        </w:tc>
        <w:tc>
          <w:tcPr>
            <w:tcW w:w="1843" w:type="dxa"/>
            <w:tcBorders>
              <w:top w:val="dashed" w:sz="4" w:space="0" w:color="auto"/>
            </w:tcBorders>
          </w:tcPr>
          <w:p w:rsidR="00DF2A95" w:rsidRDefault="008E7AC5" w:rsidP="0092727F">
            <w:pPr>
              <w:pStyle w:val="Tabletext"/>
              <w:spacing w:before="80"/>
              <w:ind w:right="600"/>
              <w:jc w:val="right"/>
            </w:pPr>
            <w:r w:rsidRPr="003B56E9">
              <w:t> </w:t>
            </w:r>
          </w:p>
        </w:tc>
      </w:tr>
      <w:tr w:rsidR="008E7AC5" w:rsidTr="00D63F94">
        <w:tc>
          <w:tcPr>
            <w:tcW w:w="4503" w:type="dxa"/>
            <w:tcBorders>
              <w:bottom w:val="nil"/>
            </w:tcBorders>
          </w:tcPr>
          <w:p w:rsidR="00DF2A95" w:rsidRDefault="008E7AC5" w:rsidP="00F74C5A">
            <w:pPr>
              <w:pStyle w:val="Tabletext"/>
              <w:spacing w:after="30"/>
            </w:pPr>
            <w:r w:rsidRPr="00FF6E9F">
              <w:t>Australian Catholic University</w:t>
            </w:r>
          </w:p>
        </w:tc>
        <w:tc>
          <w:tcPr>
            <w:tcW w:w="1843" w:type="dxa"/>
            <w:tcBorders>
              <w:bottom w:val="nil"/>
            </w:tcBorders>
          </w:tcPr>
          <w:p w:rsidR="00DF2A95" w:rsidRDefault="008E7AC5" w:rsidP="00F74C5A">
            <w:pPr>
              <w:pStyle w:val="Tabletext"/>
              <w:spacing w:after="30"/>
              <w:ind w:right="600"/>
              <w:jc w:val="right"/>
            </w:pPr>
            <w:r w:rsidRPr="003B56E9">
              <w:t>0</w:t>
            </w:r>
          </w:p>
        </w:tc>
      </w:tr>
      <w:tr w:rsidR="008E7AC5" w:rsidTr="00D63F94">
        <w:tc>
          <w:tcPr>
            <w:tcW w:w="4503" w:type="dxa"/>
            <w:tcBorders>
              <w:top w:val="nil"/>
              <w:bottom w:val="dashed" w:sz="4" w:space="0" w:color="auto"/>
            </w:tcBorders>
          </w:tcPr>
          <w:p w:rsidR="00DF2A95" w:rsidRDefault="008E7AC5" w:rsidP="00F74C5A">
            <w:pPr>
              <w:pStyle w:val="Tabletext"/>
              <w:spacing w:after="30"/>
            </w:pPr>
            <w:r w:rsidRPr="00FF6E9F">
              <w:t>Non-table A/B providers</w:t>
            </w:r>
          </w:p>
        </w:tc>
        <w:tc>
          <w:tcPr>
            <w:tcW w:w="1843" w:type="dxa"/>
            <w:tcBorders>
              <w:top w:val="nil"/>
              <w:bottom w:val="dashed" w:sz="4" w:space="0" w:color="auto"/>
            </w:tcBorders>
          </w:tcPr>
          <w:p w:rsidR="00DF2A95" w:rsidRDefault="008E7AC5" w:rsidP="00F74C5A">
            <w:pPr>
              <w:pStyle w:val="Tabletext"/>
              <w:spacing w:after="30"/>
              <w:ind w:right="600"/>
              <w:jc w:val="right"/>
            </w:pPr>
            <w:r w:rsidRPr="003B56E9">
              <w:t>0</w:t>
            </w:r>
          </w:p>
        </w:tc>
      </w:tr>
      <w:tr w:rsidR="008E7AC5" w:rsidTr="00D63F94">
        <w:tc>
          <w:tcPr>
            <w:tcW w:w="4503" w:type="dxa"/>
            <w:tcBorders>
              <w:top w:val="dashed" w:sz="4" w:space="0" w:color="auto"/>
            </w:tcBorders>
          </w:tcPr>
          <w:p w:rsidR="00DF2A95" w:rsidRDefault="008E7AC5" w:rsidP="0092727F">
            <w:pPr>
              <w:pStyle w:val="Tabletext"/>
              <w:spacing w:before="80"/>
            </w:pPr>
            <w:r w:rsidRPr="00FF6E9F">
              <w:t>T</w:t>
            </w:r>
            <w:r w:rsidR="00D63F94" w:rsidRPr="00FF6E9F">
              <w:t>otal</w:t>
            </w:r>
            <w:r w:rsidRPr="00FF6E9F">
              <w:t xml:space="preserve"> EFTSL</w:t>
            </w:r>
          </w:p>
        </w:tc>
        <w:tc>
          <w:tcPr>
            <w:tcW w:w="1843" w:type="dxa"/>
            <w:tcBorders>
              <w:top w:val="dashed" w:sz="4" w:space="0" w:color="auto"/>
            </w:tcBorders>
          </w:tcPr>
          <w:p w:rsidR="00DF2A95" w:rsidRDefault="008E7AC5" w:rsidP="0092727F">
            <w:pPr>
              <w:pStyle w:val="Tabletext"/>
              <w:spacing w:before="80"/>
              <w:ind w:right="600"/>
              <w:jc w:val="right"/>
            </w:pPr>
            <w:r w:rsidRPr="003B56E9">
              <w:t>19</w:t>
            </w:r>
            <w:r w:rsidR="00D63F94">
              <w:t xml:space="preserve"> </w:t>
            </w:r>
            <w:r w:rsidRPr="003B56E9">
              <w:t>300</w:t>
            </w:r>
          </w:p>
        </w:tc>
      </w:tr>
      <w:tr w:rsidR="008E7AC5" w:rsidTr="00D63F94">
        <w:tc>
          <w:tcPr>
            <w:tcW w:w="4503" w:type="dxa"/>
          </w:tcPr>
          <w:p w:rsidR="00DF2A95" w:rsidRPr="00CD3C9E" w:rsidRDefault="008E7AC5" w:rsidP="00D63F94">
            <w:pPr>
              <w:pStyle w:val="Tabletext"/>
            </w:pPr>
            <w:r w:rsidRPr="00CD3C9E">
              <w:t xml:space="preserve">Total </w:t>
            </w:r>
            <w:r w:rsidR="00CD3C9E">
              <w:t xml:space="preserve">in </w:t>
            </w:r>
            <w:r w:rsidRPr="00CD3C9E">
              <w:t>2010</w:t>
            </w:r>
          </w:p>
        </w:tc>
        <w:tc>
          <w:tcPr>
            <w:tcW w:w="1843" w:type="dxa"/>
          </w:tcPr>
          <w:p w:rsidR="00DF2A95" w:rsidRDefault="00D63F94" w:rsidP="0092727F">
            <w:pPr>
              <w:pStyle w:val="Tabletext"/>
              <w:ind w:right="600"/>
              <w:jc w:val="right"/>
            </w:pPr>
            <w:r>
              <w:t xml:space="preserve">18 </w:t>
            </w:r>
            <w:r w:rsidR="008E7AC5" w:rsidRPr="003B56E9">
              <w:t>470</w:t>
            </w:r>
          </w:p>
        </w:tc>
      </w:tr>
      <w:tr w:rsidR="008E7AC5" w:rsidTr="00D63F94">
        <w:tc>
          <w:tcPr>
            <w:tcW w:w="4503" w:type="dxa"/>
          </w:tcPr>
          <w:p w:rsidR="00DF2A95" w:rsidRDefault="008E7AC5" w:rsidP="00D63F94">
            <w:pPr>
              <w:pStyle w:val="Tabletext"/>
            </w:pPr>
            <w:r w:rsidRPr="00FF6E9F">
              <w:t>% change on 2010</w:t>
            </w:r>
          </w:p>
        </w:tc>
        <w:tc>
          <w:tcPr>
            <w:tcW w:w="1843" w:type="dxa"/>
          </w:tcPr>
          <w:p w:rsidR="00DF2A95" w:rsidRDefault="008E7AC5" w:rsidP="00880191">
            <w:pPr>
              <w:pStyle w:val="Tabletext"/>
              <w:ind w:right="600"/>
              <w:jc w:val="right"/>
            </w:pPr>
            <w:r w:rsidRPr="003B56E9">
              <w:t>4.5%</w:t>
            </w:r>
          </w:p>
        </w:tc>
      </w:tr>
    </w:tbl>
    <w:p w:rsidR="00DF2A95" w:rsidRPr="00D63F94" w:rsidRDefault="00A257C7" w:rsidP="00D63F94">
      <w:pPr>
        <w:pStyle w:val="Source"/>
        <w:rPr>
          <w:rStyle w:val="FootnoteReference"/>
          <w:vertAlign w:val="baseline"/>
        </w:rPr>
      </w:pPr>
      <w:r w:rsidRPr="00D63F94">
        <w:rPr>
          <w:rStyle w:val="FootnoteReference"/>
          <w:vertAlign w:val="baseline"/>
        </w:rPr>
        <w:t>Source:</w:t>
      </w:r>
      <w:r w:rsidR="00D63F94">
        <w:rPr>
          <w:rStyle w:val="FootnoteReference"/>
          <w:vertAlign w:val="baseline"/>
        </w:rPr>
        <w:tab/>
      </w:r>
      <w:r w:rsidR="005E268A" w:rsidRPr="00D63F94">
        <w:rPr>
          <w:rStyle w:val="FootnoteReference"/>
          <w:vertAlign w:val="baseline"/>
        </w:rPr>
        <w:t xml:space="preserve">Department of </w:t>
      </w:r>
      <w:r w:rsidR="00CE7C05" w:rsidRPr="00D63F94">
        <w:rPr>
          <w:rStyle w:val="FootnoteReference"/>
          <w:vertAlign w:val="baseline"/>
        </w:rPr>
        <w:t>Innovation</w:t>
      </w:r>
      <w:r w:rsidR="005E268A" w:rsidRPr="00D63F94">
        <w:rPr>
          <w:rStyle w:val="FootnoteReference"/>
          <w:vertAlign w:val="baseline"/>
        </w:rPr>
        <w:t>,</w:t>
      </w:r>
      <w:r w:rsidR="00DC70AC" w:rsidRPr="00D63F94">
        <w:rPr>
          <w:rStyle w:val="FootnoteReference"/>
          <w:vertAlign w:val="baseline"/>
        </w:rPr>
        <w:t xml:space="preserve"> Industry, Science</w:t>
      </w:r>
      <w:r w:rsidR="00F74C5A">
        <w:t>,</w:t>
      </w:r>
      <w:r w:rsidR="00DC70AC" w:rsidRPr="00D63F94">
        <w:rPr>
          <w:rStyle w:val="FootnoteReference"/>
          <w:vertAlign w:val="baseline"/>
        </w:rPr>
        <w:t xml:space="preserve"> Research</w:t>
      </w:r>
      <w:r w:rsidR="00F74C5A">
        <w:t xml:space="preserve"> and Tertiary Education</w:t>
      </w:r>
      <w:r w:rsidR="005E268A" w:rsidRPr="00D63F94">
        <w:rPr>
          <w:rStyle w:val="FootnoteReference"/>
          <w:vertAlign w:val="baseline"/>
        </w:rPr>
        <w:t xml:space="preserve"> (2012</w:t>
      </w:r>
      <w:r w:rsidR="00DC70AC" w:rsidRPr="00D63F94">
        <w:rPr>
          <w:rStyle w:val="FootnoteReference"/>
          <w:vertAlign w:val="baseline"/>
        </w:rPr>
        <w:t>, table 4.6).</w:t>
      </w:r>
    </w:p>
    <w:p w:rsidR="00772398" w:rsidRDefault="003E7C33" w:rsidP="00505A98">
      <w:pPr>
        <w:pStyle w:val="Textmorebefore"/>
      </w:pPr>
      <w:r>
        <w:t xml:space="preserve">Table </w:t>
      </w:r>
      <w:r w:rsidR="00772398">
        <w:t>3</w:t>
      </w:r>
      <w:r>
        <w:t xml:space="preserve"> sets out total student load </w:t>
      </w:r>
      <w:r w:rsidR="00772398">
        <w:t xml:space="preserve">in architecture and building </w:t>
      </w:r>
      <w:r>
        <w:t xml:space="preserve">across all higher education qualifications. </w:t>
      </w:r>
    </w:p>
    <w:p w:rsidR="00DF2A95" w:rsidRPr="00505A98" w:rsidRDefault="003E7C33" w:rsidP="00505A98">
      <w:pPr>
        <w:pStyle w:val="Text"/>
      </w:pPr>
      <w:r w:rsidRPr="00FA7C27">
        <w:t>The bachelor degree qualification is the most significant</w:t>
      </w:r>
      <w:r w:rsidR="00DC70AC" w:rsidRPr="00FA7C27">
        <w:t>,</w:t>
      </w:r>
      <w:r w:rsidRPr="00FA7C27">
        <w:t xml:space="preserve"> accounting for 75% of all student </w:t>
      </w:r>
      <w:proofErr w:type="gramStart"/>
      <w:r w:rsidRPr="00FA7C27">
        <w:t>load</w:t>
      </w:r>
      <w:proofErr w:type="gramEnd"/>
      <w:r w:rsidRPr="00FA7C27">
        <w:t xml:space="preserve"> in this field. At the bachelor degree level</w:t>
      </w:r>
      <w:r w:rsidR="00786220" w:rsidRPr="00FA7C27">
        <w:t>,</w:t>
      </w:r>
      <w:r w:rsidR="00DC70AC" w:rsidRPr="00FA7C27">
        <w:t xml:space="preserve"> the sub</w:t>
      </w:r>
      <w:r w:rsidRPr="00FA7C27">
        <w:t>field of building comprises 3260 EFTSL out of 14</w:t>
      </w:r>
      <w:r w:rsidR="00FA7C27">
        <w:t> </w:t>
      </w:r>
      <w:r w:rsidRPr="00FA7C27">
        <w:t>549 (11</w:t>
      </w:r>
      <w:r w:rsidR="00FA7C27" w:rsidRPr="00FA7C27">
        <w:t> </w:t>
      </w:r>
      <w:r w:rsidRPr="00FA7C27">
        <w:t>289</w:t>
      </w:r>
      <w:r w:rsidR="00DC70AC" w:rsidRPr="00FA7C27">
        <w:t xml:space="preserve"> </w:t>
      </w:r>
      <w:r w:rsidRPr="00FA7C27">
        <w:t>in architecture) or just 22%. (</w:t>
      </w:r>
      <w:r w:rsidR="00DC70AC" w:rsidRPr="00FA7C27">
        <w:t xml:space="preserve">Department of </w:t>
      </w:r>
      <w:r w:rsidRPr="00505A98">
        <w:t xml:space="preserve">Innovation, </w:t>
      </w:r>
      <w:r w:rsidR="00DC70AC" w:rsidRPr="00505A98">
        <w:t>Industry, Science</w:t>
      </w:r>
      <w:r w:rsidR="00F74C5A">
        <w:t>,</w:t>
      </w:r>
      <w:r w:rsidR="00DC70AC" w:rsidRPr="00505A98">
        <w:t xml:space="preserve"> Research</w:t>
      </w:r>
      <w:r w:rsidR="00F74C5A">
        <w:t xml:space="preserve"> and Tertiary Education</w:t>
      </w:r>
      <w:r w:rsidR="00DC70AC" w:rsidRPr="00505A98">
        <w:t xml:space="preserve"> </w:t>
      </w:r>
      <w:r w:rsidRPr="00505A98">
        <w:t>2012)</w:t>
      </w:r>
    </w:p>
    <w:p w:rsidR="00EF56E6" w:rsidRDefault="00772398" w:rsidP="00505A98">
      <w:pPr>
        <w:pStyle w:val="Text"/>
        <w:ind w:right="-143"/>
      </w:pPr>
      <w:r w:rsidRPr="00505A98">
        <w:t xml:space="preserve">Approximately half of the </w:t>
      </w:r>
      <w:r w:rsidR="00510D3B" w:rsidRPr="00505A98">
        <w:t>higher education</w:t>
      </w:r>
      <w:r w:rsidRPr="00505A98">
        <w:t xml:space="preserve"> providers offer qualifications w</w:t>
      </w:r>
      <w:r w:rsidR="00DC70AC" w:rsidRPr="00505A98">
        <w:t>ithin the sub</w:t>
      </w:r>
      <w:r w:rsidR="003E7C33" w:rsidRPr="00505A98">
        <w:t xml:space="preserve">field of building, </w:t>
      </w:r>
      <w:r w:rsidRPr="00505A98">
        <w:t xml:space="preserve">covering some </w:t>
      </w:r>
      <w:r w:rsidR="00786220" w:rsidRPr="00505A98">
        <w:t>30 different relevant bachelor degree</w:t>
      </w:r>
      <w:r w:rsidR="00786220">
        <w:t xml:space="preserve"> titles</w:t>
      </w:r>
      <w:r w:rsidR="00EF56E6">
        <w:t xml:space="preserve">. Common titles include </w:t>
      </w:r>
      <w:r>
        <w:t>B</w:t>
      </w:r>
      <w:r w:rsidR="00EF56E6">
        <w:t>achelor of:</w:t>
      </w:r>
    </w:p>
    <w:p w:rsidR="00DF2A95" w:rsidRDefault="00EF56E6">
      <w:pPr>
        <w:pStyle w:val="Dotpoint1"/>
      </w:pPr>
      <w:r>
        <w:t>Construction</w:t>
      </w:r>
    </w:p>
    <w:p w:rsidR="00DF2A95" w:rsidRDefault="00EF56E6">
      <w:pPr>
        <w:pStyle w:val="Dotpoint1"/>
      </w:pPr>
      <w:r>
        <w:t>Construction</w:t>
      </w:r>
      <w:r w:rsidR="00510D3B">
        <w:t xml:space="preserve"> </w:t>
      </w:r>
      <w:r>
        <w:t>Management and Property</w:t>
      </w:r>
    </w:p>
    <w:p w:rsidR="00DF2A95" w:rsidRDefault="00EF56E6">
      <w:pPr>
        <w:pStyle w:val="Dotpoint1"/>
      </w:pPr>
      <w:r>
        <w:t>Construction</w:t>
      </w:r>
      <w:r w:rsidR="00510D3B">
        <w:t xml:space="preserve"> </w:t>
      </w:r>
      <w:r>
        <w:t>Management and Economics</w:t>
      </w:r>
    </w:p>
    <w:p w:rsidR="00DF2A95" w:rsidRDefault="00EF56E6">
      <w:pPr>
        <w:pStyle w:val="Dotpoint1"/>
      </w:pPr>
      <w:r>
        <w:t>Building and Construction</w:t>
      </w:r>
      <w:r w:rsidR="00510D3B">
        <w:t xml:space="preserve"> </w:t>
      </w:r>
      <w:r>
        <w:t>Management</w:t>
      </w:r>
    </w:p>
    <w:p w:rsidR="00DF2A95" w:rsidRDefault="00EF56E6">
      <w:pPr>
        <w:pStyle w:val="Dotpoint1"/>
      </w:pPr>
      <w:r>
        <w:t>Construction</w:t>
      </w:r>
      <w:r w:rsidR="00510D3B">
        <w:t xml:space="preserve"> </w:t>
      </w:r>
      <w:r>
        <w:t>Management/Architecture</w:t>
      </w:r>
    </w:p>
    <w:p w:rsidR="00DF2A95" w:rsidRDefault="00EF56E6">
      <w:pPr>
        <w:pStyle w:val="Dotpoint1"/>
      </w:pPr>
      <w:r>
        <w:t>Applied Science (Construction Management)</w:t>
      </w:r>
    </w:p>
    <w:p w:rsidR="00DF2A95" w:rsidRDefault="00EF56E6">
      <w:pPr>
        <w:pStyle w:val="Dotpoint1"/>
      </w:pPr>
      <w:r>
        <w:t>Environment (Construction)</w:t>
      </w:r>
    </w:p>
    <w:p w:rsidR="00DF2A95" w:rsidRDefault="00EF56E6">
      <w:pPr>
        <w:pStyle w:val="Dotpoint1"/>
      </w:pPr>
      <w:r>
        <w:t>Urban development (Construction Management/Property Economics)</w:t>
      </w:r>
      <w:r w:rsidR="00DC70AC">
        <w:t>.</w:t>
      </w:r>
    </w:p>
    <w:p w:rsidR="00EF56E6" w:rsidRDefault="00EF56E6" w:rsidP="00EF56E6">
      <w:pPr>
        <w:pStyle w:val="Text"/>
      </w:pPr>
      <w:r>
        <w:t>This subfield also includes bachelor degrees in quantity and building surveying.</w:t>
      </w:r>
    </w:p>
    <w:bookmarkEnd w:id="18"/>
    <w:bookmarkEnd w:id="19"/>
    <w:bookmarkEnd w:id="20"/>
    <w:bookmarkEnd w:id="21"/>
    <w:p w:rsidR="00505A98" w:rsidRDefault="00505A98">
      <w:pPr>
        <w:spacing w:before="0" w:line="240" w:lineRule="auto"/>
      </w:pPr>
      <w:r>
        <w:br w:type="page"/>
      </w:r>
    </w:p>
    <w:p w:rsidR="00505A98" w:rsidRDefault="00B73DCD" w:rsidP="00505A98">
      <w:pPr>
        <w:pStyle w:val="Heading1"/>
      </w:pPr>
      <w:bookmarkStart w:id="66" w:name="_Toc355103773"/>
      <w:bookmarkStart w:id="67" w:name="_Toc357518806"/>
      <w:bookmarkStart w:id="68" w:name="_Toc358115590"/>
      <w:r>
        <w:lastRenderedPageBreak/>
        <w:t>NVETR P</w:t>
      </w:r>
      <w:r w:rsidR="00505A98">
        <w:t>rogram funding</w:t>
      </w:r>
      <w:bookmarkEnd w:id="66"/>
      <w:bookmarkEnd w:id="67"/>
      <w:bookmarkEnd w:id="68"/>
      <w:r w:rsidR="00505A98">
        <w:t xml:space="preserve"> </w:t>
      </w:r>
    </w:p>
    <w:p w:rsidR="00505A98" w:rsidRPr="0066063E" w:rsidRDefault="00505A98" w:rsidP="00505A98">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w:t>
      </w:r>
      <w:r w:rsidRPr="0066063E">
        <w:t xml:space="preserve">governments. Funding is provided through the Department of Industry, Innovation, Climate Change, Science, Research and Tertiary Education. </w:t>
      </w:r>
    </w:p>
    <w:p w:rsidR="00505A98" w:rsidRPr="0066063E" w:rsidRDefault="00505A98" w:rsidP="00505A98">
      <w:pPr>
        <w:pStyle w:val="Text"/>
      </w:pPr>
      <w:r w:rsidRPr="0066063E">
        <w:t xml:space="preserve">The NVETR Program is based on national research priorities approved by ministers with responsibility for vocational education and training. </w:t>
      </w:r>
    </w:p>
    <w:p w:rsidR="00505A98" w:rsidRPr="0066063E" w:rsidRDefault="000C2AD6" w:rsidP="00505A98">
      <w:pPr>
        <w:pStyle w:val="Text"/>
        <w:ind w:right="-143"/>
      </w:pPr>
      <w:r w:rsidRPr="0066063E">
        <w:t>Author</w:t>
      </w:r>
      <w:r>
        <w:t>s</w:t>
      </w:r>
      <w:r w:rsidR="00505A98" w:rsidRPr="0066063E">
        <w:t>/project team</w:t>
      </w:r>
      <w:r>
        <w:t>s</w:t>
      </w:r>
      <w:r w:rsidR="00505A98" w:rsidRPr="0066063E">
        <w:t xml:space="preserve"> </w:t>
      </w:r>
      <w:r>
        <w:t>are</w:t>
      </w:r>
      <w:r w:rsidR="00505A98" w:rsidRPr="0066063E">
        <w:t xml:space="preserve"> funded to undertake this research via a grant under the NVETR Program. The research grants are awarded to organisations through a competitive process, in which NCVER does</w:t>
      </w:r>
      <w:r w:rsidR="00505A98">
        <w:t> </w:t>
      </w:r>
      <w:r w:rsidR="00505A98" w:rsidRPr="0066063E">
        <w:t>not participate. To ensure the quality and relevance of the research, projects are selected using an independent and transparent process and research reports are peer-reviewed.</w:t>
      </w:r>
    </w:p>
    <w:p w:rsidR="00505A98" w:rsidRPr="0066063E" w:rsidRDefault="00505A98" w:rsidP="00505A98">
      <w:pPr>
        <w:pStyle w:val="Text"/>
      </w:pPr>
      <w:r w:rsidRPr="0066063E">
        <w:t xml:space="preserve">The NVETR Program aims to improve policy and practice in the VET sector. The research effort itself is a collaborative one which requires strong relationships with the research community in Australia’s universities and beyond. NCVER may also involve various stakeholders, including state and territory governments, industry and practitioners to inform the commissioned research, using a variety of mechanisms such as project roundtables and forums. </w:t>
      </w:r>
    </w:p>
    <w:p w:rsidR="00505A98" w:rsidRPr="00FF41C9" w:rsidRDefault="00505A98" w:rsidP="00505A98">
      <w:pPr>
        <w:pStyle w:val="Text"/>
      </w:pPr>
      <w:proofErr w:type="gramStart"/>
      <w:r w:rsidRPr="0066063E">
        <w:t>For further information about the program go</w:t>
      </w:r>
      <w:r w:rsidRPr="00157690">
        <w:t xml:space="preserve"> to the NCVER website &lt;www.ncver.edu.au&gt;.</w:t>
      </w:r>
      <w:proofErr w:type="gramEnd"/>
    </w:p>
    <w:p w:rsidR="00150874" w:rsidRDefault="00150874" w:rsidP="00505A98">
      <w:pPr>
        <w:pStyle w:val="Text"/>
      </w:pPr>
    </w:p>
    <w:sectPr w:rsidR="00150874" w:rsidSect="00102983">
      <w:footerReference w:type="even" r:id="rId35"/>
      <w:footerReference w:type="default" r:id="rId36"/>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DCE" w:rsidRDefault="00026DCE">
      <w:r>
        <w:separator/>
      </w:r>
    </w:p>
  </w:endnote>
  <w:endnote w:type="continuationSeparator" w:id="0">
    <w:p w:rsidR="00026DCE" w:rsidRDefault="00026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CE" w:rsidRDefault="00026DCE">
    <w:pPr>
      <w:pStyle w:val="Footer"/>
      <w:jc w:val="right"/>
    </w:pPr>
  </w:p>
  <w:p w:rsidR="00026DCE" w:rsidRDefault="00026D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CE" w:rsidRPr="00B72720" w:rsidRDefault="000A635C" w:rsidP="00AB6B95">
    <w:pPr>
      <w:pStyle w:val="Footer"/>
      <w:rPr>
        <w:b/>
      </w:rPr>
    </w:pPr>
    <w:r w:rsidRPr="000A635C">
      <w:rPr>
        <w:b/>
        <w:noProof/>
        <w:color w:val="FFFFFF" w:themeColor="background1"/>
        <w:lang w:eastAsia="en-AU"/>
      </w:rPr>
      <w:pict>
        <v:rect id="_x0000_s2051" style="position:absolute;margin-left:-85.05pt;margin-top:-2.45pt;width:99pt;height:18.75pt;z-index:-251655168" fillcolor="black [3213]" stroked="f" strokecolor="#bfbfbf [2412]"/>
      </w:pict>
    </w:r>
    <w:r w:rsidRPr="00B72720">
      <w:rPr>
        <w:b/>
        <w:color w:val="FFFFFF" w:themeColor="background1"/>
      </w:rPr>
      <w:fldChar w:fldCharType="begin"/>
    </w:r>
    <w:r w:rsidR="00026DCE" w:rsidRPr="00B72720">
      <w:rPr>
        <w:b/>
        <w:color w:val="FFFFFF" w:themeColor="background1"/>
      </w:rPr>
      <w:instrText xml:space="preserve"> PAGE </w:instrText>
    </w:r>
    <w:r w:rsidRPr="00B72720">
      <w:rPr>
        <w:b/>
        <w:color w:val="FFFFFF" w:themeColor="background1"/>
      </w:rPr>
      <w:fldChar w:fldCharType="separate"/>
    </w:r>
    <w:r w:rsidR="00383217">
      <w:rPr>
        <w:b/>
        <w:noProof/>
        <w:color w:val="FFFFFF" w:themeColor="background1"/>
      </w:rPr>
      <w:t>48</w:t>
    </w:r>
    <w:r w:rsidRPr="00B72720">
      <w:rPr>
        <w:b/>
        <w:color w:val="FFFFFF" w:themeColor="background1"/>
      </w:rPr>
      <w:fldChar w:fldCharType="end"/>
    </w:r>
    <w:r w:rsidR="00026DCE" w:rsidRPr="00B72720">
      <w:rPr>
        <w:b/>
      </w:rPr>
      <w:tab/>
      <w:t>Hurdling the</w:t>
    </w:r>
    <w:r w:rsidR="00026DCE">
      <w:rPr>
        <w:b/>
      </w:rPr>
      <w:t xml:space="preserve"> barriers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CE" w:rsidRPr="009775C7" w:rsidRDefault="000A635C" w:rsidP="008C0A74">
    <w:pPr>
      <w:pStyle w:val="Footer"/>
      <w:rPr>
        <w:color w:val="FFFFFF" w:themeColor="background1"/>
      </w:rPr>
    </w:pPr>
    <w:r w:rsidRPr="000A635C">
      <w:rPr>
        <w:b/>
        <w:noProof/>
        <w:lang w:eastAsia="en-AU"/>
      </w:rPr>
      <w:pict>
        <v:rect id="_x0000_s2052" style="position:absolute;margin-left:425.6pt;margin-top:-2.45pt;width:99pt;height:18.75pt;z-index:-251653120" fillcolor="black [3213]" stroked="f" strokecolor="#bfbfbf [2412]"/>
      </w:pict>
    </w:r>
    <w:r w:rsidR="00026DCE" w:rsidRPr="009775C7">
      <w:rPr>
        <w:b/>
      </w:rPr>
      <w:t>NCVER</w:t>
    </w:r>
    <w:r w:rsidR="00026DCE" w:rsidRPr="009775C7">
      <w:tab/>
    </w:r>
    <w:r w:rsidRPr="009775C7">
      <w:rPr>
        <w:rStyle w:val="PageNumber"/>
        <w:rFonts w:cs="Tahoma"/>
        <w:b/>
        <w:color w:val="FFFFFF" w:themeColor="background1"/>
        <w:sz w:val="17"/>
      </w:rPr>
      <w:fldChar w:fldCharType="begin"/>
    </w:r>
    <w:r w:rsidR="00026DCE"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383217">
      <w:rPr>
        <w:rStyle w:val="PageNumber"/>
        <w:rFonts w:cs="Tahoma"/>
        <w:b/>
        <w:noProof/>
        <w:color w:val="FFFFFF" w:themeColor="background1"/>
        <w:sz w:val="17"/>
      </w:rPr>
      <w:t>47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DCE" w:rsidRDefault="00026DCE">
      <w:r>
        <w:separator/>
      </w:r>
    </w:p>
  </w:footnote>
  <w:footnote w:type="continuationSeparator" w:id="0">
    <w:p w:rsidR="00026DCE" w:rsidRDefault="00026DCE">
      <w:r>
        <w:continuationSeparator/>
      </w:r>
    </w:p>
  </w:footnote>
  <w:footnote w:id="1">
    <w:p w:rsidR="00026DCE" w:rsidRDefault="00026DCE">
      <w:pPr>
        <w:pStyle w:val="FootnoteText"/>
      </w:pPr>
      <w:r w:rsidRPr="004E5C03">
        <w:rPr>
          <w:rStyle w:val="FootnoteReference"/>
        </w:rPr>
        <w:footnoteRef/>
      </w:r>
      <w:r>
        <w:tab/>
      </w:r>
      <w:r>
        <w:rPr>
          <w:rStyle w:val="FootnoteReference"/>
          <w:vertAlign w:val="baseline"/>
        </w:rPr>
        <w:t xml:space="preserve">Field of education is part of </w:t>
      </w:r>
      <w:r w:rsidRPr="004E5C03">
        <w:rPr>
          <w:rStyle w:val="FootnoteReference"/>
          <w:vertAlign w:val="baseline"/>
        </w:rPr>
        <w:t xml:space="preserve">the Australia Standard Classification of Education (ASCED). ASCED is used by the Australian Bureau of Statistics, the Department of Education, Employment and Workplace Relations, NCVER and other organisations involved in educational statistical collections. ASCED classifies educational activity into 12 broad fields of education that are narrowed into more specific areas. The relevant broad field for this project is 04 </w:t>
      </w:r>
      <w:r>
        <w:rPr>
          <w:rStyle w:val="FootnoteReference"/>
          <w:vertAlign w:val="baseline"/>
        </w:rPr>
        <w:t>—</w:t>
      </w:r>
      <w:r w:rsidRPr="004E5C03">
        <w:rPr>
          <w:rStyle w:val="FootnoteReference"/>
          <w:vertAlign w:val="baseline"/>
        </w:rPr>
        <w:t xml:space="preserve"> Architecture and building, further classified into the narrow field of 0403 </w:t>
      </w:r>
      <w:r>
        <w:rPr>
          <w:rStyle w:val="FootnoteReference"/>
          <w:vertAlign w:val="baseline"/>
        </w:rPr>
        <w:t>—</w:t>
      </w:r>
      <w:r w:rsidRPr="004E5C03">
        <w:rPr>
          <w:rStyle w:val="FootnoteReference"/>
          <w:vertAlign w:val="baseline"/>
        </w:rPr>
        <w:t xml:space="preserve"> Building. The published data included in this paper may relate to the broad field of education and would thus include material relating to architecture as well as building students. Disaggregated data are used where available.</w:t>
      </w:r>
    </w:p>
  </w:footnote>
  <w:footnote w:id="2">
    <w:p w:rsidR="00026DCE" w:rsidRPr="00A17302" w:rsidRDefault="00026DCE" w:rsidP="00A17302">
      <w:pPr>
        <w:pStyle w:val="FootnoteText"/>
        <w:rPr>
          <w:rStyle w:val="FootnoteReference"/>
          <w:vertAlign w:val="baseline"/>
        </w:rPr>
      </w:pPr>
      <w:r w:rsidRPr="00A17302">
        <w:rPr>
          <w:rStyle w:val="FootnoteReference"/>
        </w:rPr>
        <w:footnoteRef/>
      </w:r>
      <w:r>
        <w:tab/>
        <w:t>The a</w:t>
      </w:r>
      <w:r w:rsidRPr="00A17302">
        <w:rPr>
          <w:rStyle w:val="FootnoteReference"/>
          <w:vertAlign w:val="baseline"/>
        </w:rPr>
        <w:t>ppendix contains a list of the qualifications relevant to the scope of this study, which only covers qualifications relevant to the sub-field of building education.</w:t>
      </w:r>
    </w:p>
  </w:footnote>
  <w:footnote w:id="3">
    <w:p w:rsidR="00026DCE" w:rsidRPr="00A17302" w:rsidRDefault="00026DCE" w:rsidP="00A17302">
      <w:pPr>
        <w:pStyle w:val="FootnoteText"/>
        <w:rPr>
          <w:rStyle w:val="FootnoteReference"/>
          <w:vertAlign w:val="baseline"/>
        </w:rPr>
      </w:pPr>
      <w:r w:rsidRPr="00A17302">
        <w:rPr>
          <w:rStyle w:val="FootnoteReference"/>
        </w:rPr>
        <w:footnoteRef/>
      </w:r>
      <w:r>
        <w:tab/>
      </w:r>
      <w:r w:rsidRPr="00A17302">
        <w:rPr>
          <w:rStyle w:val="FootnoteReference"/>
          <w:vertAlign w:val="baseline"/>
        </w:rPr>
        <w:t>EFTSL is a measure of total student load of both part-time and full-time students used for statistical purposes. Actual numbers of individual students will be higher.</w:t>
      </w:r>
    </w:p>
  </w:footnote>
  <w:footnote w:id="4">
    <w:p w:rsidR="00026DCE" w:rsidRPr="00A17302" w:rsidRDefault="00026DCE" w:rsidP="004C1D27">
      <w:pPr>
        <w:pStyle w:val="FootnoteText"/>
        <w:rPr>
          <w:rStyle w:val="FootnoteReference"/>
          <w:vertAlign w:val="baseline"/>
        </w:rPr>
      </w:pPr>
      <w:r w:rsidRPr="004E7A11">
        <w:rPr>
          <w:rStyle w:val="FootnoteReference"/>
        </w:rPr>
        <w:footnoteRef/>
      </w:r>
      <w:r>
        <w:tab/>
        <w:t>The a</w:t>
      </w:r>
      <w:r w:rsidRPr="00A17302">
        <w:rPr>
          <w:rStyle w:val="FootnoteReference"/>
          <w:vertAlign w:val="baseline"/>
        </w:rPr>
        <w:t>ppendix contains a list of all higher education providers in this field and EFTSL for each provider in 2011.</w:t>
      </w:r>
    </w:p>
  </w:footnote>
  <w:footnote w:id="5">
    <w:p w:rsidR="00026DCE" w:rsidRPr="004E7A11" w:rsidRDefault="00026DCE" w:rsidP="004E7A11">
      <w:pPr>
        <w:pStyle w:val="FootnoteText"/>
      </w:pPr>
      <w:r w:rsidRPr="004E7A11">
        <w:rPr>
          <w:rStyle w:val="FootnoteReference"/>
        </w:rPr>
        <w:footnoteRef/>
      </w:r>
      <w:r>
        <w:tab/>
      </w:r>
      <w:r w:rsidRPr="004E7A11">
        <w:rPr>
          <w:rStyle w:val="FootnoteReference"/>
          <w:vertAlign w:val="baseline"/>
        </w:rPr>
        <w:t>NCVER uses the term ‘diploma and above’ in various statistics. The term combines diploma and advanced diplomas, as well as other AQF qualifications</w:t>
      </w:r>
      <w:r>
        <w:t>,</w:t>
      </w:r>
      <w:r w:rsidRPr="004E7A11">
        <w:rPr>
          <w:rStyle w:val="FootnoteReference"/>
          <w:vertAlign w:val="baseline"/>
        </w:rPr>
        <w:t xml:space="preserve"> including bachelor degrees and graduate certificates and diplomas. The most significant</w:t>
      </w:r>
      <w:r w:rsidRPr="004E7A11">
        <w:t xml:space="preserve"> </w:t>
      </w:r>
      <w:r w:rsidRPr="004E7A11">
        <w:rPr>
          <w:rStyle w:val="FootnoteReference"/>
          <w:vertAlign w:val="baseline"/>
        </w:rPr>
        <w:t>by number of students are diplomas, followed by advanced diplomas. The other qualifications have very small numbers of students.</w:t>
      </w:r>
    </w:p>
  </w:footnote>
  <w:footnote w:id="6">
    <w:p w:rsidR="00026DCE" w:rsidRDefault="00026DCE">
      <w:pPr>
        <w:pStyle w:val="FootnoteText"/>
      </w:pPr>
      <w:r>
        <w:rPr>
          <w:rStyle w:val="FootnoteReference"/>
        </w:rPr>
        <w:footnoteRef/>
      </w:r>
      <w:r>
        <w:tab/>
      </w:r>
      <w:r w:rsidRPr="00F802C1">
        <w:rPr>
          <w:rStyle w:val="Strong"/>
          <w:b w:val="0"/>
        </w:rPr>
        <w:t>UWS College prepares</w:t>
      </w:r>
      <w:r>
        <w:t xml:space="preserve"> international and domestic students making the journey from secondary school to bachelor degree programs at the University of Western Sydney.</w:t>
      </w:r>
    </w:p>
  </w:footnote>
  <w:footnote w:id="7">
    <w:p w:rsidR="00026DCE" w:rsidRPr="006E3ADD" w:rsidRDefault="00026DCE" w:rsidP="006E3ADD">
      <w:pPr>
        <w:pStyle w:val="FootnoteText"/>
        <w:rPr>
          <w:rStyle w:val="FootnoteReference"/>
          <w:vertAlign w:val="baseline"/>
        </w:rPr>
      </w:pPr>
      <w:r w:rsidRPr="006E3ADD">
        <w:rPr>
          <w:rStyle w:val="FootnoteReference"/>
        </w:rPr>
        <w:footnoteRef/>
      </w:r>
      <w:r>
        <w:tab/>
      </w:r>
      <w:r w:rsidRPr="006E3ADD">
        <w:rPr>
          <w:rStyle w:val="FootnoteReference"/>
          <w:vertAlign w:val="baseline"/>
        </w:rPr>
        <w:t xml:space="preserve">Data from NCVER </w:t>
      </w:r>
      <w:r w:rsidRPr="006E3ADD">
        <w:t>(</w:t>
      </w:r>
      <w:r w:rsidRPr="006E3ADD">
        <w:rPr>
          <w:rStyle w:val="FootnoteReference"/>
          <w:vertAlign w:val="baseline"/>
        </w:rPr>
        <w:t>2012d, table 1) with the lower enrolment figure of 135</w:t>
      </w:r>
      <w:r w:rsidRPr="006E3ADD">
        <w:t xml:space="preserve"> </w:t>
      </w:r>
      <w:r w:rsidRPr="006E3ADD">
        <w:rPr>
          <w:rStyle w:val="FootnoteReference"/>
          <w:vertAlign w:val="baseline"/>
        </w:rPr>
        <w:t>697 for 2011</w:t>
      </w:r>
      <w:r w:rsidRPr="006E3ADD">
        <w:t xml:space="preserve"> </w:t>
      </w:r>
      <w:r w:rsidRPr="006E3ADD">
        <w:rPr>
          <w:rStyle w:val="FootnoteReference"/>
          <w:vertAlign w:val="baseline"/>
        </w:rPr>
        <w:t xml:space="preserve">also show Victoria with </w:t>
      </w:r>
      <w:r w:rsidRPr="006E3ADD">
        <w:t xml:space="preserve">the </w:t>
      </w:r>
      <w:r w:rsidRPr="006E3ADD">
        <w:rPr>
          <w:rStyle w:val="FootnoteReference"/>
          <w:vertAlign w:val="baseline"/>
        </w:rPr>
        <w:t>highest number of enrolments</w:t>
      </w:r>
      <w:r>
        <w:t>,</w:t>
      </w:r>
      <w:r w:rsidRPr="006E3ADD">
        <w:rPr>
          <w:rStyle w:val="FootnoteReference"/>
          <w:vertAlign w:val="baseline"/>
        </w:rPr>
        <w:t xml:space="preserve"> followed by NSW and Queensland. Based on these data</w:t>
      </w:r>
      <w:r>
        <w:t>,</w:t>
      </w:r>
      <w:r w:rsidRPr="006E3ADD">
        <w:rPr>
          <w:rStyle w:val="FootnoteReference"/>
          <w:vertAlign w:val="baseline"/>
        </w:rPr>
        <w:t xml:space="preserve"> 60.8% of all enrolments (public and private) are in these two states.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8AE7217"/>
    <w:multiLevelType w:val="hybridMultilevel"/>
    <w:tmpl w:val="4C6C5CD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DD4CCF"/>
    <w:multiLevelType w:val="hybridMultilevel"/>
    <w:tmpl w:val="AE406EF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623414"/>
    <w:multiLevelType w:val="hybridMultilevel"/>
    <w:tmpl w:val="1F2ACFB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8783B"/>
    <w:multiLevelType w:val="hybridMultilevel"/>
    <w:tmpl w:val="F1AE3F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0A02C5"/>
    <w:multiLevelType w:val="hybridMultilevel"/>
    <w:tmpl w:val="714CF632"/>
    <w:lvl w:ilvl="0" w:tplc="A0D0ED80">
      <w:start w:val="1"/>
      <w:numFmt w:val="bullet"/>
      <w:pStyle w:val="Dotpoint2"/>
      <w:lvlText w:val="-"/>
      <w:lvlJc w:val="left"/>
      <w:pPr>
        <w:ind w:left="1800" w:hanging="360"/>
      </w:pPr>
      <w:rPr>
        <w:rFonts w:ascii="Courier New" w:hAnsi="Courier New" w:hint="default"/>
      </w:rPr>
    </w:lvl>
    <w:lvl w:ilvl="1" w:tplc="0C090003">
      <w:start w:val="1"/>
      <w:numFmt w:val="bullet"/>
      <w:lvlText w:val="o"/>
      <w:lvlJc w:val="left"/>
      <w:pPr>
        <w:ind w:left="2345" w:hanging="360"/>
      </w:pPr>
      <w:rPr>
        <w:rFonts w:ascii="Courier New" w:hAnsi="Courier New" w:cs="Lucida Grande"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Lucida Grande"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Lucida Grande"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6199087D"/>
    <w:multiLevelType w:val="hybridMultilevel"/>
    <w:tmpl w:val="0DDCF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Lucida Grande"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Lucida Grande"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Lucida Grande"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C32398"/>
    <w:multiLevelType w:val="hybridMultilevel"/>
    <w:tmpl w:val="8F5E75B2"/>
    <w:lvl w:ilvl="0" w:tplc="866EA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B063B"/>
    <w:multiLevelType w:val="hybridMultilevel"/>
    <w:tmpl w:val="A9EC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Lucida Grande"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Lucida Grande"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Lucida Grande"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6568BB"/>
    <w:multiLevelType w:val="hybridMultilevel"/>
    <w:tmpl w:val="A6CEC27E"/>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Lucida Grande"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Lucida Grande"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Lucida Grande"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0"/>
  </w:num>
  <w:num w:numId="5">
    <w:abstractNumId w:val="8"/>
  </w:num>
  <w:num w:numId="6">
    <w:abstractNumId w:val="6"/>
  </w:num>
  <w:num w:numId="7">
    <w:abstractNumId w:val="4"/>
  </w:num>
  <w:num w:numId="8">
    <w:abstractNumId w:val="7"/>
  </w:num>
  <w:num w:numId="9">
    <w:abstractNumId w:val="1"/>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701"/>
  <w:stylePaneSortMethod w:val="0000"/>
  <w:doNotTrackMoves/>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255EA5"/>
    <w:rsid w:val="00000F64"/>
    <w:rsid w:val="00003A82"/>
    <w:rsid w:val="0000544F"/>
    <w:rsid w:val="000108B2"/>
    <w:rsid w:val="00013265"/>
    <w:rsid w:val="000154F3"/>
    <w:rsid w:val="00020F11"/>
    <w:rsid w:val="000210D4"/>
    <w:rsid w:val="00021325"/>
    <w:rsid w:val="000217D7"/>
    <w:rsid w:val="00022290"/>
    <w:rsid w:val="000228E7"/>
    <w:rsid w:val="00025068"/>
    <w:rsid w:val="00026972"/>
    <w:rsid w:val="0002698E"/>
    <w:rsid w:val="00026DCE"/>
    <w:rsid w:val="00026F55"/>
    <w:rsid w:val="000301AE"/>
    <w:rsid w:val="0003042A"/>
    <w:rsid w:val="0003158D"/>
    <w:rsid w:val="000315D7"/>
    <w:rsid w:val="0003162C"/>
    <w:rsid w:val="00031A80"/>
    <w:rsid w:val="00031D40"/>
    <w:rsid w:val="00032A36"/>
    <w:rsid w:val="00034B13"/>
    <w:rsid w:val="000355F1"/>
    <w:rsid w:val="000375F0"/>
    <w:rsid w:val="00040BFA"/>
    <w:rsid w:val="0004213C"/>
    <w:rsid w:val="00047E86"/>
    <w:rsid w:val="0005260C"/>
    <w:rsid w:val="00052A25"/>
    <w:rsid w:val="0005687E"/>
    <w:rsid w:val="0006125F"/>
    <w:rsid w:val="00061660"/>
    <w:rsid w:val="00064761"/>
    <w:rsid w:val="00067346"/>
    <w:rsid w:val="000710FC"/>
    <w:rsid w:val="000717D8"/>
    <w:rsid w:val="000717DC"/>
    <w:rsid w:val="00074BD4"/>
    <w:rsid w:val="00074D42"/>
    <w:rsid w:val="00080E1A"/>
    <w:rsid w:val="0008215F"/>
    <w:rsid w:val="00083670"/>
    <w:rsid w:val="00084281"/>
    <w:rsid w:val="00091DA7"/>
    <w:rsid w:val="00092854"/>
    <w:rsid w:val="00092B58"/>
    <w:rsid w:val="0009309C"/>
    <w:rsid w:val="00093606"/>
    <w:rsid w:val="000967BB"/>
    <w:rsid w:val="000970CE"/>
    <w:rsid w:val="000A0745"/>
    <w:rsid w:val="000A1231"/>
    <w:rsid w:val="000A193A"/>
    <w:rsid w:val="000A3433"/>
    <w:rsid w:val="000A5F64"/>
    <w:rsid w:val="000A635C"/>
    <w:rsid w:val="000B008B"/>
    <w:rsid w:val="000B276D"/>
    <w:rsid w:val="000B3389"/>
    <w:rsid w:val="000B4A7C"/>
    <w:rsid w:val="000B5CD9"/>
    <w:rsid w:val="000B6036"/>
    <w:rsid w:val="000B635C"/>
    <w:rsid w:val="000C2AD6"/>
    <w:rsid w:val="000C2CD3"/>
    <w:rsid w:val="000C38A2"/>
    <w:rsid w:val="000C468F"/>
    <w:rsid w:val="000C5259"/>
    <w:rsid w:val="000C743C"/>
    <w:rsid w:val="000D00AD"/>
    <w:rsid w:val="000D1B9C"/>
    <w:rsid w:val="000D1BEE"/>
    <w:rsid w:val="000D28AB"/>
    <w:rsid w:val="000E0508"/>
    <w:rsid w:val="000E312F"/>
    <w:rsid w:val="000E4F11"/>
    <w:rsid w:val="000E7E48"/>
    <w:rsid w:val="000F23FF"/>
    <w:rsid w:val="000F2583"/>
    <w:rsid w:val="000F641C"/>
    <w:rsid w:val="000F6E98"/>
    <w:rsid w:val="000F6F3A"/>
    <w:rsid w:val="001004B1"/>
    <w:rsid w:val="00102983"/>
    <w:rsid w:val="001034EB"/>
    <w:rsid w:val="00105DD1"/>
    <w:rsid w:val="0010653E"/>
    <w:rsid w:val="0010761A"/>
    <w:rsid w:val="00107F6A"/>
    <w:rsid w:val="00110AD5"/>
    <w:rsid w:val="00112526"/>
    <w:rsid w:val="001126D5"/>
    <w:rsid w:val="00114B24"/>
    <w:rsid w:val="0011530A"/>
    <w:rsid w:val="00117948"/>
    <w:rsid w:val="00117C8C"/>
    <w:rsid w:val="00122E84"/>
    <w:rsid w:val="001231D7"/>
    <w:rsid w:val="00123B5C"/>
    <w:rsid w:val="0012437B"/>
    <w:rsid w:val="00124B85"/>
    <w:rsid w:val="00125DCF"/>
    <w:rsid w:val="00133362"/>
    <w:rsid w:val="00134FBD"/>
    <w:rsid w:val="00135C6F"/>
    <w:rsid w:val="00135C75"/>
    <w:rsid w:val="001364E7"/>
    <w:rsid w:val="00136C53"/>
    <w:rsid w:val="001379F2"/>
    <w:rsid w:val="0014387F"/>
    <w:rsid w:val="00143D56"/>
    <w:rsid w:val="00145384"/>
    <w:rsid w:val="00145CEA"/>
    <w:rsid w:val="00145EF2"/>
    <w:rsid w:val="00150874"/>
    <w:rsid w:val="001509F3"/>
    <w:rsid w:val="00152CC0"/>
    <w:rsid w:val="00155839"/>
    <w:rsid w:val="00157863"/>
    <w:rsid w:val="00162C77"/>
    <w:rsid w:val="00165651"/>
    <w:rsid w:val="001703D1"/>
    <w:rsid w:val="00171188"/>
    <w:rsid w:val="00172028"/>
    <w:rsid w:val="00174B36"/>
    <w:rsid w:val="00174CD7"/>
    <w:rsid w:val="00174FE5"/>
    <w:rsid w:val="0017726F"/>
    <w:rsid w:val="00177827"/>
    <w:rsid w:val="00181AC5"/>
    <w:rsid w:val="00184504"/>
    <w:rsid w:val="00184D79"/>
    <w:rsid w:val="00184F0F"/>
    <w:rsid w:val="001860FD"/>
    <w:rsid w:val="00187AF4"/>
    <w:rsid w:val="00190B31"/>
    <w:rsid w:val="00192E26"/>
    <w:rsid w:val="00194C90"/>
    <w:rsid w:val="00194CE1"/>
    <w:rsid w:val="001968C1"/>
    <w:rsid w:val="00196F53"/>
    <w:rsid w:val="001A1F0E"/>
    <w:rsid w:val="001A2211"/>
    <w:rsid w:val="001A2810"/>
    <w:rsid w:val="001A3676"/>
    <w:rsid w:val="001A457B"/>
    <w:rsid w:val="001A5755"/>
    <w:rsid w:val="001A6283"/>
    <w:rsid w:val="001B43CF"/>
    <w:rsid w:val="001B5090"/>
    <w:rsid w:val="001B59B4"/>
    <w:rsid w:val="001B6BD2"/>
    <w:rsid w:val="001C0F15"/>
    <w:rsid w:val="001C1903"/>
    <w:rsid w:val="001C40A7"/>
    <w:rsid w:val="001C51E1"/>
    <w:rsid w:val="001D1374"/>
    <w:rsid w:val="001D2223"/>
    <w:rsid w:val="001D2461"/>
    <w:rsid w:val="001D5EF8"/>
    <w:rsid w:val="001D71F4"/>
    <w:rsid w:val="001E1607"/>
    <w:rsid w:val="001E2A14"/>
    <w:rsid w:val="001E6818"/>
    <w:rsid w:val="001F2036"/>
    <w:rsid w:val="001F3CBA"/>
    <w:rsid w:val="001F5979"/>
    <w:rsid w:val="001F7D0E"/>
    <w:rsid w:val="001F7D84"/>
    <w:rsid w:val="0020104A"/>
    <w:rsid w:val="002056E8"/>
    <w:rsid w:val="00205896"/>
    <w:rsid w:val="00206994"/>
    <w:rsid w:val="00210587"/>
    <w:rsid w:val="00212A78"/>
    <w:rsid w:val="002160B4"/>
    <w:rsid w:val="0022188C"/>
    <w:rsid w:val="002277A9"/>
    <w:rsid w:val="00233BFA"/>
    <w:rsid w:val="00233D2C"/>
    <w:rsid w:val="00234FDC"/>
    <w:rsid w:val="00236BDB"/>
    <w:rsid w:val="0024129B"/>
    <w:rsid w:val="00241D1A"/>
    <w:rsid w:val="00241F54"/>
    <w:rsid w:val="0025001B"/>
    <w:rsid w:val="00250F95"/>
    <w:rsid w:val="002516E1"/>
    <w:rsid w:val="0025217F"/>
    <w:rsid w:val="00254073"/>
    <w:rsid w:val="00255EA5"/>
    <w:rsid w:val="00256457"/>
    <w:rsid w:val="00256467"/>
    <w:rsid w:val="00256504"/>
    <w:rsid w:val="00263EFD"/>
    <w:rsid w:val="002658B8"/>
    <w:rsid w:val="00266082"/>
    <w:rsid w:val="00267B77"/>
    <w:rsid w:val="002754BB"/>
    <w:rsid w:val="00277176"/>
    <w:rsid w:val="002776CD"/>
    <w:rsid w:val="00281D9A"/>
    <w:rsid w:val="00282C12"/>
    <w:rsid w:val="00283FD8"/>
    <w:rsid w:val="002846E8"/>
    <w:rsid w:val="00284FCB"/>
    <w:rsid w:val="00290D04"/>
    <w:rsid w:val="002925BE"/>
    <w:rsid w:val="00292D96"/>
    <w:rsid w:val="002A14AB"/>
    <w:rsid w:val="002A3136"/>
    <w:rsid w:val="002A3FFB"/>
    <w:rsid w:val="002A48C7"/>
    <w:rsid w:val="002A6614"/>
    <w:rsid w:val="002B0B85"/>
    <w:rsid w:val="002B482F"/>
    <w:rsid w:val="002B5C20"/>
    <w:rsid w:val="002B7550"/>
    <w:rsid w:val="002C0269"/>
    <w:rsid w:val="002C5559"/>
    <w:rsid w:val="002C5D62"/>
    <w:rsid w:val="002D0272"/>
    <w:rsid w:val="002D18A5"/>
    <w:rsid w:val="002D2AD0"/>
    <w:rsid w:val="002D3E70"/>
    <w:rsid w:val="002D4D73"/>
    <w:rsid w:val="002D650A"/>
    <w:rsid w:val="002D6C1A"/>
    <w:rsid w:val="002E0391"/>
    <w:rsid w:val="002E0C2F"/>
    <w:rsid w:val="002E196B"/>
    <w:rsid w:val="002E29C0"/>
    <w:rsid w:val="002E7BBD"/>
    <w:rsid w:val="002E7C17"/>
    <w:rsid w:val="002F0F29"/>
    <w:rsid w:val="002F3017"/>
    <w:rsid w:val="002F70E1"/>
    <w:rsid w:val="002F7923"/>
    <w:rsid w:val="00303120"/>
    <w:rsid w:val="00303FE8"/>
    <w:rsid w:val="0030552E"/>
    <w:rsid w:val="00305BBB"/>
    <w:rsid w:val="003067CA"/>
    <w:rsid w:val="003069F9"/>
    <w:rsid w:val="003075CF"/>
    <w:rsid w:val="0031013B"/>
    <w:rsid w:val="003120D5"/>
    <w:rsid w:val="00312877"/>
    <w:rsid w:val="003159D3"/>
    <w:rsid w:val="003165B8"/>
    <w:rsid w:val="00316643"/>
    <w:rsid w:val="00317D27"/>
    <w:rsid w:val="0032017F"/>
    <w:rsid w:val="003217AA"/>
    <w:rsid w:val="00322AC6"/>
    <w:rsid w:val="00323F28"/>
    <w:rsid w:val="00323FB1"/>
    <w:rsid w:val="003241B1"/>
    <w:rsid w:val="0032605F"/>
    <w:rsid w:val="00326DC6"/>
    <w:rsid w:val="0033247E"/>
    <w:rsid w:val="00333FAD"/>
    <w:rsid w:val="00334816"/>
    <w:rsid w:val="00334898"/>
    <w:rsid w:val="003349C1"/>
    <w:rsid w:val="00334B82"/>
    <w:rsid w:val="00334CE3"/>
    <w:rsid w:val="0033596E"/>
    <w:rsid w:val="00336174"/>
    <w:rsid w:val="00340B4D"/>
    <w:rsid w:val="003410F5"/>
    <w:rsid w:val="00342A9F"/>
    <w:rsid w:val="003430C9"/>
    <w:rsid w:val="00345586"/>
    <w:rsid w:val="00346DF9"/>
    <w:rsid w:val="0035091A"/>
    <w:rsid w:val="003512EB"/>
    <w:rsid w:val="00356D8B"/>
    <w:rsid w:val="0036194A"/>
    <w:rsid w:val="00362ED1"/>
    <w:rsid w:val="00363533"/>
    <w:rsid w:val="00363A4D"/>
    <w:rsid w:val="0036423E"/>
    <w:rsid w:val="00364B19"/>
    <w:rsid w:val="003663EF"/>
    <w:rsid w:val="0036710A"/>
    <w:rsid w:val="003700E3"/>
    <w:rsid w:val="00370DC6"/>
    <w:rsid w:val="00377B20"/>
    <w:rsid w:val="0038008F"/>
    <w:rsid w:val="00381348"/>
    <w:rsid w:val="00382667"/>
    <w:rsid w:val="00383217"/>
    <w:rsid w:val="003872D3"/>
    <w:rsid w:val="0039086A"/>
    <w:rsid w:val="0039106A"/>
    <w:rsid w:val="00394D41"/>
    <w:rsid w:val="003958D3"/>
    <w:rsid w:val="0039677F"/>
    <w:rsid w:val="00397C94"/>
    <w:rsid w:val="003A1F03"/>
    <w:rsid w:val="003A21E4"/>
    <w:rsid w:val="003A4860"/>
    <w:rsid w:val="003A6B19"/>
    <w:rsid w:val="003A74D9"/>
    <w:rsid w:val="003A763E"/>
    <w:rsid w:val="003B086F"/>
    <w:rsid w:val="003B16DA"/>
    <w:rsid w:val="003B483E"/>
    <w:rsid w:val="003B4D96"/>
    <w:rsid w:val="003C0504"/>
    <w:rsid w:val="003C103D"/>
    <w:rsid w:val="003C24C9"/>
    <w:rsid w:val="003C2608"/>
    <w:rsid w:val="003C2C86"/>
    <w:rsid w:val="003C3190"/>
    <w:rsid w:val="003C7217"/>
    <w:rsid w:val="003D2401"/>
    <w:rsid w:val="003D492E"/>
    <w:rsid w:val="003D4FB9"/>
    <w:rsid w:val="003E258E"/>
    <w:rsid w:val="003E2959"/>
    <w:rsid w:val="003E5710"/>
    <w:rsid w:val="003E67CB"/>
    <w:rsid w:val="003E7C33"/>
    <w:rsid w:val="003F05F3"/>
    <w:rsid w:val="003F07EF"/>
    <w:rsid w:val="003F095C"/>
    <w:rsid w:val="003F09D1"/>
    <w:rsid w:val="003F1481"/>
    <w:rsid w:val="003F2D5C"/>
    <w:rsid w:val="003F3DA6"/>
    <w:rsid w:val="003F5F6A"/>
    <w:rsid w:val="003F71DB"/>
    <w:rsid w:val="004007EF"/>
    <w:rsid w:val="00401FF3"/>
    <w:rsid w:val="00411488"/>
    <w:rsid w:val="00412347"/>
    <w:rsid w:val="00413E14"/>
    <w:rsid w:val="00414359"/>
    <w:rsid w:val="0041444E"/>
    <w:rsid w:val="004148AD"/>
    <w:rsid w:val="0041511D"/>
    <w:rsid w:val="00420420"/>
    <w:rsid w:val="004204A6"/>
    <w:rsid w:val="00421B65"/>
    <w:rsid w:val="00423112"/>
    <w:rsid w:val="0042371B"/>
    <w:rsid w:val="00423847"/>
    <w:rsid w:val="00424082"/>
    <w:rsid w:val="00424B36"/>
    <w:rsid w:val="00425227"/>
    <w:rsid w:val="00426532"/>
    <w:rsid w:val="00427362"/>
    <w:rsid w:val="00427FC7"/>
    <w:rsid w:val="004303F2"/>
    <w:rsid w:val="00430DFE"/>
    <w:rsid w:val="00430FD7"/>
    <w:rsid w:val="00432374"/>
    <w:rsid w:val="004341F2"/>
    <w:rsid w:val="004344B8"/>
    <w:rsid w:val="00437EF6"/>
    <w:rsid w:val="0044709D"/>
    <w:rsid w:val="00453D2D"/>
    <w:rsid w:val="00455203"/>
    <w:rsid w:val="0045744D"/>
    <w:rsid w:val="00457D93"/>
    <w:rsid w:val="004639B4"/>
    <w:rsid w:val="00463D9F"/>
    <w:rsid w:val="00464CE7"/>
    <w:rsid w:val="004705A8"/>
    <w:rsid w:val="00470FE6"/>
    <w:rsid w:val="00475852"/>
    <w:rsid w:val="0047619F"/>
    <w:rsid w:val="00477CA6"/>
    <w:rsid w:val="004839D6"/>
    <w:rsid w:val="00484320"/>
    <w:rsid w:val="00484E51"/>
    <w:rsid w:val="00485A31"/>
    <w:rsid w:val="0048643A"/>
    <w:rsid w:val="00486C2E"/>
    <w:rsid w:val="00486DBB"/>
    <w:rsid w:val="00490902"/>
    <w:rsid w:val="0049453B"/>
    <w:rsid w:val="00494E7C"/>
    <w:rsid w:val="00496EF9"/>
    <w:rsid w:val="00497128"/>
    <w:rsid w:val="004A0015"/>
    <w:rsid w:val="004A30C0"/>
    <w:rsid w:val="004A39E4"/>
    <w:rsid w:val="004A6274"/>
    <w:rsid w:val="004A6A86"/>
    <w:rsid w:val="004B0E46"/>
    <w:rsid w:val="004B15B8"/>
    <w:rsid w:val="004B1747"/>
    <w:rsid w:val="004B2D24"/>
    <w:rsid w:val="004B563B"/>
    <w:rsid w:val="004B63C9"/>
    <w:rsid w:val="004B6F64"/>
    <w:rsid w:val="004B7926"/>
    <w:rsid w:val="004C1D27"/>
    <w:rsid w:val="004C4063"/>
    <w:rsid w:val="004C4110"/>
    <w:rsid w:val="004C4162"/>
    <w:rsid w:val="004C4538"/>
    <w:rsid w:val="004C4F55"/>
    <w:rsid w:val="004C75CA"/>
    <w:rsid w:val="004D4261"/>
    <w:rsid w:val="004D4802"/>
    <w:rsid w:val="004D4F8A"/>
    <w:rsid w:val="004D5EEF"/>
    <w:rsid w:val="004D6251"/>
    <w:rsid w:val="004E0530"/>
    <w:rsid w:val="004E0FBB"/>
    <w:rsid w:val="004E1B44"/>
    <w:rsid w:val="004E3A46"/>
    <w:rsid w:val="004E3E71"/>
    <w:rsid w:val="004E4298"/>
    <w:rsid w:val="004E5C03"/>
    <w:rsid w:val="004E6D46"/>
    <w:rsid w:val="004E6D80"/>
    <w:rsid w:val="004E7227"/>
    <w:rsid w:val="004E7A11"/>
    <w:rsid w:val="004F3311"/>
    <w:rsid w:val="004F3938"/>
    <w:rsid w:val="00500426"/>
    <w:rsid w:val="00502BB8"/>
    <w:rsid w:val="00504483"/>
    <w:rsid w:val="00505A98"/>
    <w:rsid w:val="00505B00"/>
    <w:rsid w:val="0050607B"/>
    <w:rsid w:val="00510D3B"/>
    <w:rsid w:val="00512075"/>
    <w:rsid w:val="005120B5"/>
    <w:rsid w:val="00514EA8"/>
    <w:rsid w:val="005170CC"/>
    <w:rsid w:val="005171EB"/>
    <w:rsid w:val="005175F8"/>
    <w:rsid w:val="00520315"/>
    <w:rsid w:val="00520FFE"/>
    <w:rsid w:val="0052276C"/>
    <w:rsid w:val="00524886"/>
    <w:rsid w:val="00525398"/>
    <w:rsid w:val="005270D4"/>
    <w:rsid w:val="00530105"/>
    <w:rsid w:val="005309CE"/>
    <w:rsid w:val="0053101B"/>
    <w:rsid w:val="0053375B"/>
    <w:rsid w:val="00533B30"/>
    <w:rsid w:val="00533DC8"/>
    <w:rsid w:val="0053455B"/>
    <w:rsid w:val="00535252"/>
    <w:rsid w:val="005420DF"/>
    <w:rsid w:val="0054214C"/>
    <w:rsid w:val="00542DCD"/>
    <w:rsid w:val="00543261"/>
    <w:rsid w:val="005443C0"/>
    <w:rsid w:val="005447AE"/>
    <w:rsid w:val="00544AD7"/>
    <w:rsid w:val="005465E5"/>
    <w:rsid w:val="00546A04"/>
    <w:rsid w:val="00551731"/>
    <w:rsid w:val="00552FDD"/>
    <w:rsid w:val="00557B81"/>
    <w:rsid w:val="00562215"/>
    <w:rsid w:val="005633CE"/>
    <w:rsid w:val="00566065"/>
    <w:rsid w:val="005664BF"/>
    <w:rsid w:val="00566ABE"/>
    <w:rsid w:val="0056798D"/>
    <w:rsid w:val="0057021D"/>
    <w:rsid w:val="00570758"/>
    <w:rsid w:val="00570847"/>
    <w:rsid w:val="00573426"/>
    <w:rsid w:val="00580B58"/>
    <w:rsid w:val="00583C69"/>
    <w:rsid w:val="0058777E"/>
    <w:rsid w:val="00587A0D"/>
    <w:rsid w:val="0059034E"/>
    <w:rsid w:val="00590583"/>
    <w:rsid w:val="005951C8"/>
    <w:rsid w:val="00597DAA"/>
    <w:rsid w:val="005A2EFE"/>
    <w:rsid w:val="005A3061"/>
    <w:rsid w:val="005A5F80"/>
    <w:rsid w:val="005B08FA"/>
    <w:rsid w:val="005B340C"/>
    <w:rsid w:val="005C277E"/>
    <w:rsid w:val="005C302B"/>
    <w:rsid w:val="005C3A75"/>
    <w:rsid w:val="005C42CE"/>
    <w:rsid w:val="005C44DB"/>
    <w:rsid w:val="005C4E71"/>
    <w:rsid w:val="005C5712"/>
    <w:rsid w:val="005C61F8"/>
    <w:rsid w:val="005C6BE7"/>
    <w:rsid w:val="005C7181"/>
    <w:rsid w:val="005C7FB6"/>
    <w:rsid w:val="005D1769"/>
    <w:rsid w:val="005D4082"/>
    <w:rsid w:val="005D51A2"/>
    <w:rsid w:val="005E06CB"/>
    <w:rsid w:val="005E0C29"/>
    <w:rsid w:val="005E0CEC"/>
    <w:rsid w:val="005E268A"/>
    <w:rsid w:val="005E2B60"/>
    <w:rsid w:val="005E2E4C"/>
    <w:rsid w:val="005E3212"/>
    <w:rsid w:val="005E46E3"/>
    <w:rsid w:val="005E4764"/>
    <w:rsid w:val="005E5CE5"/>
    <w:rsid w:val="005E659A"/>
    <w:rsid w:val="005E6B67"/>
    <w:rsid w:val="005E7A66"/>
    <w:rsid w:val="005E7D67"/>
    <w:rsid w:val="005F0484"/>
    <w:rsid w:val="005F13BA"/>
    <w:rsid w:val="005F2E02"/>
    <w:rsid w:val="005F3B34"/>
    <w:rsid w:val="005F4B77"/>
    <w:rsid w:val="005F5312"/>
    <w:rsid w:val="005F57BE"/>
    <w:rsid w:val="005F64C2"/>
    <w:rsid w:val="005F7C03"/>
    <w:rsid w:val="00601D59"/>
    <w:rsid w:val="0060390D"/>
    <w:rsid w:val="00607B25"/>
    <w:rsid w:val="0061075F"/>
    <w:rsid w:val="00611A1D"/>
    <w:rsid w:val="006138CE"/>
    <w:rsid w:val="00613E82"/>
    <w:rsid w:val="0061406B"/>
    <w:rsid w:val="006157B0"/>
    <w:rsid w:val="0061621D"/>
    <w:rsid w:val="00617B21"/>
    <w:rsid w:val="00617FDC"/>
    <w:rsid w:val="00622318"/>
    <w:rsid w:val="00624EA4"/>
    <w:rsid w:val="00625839"/>
    <w:rsid w:val="00626F66"/>
    <w:rsid w:val="006334BB"/>
    <w:rsid w:val="00634963"/>
    <w:rsid w:val="006352F8"/>
    <w:rsid w:val="0063651A"/>
    <w:rsid w:val="00637E6C"/>
    <w:rsid w:val="00641970"/>
    <w:rsid w:val="00642712"/>
    <w:rsid w:val="00642A0C"/>
    <w:rsid w:val="00646453"/>
    <w:rsid w:val="006464C4"/>
    <w:rsid w:val="00646B15"/>
    <w:rsid w:val="00646DE2"/>
    <w:rsid w:val="00646E53"/>
    <w:rsid w:val="00652654"/>
    <w:rsid w:val="00652973"/>
    <w:rsid w:val="00652F24"/>
    <w:rsid w:val="006537B4"/>
    <w:rsid w:val="00653D4C"/>
    <w:rsid w:val="00656679"/>
    <w:rsid w:val="0066190D"/>
    <w:rsid w:val="00663D3B"/>
    <w:rsid w:val="006651E9"/>
    <w:rsid w:val="00670E0A"/>
    <w:rsid w:val="00671DC4"/>
    <w:rsid w:val="00673E49"/>
    <w:rsid w:val="00675190"/>
    <w:rsid w:val="00676ACA"/>
    <w:rsid w:val="0067712D"/>
    <w:rsid w:val="0067744D"/>
    <w:rsid w:val="00681F35"/>
    <w:rsid w:val="006846E5"/>
    <w:rsid w:val="00684D72"/>
    <w:rsid w:val="006850F6"/>
    <w:rsid w:val="00692789"/>
    <w:rsid w:val="00695EA2"/>
    <w:rsid w:val="00696A48"/>
    <w:rsid w:val="006A1C95"/>
    <w:rsid w:val="006A1CD6"/>
    <w:rsid w:val="006A204A"/>
    <w:rsid w:val="006A77FC"/>
    <w:rsid w:val="006B1BE0"/>
    <w:rsid w:val="006B5994"/>
    <w:rsid w:val="006B7135"/>
    <w:rsid w:val="006B784D"/>
    <w:rsid w:val="006C1460"/>
    <w:rsid w:val="006C2585"/>
    <w:rsid w:val="006C260D"/>
    <w:rsid w:val="006C2F2F"/>
    <w:rsid w:val="006C3BDD"/>
    <w:rsid w:val="006C54B2"/>
    <w:rsid w:val="006C5DA9"/>
    <w:rsid w:val="006C7859"/>
    <w:rsid w:val="006C786C"/>
    <w:rsid w:val="006C7C27"/>
    <w:rsid w:val="006E0FD2"/>
    <w:rsid w:val="006E120D"/>
    <w:rsid w:val="006E3ADD"/>
    <w:rsid w:val="006E3E0E"/>
    <w:rsid w:val="006E5FA4"/>
    <w:rsid w:val="006E638F"/>
    <w:rsid w:val="006E6798"/>
    <w:rsid w:val="006E6C0B"/>
    <w:rsid w:val="006E7508"/>
    <w:rsid w:val="006F05C9"/>
    <w:rsid w:val="006F0C96"/>
    <w:rsid w:val="006F0EE6"/>
    <w:rsid w:val="006F291F"/>
    <w:rsid w:val="006F2A5D"/>
    <w:rsid w:val="006F2DD9"/>
    <w:rsid w:val="006F368F"/>
    <w:rsid w:val="006F37B8"/>
    <w:rsid w:val="006F49EA"/>
    <w:rsid w:val="0070121C"/>
    <w:rsid w:val="0070180E"/>
    <w:rsid w:val="00701C29"/>
    <w:rsid w:val="00702143"/>
    <w:rsid w:val="00702835"/>
    <w:rsid w:val="00702D99"/>
    <w:rsid w:val="007037A4"/>
    <w:rsid w:val="007068DF"/>
    <w:rsid w:val="00710C83"/>
    <w:rsid w:val="00712EED"/>
    <w:rsid w:val="00715D93"/>
    <w:rsid w:val="00715E3E"/>
    <w:rsid w:val="007205AE"/>
    <w:rsid w:val="0072127E"/>
    <w:rsid w:val="00721420"/>
    <w:rsid w:val="00722C40"/>
    <w:rsid w:val="00723034"/>
    <w:rsid w:val="00723266"/>
    <w:rsid w:val="00723AFA"/>
    <w:rsid w:val="00725652"/>
    <w:rsid w:val="00727879"/>
    <w:rsid w:val="00727D91"/>
    <w:rsid w:val="00730096"/>
    <w:rsid w:val="00731EC8"/>
    <w:rsid w:val="007346A2"/>
    <w:rsid w:val="00737F8C"/>
    <w:rsid w:val="0074007A"/>
    <w:rsid w:val="007400E7"/>
    <w:rsid w:val="00742458"/>
    <w:rsid w:val="00744617"/>
    <w:rsid w:val="007453AE"/>
    <w:rsid w:val="00747CF7"/>
    <w:rsid w:val="00757BC1"/>
    <w:rsid w:val="00762384"/>
    <w:rsid w:val="007623BB"/>
    <w:rsid w:val="007639B0"/>
    <w:rsid w:val="00763F10"/>
    <w:rsid w:val="00765198"/>
    <w:rsid w:val="007654DE"/>
    <w:rsid w:val="0076679F"/>
    <w:rsid w:val="00766B13"/>
    <w:rsid w:val="0076732B"/>
    <w:rsid w:val="00770F8E"/>
    <w:rsid w:val="007713DF"/>
    <w:rsid w:val="00772398"/>
    <w:rsid w:val="0077246E"/>
    <w:rsid w:val="00772FC3"/>
    <w:rsid w:val="00774456"/>
    <w:rsid w:val="00776553"/>
    <w:rsid w:val="00777A2C"/>
    <w:rsid w:val="00777E25"/>
    <w:rsid w:val="007807B1"/>
    <w:rsid w:val="00780A5A"/>
    <w:rsid w:val="00782540"/>
    <w:rsid w:val="00783429"/>
    <w:rsid w:val="00783F44"/>
    <w:rsid w:val="00785BCA"/>
    <w:rsid w:val="00786220"/>
    <w:rsid w:val="0078671B"/>
    <w:rsid w:val="00787494"/>
    <w:rsid w:val="00791623"/>
    <w:rsid w:val="007920D0"/>
    <w:rsid w:val="0079269E"/>
    <w:rsid w:val="00793C3D"/>
    <w:rsid w:val="00794D09"/>
    <w:rsid w:val="00795F21"/>
    <w:rsid w:val="007A2079"/>
    <w:rsid w:val="007B0F3A"/>
    <w:rsid w:val="007B3425"/>
    <w:rsid w:val="007B6408"/>
    <w:rsid w:val="007B641E"/>
    <w:rsid w:val="007B666F"/>
    <w:rsid w:val="007B6729"/>
    <w:rsid w:val="007C3183"/>
    <w:rsid w:val="007C3281"/>
    <w:rsid w:val="007C4642"/>
    <w:rsid w:val="007C50A7"/>
    <w:rsid w:val="007D05BB"/>
    <w:rsid w:val="007D173E"/>
    <w:rsid w:val="007D2147"/>
    <w:rsid w:val="007D50F9"/>
    <w:rsid w:val="007D586F"/>
    <w:rsid w:val="007D6BC6"/>
    <w:rsid w:val="007D75FE"/>
    <w:rsid w:val="007D7E5D"/>
    <w:rsid w:val="007E1FAE"/>
    <w:rsid w:val="007E2796"/>
    <w:rsid w:val="007E2D8C"/>
    <w:rsid w:val="007E52B3"/>
    <w:rsid w:val="007E6130"/>
    <w:rsid w:val="007F0886"/>
    <w:rsid w:val="007F0B63"/>
    <w:rsid w:val="007F0EC5"/>
    <w:rsid w:val="007F1934"/>
    <w:rsid w:val="007F3009"/>
    <w:rsid w:val="007F3E69"/>
    <w:rsid w:val="007F4145"/>
    <w:rsid w:val="007F5C1B"/>
    <w:rsid w:val="007F6B51"/>
    <w:rsid w:val="00800A2B"/>
    <w:rsid w:val="00800B07"/>
    <w:rsid w:val="008010C6"/>
    <w:rsid w:val="008010CB"/>
    <w:rsid w:val="008020B6"/>
    <w:rsid w:val="00803701"/>
    <w:rsid w:val="00806C1C"/>
    <w:rsid w:val="00807FB0"/>
    <w:rsid w:val="00811B9A"/>
    <w:rsid w:val="00812E4A"/>
    <w:rsid w:val="00812FBB"/>
    <w:rsid w:val="00813597"/>
    <w:rsid w:val="008135F2"/>
    <w:rsid w:val="008174F7"/>
    <w:rsid w:val="0081754B"/>
    <w:rsid w:val="008224AF"/>
    <w:rsid w:val="00823CBE"/>
    <w:rsid w:val="00824818"/>
    <w:rsid w:val="0082524F"/>
    <w:rsid w:val="00826421"/>
    <w:rsid w:val="00826660"/>
    <w:rsid w:val="00826757"/>
    <w:rsid w:val="00827833"/>
    <w:rsid w:val="0083043B"/>
    <w:rsid w:val="00831E71"/>
    <w:rsid w:val="00832C4B"/>
    <w:rsid w:val="00835700"/>
    <w:rsid w:val="0084269B"/>
    <w:rsid w:val="00847C08"/>
    <w:rsid w:val="00847F73"/>
    <w:rsid w:val="00852661"/>
    <w:rsid w:val="008567A7"/>
    <w:rsid w:val="00860671"/>
    <w:rsid w:val="0086356F"/>
    <w:rsid w:val="00864623"/>
    <w:rsid w:val="00865043"/>
    <w:rsid w:val="00865D6E"/>
    <w:rsid w:val="00866CD3"/>
    <w:rsid w:val="00870349"/>
    <w:rsid w:val="00870613"/>
    <w:rsid w:val="008731B3"/>
    <w:rsid w:val="00874DA5"/>
    <w:rsid w:val="0087793E"/>
    <w:rsid w:val="00877EE8"/>
    <w:rsid w:val="00880191"/>
    <w:rsid w:val="0088098B"/>
    <w:rsid w:val="00882328"/>
    <w:rsid w:val="00883871"/>
    <w:rsid w:val="00886311"/>
    <w:rsid w:val="008869A7"/>
    <w:rsid w:val="0089094D"/>
    <w:rsid w:val="008923B6"/>
    <w:rsid w:val="008939F7"/>
    <w:rsid w:val="00893D7D"/>
    <w:rsid w:val="00894271"/>
    <w:rsid w:val="008A1DD5"/>
    <w:rsid w:val="008A2D64"/>
    <w:rsid w:val="008A2E33"/>
    <w:rsid w:val="008A3BD6"/>
    <w:rsid w:val="008A4E16"/>
    <w:rsid w:val="008A6A13"/>
    <w:rsid w:val="008A6D06"/>
    <w:rsid w:val="008A7C40"/>
    <w:rsid w:val="008B26B5"/>
    <w:rsid w:val="008B4457"/>
    <w:rsid w:val="008B47EC"/>
    <w:rsid w:val="008B540B"/>
    <w:rsid w:val="008B6896"/>
    <w:rsid w:val="008B6D60"/>
    <w:rsid w:val="008B6FD0"/>
    <w:rsid w:val="008B70F6"/>
    <w:rsid w:val="008C025E"/>
    <w:rsid w:val="008C0A74"/>
    <w:rsid w:val="008C0ACB"/>
    <w:rsid w:val="008C20C2"/>
    <w:rsid w:val="008C278C"/>
    <w:rsid w:val="008C406D"/>
    <w:rsid w:val="008C47CB"/>
    <w:rsid w:val="008C6DD9"/>
    <w:rsid w:val="008D146A"/>
    <w:rsid w:val="008D24C5"/>
    <w:rsid w:val="008D5699"/>
    <w:rsid w:val="008D5789"/>
    <w:rsid w:val="008E02B7"/>
    <w:rsid w:val="008E687C"/>
    <w:rsid w:val="008E6FB5"/>
    <w:rsid w:val="008E7AC5"/>
    <w:rsid w:val="008E7DE5"/>
    <w:rsid w:val="008F0940"/>
    <w:rsid w:val="008F09DF"/>
    <w:rsid w:val="008F20BA"/>
    <w:rsid w:val="008F77E8"/>
    <w:rsid w:val="00901A39"/>
    <w:rsid w:val="0090508E"/>
    <w:rsid w:val="009058B5"/>
    <w:rsid w:val="00905B1C"/>
    <w:rsid w:val="00906BE1"/>
    <w:rsid w:val="00907CFE"/>
    <w:rsid w:val="00911147"/>
    <w:rsid w:val="00911B20"/>
    <w:rsid w:val="00913560"/>
    <w:rsid w:val="00914372"/>
    <w:rsid w:val="00915900"/>
    <w:rsid w:val="00916DEA"/>
    <w:rsid w:val="0091752F"/>
    <w:rsid w:val="00917D5E"/>
    <w:rsid w:val="00920723"/>
    <w:rsid w:val="00924ECE"/>
    <w:rsid w:val="00926B96"/>
    <w:rsid w:val="0092727F"/>
    <w:rsid w:val="00927646"/>
    <w:rsid w:val="00931A9F"/>
    <w:rsid w:val="00933317"/>
    <w:rsid w:val="00934640"/>
    <w:rsid w:val="009351C6"/>
    <w:rsid w:val="00937911"/>
    <w:rsid w:val="009461ED"/>
    <w:rsid w:val="00947B17"/>
    <w:rsid w:val="009538E6"/>
    <w:rsid w:val="00953F27"/>
    <w:rsid w:val="00955D6E"/>
    <w:rsid w:val="009560D5"/>
    <w:rsid w:val="009570C3"/>
    <w:rsid w:val="009575E4"/>
    <w:rsid w:val="0096088D"/>
    <w:rsid w:val="00961031"/>
    <w:rsid w:val="009704E4"/>
    <w:rsid w:val="00975739"/>
    <w:rsid w:val="00975789"/>
    <w:rsid w:val="00976DE7"/>
    <w:rsid w:val="009775C7"/>
    <w:rsid w:val="00981A9F"/>
    <w:rsid w:val="00981F2C"/>
    <w:rsid w:val="0098245C"/>
    <w:rsid w:val="009827DE"/>
    <w:rsid w:val="009836DB"/>
    <w:rsid w:val="009902EA"/>
    <w:rsid w:val="00991557"/>
    <w:rsid w:val="00992838"/>
    <w:rsid w:val="00995946"/>
    <w:rsid w:val="009A2FD2"/>
    <w:rsid w:val="009A5D16"/>
    <w:rsid w:val="009A6BF6"/>
    <w:rsid w:val="009A6DD7"/>
    <w:rsid w:val="009A79EF"/>
    <w:rsid w:val="009A7DAE"/>
    <w:rsid w:val="009A7E2C"/>
    <w:rsid w:val="009B1D81"/>
    <w:rsid w:val="009B3060"/>
    <w:rsid w:val="009B62F1"/>
    <w:rsid w:val="009C0584"/>
    <w:rsid w:val="009C188B"/>
    <w:rsid w:val="009C22BE"/>
    <w:rsid w:val="009C320C"/>
    <w:rsid w:val="009C38A7"/>
    <w:rsid w:val="009C72C3"/>
    <w:rsid w:val="009C7B5F"/>
    <w:rsid w:val="009D380F"/>
    <w:rsid w:val="009D411D"/>
    <w:rsid w:val="009D4710"/>
    <w:rsid w:val="009D6E21"/>
    <w:rsid w:val="009D72DB"/>
    <w:rsid w:val="009D77D6"/>
    <w:rsid w:val="009E11D6"/>
    <w:rsid w:val="009E231A"/>
    <w:rsid w:val="009E2F64"/>
    <w:rsid w:val="009E4151"/>
    <w:rsid w:val="009F14F8"/>
    <w:rsid w:val="009F29A1"/>
    <w:rsid w:val="009F3BC2"/>
    <w:rsid w:val="009F3F0C"/>
    <w:rsid w:val="009F7B3F"/>
    <w:rsid w:val="009F7E71"/>
    <w:rsid w:val="00A00678"/>
    <w:rsid w:val="00A01C5D"/>
    <w:rsid w:val="00A0303E"/>
    <w:rsid w:val="00A03B35"/>
    <w:rsid w:val="00A03D10"/>
    <w:rsid w:val="00A06C02"/>
    <w:rsid w:val="00A07058"/>
    <w:rsid w:val="00A10A6B"/>
    <w:rsid w:val="00A10E2B"/>
    <w:rsid w:val="00A11A06"/>
    <w:rsid w:val="00A120FE"/>
    <w:rsid w:val="00A141DA"/>
    <w:rsid w:val="00A16FB7"/>
    <w:rsid w:val="00A17302"/>
    <w:rsid w:val="00A17D2D"/>
    <w:rsid w:val="00A2218A"/>
    <w:rsid w:val="00A239F5"/>
    <w:rsid w:val="00A23FF8"/>
    <w:rsid w:val="00A257C7"/>
    <w:rsid w:val="00A26304"/>
    <w:rsid w:val="00A30084"/>
    <w:rsid w:val="00A31CE7"/>
    <w:rsid w:val="00A33D8C"/>
    <w:rsid w:val="00A3435E"/>
    <w:rsid w:val="00A344B7"/>
    <w:rsid w:val="00A36D44"/>
    <w:rsid w:val="00A37552"/>
    <w:rsid w:val="00A37611"/>
    <w:rsid w:val="00A37F11"/>
    <w:rsid w:val="00A4017A"/>
    <w:rsid w:val="00A4029E"/>
    <w:rsid w:val="00A422D2"/>
    <w:rsid w:val="00A4492A"/>
    <w:rsid w:val="00A47917"/>
    <w:rsid w:val="00A50895"/>
    <w:rsid w:val="00A508C8"/>
    <w:rsid w:val="00A50C04"/>
    <w:rsid w:val="00A50EE1"/>
    <w:rsid w:val="00A53A69"/>
    <w:rsid w:val="00A55DA4"/>
    <w:rsid w:val="00A56063"/>
    <w:rsid w:val="00A5657C"/>
    <w:rsid w:val="00A6317E"/>
    <w:rsid w:val="00A63A3C"/>
    <w:rsid w:val="00A641FF"/>
    <w:rsid w:val="00A6504E"/>
    <w:rsid w:val="00A6669C"/>
    <w:rsid w:val="00A718A5"/>
    <w:rsid w:val="00A7284D"/>
    <w:rsid w:val="00A72FDC"/>
    <w:rsid w:val="00A73318"/>
    <w:rsid w:val="00A74812"/>
    <w:rsid w:val="00A76AD4"/>
    <w:rsid w:val="00A8014B"/>
    <w:rsid w:val="00A80C02"/>
    <w:rsid w:val="00A8183C"/>
    <w:rsid w:val="00A82812"/>
    <w:rsid w:val="00A8467F"/>
    <w:rsid w:val="00A852B3"/>
    <w:rsid w:val="00A922B9"/>
    <w:rsid w:val="00A93822"/>
    <w:rsid w:val="00A93867"/>
    <w:rsid w:val="00A961DA"/>
    <w:rsid w:val="00A96862"/>
    <w:rsid w:val="00A97904"/>
    <w:rsid w:val="00AA44D4"/>
    <w:rsid w:val="00AA67E5"/>
    <w:rsid w:val="00AA78A0"/>
    <w:rsid w:val="00AB2624"/>
    <w:rsid w:val="00AB4CA4"/>
    <w:rsid w:val="00AB4DC4"/>
    <w:rsid w:val="00AB5DD9"/>
    <w:rsid w:val="00AB60C8"/>
    <w:rsid w:val="00AB6B95"/>
    <w:rsid w:val="00AC1D37"/>
    <w:rsid w:val="00AC43E3"/>
    <w:rsid w:val="00AC4842"/>
    <w:rsid w:val="00AC65B4"/>
    <w:rsid w:val="00AC688A"/>
    <w:rsid w:val="00AD12CC"/>
    <w:rsid w:val="00AD2F4A"/>
    <w:rsid w:val="00AD35AC"/>
    <w:rsid w:val="00AD4971"/>
    <w:rsid w:val="00AD5A60"/>
    <w:rsid w:val="00AD60D7"/>
    <w:rsid w:val="00AE0CB5"/>
    <w:rsid w:val="00AE3F0C"/>
    <w:rsid w:val="00AE4701"/>
    <w:rsid w:val="00AF1005"/>
    <w:rsid w:val="00AF2169"/>
    <w:rsid w:val="00AF318A"/>
    <w:rsid w:val="00AF6D47"/>
    <w:rsid w:val="00AF7146"/>
    <w:rsid w:val="00B009D6"/>
    <w:rsid w:val="00B05040"/>
    <w:rsid w:val="00B0525E"/>
    <w:rsid w:val="00B0527E"/>
    <w:rsid w:val="00B05F5C"/>
    <w:rsid w:val="00B1014E"/>
    <w:rsid w:val="00B126D3"/>
    <w:rsid w:val="00B14D1C"/>
    <w:rsid w:val="00B212E0"/>
    <w:rsid w:val="00B23B9D"/>
    <w:rsid w:val="00B27CDF"/>
    <w:rsid w:val="00B3059C"/>
    <w:rsid w:val="00B306DE"/>
    <w:rsid w:val="00B34CFA"/>
    <w:rsid w:val="00B356A8"/>
    <w:rsid w:val="00B36390"/>
    <w:rsid w:val="00B379D8"/>
    <w:rsid w:val="00B40D69"/>
    <w:rsid w:val="00B40F7E"/>
    <w:rsid w:val="00B41272"/>
    <w:rsid w:val="00B41DF0"/>
    <w:rsid w:val="00B426FE"/>
    <w:rsid w:val="00B43F3F"/>
    <w:rsid w:val="00B46578"/>
    <w:rsid w:val="00B47402"/>
    <w:rsid w:val="00B51C52"/>
    <w:rsid w:val="00B5438F"/>
    <w:rsid w:val="00B5497B"/>
    <w:rsid w:val="00B570FD"/>
    <w:rsid w:val="00B62EB2"/>
    <w:rsid w:val="00B65306"/>
    <w:rsid w:val="00B67028"/>
    <w:rsid w:val="00B7017B"/>
    <w:rsid w:val="00B706F3"/>
    <w:rsid w:val="00B70C29"/>
    <w:rsid w:val="00B71B98"/>
    <w:rsid w:val="00B72720"/>
    <w:rsid w:val="00B7380A"/>
    <w:rsid w:val="00B73A41"/>
    <w:rsid w:val="00B73DCD"/>
    <w:rsid w:val="00B77043"/>
    <w:rsid w:val="00B81B9E"/>
    <w:rsid w:val="00B84D8C"/>
    <w:rsid w:val="00B86D06"/>
    <w:rsid w:val="00B87910"/>
    <w:rsid w:val="00B90CFB"/>
    <w:rsid w:val="00B94C5A"/>
    <w:rsid w:val="00B95F47"/>
    <w:rsid w:val="00B9612E"/>
    <w:rsid w:val="00B96AF1"/>
    <w:rsid w:val="00BA12A9"/>
    <w:rsid w:val="00BA2777"/>
    <w:rsid w:val="00BA27BD"/>
    <w:rsid w:val="00BA2B02"/>
    <w:rsid w:val="00BB0A33"/>
    <w:rsid w:val="00BB113D"/>
    <w:rsid w:val="00BB2A94"/>
    <w:rsid w:val="00BB38EE"/>
    <w:rsid w:val="00BB3E6F"/>
    <w:rsid w:val="00BB4F75"/>
    <w:rsid w:val="00BB5279"/>
    <w:rsid w:val="00BB535F"/>
    <w:rsid w:val="00BB55EF"/>
    <w:rsid w:val="00BB7D60"/>
    <w:rsid w:val="00BC0763"/>
    <w:rsid w:val="00BC081F"/>
    <w:rsid w:val="00BC3AAB"/>
    <w:rsid w:val="00BC4CB1"/>
    <w:rsid w:val="00BC6328"/>
    <w:rsid w:val="00BC65A6"/>
    <w:rsid w:val="00BC770A"/>
    <w:rsid w:val="00BC7C47"/>
    <w:rsid w:val="00BD1283"/>
    <w:rsid w:val="00BD3F41"/>
    <w:rsid w:val="00BD4621"/>
    <w:rsid w:val="00BD5F2A"/>
    <w:rsid w:val="00BE382C"/>
    <w:rsid w:val="00BE38F3"/>
    <w:rsid w:val="00BE4E24"/>
    <w:rsid w:val="00BE5389"/>
    <w:rsid w:val="00BE68D7"/>
    <w:rsid w:val="00BF181D"/>
    <w:rsid w:val="00BF1FAF"/>
    <w:rsid w:val="00BF1FE2"/>
    <w:rsid w:val="00BF690E"/>
    <w:rsid w:val="00BF6D1E"/>
    <w:rsid w:val="00C00F92"/>
    <w:rsid w:val="00C01AB1"/>
    <w:rsid w:val="00C02054"/>
    <w:rsid w:val="00C02237"/>
    <w:rsid w:val="00C053D5"/>
    <w:rsid w:val="00C06C14"/>
    <w:rsid w:val="00C076B7"/>
    <w:rsid w:val="00C10884"/>
    <w:rsid w:val="00C12064"/>
    <w:rsid w:val="00C12B41"/>
    <w:rsid w:val="00C13720"/>
    <w:rsid w:val="00C13BC8"/>
    <w:rsid w:val="00C169B7"/>
    <w:rsid w:val="00C16AB9"/>
    <w:rsid w:val="00C21C2C"/>
    <w:rsid w:val="00C22BC5"/>
    <w:rsid w:val="00C26BC5"/>
    <w:rsid w:val="00C31C5C"/>
    <w:rsid w:val="00C322FE"/>
    <w:rsid w:val="00C32FD0"/>
    <w:rsid w:val="00C341CE"/>
    <w:rsid w:val="00C3534B"/>
    <w:rsid w:val="00C37003"/>
    <w:rsid w:val="00C41E68"/>
    <w:rsid w:val="00C4392E"/>
    <w:rsid w:val="00C44602"/>
    <w:rsid w:val="00C4751C"/>
    <w:rsid w:val="00C52228"/>
    <w:rsid w:val="00C5381F"/>
    <w:rsid w:val="00C54125"/>
    <w:rsid w:val="00C56A6E"/>
    <w:rsid w:val="00C6046F"/>
    <w:rsid w:val="00C61320"/>
    <w:rsid w:val="00C621CA"/>
    <w:rsid w:val="00C63294"/>
    <w:rsid w:val="00C633C6"/>
    <w:rsid w:val="00C63592"/>
    <w:rsid w:val="00C65A04"/>
    <w:rsid w:val="00C671FC"/>
    <w:rsid w:val="00C70F54"/>
    <w:rsid w:val="00C71FCA"/>
    <w:rsid w:val="00C7542F"/>
    <w:rsid w:val="00C769DF"/>
    <w:rsid w:val="00C77DC6"/>
    <w:rsid w:val="00C801DA"/>
    <w:rsid w:val="00C81540"/>
    <w:rsid w:val="00C82D35"/>
    <w:rsid w:val="00C83111"/>
    <w:rsid w:val="00C85A82"/>
    <w:rsid w:val="00C926F0"/>
    <w:rsid w:val="00C93079"/>
    <w:rsid w:val="00C9323A"/>
    <w:rsid w:val="00C937E8"/>
    <w:rsid w:val="00C9656D"/>
    <w:rsid w:val="00C96C22"/>
    <w:rsid w:val="00C979AF"/>
    <w:rsid w:val="00CA45BE"/>
    <w:rsid w:val="00CA4AFC"/>
    <w:rsid w:val="00CA6AC2"/>
    <w:rsid w:val="00CB0E80"/>
    <w:rsid w:val="00CB327C"/>
    <w:rsid w:val="00CB4848"/>
    <w:rsid w:val="00CB67B5"/>
    <w:rsid w:val="00CB67CF"/>
    <w:rsid w:val="00CC01E9"/>
    <w:rsid w:val="00CC02C9"/>
    <w:rsid w:val="00CC317E"/>
    <w:rsid w:val="00CC331D"/>
    <w:rsid w:val="00CC49E3"/>
    <w:rsid w:val="00CC4A71"/>
    <w:rsid w:val="00CC576F"/>
    <w:rsid w:val="00CD21F5"/>
    <w:rsid w:val="00CD3C9E"/>
    <w:rsid w:val="00CD5F32"/>
    <w:rsid w:val="00CD6780"/>
    <w:rsid w:val="00CD7B50"/>
    <w:rsid w:val="00CE1516"/>
    <w:rsid w:val="00CE4BFE"/>
    <w:rsid w:val="00CE4DB7"/>
    <w:rsid w:val="00CE7C05"/>
    <w:rsid w:val="00CF002A"/>
    <w:rsid w:val="00CF0C3C"/>
    <w:rsid w:val="00CF1349"/>
    <w:rsid w:val="00CF4369"/>
    <w:rsid w:val="00CF4A0F"/>
    <w:rsid w:val="00CF5EC9"/>
    <w:rsid w:val="00CF617B"/>
    <w:rsid w:val="00D0038C"/>
    <w:rsid w:val="00D00BBF"/>
    <w:rsid w:val="00D00E42"/>
    <w:rsid w:val="00D0575E"/>
    <w:rsid w:val="00D065EC"/>
    <w:rsid w:val="00D06852"/>
    <w:rsid w:val="00D10680"/>
    <w:rsid w:val="00D1093E"/>
    <w:rsid w:val="00D112A0"/>
    <w:rsid w:val="00D119C8"/>
    <w:rsid w:val="00D13829"/>
    <w:rsid w:val="00D147AF"/>
    <w:rsid w:val="00D14B1A"/>
    <w:rsid w:val="00D17D83"/>
    <w:rsid w:val="00D21975"/>
    <w:rsid w:val="00D22096"/>
    <w:rsid w:val="00D2712C"/>
    <w:rsid w:val="00D2730D"/>
    <w:rsid w:val="00D30E00"/>
    <w:rsid w:val="00D3258F"/>
    <w:rsid w:val="00D33F16"/>
    <w:rsid w:val="00D34047"/>
    <w:rsid w:val="00D35327"/>
    <w:rsid w:val="00D3595D"/>
    <w:rsid w:val="00D35DB2"/>
    <w:rsid w:val="00D36394"/>
    <w:rsid w:val="00D37491"/>
    <w:rsid w:val="00D4016D"/>
    <w:rsid w:val="00D428FB"/>
    <w:rsid w:val="00D42C49"/>
    <w:rsid w:val="00D43B5F"/>
    <w:rsid w:val="00D44709"/>
    <w:rsid w:val="00D44F52"/>
    <w:rsid w:val="00D46DDE"/>
    <w:rsid w:val="00D47637"/>
    <w:rsid w:val="00D52353"/>
    <w:rsid w:val="00D54D82"/>
    <w:rsid w:val="00D565D9"/>
    <w:rsid w:val="00D5680C"/>
    <w:rsid w:val="00D568BA"/>
    <w:rsid w:val="00D56905"/>
    <w:rsid w:val="00D6087F"/>
    <w:rsid w:val="00D60D4A"/>
    <w:rsid w:val="00D618A3"/>
    <w:rsid w:val="00D61C9F"/>
    <w:rsid w:val="00D61DFF"/>
    <w:rsid w:val="00D62114"/>
    <w:rsid w:val="00D63E3A"/>
    <w:rsid w:val="00D63F94"/>
    <w:rsid w:val="00D64CD6"/>
    <w:rsid w:val="00D66835"/>
    <w:rsid w:val="00D66E8E"/>
    <w:rsid w:val="00D70318"/>
    <w:rsid w:val="00D70B9A"/>
    <w:rsid w:val="00D70FD7"/>
    <w:rsid w:val="00D71B30"/>
    <w:rsid w:val="00D71BCE"/>
    <w:rsid w:val="00D73135"/>
    <w:rsid w:val="00D765F8"/>
    <w:rsid w:val="00D769E2"/>
    <w:rsid w:val="00D77F17"/>
    <w:rsid w:val="00D806B0"/>
    <w:rsid w:val="00D816B4"/>
    <w:rsid w:val="00D82805"/>
    <w:rsid w:val="00D82F67"/>
    <w:rsid w:val="00D84B22"/>
    <w:rsid w:val="00D84C60"/>
    <w:rsid w:val="00D9018E"/>
    <w:rsid w:val="00D90690"/>
    <w:rsid w:val="00D94844"/>
    <w:rsid w:val="00D94F86"/>
    <w:rsid w:val="00DA0D2B"/>
    <w:rsid w:val="00DA18EE"/>
    <w:rsid w:val="00DA4AFF"/>
    <w:rsid w:val="00DA4E8A"/>
    <w:rsid w:val="00DA5573"/>
    <w:rsid w:val="00DA628A"/>
    <w:rsid w:val="00DB0539"/>
    <w:rsid w:val="00DB08AD"/>
    <w:rsid w:val="00DB0C58"/>
    <w:rsid w:val="00DB32C4"/>
    <w:rsid w:val="00DB599C"/>
    <w:rsid w:val="00DB6966"/>
    <w:rsid w:val="00DC2F86"/>
    <w:rsid w:val="00DC5F5C"/>
    <w:rsid w:val="00DC70AC"/>
    <w:rsid w:val="00DC71CB"/>
    <w:rsid w:val="00DD6725"/>
    <w:rsid w:val="00DD751F"/>
    <w:rsid w:val="00DE025A"/>
    <w:rsid w:val="00DE1C77"/>
    <w:rsid w:val="00DE2C71"/>
    <w:rsid w:val="00DE3607"/>
    <w:rsid w:val="00DE563E"/>
    <w:rsid w:val="00DF0955"/>
    <w:rsid w:val="00DF2A95"/>
    <w:rsid w:val="00DF6176"/>
    <w:rsid w:val="00E00031"/>
    <w:rsid w:val="00E02624"/>
    <w:rsid w:val="00E03E8B"/>
    <w:rsid w:val="00E040B8"/>
    <w:rsid w:val="00E04D66"/>
    <w:rsid w:val="00E06003"/>
    <w:rsid w:val="00E06B95"/>
    <w:rsid w:val="00E10E34"/>
    <w:rsid w:val="00E11D07"/>
    <w:rsid w:val="00E123CB"/>
    <w:rsid w:val="00E12F3E"/>
    <w:rsid w:val="00E133CD"/>
    <w:rsid w:val="00E13B2F"/>
    <w:rsid w:val="00E148B1"/>
    <w:rsid w:val="00E148EC"/>
    <w:rsid w:val="00E14FA9"/>
    <w:rsid w:val="00E20647"/>
    <w:rsid w:val="00E236D0"/>
    <w:rsid w:val="00E236D4"/>
    <w:rsid w:val="00E268A5"/>
    <w:rsid w:val="00E26CDE"/>
    <w:rsid w:val="00E272B0"/>
    <w:rsid w:val="00E310D8"/>
    <w:rsid w:val="00E318BF"/>
    <w:rsid w:val="00E3227A"/>
    <w:rsid w:val="00E35044"/>
    <w:rsid w:val="00E365F8"/>
    <w:rsid w:val="00E37DCF"/>
    <w:rsid w:val="00E45489"/>
    <w:rsid w:val="00E45A10"/>
    <w:rsid w:val="00E46942"/>
    <w:rsid w:val="00E470A0"/>
    <w:rsid w:val="00E52313"/>
    <w:rsid w:val="00E52CEA"/>
    <w:rsid w:val="00E53B19"/>
    <w:rsid w:val="00E5419E"/>
    <w:rsid w:val="00E55C97"/>
    <w:rsid w:val="00E55F0C"/>
    <w:rsid w:val="00E56D67"/>
    <w:rsid w:val="00E56EC1"/>
    <w:rsid w:val="00E617B6"/>
    <w:rsid w:val="00E63004"/>
    <w:rsid w:val="00E6621B"/>
    <w:rsid w:val="00E725DA"/>
    <w:rsid w:val="00E760AD"/>
    <w:rsid w:val="00E81A91"/>
    <w:rsid w:val="00E82ACF"/>
    <w:rsid w:val="00E82B64"/>
    <w:rsid w:val="00E8497A"/>
    <w:rsid w:val="00E84EAA"/>
    <w:rsid w:val="00E878F0"/>
    <w:rsid w:val="00E87A88"/>
    <w:rsid w:val="00E90618"/>
    <w:rsid w:val="00E92729"/>
    <w:rsid w:val="00E92BAD"/>
    <w:rsid w:val="00E93553"/>
    <w:rsid w:val="00E94133"/>
    <w:rsid w:val="00E94888"/>
    <w:rsid w:val="00E948D8"/>
    <w:rsid w:val="00E95812"/>
    <w:rsid w:val="00E95948"/>
    <w:rsid w:val="00EA048C"/>
    <w:rsid w:val="00EA2A36"/>
    <w:rsid w:val="00EA4B2B"/>
    <w:rsid w:val="00EB2474"/>
    <w:rsid w:val="00EB3628"/>
    <w:rsid w:val="00EB4C9D"/>
    <w:rsid w:val="00EB6E16"/>
    <w:rsid w:val="00EB6FF6"/>
    <w:rsid w:val="00EB75C5"/>
    <w:rsid w:val="00EC067F"/>
    <w:rsid w:val="00EC223A"/>
    <w:rsid w:val="00EC3F4D"/>
    <w:rsid w:val="00EC5B20"/>
    <w:rsid w:val="00EC5C02"/>
    <w:rsid w:val="00EC6E2B"/>
    <w:rsid w:val="00EC79D6"/>
    <w:rsid w:val="00ED4D6D"/>
    <w:rsid w:val="00EE2C8C"/>
    <w:rsid w:val="00EE31F9"/>
    <w:rsid w:val="00EE3A43"/>
    <w:rsid w:val="00EE3CB8"/>
    <w:rsid w:val="00EE42D9"/>
    <w:rsid w:val="00EE5193"/>
    <w:rsid w:val="00EE67B3"/>
    <w:rsid w:val="00EE6B3B"/>
    <w:rsid w:val="00EE6E10"/>
    <w:rsid w:val="00EE70D5"/>
    <w:rsid w:val="00EF2C05"/>
    <w:rsid w:val="00EF31D3"/>
    <w:rsid w:val="00EF3B0B"/>
    <w:rsid w:val="00EF421B"/>
    <w:rsid w:val="00EF4EC7"/>
    <w:rsid w:val="00EF54B5"/>
    <w:rsid w:val="00EF56E6"/>
    <w:rsid w:val="00F031A1"/>
    <w:rsid w:val="00F03813"/>
    <w:rsid w:val="00F05DBA"/>
    <w:rsid w:val="00F1028A"/>
    <w:rsid w:val="00F109B8"/>
    <w:rsid w:val="00F11233"/>
    <w:rsid w:val="00F147A1"/>
    <w:rsid w:val="00F15986"/>
    <w:rsid w:val="00F17B81"/>
    <w:rsid w:val="00F20BEF"/>
    <w:rsid w:val="00F21D4C"/>
    <w:rsid w:val="00F23AB6"/>
    <w:rsid w:val="00F2673B"/>
    <w:rsid w:val="00F26FCA"/>
    <w:rsid w:val="00F27F57"/>
    <w:rsid w:val="00F308A0"/>
    <w:rsid w:val="00F321B8"/>
    <w:rsid w:val="00F3356A"/>
    <w:rsid w:val="00F35FCA"/>
    <w:rsid w:val="00F4162E"/>
    <w:rsid w:val="00F41A28"/>
    <w:rsid w:val="00F44AA1"/>
    <w:rsid w:val="00F47BAA"/>
    <w:rsid w:val="00F5038F"/>
    <w:rsid w:val="00F51092"/>
    <w:rsid w:val="00F53056"/>
    <w:rsid w:val="00F533E0"/>
    <w:rsid w:val="00F5470F"/>
    <w:rsid w:val="00F55472"/>
    <w:rsid w:val="00F5670A"/>
    <w:rsid w:val="00F60BA5"/>
    <w:rsid w:val="00F61DFD"/>
    <w:rsid w:val="00F643FC"/>
    <w:rsid w:val="00F64C38"/>
    <w:rsid w:val="00F66544"/>
    <w:rsid w:val="00F708D7"/>
    <w:rsid w:val="00F74C5A"/>
    <w:rsid w:val="00F751FC"/>
    <w:rsid w:val="00F767F8"/>
    <w:rsid w:val="00F76CAB"/>
    <w:rsid w:val="00F77553"/>
    <w:rsid w:val="00F77E44"/>
    <w:rsid w:val="00F802C1"/>
    <w:rsid w:val="00F82C3C"/>
    <w:rsid w:val="00F83DF9"/>
    <w:rsid w:val="00F84485"/>
    <w:rsid w:val="00F84CDB"/>
    <w:rsid w:val="00F8651E"/>
    <w:rsid w:val="00F866F1"/>
    <w:rsid w:val="00F9007B"/>
    <w:rsid w:val="00F93048"/>
    <w:rsid w:val="00F9384D"/>
    <w:rsid w:val="00F94723"/>
    <w:rsid w:val="00F9591F"/>
    <w:rsid w:val="00FA0D1F"/>
    <w:rsid w:val="00FA5532"/>
    <w:rsid w:val="00FA5BA8"/>
    <w:rsid w:val="00FA630A"/>
    <w:rsid w:val="00FA765F"/>
    <w:rsid w:val="00FA79F7"/>
    <w:rsid w:val="00FA7C27"/>
    <w:rsid w:val="00FB0B1A"/>
    <w:rsid w:val="00FB1768"/>
    <w:rsid w:val="00FB27A0"/>
    <w:rsid w:val="00FB42AE"/>
    <w:rsid w:val="00FB78E5"/>
    <w:rsid w:val="00FC1A47"/>
    <w:rsid w:val="00FC2245"/>
    <w:rsid w:val="00FC3467"/>
    <w:rsid w:val="00FC5A08"/>
    <w:rsid w:val="00FD0EE0"/>
    <w:rsid w:val="00FD2821"/>
    <w:rsid w:val="00FD37CF"/>
    <w:rsid w:val="00FD5151"/>
    <w:rsid w:val="00FE0ED5"/>
    <w:rsid w:val="00FE2F95"/>
    <w:rsid w:val="00FE3D3E"/>
    <w:rsid w:val="00FE3F74"/>
    <w:rsid w:val="00FE4A2D"/>
    <w:rsid w:val="00FE4AA5"/>
    <w:rsid w:val="00FE5233"/>
    <w:rsid w:val="00FE5647"/>
    <w:rsid w:val="00FE6645"/>
    <w:rsid w:val="00FE664D"/>
    <w:rsid w:val="00FF1042"/>
    <w:rsid w:val="00FF41AE"/>
    <w:rsid w:val="00FF4C0D"/>
    <w:rsid w:val="00FF5931"/>
    <w:rsid w:val="00FF5DE9"/>
    <w:rsid w:val="00FF76D5"/>
    <w:rsid w:val="00FF7CBE"/>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3" w:uiPriority="99" w:qFormat="1"/>
    <w:lsdException w:name="toc 1" w:uiPriority="39"/>
    <w:lsdException w:name="toc 2" w:uiPriority="39"/>
    <w:lsdException w:name="footnote text" w:uiPriority="99"/>
    <w:lsdException w:name="table of figures" w:uiPriority="99"/>
    <w:lsdException w:name="footnote reference" w:uiPriority="99"/>
    <w:lsdException w:name="Strong" w:uiPriority="22" w:qFormat="1"/>
  </w:latentStyles>
  <w:style w:type="paragraph" w:default="1" w:styleId="Normal">
    <w:name w:val="Normal"/>
    <w:uiPriority w:val="1"/>
    <w:semiHidden/>
    <w:qFormat/>
    <w:rsid w:val="00B356A8"/>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lang w:val="en-AU"/>
    </w:rPr>
  </w:style>
  <w:style w:type="paragraph" w:styleId="Heading4">
    <w:name w:val="heading 4"/>
    <w:next w:val="Text"/>
    <w:link w:val="Heading4Char"/>
    <w:qFormat/>
    <w:rsid w:val="007037A4"/>
    <w:pPr>
      <w:spacing w:before="240"/>
      <w:outlineLvl w:val="3"/>
    </w:pPr>
    <w:rPr>
      <w:rFonts w:ascii="Tahoma" w:hAnsi="Tahoma"/>
      <w:i/>
      <w:lang w:val="en-AU"/>
    </w:rPr>
  </w:style>
  <w:style w:type="paragraph" w:styleId="Heading5">
    <w:name w:val="heading 5"/>
    <w:basedOn w:val="Normal"/>
    <w:next w:val="Normal"/>
    <w:link w:val="Heading5Char"/>
    <w:qFormat/>
    <w:rsid w:val="007037A4"/>
    <w:pPr>
      <w:keepNext/>
      <w:outlineLvl w:val="4"/>
    </w:pPr>
    <w:rPr>
      <w:rFonts w:ascii="Tahoma" w:hAnsi="Tahoma"/>
      <w:b/>
    </w:rPr>
  </w:style>
  <w:style w:type="paragraph" w:styleId="Heading6">
    <w:name w:val="heading 6"/>
    <w:basedOn w:val="Normal"/>
    <w:next w:val="Normal"/>
    <w:link w:val="Heading6Char"/>
    <w:qFormat/>
    <w:rsid w:val="007037A4"/>
    <w:pPr>
      <w:keepNext/>
      <w:ind w:left="2977"/>
      <w:outlineLvl w:val="5"/>
    </w:pPr>
    <w:rPr>
      <w:rFonts w:ascii="Tahoma" w:hAnsi="Tahoma"/>
      <w:sz w:val="20"/>
    </w:rPr>
  </w:style>
  <w:style w:type="paragraph" w:styleId="Heading7">
    <w:name w:val="heading 7"/>
    <w:basedOn w:val="Normal"/>
    <w:next w:val="Normal"/>
    <w:link w:val="Heading7Char"/>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2FC"/>
    <w:rPr>
      <w:rFonts w:ascii="Lucida Grande" w:hAnsi="Lucida Grande"/>
      <w:sz w:val="18"/>
      <w:szCs w:val="18"/>
    </w:rPr>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uiPriority w:val="99"/>
    <w:rsid w:val="007037A4"/>
    <w:rPr>
      <w:rFonts w:ascii="Tahoma" w:hAnsi="Tahoma"/>
      <w:sz w:val="18"/>
    </w:rPr>
  </w:style>
  <w:style w:type="paragraph" w:styleId="Footer">
    <w:name w:val="footer"/>
    <w:basedOn w:val="Normal"/>
    <w:link w:val="FooterChar"/>
    <w:uiPriority w:val="99"/>
    <w:rsid w:val="00102983"/>
    <w:pPr>
      <w:tabs>
        <w:tab w:val="right" w:pos="8789"/>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4E7A11"/>
    <w:pPr>
      <w:tabs>
        <w:tab w:val="right" w:pos="8136"/>
      </w:tabs>
      <w:spacing w:before="80"/>
      <w:ind w:left="567" w:right="652"/>
    </w:pPr>
    <w:rPr>
      <w:sz w:val="17"/>
    </w:rPr>
  </w:style>
  <w:style w:type="paragraph" w:customStyle="1" w:styleId="References">
    <w:name w:val="References"/>
    <w:rsid w:val="00FB0B1A"/>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9A6DD7"/>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102983"/>
    <w:pPr>
      <w:numPr>
        <w:numId w:val="2"/>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rsid w:val="00520315"/>
    <w:pPr>
      <w:numPr>
        <w:numId w:val="4"/>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character" w:customStyle="1" w:styleId="BalloonTextChar1">
    <w:name w:val="Balloon Text Char1"/>
    <w:basedOn w:val="DefaultParagraphFont"/>
    <w:link w:val="BalloonText"/>
    <w:uiPriority w:val="99"/>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DC71CB"/>
    <w:rPr>
      <w:rFonts w:ascii="Tahoma" w:hAnsi="Tahoma" w:cs="Tahoma"/>
      <w:color w:val="000000"/>
      <w:kern w:val="28"/>
      <w:sz w:val="56"/>
      <w:szCs w:val="56"/>
      <w:lang w:val="en-AU"/>
    </w:rPr>
  </w:style>
  <w:style w:type="character" w:customStyle="1" w:styleId="FooterChar">
    <w:name w:val="Footer Char"/>
    <w:basedOn w:val="DefaultParagraphFont"/>
    <w:link w:val="Footer"/>
    <w:uiPriority w:val="99"/>
    <w:rsid w:val="00102983"/>
    <w:rPr>
      <w:rFonts w:ascii="Tahoma" w:hAnsi="Tahoma"/>
      <w:sz w:val="17"/>
      <w:szCs w:val="17"/>
      <w:lang w:val="en-AU"/>
    </w:rPr>
  </w:style>
  <w:style w:type="character" w:customStyle="1" w:styleId="FootnoteTextChar">
    <w:name w:val="Footnote Text Char"/>
    <w:basedOn w:val="DefaultParagraphFont"/>
    <w:link w:val="FootnoteText"/>
    <w:uiPriority w:val="99"/>
    <w:rsid w:val="00DC71CB"/>
    <w:rPr>
      <w:rFonts w:ascii="Trebuchet MS" w:hAnsi="Trebuchet MS"/>
      <w:sz w:val="16"/>
      <w:lang w:val="en-AU"/>
    </w:rPr>
  </w:style>
  <w:style w:type="character" w:styleId="FootnoteReference">
    <w:name w:val="footnote reference"/>
    <w:basedOn w:val="DefaultParagraphFont"/>
    <w:uiPriority w:val="99"/>
    <w:unhideWhenUsed/>
    <w:rsid w:val="00DC71CB"/>
    <w:rPr>
      <w:vertAlign w:val="superscript"/>
    </w:rPr>
  </w:style>
  <w:style w:type="character" w:customStyle="1" w:styleId="Heading2Char">
    <w:name w:val="Heading 2 Char"/>
    <w:basedOn w:val="DefaultParagraphFont"/>
    <w:link w:val="Heading2"/>
    <w:rsid w:val="00DC71CB"/>
    <w:rPr>
      <w:rFonts w:ascii="Tahoma" w:hAnsi="Tahoma" w:cs="Tahoma"/>
      <w:sz w:val="28"/>
      <w:lang w:val="en-AU"/>
    </w:rPr>
  </w:style>
  <w:style w:type="character" w:styleId="CommentReference">
    <w:name w:val="annotation reference"/>
    <w:basedOn w:val="DefaultParagraphFont"/>
    <w:rsid w:val="00DC71CB"/>
    <w:rPr>
      <w:sz w:val="16"/>
      <w:szCs w:val="16"/>
    </w:rPr>
  </w:style>
  <w:style w:type="paragraph" w:styleId="CommentText">
    <w:name w:val="annotation text"/>
    <w:basedOn w:val="Normal"/>
    <w:link w:val="CommentTextChar"/>
    <w:rsid w:val="00DC71CB"/>
    <w:pPr>
      <w:spacing w:before="0" w:line="240" w:lineRule="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rsid w:val="00DC71C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rsid w:val="00DC71CB"/>
    <w:rPr>
      <w:b/>
      <w:bCs/>
    </w:rPr>
  </w:style>
  <w:style w:type="character" w:customStyle="1" w:styleId="CommentSubjectChar">
    <w:name w:val="Comment Subject Char"/>
    <w:basedOn w:val="CommentTextChar"/>
    <w:link w:val="CommentSubject"/>
    <w:uiPriority w:val="99"/>
    <w:rsid w:val="00DC71CB"/>
    <w:rPr>
      <w:b/>
      <w:bCs/>
    </w:rPr>
  </w:style>
  <w:style w:type="character" w:customStyle="1" w:styleId="Heading4Char">
    <w:name w:val="Heading 4 Char"/>
    <w:basedOn w:val="DefaultParagraphFont"/>
    <w:link w:val="Heading4"/>
    <w:rsid w:val="00DC71CB"/>
    <w:rPr>
      <w:rFonts w:ascii="Tahoma" w:hAnsi="Tahoma"/>
      <w:i/>
      <w:sz w:val="24"/>
      <w:lang w:val="en-AU"/>
    </w:rPr>
  </w:style>
  <w:style w:type="paragraph" w:styleId="Revision">
    <w:name w:val="Revision"/>
    <w:hidden/>
    <w:uiPriority w:val="99"/>
    <w:semiHidden/>
    <w:rsid w:val="0008215F"/>
    <w:rPr>
      <w:rFonts w:ascii="Trebuchet MS" w:hAnsi="Trebuchet MS"/>
      <w:sz w:val="19"/>
      <w:lang w:val="en-AU"/>
    </w:rPr>
  </w:style>
  <w:style w:type="character" w:customStyle="1" w:styleId="Heading5Char">
    <w:name w:val="Heading 5 Char"/>
    <w:basedOn w:val="DefaultParagraphFont"/>
    <w:link w:val="Heading5"/>
    <w:rsid w:val="001A3676"/>
    <w:rPr>
      <w:rFonts w:ascii="Tahoma" w:hAnsi="Tahoma"/>
      <w:b/>
      <w:sz w:val="19"/>
      <w:lang w:val="en-AU"/>
    </w:rPr>
  </w:style>
  <w:style w:type="character" w:customStyle="1" w:styleId="Heading6Char">
    <w:name w:val="Heading 6 Char"/>
    <w:basedOn w:val="DefaultParagraphFont"/>
    <w:link w:val="Heading6"/>
    <w:rsid w:val="001A3676"/>
    <w:rPr>
      <w:rFonts w:ascii="Tahoma" w:hAnsi="Tahoma"/>
      <w:sz w:val="20"/>
      <w:lang w:val="en-AU"/>
    </w:rPr>
  </w:style>
  <w:style w:type="character" w:customStyle="1" w:styleId="Heading7Char">
    <w:name w:val="Heading 7 Char"/>
    <w:basedOn w:val="DefaultParagraphFont"/>
    <w:link w:val="Heading7"/>
    <w:rsid w:val="001A3676"/>
    <w:rPr>
      <w:rFonts w:ascii="Tahoma" w:hAnsi="Tahoma"/>
      <w:spacing w:val="20"/>
      <w:sz w:val="20"/>
      <w:lang w:val="en-AU"/>
    </w:rPr>
  </w:style>
  <w:style w:type="character" w:customStyle="1" w:styleId="Heading8Char">
    <w:name w:val="Heading 8 Char"/>
    <w:basedOn w:val="DefaultParagraphFont"/>
    <w:link w:val="Heading8"/>
    <w:rsid w:val="001A3676"/>
    <w:rPr>
      <w:rFonts w:ascii="Tahoma" w:hAnsi="Tahoma"/>
      <w:color w:val="C0C0C0"/>
      <w:spacing w:val="60"/>
      <w:sz w:val="20"/>
      <w:lang w:val="en-AU"/>
    </w:rPr>
  </w:style>
  <w:style w:type="character" w:customStyle="1" w:styleId="QuoteChar">
    <w:name w:val="Quote Char"/>
    <w:basedOn w:val="DefaultParagraphFont"/>
    <w:link w:val="Quote"/>
    <w:rsid w:val="004E7A11"/>
    <w:rPr>
      <w:rFonts w:ascii="Trebuchet MS" w:hAnsi="Trebuchet MS"/>
      <w:sz w:val="17"/>
      <w:lang w:val="en-AU"/>
    </w:rPr>
  </w:style>
  <w:style w:type="character" w:styleId="Strong">
    <w:name w:val="Strong"/>
    <w:basedOn w:val="DefaultParagraphFont"/>
    <w:uiPriority w:val="22"/>
    <w:qFormat/>
    <w:rsid w:val="00C00F92"/>
    <w:rPr>
      <w:b/>
      <w:bCs/>
    </w:rPr>
  </w:style>
  <w:style w:type="paragraph" w:customStyle="1" w:styleId="Textmorebefore">
    <w:name w:val="Text more # before"/>
    <w:basedOn w:val="Text"/>
    <w:uiPriority w:val="1"/>
    <w:qFormat/>
    <w:rsid w:val="007D173E"/>
    <w:pPr>
      <w:spacing w:before="360"/>
      <w:ind w:right="0"/>
    </w:pPr>
  </w:style>
</w:styles>
</file>

<file path=word/webSettings.xml><?xml version="1.0" encoding="utf-8"?>
<w:webSettings xmlns:r="http://schemas.openxmlformats.org/officeDocument/2006/relationships" xmlns:w="http://schemas.openxmlformats.org/wordprocessingml/2006/main">
  <w:divs>
    <w:div w:id="193731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www.ncver.edu.au/publications/2144.html" TargetMode="External"/><Relationship Id="rId26" Type="http://schemas.openxmlformats.org/officeDocument/2006/relationships/hyperlink" Target="http://www.ncver.edu.au/resources/sos_online.html" TargetMode="External"/><Relationship Id="rId3" Type="http://schemas.openxmlformats.org/officeDocument/2006/relationships/styles" Target="styles.xml"/><Relationship Id="rId21" Type="http://schemas.openxmlformats.org/officeDocument/2006/relationships/hyperlink" Target="http://www.deewr.gov.au/employment/lmi/skillshortages/pages/publications.aspx" TargetMode="External"/><Relationship Id="rId34" Type="http://schemas.openxmlformats.org/officeDocument/2006/relationships/hyperlink" Target="http://www.ncver.edu.au/publications/2450.html" TargetMode="Externa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http://aqf.edu.au/Portals/0/Documents/Projects/Pathways%20Final%20Report%20-%20%20Policy%20and%20Regulatory%20Analysis.pdf" TargetMode="External"/><Relationship Id="rId25" Type="http://schemas.openxmlformats.org/officeDocument/2006/relationships/hyperlink" Target="http://avetra.org.au/wp-content/uploads/2010/04/44.00-Gavin-Moodie.pdf" TargetMode="External"/><Relationship Id="rId33" Type="http://schemas.openxmlformats.org/officeDocument/2006/relationships/hyperlink" Target="http://w3.unisa.edu.au/hawkeinstitute/%20ncsehe/student-equity-forum-2009/wheelahan-what-kind-of-acces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qf.edu.au/Portals/0/Documents/Handbook/AustQuals%20FrmwrkFirstEditionJuly2011_FINAL.pdf" TargetMode="External"/><Relationship Id="rId20" Type="http://schemas.openxmlformats.org/officeDocument/2006/relationships/hyperlink" Target="http://www.deewr.gov.au/lmip/default.aspx?LMIP/Publications/IndustryReports" TargetMode="External"/><Relationship Id="rId29" Type="http://schemas.openxmlformats.org/officeDocument/2006/relationships/hyperlink" Target="http://www.ncver.edu.au/publications/25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3darticulation.com.au/" TargetMode="External"/><Relationship Id="rId32" Type="http://schemas.openxmlformats.org/officeDocument/2006/relationships/hyperlink" Target="http://www.ingentaconnect.com/content/routledg/cjew;jsessionid=6c1n1a8etk4c1.alexandr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bs.gov.au/AUSSTATS/abs@.nsf/Lookup/1350.0Feature+Article1Oct+2010" TargetMode="External"/><Relationship Id="rId23" Type="http://schemas.openxmlformats.org/officeDocument/2006/relationships/hyperlink" Target="http://www.ncver.edu.au/publications/1722.html" TargetMode="External"/><Relationship Id="rId28" Type="http://schemas.openxmlformats.org/officeDocument/2006/relationships/hyperlink" Target="http://www.ncver.edu.au/publications/2572.html" TargetMode="External"/><Relationship Id="rId36" Type="http://schemas.openxmlformats.org/officeDocument/2006/relationships/footer" Target="footer3.xml"/><Relationship Id="rId10" Type="http://schemas.openxmlformats.org/officeDocument/2006/relationships/hyperlink" Target="http://www.voced.edu.au" TargetMode="External"/><Relationship Id="rId19" Type="http://schemas.openxmlformats.org/officeDocument/2006/relationships/hyperlink" Target="http://www.deewr.gov.au/Employment/LMI/SkillShortages" TargetMode="External"/><Relationship Id="rId31" Type="http://schemas.openxmlformats.org/officeDocument/2006/relationships/hyperlink" Target="http://www.ncver.edu.au/publications/2516.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usstats.abs.gov.au/ausstats/subscriber.nsf/0/656CB57FE56C0491CA25750C000EF65B/$File/62270_may%202008.pdf" TargetMode="External"/><Relationship Id="rId22" Type="http://schemas.openxmlformats.org/officeDocument/2006/relationships/hyperlink" Target="http://www.innovation.gov.au/HigherEducation/%20HigherEducationStatistics/StatisticsPublications/Pages/default.aspx" TargetMode="External"/><Relationship Id="rId27" Type="http://schemas.openxmlformats.org/officeDocument/2006/relationships/hyperlink" Target="http://www.ncver.edu.au/resources/sos_online.html" TargetMode="External"/><Relationship Id="rId30" Type="http://schemas.openxmlformats.org/officeDocument/2006/relationships/hyperlink" Target="http://www.ncver.edu.au/resources/vsi/vsi_table.html?table_list_class_type_id=4&amp;table_list_table_nr=1&amp;table_list_filter_id=4&amp;filter_name=04+-+Architecture+and+building&amp;classification_name=Field+of+Education"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4A71B-D948-4A1B-8DA1-6CDAC45E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19885</Words>
  <Characters>113346</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132966</CharactersWithSpaces>
  <SharedDoc>false</SharedDoc>
  <HLinks>
    <vt:vector size="168" baseType="variant">
      <vt:variant>
        <vt:i4>3932276</vt:i4>
      </vt:variant>
      <vt:variant>
        <vt:i4>84</vt:i4>
      </vt:variant>
      <vt:variant>
        <vt:i4>0</vt:i4>
      </vt:variant>
      <vt:variant>
        <vt:i4>5</vt:i4>
      </vt:variant>
      <vt:variant>
        <vt:lpwstr>http://www.ncver.edu.au/publications/2450.html</vt:lpwstr>
      </vt:variant>
      <vt:variant>
        <vt:lpwstr/>
      </vt:variant>
      <vt:variant>
        <vt:i4>1769483</vt:i4>
      </vt:variant>
      <vt:variant>
        <vt:i4>81</vt:i4>
      </vt:variant>
      <vt:variant>
        <vt:i4>0</vt:i4>
      </vt:variant>
      <vt:variant>
        <vt:i4>5</vt:i4>
      </vt:variant>
      <vt:variant>
        <vt:lpwstr>http://www.aqf.edu.au/Portals/0/Documents/Projects/Pathways Final Report - Programs and pathways.pdf</vt:lpwstr>
      </vt:variant>
      <vt:variant>
        <vt:lpwstr/>
      </vt:variant>
      <vt:variant>
        <vt:i4>6094853</vt:i4>
      </vt:variant>
      <vt:variant>
        <vt:i4>78</vt:i4>
      </vt:variant>
      <vt:variant>
        <vt:i4>0</vt:i4>
      </vt:variant>
      <vt:variant>
        <vt:i4>5</vt:i4>
      </vt:variant>
      <vt:variant>
        <vt:lpwstr>http://w3.unisa.edu.au/hawkeinstitute/ncsehe/student-equity-forum-2009/wheelahan-what-kind-of-access.pdf</vt:lpwstr>
      </vt:variant>
      <vt:variant>
        <vt:lpwstr/>
      </vt:variant>
      <vt:variant>
        <vt:i4>2359420</vt:i4>
      </vt:variant>
      <vt:variant>
        <vt:i4>75</vt:i4>
      </vt:variant>
      <vt:variant>
        <vt:i4>0</vt:i4>
      </vt:variant>
      <vt:variant>
        <vt:i4>5</vt:i4>
      </vt:variant>
      <vt:variant>
        <vt:lpwstr>http://www.ingentaconnect.com/content/routledg/cjew;jsessionid=6c1n1a8etk4c1.alexandra</vt:lpwstr>
      </vt:variant>
      <vt:variant>
        <vt:lpwstr/>
      </vt:variant>
      <vt:variant>
        <vt:i4>5832732</vt:i4>
      </vt:variant>
      <vt:variant>
        <vt:i4>72</vt:i4>
      </vt:variant>
      <vt:variant>
        <vt:i4>0</vt:i4>
      </vt:variant>
      <vt:variant>
        <vt:i4>5</vt:i4>
      </vt:variant>
      <vt:variant>
        <vt:lpwstr>http://www.innovation.gov.au/HigherEducation/Quality/Documents/QualityAssurance/Giving_Credit.pdf</vt:lpwstr>
      </vt:variant>
      <vt:variant>
        <vt:lpwstr/>
      </vt:variant>
      <vt:variant>
        <vt:i4>7995512</vt:i4>
      </vt:variant>
      <vt:variant>
        <vt:i4>69</vt:i4>
      </vt:variant>
      <vt:variant>
        <vt:i4>0</vt:i4>
      </vt:variant>
      <vt:variant>
        <vt:i4>5</vt:i4>
      </vt:variant>
      <vt:variant>
        <vt:lpwstr>http://www.ncver.edu.au/resources/sos_online.html</vt:lpwstr>
      </vt:variant>
      <vt:variant>
        <vt:lpwstr/>
      </vt:variant>
      <vt:variant>
        <vt:i4>6226024</vt:i4>
      </vt:variant>
      <vt:variant>
        <vt:i4>66</vt:i4>
      </vt:variant>
      <vt:variant>
        <vt:i4>0</vt:i4>
      </vt:variant>
      <vt:variant>
        <vt:i4>5</vt:i4>
      </vt:variant>
      <vt:variant>
        <vt:lpwstr>http://www.ncver.edu.au/resources/vsi/vsi_table.html?table_list_class_type_id=4&amp;table_list_table_nr=8&amp;table_list_filter_id=4&amp;filter_name=04+-+Architecture+and+building&amp;classification_name=Field+of+Education</vt:lpwstr>
      </vt:variant>
      <vt:variant>
        <vt:lpwstr/>
      </vt:variant>
      <vt:variant>
        <vt:i4>4063351</vt:i4>
      </vt:variant>
      <vt:variant>
        <vt:i4>63</vt:i4>
      </vt:variant>
      <vt:variant>
        <vt:i4>0</vt:i4>
      </vt:variant>
      <vt:variant>
        <vt:i4>5</vt:i4>
      </vt:variant>
      <vt:variant>
        <vt:lpwstr>http://www.ncver.edu.au/publications/2572.html</vt:lpwstr>
      </vt:variant>
      <vt:variant>
        <vt:lpwstr/>
      </vt:variant>
      <vt:variant>
        <vt:i4>6619175</vt:i4>
      </vt:variant>
      <vt:variant>
        <vt:i4>60</vt:i4>
      </vt:variant>
      <vt:variant>
        <vt:i4>0</vt:i4>
      </vt:variant>
      <vt:variant>
        <vt:i4>5</vt:i4>
      </vt:variant>
      <vt:variant>
        <vt:lpwstr>http://avetra.org.au/wp-content/uploads/2010/04/44.00-Gavin-Moodie.pdf</vt:lpwstr>
      </vt:variant>
      <vt:variant>
        <vt:lpwstr/>
      </vt:variant>
      <vt:variant>
        <vt:i4>8060994</vt:i4>
      </vt:variant>
      <vt:variant>
        <vt:i4>57</vt:i4>
      </vt:variant>
      <vt:variant>
        <vt:i4>0</vt:i4>
      </vt:variant>
      <vt:variant>
        <vt:i4>5</vt:i4>
      </vt:variant>
      <vt:variant>
        <vt:lpwstr>http://avetra.org.au/documents/68-Milne.pdf</vt:lpwstr>
      </vt:variant>
      <vt:variant>
        <vt:lpwstr/>
      </vt:variant>
      <vt:variant>
        <vt:i4>196645</vt:i4>
      </vt:variant>
      <vt:variant>
        <vt:i4>54</vt:i4>
      </vt:variant>
      <vt:variant>
        <vt:i4>0</vt:i4>
      </vt:variant>
      <vt:variant>
        <vt:i4>5</vt:i4>
      </vt:variant>
      <vt:variant>
        <vt:lpwstr>http://3darticulation.com.au/</vt:lpwstr>
      </vt:variant>
      <vt:variant>
        <vt:lpwstr/>
      </vt:variant>
      <vt:variant>
        <vt:i4>3670133</vt:i4>
      </vt:variant>
      <vt:variant>
        <vt:i4>51</vt:i4>
      </vt:variant>
      <vt:variant>
        <vt:i4>0</vt:i4>
      </vt:variant>
      <vt:variant>
        <vt:i4>5</vt:i4>
      </vt:variant>
      <vt:variant>
        <vt:lpwstr>http://www.ncver.edu.au/publications/1722.html</vt:lpwstr>
      </vt:variant>
      <vt:variant>
        <vt:lpwstr/>
      </vt:variant>
      <vt:variant>
        <vt:i4>5701736</vt:i4>
      </vt:variant>
      <vt:variant>
        <vt:i4>48</vt:i4>
      </vt:variant>
      <vt:variant>
        <vt:i4>0</vt:i4>
      </vt:variant>
      <vt:variant>
        <vt:i4>5</vt:i4>
      </vt:variant>
      <vt:variant>
        <vt:lpwstr>http://www.oecd.org/cfe/leed/Queensland Skills Formation Strategies FINAL.pdf</vt:lpwstr>
      </vt:variant>
      <vt:variant>
        <vt:lpwstr/>
      </vt:variant>
      <vt:variant>
        <vt:i4>196663</vt:i4>
      </vt:variant>
      <vt:variant>
        <vt:i4>45</vt:i4>
      </vt:variant>
      <vt:variant>
        <vt:i4>0</vt:i4>
      </vt:variant>
      <vt:variant>
        <vt:i4>5</vt:i4>
      </vt:variant>
      <vt:variant>
        <vt:lpwstr>http://www.deewr.gov.au/Employment/LMI/SkillShortages</vt:lpwstr>
      </vt:variant>
      <vt:variant>
        <vt:lpwstr/>
      </vt:variant>
      <vt:variant>
        <vt:i4>262251</vt:i4>
      </vt:variant>
      <vt:variant>
        <vt:i4>42</vt:i4>
      </vt:variant>
      <vt:variant>
        <vt:i4>0</vt:i4>
      </vt:variant>
      <vt:variant>
        <vt:i4>5</vt:i4>
      </vt:variant>
      <vt:variant>
        <vt:lpwstr>http://www.deewr.gov.au/employment/lmi/skillshortages/pages/publications.aspx</vt:lpwstr>
      </vt:variant>
      <vt:variant>
        <vt:lpwstr/>
      </vt:variant>
      <vt:variant>
        <vt:i4>7340040</vt:i4>
      </vt:variant>
      <vt:variant>
        <vt:i4>39</vt:i4>
      </vt:variant>
      <vt:variant>
        <vt:i4>0</vt:i4>
      </vt:variant>
      <vt:variant>
        <vt:i4>5</vt:i4>
      </vt:variant>
      <vt:variant>
        <vt:lpwstr>http://www.deewr.gov.au/lmip/default.aspx?LMIP/Publications/IndustryReports</vt:lpwstr>
      </vt:variant>
      <vt:variant>
        <vt:lpwstr/>
      </vt:variant>
      <vt:variant>
        <vt:i4>3997813</vt:i4>
      </vt:variant>
      <vt:variant>
        <vt:i4>36</vt:i4>
      </vt:variant>
      <vt:variant>
        <vt:i4>0</vt:i4>
      </vt:variant>
      <vt:variant>
        <vt:i4>5</vt:i4>
      </vt:variant>
      <vt:variant>
        <vt:lpwstr>http://www.ncver.edu.au/publications/2144.html</vt:lpwstr>
      </vt:variant>
      <vt:variant>
        <vt:lpwstr/>
      </vt:variant>
      <vt:variant>
        <vt:i4>6881340</vt:i4>
      </vt:variant>
      <vt:variant>
        <vt:i4>33</vt:i4>
      </vt:variant>
      <vt:variant>
        <vt:i4>0</vt:i4>
      </vt:variant>
      <vt:variant>
        <vt:i4>5</vt:i4>
      </vt:variant>
      <vt:variant>
        <vt:lpwstr>http://aqf.edu.au/Portals/0/Documents/Projects/Pathways Final Report -  Policy and Regulatory Analysis.pdf</vt:lpwstr>
      </vt:variant>
      <vt:variant>
        <vt:lpwstr/>
      </vt:variant>
      <vt:variant>
        <vt:i4>7536724</vt:i4>
      </vt:variant>
      <vt:variant>
        <vt:i4>30</vt:i4>
      </vt:variant>
      <vt:variant>
        <vt:i4>0</vt:i4>
      </vt:variant>
      <vt:variant>
        <vt:i4>5</vt:i4>
      </vt:variant>
      <vt:variant>
        <vt:lpwstr>http://3darticulation.com.au/wp-content/uploads/02-Workforce-Driven-EM7.pdf</vt:lpwstr>
      </vt:variant>
      <vt:variant>
        <vt:lpwstr/>
      </vt:variant>
      <vt:variant>
        <vt:i4>5111856</vt:i4>
      </vt:variant>
      <vt:variant>
        <vt:i4>27</vt:i4>
      </vt:variant>
      <vt:variant>
        <vt:i4>0</vt:i4>
      </vt:variant>
      <vt:variant>
        <vt:i4>5</vt:i4>
      </vt:variant>
      <vt:variant>
        <vt:lpwstr>http://www.awpa.gov.au/our-work/national-workforce-development-strategy/2012-workforce-development-strategy/Pages/Industry-Snapshots.aspx</vt:lpwstr>
      </vt:variant>
      <vt:variant>
        <vt:lpwstr/>
      </vt:variant>
      <vt:variant>
        <vt:i4>5439505</vt:i4>
      </vt:variant>
      <vt:variant>
        <vt:i4>24</vt:i4>
      </vt:variant>
      <vt:variant>
        <vt:i4>0</vt:i4>
      </vt:variant>
      <vt:variant>
        <vt:i4>5</vt:i4>
      </vt:variant>
      <vt:variant>
        <vt:lpwstr>http://www.awpa.gov.au/labour-market-information/skilled-occupation-list/documents/2012FactSheet.pdf</vt:lpwstr>
      </vt:variant>
      <vt:variant>
        <vt:lpwstr/>
      </vt:variant>
      <vt:variant>
        <vt:i4>1572920</vt:i4>
      </vt:variant>
      <vt:variant>
        <vt:i4>21</vt:i4>
      </vt:variant>
      <vt:variant>
        <vt:i4>0</vt:i4>
      </vt:variant>
      <vt:variant>
        <vt:i4>5</vt:i4>
      </vt:variant>
      <vt:variant>
        <vt:lpwstr>http://www.awpa.gov.au/tertiary-sector-reform/skills-for-prosperity/documents/SkillsProsperityRoadmap.pdf</vt:lpwstr>
      </vt:variant>
      <vt:variant>
        <vt:lpwstr/>
      </vt:variant>
      <vt:variant>
        <vt:i4>3080315</vt:i4>
      </vt:variant>
      <vt:variant>
        <vt:i4>18</vt:i4>
      </vt:variant>
      <vt:variant>
        <vt:i4>0</vt:i4>
      </vt:variant>
      <vt:variant>
        <vt:i4>5</vt:i4>
      </vt:variant>
      <vt:variant>
        <vt:lpwstr>http://www.aqf.edu.au/Portals/0/Documents/Handbook/AustQuals FrmwrkFirstEditionJuly2011_FINAL.pdf</vt:lpwstr>
      </vt:variant>
      <vt:variant>
        <vt:lpwstr/>
      </vt:variant>
      <vt:variant>
        <vt:i4>1966176</vt:i4>
      </vt:variant>
      <vt:variant>
        <vt:i4>15</vt:i4>
      </vt:variant>
      <vt:variant>
        <vt:i4>0</vt:i4>
      </vt:variant>
      <vt:variant>
        <vt:i4>5</vt:i4>
      </vt:variant>
      <vt:variant>
        <vt:lpwstr>http://www.abs.gov.au/ausstats/abs@.nsf/Lookup/by Subject/1301.0~2012~Main Features~Construction industry~98</vt:lpwstr>
      </vt:variant>
      <vt:variant>
        <vt:lpwstr/>
      </vt:variant>
      <vt:variant>
        <vt:i4>5242899</vt:i4>
      </vt:variant>
      <vt:variant>
        <vt:i4>12</vt:i4>
      </vt:variant>
      <vt:variant>
        <vt:i4>0</vt:i4>
      </vt:variant>
      <vt:variant>
        <vt:i4>5</vt:i4>
      </vt:variant>
      <vt:variant>
        <vt:lpwstr>http://www.abs.gov.au/AUSSTATS/abs@.nsf/Lookup/1350.0Feature+Article1Oct+2010</vt:lpwstr>
      </vt:variant>
      <vt:variant>
        <vt:lpwstr/>
      </vt:variant>
      <vt:variant>
        <vt:i4>720939</vt:i4>
      </vt:variant>
      <vt:variant>
        <vt:i4>9</vt:i4>
      </vt:variant>
      <vt:variant>
        <vt:i4>0</vt:i4>
      </vt:variant>
      <vt:variant>
        <vt:i4>5</vt:i4>
      </vt:variant>
      <vt:variant>
        <vt:lpwstr>http://www.ausstats.abs.gov.au/ausstats/subscriber.nsf/0/656CB57FE56C0491CA25750C000EF65B/$File/62270_may 2008.pdf</vt:lpwstr>
      </vt:variant>
      <vt:variant>
        <vt:lpwstr/>
      </vt:variant>
      <vt:variant>
        <vt:i4>262219</vt:i4>
      </vt:variant>
      <vt:variant>
        <vt:i4>0</vt:i4>
      </vt:variant>
      <vt:variant>
        <vt:i4>0</vt:i4>
      </vt:variant>
      <vt:variant>
        <vt:i4>5</vt:i4>
      </vt:variant>
      <vt:variant>
        <vt:lpwstr>http://www.voced.edu.au/</vt:lpwstr>
      </vt:variant>
      <vt:variant>
        <vt:lpwstr/>
      </vt:variant>
      <vt:variant>
        <vt:i4>3801165</vt:i4>
      </vt:variant>
      <vt:variant>
        <vt:i4>0</vt:i4>
      </vt:variant>
      <vt:variant>
        <vt:i4>0</vt:i4>
      </vt:variant>
      <vt:variant>
        <vt:i4>5</vt:i4>
      </vt:variant>
      <vt:variant>
        <vt:lpwstr>http://www.ncver.edu.au/publications/MERLIN ID.html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Hurdling the barriers: enabling student pathways from VET to higher education in building and construction management</dc:title>
  <dc:creator>Mills et al.</dc:creator>
  <cp:lastModifiedBy>julianneTreloar</cp:lastModifiedBy>
  <cp:revision>2</cp:revision>
  <cp:lastPrinted>2013-06-27T01:48:00Z</cp:lastPrinted>
  <dcterms:created xsi:type="dcterms:W3CDTF">2013-07-16T02:09:00Z</dcterms:created>
  <dcterms:modified xsi:type="dcterms:W3CDTF">2013-07-16T02:09:00Z</dcterms:modified>
</cp:coreProperties>
</file>