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bookmarkStart w:id="3" w:name="_GoBack"/>
    <w:bookmarkEnd w:id="3"/>
    <w:p w:rsidR="00EB0AD7" w:rsidRPr="00DA7709" w:rsidRDefault="006B044C" w:rsidP="00361622">
      <w:pPr>
        <w:pStyle w:val="Heading1"/>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56544" behindDoc="0" locked="0" layoutInCell="1" allowOverlap="1" wp14:anchorId="6D485E57" wp14:editId="0C581B48">
                <wp:simplePos x="0" y="0"/>
                <wp:positionH relativeFrom="column">
                  <wp:posOffset>4637628</wp:posOffset>
                </wp:positionH>
                <wp:positionV relativeFrom="paragraph">
                  <wp:posOffset>-633730</wp:posOffset>
                </wp:positionV>
                <wp:extent cx="1819275"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8192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209" w:rsidRPr="007C667B" w:rsidRDefault="004C5209" w:rsidP="00704F86">
                            <w:pPr>
                              <w:jc w:val="center"/>
                              <w:rPr>
                                <w:rFonts w:ascii="Arial Bold" w:hAnsi="Arial Bold" w:cs="Arial"/>
                                <w:b/>
                                <w:caps/>
                                <w:color w:val="FFFFFF" w:themeColor="background1"/>
                                <w:sz w:val="24"/>
                                <w:szCs w:val="24"/>
                              </w:rPr>
                            </w:pPr>
                            <w:proofErr w:type="gramStart"/>
                            <w:r>
                              <w:rPr>
                                <w:rFonts w:ascii="Arial Bold" w:hAnsi="Arial Bold" w:cs="Arial"/>
                                <w:b/>
                                <w:caps/>
                                <w:color w:val="FFFFFF" w:themeColor="background1"/>
                                <w:sz w:val="24"/>
                                <w:szCs w:val="24"/>
                              </w:rPr>
                              <w:t xml:space="preserve">RESEARCH  </w:t>
                            </w:r>
                            <w:r w:rsidRPr="007C667B">
                              <w:rPr>
                                <w:rFonts w:ascii="Arial Bold" w:hAnsi="Arial Bold" w:cs="Arial"/>
                                <w:b/>
                                <w:caps/>
                                <w:color w:val="FFFFFF" w:themeColor="background1"/>
                                <w:sz w:val="24"/>
                                <w:szCs w:val="24"/>
                              </w:rPr>
                              <w:t>REPORT</w:t>
                            </w:r>
                            <w:proofErr w:type="gram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5.15pt;margin-top:-49.9pt;width:143.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" filled="f" stroked="f" strokeweight=".5pt">
                <v:textbox inset=",0,,0">
                  <w:txbxContent>
                    <w:p w:rsidR="004C5209" w:rsidRPr="007C667B" w:rsidRDefault="004C5209" w:rsidP="00704F86">
                      <w:pPr>
                        <w:jc w:val="center"/>
                        <w:rPr>
                          <w:rFonts w:ascii="Arial Bold" w:hAnsi="Arial Bold" w:cs="Arial"/>
                          <w:b/>
                          <w:caps/>
                          <w:color w:val="FFFFFF" w:themeColor="background1"/>
                          <w:sz w:val="24"/>
                          <w:szCs w:val="24"/>
                        </w:rPr>
                      </w:pPr>
                      <w:proofErr w:type="gramStart"/>
                      <w:r>
                        <w:rPr>
                          <w:rFonts w:ascii="Arial Bold" w:hAnsi="Arial Bold" w:cs="Arial"/>
                          <w:b/>
                          <w:caps/>
                          <w:color w:val="FFFFFF" w:themeColor="background1"/>
                          <w:sz w:val="24"/>
                          <w:szCs w:val="24"/>
                        </w:rPr>
                        <w:t xml:space="preserve">RESEARCH  </w:t>
                      </w:r>
                      <w:r w:rsidRPr="007C667B">
                        <w:rPr>
                          <w:rFonts w:ascii="Arial Bold" w:hAnsi="Arial Bold" w:cs="Arial"/>
                          <w:b/>
                          <w:caps/>
                          <w:color w:val="FFFFFF" w:themeColor="background1"/>
                          <w:sz w:val="24"/>
                          <w:szCs w:val="24"/>
                        </w:rPr>
                        <w:t>REPORT</w:t>
                      </w:r>
                      <w:proofErr w:type="gramEnd"/>
                    </w:p>
                  </w:txbxContent>
                </v:textbox>
              </v:shape>
            </w:pict>
          </mc:Fallback>
        </mc:AlternateContent>
      </w:r>
      <w:r w:rsidR="00A65479">
        <w:rPr>
          <w:noProof/>
          <w:lang w:eastAsia="en-AU"/>
        </w:rPr>
        <mc:AlternateContent>
          <mc:Choice Requires="wps">
            <w:drawing>
              <wp:anchor distT="0" distB="0" distL="114300" distR="114300" simplePos="0" relativeHeight="251762688" behindDoc="0" locked="0" layoutInCell="1" allowOverlap="1" wp14:anchorId="3476A5C4" wp14:editId="46C21CEE">
                <wp:simplePos x="0" y="0"/>
                <wp:positionH relativeFrom="column">
                  <wp:posOffset>-582295</wp:posOffset>
                </wp:positionH>
                <wp:positionV relativeFrom="paragraph">
                  <wp:posOffset>1924685</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51.55pt" to="120.7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" strokecolor="black [3213]" strokeweight="1pt"/>
            </w:pict>
          </mc:Fallback>
        </mc:AlternateContent>
      </w:r>
      <w:r w:rsidR="00690558">
        <w:rPr>
          <w:noProof/>
          <w:lang w:eastAsia="en-AU"/>
        </w:rPr>
        <w:drawing>
          <wp:anchor distT="0" distB="0" distL="114300" distR="114300" simplePos="0" relativeHeight="251797504" behindDoc="0" locked="0" layoutInCell="1" allowOverlap="1" wp14:anchorId="1FDCB04D" wp14:editId="70644BA4">
            <wp:simplePos x="0" y="0"/>
            <wp:positionH relativeFrom="column">
              <wp:posOffset>4513902</wp:posOffset>
            </wp:positionH>
            <wp:positionV relativeFrom="paragraph">
              <wp:posOffset>9396095</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14:sizeRelH relativeFrom="page">
              <wp14:pctWidth>0</wp14:pctWidth>
            </wp14:sizeRelH>
            <wp14:sizeRelV relativeFrom="page">
              <wp14:pctHeight>0</wp14:pctHeight>
            </wp14:sizeRelV>
          </wp:anchor>
        </w:drawing>
      </w:r>
      <w:r w:rsidR="00AB11C3">
        <w:rPr>
          <w:noProof/>
          <w:lang w:eastAsia="en-AU"/>
        </w:rPr>
        <w:drawing>
          <wp:anchor distT="0" distB="0" distL="114300" distR="114300" simplePos="0" relativeHeight="252003328" behindDoc="0" locked="0" layoutInCell="1" allowOverlap="1" wp14:anchorId="52B6D254" wp14:editId="4AAFD52E">
            <wp:simplePos x="0" y="0"/>
            <wp:positionH relativeFrom="column">
              <wp:posOffset>-548005</wp:posOffset>
            </wp:positionH>
            <wp:positionV relativeFrom="paragraph">
              <wp:posOffset>3690620</wp:posOffset>
            </wp:positionV>
            <wp:extent cx="6876406" cy="5410200"/>
            <wp:effectExtent l="0" t="0" r="1270" b="0"/>
            <wp:wrapNone/>
            <wp:docPr id="15" name="Picture 15" descr="G:\pub_prod\WorkInProgress\AAAKayesPubs\Callan &amp; Bowman\iStock_000020760013_Large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ub_prod\WorkInProgress\AAAKayesPubs\Callan &amp; Bowman\iStock_000020760013_Large_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7050" cy="5410707"/>
                    </a:xfrm>
                    <a:prstGeom prst="rect">
                      <a:avLst/>
                    </a:prstGeom>
                    <a:noFill/>
                    <a:ln>
                      <a:noFill/>
                    </a:ln>
                  </pic:spPr>
                </pic:pic>
              </a:graphicData>
            </a:graphic>
            <wp14:sizeRelH relativeFrom="page">
              <wp14:pctWidth>0</wp14:pctWidth>
            </wp14:sizeRelH>
            <wp14:sizeRelV relativeFrom="page">
              <wp14:pctHeight>0</wp14:pctHeight>
            </wp14:sizeRelV>
          </wp:anchor>
        </w:drawing>
      </w:r>
      <w:r w:rsidR="00AB11C3">
        <w:rPr>
          <w:noProof/>
          <w:lang w:eastAsia="en-AU"/>
        </w:rPr>
        <w:drawing>
          <wp:anchor distT="0" distB="0" distL="114300" distR="114300" simplePos="0" relativeHeight="251908096" behindDoc="0" locked="0" layoutInCell="1" allowOverlap="1" wp14:anchorId="5692186E" wp14:editId="3DC0222E">
            <wp:simplePos x="0" y="0"/>
            <wp:positionH relativeFrom="column">
              <wp:posOffset>3315970</wp:posOffset>
            </wp:positionH>
            <wp:positionV relativeFrom="paragraph">
              <wp:posOffset>2860675</wp:posOffset>
            </wp:positionV>
            <wp:extent cx="3010535" cy="544830"/>
            <wp:effectExtent l="0" t="0" r="0" b="762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1C3">
        <w:rPr>
          <w:noProof/>
          <w:lang w:eastAsia="en-AU"/>
        </w:rPr>
        <mc:AlternateContent>
          <mc:Choice Requires="wps">
            <w:drawing>
              <wp:anchor distT="0" distB="0" distL="114300" distR="114300" simplePos="0" relativeHeight="251760640" behindDoc="0" locked="0" layoutInCell="1" allowOverlap="1" wp14:anchorId="0EEC1FF9" wp14:editId="13933E18">
                <wp:simplePos x="0" y="0"/>
                <wp:positionH relativeFrom="column">
                  <wp:posOffset>-614680</wp:posOffset>
                </wp:positionH>
                <wp:positionV relativeFrom="paragraph">
                  <wp:posOffset>813435</wp:posOffset>
                </wp:positionV>
                <wp:extent cx="6257925" cy="275272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75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209" w:rsidRPr="00704F86" w:rsidRDefault="004C5209" w:rsidP="00621FAA">
                            <w:pPr>
                              <w:pStyle w:val="Titlepage"/>
                              <w:spacing w:after="0"/>
                              <w:ind w:left="0"/>
                              <w:rPr>
                                <w:b/>
                                <w:color w:val="0081C6"/>
                              </w:rPr>
                            </w:pPr>
                            <w:r>
                              <w:rPr>
                                <w:b/>
                                <w:color w:val="0081C6"/>
                              </w:rPr>
                              <w:t>Lessons from VET providers delivering degrees</w:t>
                            </w:r>
                          </w:p>
                          <w:p w:rsidR="004C5209" w:rsidRPr="00360FAD" w:rsidRDefault="004C5209" w:rsidP="004F66CE">
                            <w:pPr>
                              <w:pStyle w:val="Titlepage"/>
                              <w:spacing w:before="720" w:after="0"/>
                              <w:ind w:left="0"/>
                              <w:rPr>
                                <w:color w:val="595959" w:themeColor="text1" w:themeTint="A6"/>
                                <w:sz w:val="27"/>
                                <w:szCs w:val="27"/>
                              </w:rPr>
                            </w:pPr>
                            <w:r>
                              <w:rPr>
                                <w:b/>
                                <w:color w:val="595959" w:themeColor="text1" w:themeTint="A6"/>
                                <w:sz w:val="27"/>
                                <w:szCs w:val="27"/>
                              </w:rPr>
                              <w:t>Victor J Callan</w:t>
                            </w:r>
                          </w:p>
                          <w:p w:rsidR="004C5209" w:rsidRDefault="004C5209" w:rsidP="004E1A1B">
                            <w:pPr>
                              <w:pStyle w:val="Titlepage"/>
                              <w:spacing w:after="0"/>
                              <w:ind w:left="0"/>
                              <w:rPr>
                                <w:color w:val="595959" w:themeColor="text1" w:themeTint="A6"/>
                                <w:sz w:val="27"/>
                                <w:szCs w:val="27"/>
                              </w:rPr>
                            </w:pPr>
                            <w:r>
                              <w:rPr>
                                <w:color w:val="595959" w:themeColor="text1" w:themeTint="A6"/>
                                <w:sz w:val="27"/>
                                <w:szCs w:val="27"/>
                              </w:rPr>
                              <w:t>Callan Consulting Group</w:t>
                            </w:r>
                          </w:p>
                          <w:p w:rsidR="004C5209" w:rsidRPr="006475E3" w:rsidRDefault="004C5209" w:rsidP="006475E3">
                            <w:pPr>
                              <w:pStyle w:val="Titlepage"/>
                              <w:spacing w:before="120" w:after="0"/>
                              <w:ind w:left="0"/>
                              <w:rPr>
                                <w:b/>
                                <w:color w:val="595959" w:themeColor="text1" w:themeTint="A6"/>
                                <w:sz w:val="27"/>
                                <w:szCs w:val="27"/>
                              </w:rPr>
                            </w:pPr>
                            <w:r>
                              <w:rPr>
                                <w:b/>
                                <w:color w:val="595959" w:themeColor="text1" w:themeTint="A6"/>
                                <w:sz w:val="27"/>
                                <w:szCs w:val="27"/>
                              </w:rPr>
                              <w:t>Kaye Bowman</w:t>
                            </w:r>
                          </w:p>
                          <w:p w:rsidR="004C5209" w:rsidRPr="00360FAD" w:rsidRDefault="004C5209" w:rsidP="004E1A1B">
                            <w:pPr>
                              <w:pStyle w:val="Titlepage"/>
                              <w:spacing w:after="0"/>
                              <w:ind w:left="0"/>
                              <w:rPr>
                                <w:color w:val="595959" w:themeColor="text1" w:themeTint="A6"/>
                                <w:sz w:val="27"/>
                                <w:szCs w:val="27"/>
                              </w:rPr>
                            </w:pPr>
                            <w:r>
                              <w:rPr>
                                <w:color w:val="595959" w:themeColor="text1" w:themeTint="A6"/>
                                <w:sz w:val="27"/>
                                <w:szCs w:val="27"/>
                              </w:rPr>
                              <w:t>Kaye Bowman Consulting</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8.4pt;margin-top:64.05pt;width:492.75pt;height:21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" filled="f" stroked="f" strokeweight=".5pt">
                <v:path arrowok="t"/>
                <v:textbox inset=",,,0">
                  <w:txbxContent>
                    <w:p w:rsidR="004C5209" w:rsidRPr="00704F86" w:rsidRDefault="004C5209" w:rsidP="00621FAA">
                      <w:pPr>
                        <w:pStyle w:val="Titlepage"/>
                        <w:spacing w:after="0"/>
                        <w:ind w:left="0"/>
                        <w:rPr>
                          <w:b/>
                          <w:color w:val="0081C6"/>
                        </w:rPr>
                      </w:pPr>
                      <w:r>
                        <w:rPr>
                          <w:b/>
                          <w:color w:val="0081C6"/>
                        </w:rPr>
                        <w:t>Lessons from VET providers delivering degrees</w:t>
                      </w:r>
                    </w:p>
                    <w:p w:rsidR="004C5209" w:rsidRPr="00360FAD" w:rsidRDefault="004C5209" w:rsidP="004F66CE">
                      <w:pPr>
                        <w:pStyle w:val="Titlepage"/>
                        <w:spacing w:before="720" w:after="0"/>
                        <w:ind w:left="0"/>
                        <w:rPr>
                          <w:color w:val="595959" w:themeColor="text1" w:themeTint="A6"/>
                          <w:sz w:val="27"/>
                          <w:szCs w:val="27"/>
                        </w:rPr>
                      </w:pPr>
                      <w:r>
                        <w:rPr>
                          <w:b/>
                          <w:color w:val="595959" w:themeColor="text1" w:themeTint="A6"/>
                          <w:sz w:val="27"/>
                          <w:szCs w:val="27"/>
                        </w:rPr>
                        <w:t>Victor J Callan</w:t>
                      </w:r>
                    </w:p>
                    <w:p w:rsidR="004C5209" w:rsidRDefault="004C5209" w:rsidP="004E1A1B">
                      <w:pPr>
                        <w:pStyle w:val="Titlepage"/>
                        <w:spacing w:after="0"/>
                        <w:ind w:left="0"/>
                        <w:rPr>
                          <w:color w:val="595959" w:themeColor="text1" w:themeTint="A6"/>
                          <w:sz w:val="27"/>
                          <w:szCs w:val="27"/>
                        </w:rPr>
                      </w:pPr>
                      <w:r>
                        <w:rPr>
                          <w:color w:val="595959" w:themeColor="text1" w:themeTint="A6"/>
                          <w:sz w:val="27"/>
                          <w:szCs w:val="27"/>
                        </w:rPr>
                        <w:t>Callan Consulting Group</w:t>
                      </w:r>
                    </w:p>
                    <w:p w:rsidR="004C5209" w:rsidRPr="006475E3" w:rsidRDefault="004C5209" w:rsidP="006475E3">
                      <w:pPr>
                        <w:pStyle w:val="Titlepage"/>
                        <w:spacing w:before="120" w:after="0"/>
                        <w:ind w:left="0"/>
                        <w:rPr>
                          <w:b/>
                          <w:color w:val="595959" w:themeColor="text1" w:themeTint="A6"/>
                          <w:sz w:val="27"/>
                          <w:szCs w:val="27"/>
                        </w:rPr>
                      </w:pPr>
                      <w:r>
                        <w:rPr>
                          <w:b/>
                          <w:color w:val="595959" w:themeColor="text1" w:themeTint="A6"/>
                          <w:sz w:val="27"/>
                          <w:szCs w:val="27"/>
                        </w:rPr>
                        <w:t>Kaye Bowman</w:t>
                      </w:r>
                    </w:p>
                    <w:p w:rsidR="004C5209" w:rsidRPr="00360FAD" w:rsidRDefault="004C5209" w:rsidP="004E1A1B">
                      <w:pPr>
                        <w:pStyle w:val="Titlepage"/>
                        <w:spacing w:after="0"/>
                        <w:ind w:left="0"/>
                        <w:rPr>
                          <w:color w:val="595959" w:themeColor="text1" w:themeTint="A6"/>
                          <w:sz w:val="27"/>
                          <w:szCs w:val="27"/>
                        </w:rPr>
                      </w:pPr>
                      <w:r>
                        <w:rPr>
                          <w:color w:val="595959" w:themeColor="text1" w:themeTint="A6"/>
                          <w:sz w:val="27"/>
                          <w:szCs w:val="27"/>
                        </w:rPr>
                        <w:t>Kaye Bowman Consulting</w:t>
                      </w:r>
                    </w:p>
                  </w:txbxContent>
                </v:textbox>
              </v:shape>
            </w:pict>
          </mc:Fallback>
        </mc:AlternateContent>
      </w:r>
      <w:r w:rsidR="00AB11C3">
        <w:rPr>
          <w:noProof/>
          <w:lang w:eastAsia="en-AU"/>
        </w:rPr>
        <w:drawing>
          <wp:anchor distT="0" distB="0" distL="114300" distR="114300" simplePos="0" relativeHeight="251979776" behindDoc="1" locked="0" layoutInCell="1" allowOverlap="1" wp14:anchorId="12C1DFC2" wp14:editId="32B1E26E">
            <wp:simplePos x="0" y="0"/>
            <wp:positionH relativeFrom="column">
              <wp:posOffset>-776605</wp:posOffset>
            </wp:positionH>
            <wp:positionV relativeFrom="paragraph">
              <wp:posOffset>-757555</wp:posOffset>
            </wp:positionV>
            <wp:extent cx="7425735" cy="1419225"/>
            <wp:effectExtent l="0" t="0" r="3810" b="0"/>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5735" cy="1419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4" w:name="_Toc495748330"/>
      <w:bookmarkStart w:id="5" w:name="_Toc495810630"/>
      <w:bookmarkStart w:id="6" w:name="_Toc6031787"/>
      <w:bookmarkStart w:id="7" w:name="_Toc6031844"/>
      <w:bookmarkEnd w:id="2"/>
    </w:p>
    <w:p w:rsidR="0075281A" w:rsidRDefault="0075281A" w:rsidP="00094819">
      <w:pPr>
        <w:pStyle w:val="Heading3"/>
        <w:ind w:right="-1"/>
      </w:pPr>
      <w:bookmarkStart w:id="8" w:name="_Toc383076048"/>
      <w:bookmarkStart w:id="9" w:name="_Toc383428462"/>
      <w:bookmarkStart w:id="10" w:name="_Toc383428540"/>
      <w:bookmarkStart w:id="11" w:name="_Toc383428916"/>
      <w:bookmarkStart w:id="12" w:name="_Toc388272437"/>
      <w:bookmarkStart w:id="13" w:name="_Toc388272575"/>
      <w:bookmarkStart w:id="14" w:name="_Toc396117483"/>
      <w:bookmarkEnd w:id="4"/>
      <w:bookmarkEnd w:id="5"/>
      <w:bookmarkEnd w:id="6"/>
      <w:bookmarkEnd w:id="7"/>
      <w:r w:rsidRPr="005C2FCF">
        <w:lastRenderedPageBreak/>
        <w:t>Publisher’s note</w:t>
      </w:r>
      <w:bookmarkEnd w:id="8"/>
      <w:bookmarkEnd w:id="9"/>
      <w:bookmarkEnd w:id="10"/>
      <w:bookmarkEnd w:id="11"/>
      <w:bookmarkEnd w:id="12"/>
      <w:bookmarkEnd w:id="13"/>
      <w:bookmarkEnd w:id="14"/>
    </w:p>
    <w:p w:rsidR="00853CC2" w:rsidRPr="00853CC2" w:rsidRDefault="00853CC2" w:rsidP="00F8525F">
      <w:pPr>
        <w:pStyle w:val="Imprint"/>
        <w:ind w:right="1275"/>
      </w:pPr>
      <w:r w:rsidRPr="00853CC2">
        <w:t xml:space="preserve">Additional information relating to this research is available in </w:t>
      </w:r>
      <w:r w:rsidR="00F54763">
        <w:t xml:space="preserve">the support document, </w:t>
      </w:r>
      <w:r w:rsidR="00CF0FB6">
        <w:t xml:space="preserve">Lessons from </w:t>
      </w:r>
      <w:r w:rsidR="00F54763">
        <w:rPr>
          <w:i/>
        </w:rPr>
        <w:t>VET providers delivering degrees: case studies</w:t>
      </w:r>
      <w:r w:rsidRPr="00853CC2">
        <w:t xml:space="preserve">. It can be accessed from NCVER’s </w:t>
      </w:r>
      <w:proofErr w:type="gramStart"/>
      <w:r w:rsidR="002A3E62">
        <w:t xml:space="preserve">Portal </w:t>
      </w:r>
      <w:r w:rsidRPr="00853CC2">
        <w:t xml:space="preserve"> &lt;</w:t>
      </w:r>
      <w:proofErr w:type="gramEnd"/>
      <w:r w:rsidR="00833C04" w:rsidRPr="00833C04">
        <w:t>http://www.ncver.edu.au/publications/2791.html&gt;</w:t>
      </w:r>
      <w:r w:rsidRPr="00853CC2">
        <w:t>.</w:t>
      </w:r>
    </w:p>
    <w:p w:rsidR="0075281A" w:rsidRDefault="0075281A" w:rsidP="00F8525F">
      <w:pPr>
        <w:pStyle w:val="Imprint"/>
        <w:ind w:right="1275"/>
      </w:pPr>
      <w:r>
        <w:t xml:space="preserve">To find other material of interest, search </w:t>
      </w:r>
      <w:proofErr w:type="spellStart"/>
      <w:r>
        <w:t>VOCEDplus</w:t>
      </w:r>
      <w:proofErr w:type="spellEnd"/>
      <w:r>
        <w:t xml:space="preserve"> (the UNESCO/NCVER international database &lt;</w:t>
      </w:r>
      <w:hyperlink r:id="rId13" w:history="1">
        <w:r>
          <w:t>http://www.voced.edu.au</w:t>
        </w:r>
      </w:hyperlink>
      <w:r>
        <w:t xml:space="preserve">&gt;) using the following keywords: </w:t>
      </w:r>
      <w:r w:rsidRPr="00F37F7A">
        <w:t>best practice; higher education; management; providers of education and training; qualifications; teaching and learning; vocational education and training.</w:t>
      </w:r>
    </w:p>
    <w:p w:rsidR="0075281A" w:rsidRDefault="0075281A" w:rsidP="00094819">
      <w:pPr>
        <w:pStyle w:val="Imprint"/>
        <w:rPr>
          <w:sz w:val="19"/>
          <w:szCs w:val="19"/>
        </w:rPr>
      </w:pPr>
    </w:p>
    <w:bookmarkStart w:id="15" w:name="_Toc396117484"/>
    <w:p w:rsidR="0075281A" w:rsidRPr="00C77DC6" w:rsidRDefault="0075281A" w:rsidP="00094819">
      <w:pPr>
        <w:pStyle w:val="Abouttheresearch"/>
      </w:pPr>
      <w:r>
        <w:rPr>
          <w:noProof/>
          <w:lang w:eastAsia="en-AU"/>
        </w:rPr>
        <mc:AlternateContent>
          <mc:Choice Requires="wps">
            <w:drawing>
              <wp:anchor distT="0" distB="0" distL="114300" distR="114300" simplePos="0" relativeHeight="251982848" behindDoc="0" locked="0" layoutInCell="1" allowOverlap="1" wp14:anchorId="163BD874" wp14:editId="10EB9197">
                <wp:simplePos x="0" y="0"/>
                <wp:positionH relativeFrom="column">
                  <wp:posOffset>-3810</wp:posOffset>
                </wp:positionH>
                <wp:positionV relativeFrom="paragraph">
                  <wp:posOffset>1796415</wp:posOffset>
                </wp:positionV>
                <wp:extent cx="4788000" cy="5791200"/>
                <wp:effectExtent l="0" t="0" r="1270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209" w:rsidRPr="00A021FC" w:rsidRDefault="004C5209" w:rsidP="00094819">
                            <w:pPr>
                              <w:pStyle w:val="Imprint"/>
                              <w:rPr>
                                <w:b/>
                              </w:rPr>
                            </w:pPr>
                            <w:r w:rsidRPr="00A021FC">
                              <w:rPr>
                                <w:b/>
                              </w:rPr>
                              <w:t xml:space="preserve">© Commonwealth of Australia, </w:t>
                            </w:r>
                            <w:r>
                              <w:rPr>
                                <w:b/>
                              </w:rPr>
                              <w:t>2015</w:t>
                            </w:r>
                          </w:p>
                          <w:p w:rsidR="004C5209" w:rsidRDefault="004C5209" w:rsidP="00094819">
                            <w:pPr>
                              <w:pStyle w:val="Imprint"/>
                              <w:rPr>
                                <w:sz w:val="20"/>
                              </w:rPr>
                            </w:pPr>
                            <w:r w:rsidRPr="00E80270">
                              <w:rPr>
                                <w:noProof/>
                                <w:sz w:val="20"/>
                                <w:lang w:eastAsia="en-AU"/>
                              </w:rPr>
                              <w:drawing>
                                <wp:inline distT="0" distB="0" distL="0" distR="0" wp14:anchorId="4C9EEBFD" wp14:editId="07D02500">
                                  <wp:extent cx="850265" cy="302895"/>
                                  <wp:effectExtent l="19050" t="0" r="6985" b="0"/>
                                  <wp:docPr id="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4C5209" w:rsidRPr="00A021FC" w:rsidRDefault="004C5209" w:rsidP="00094819">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4C5209" w:rsidRPr="00A021FC" w:rsidRDefault="004C5209" w:rsidP="00F8525F">
                            <w:pPr>
                              <w:pStyle w:val="Imprint"/>
                              <w:spacing w:before="80"/>
                            </w:pPr>
                            <w:r w:rsidRPr="00A021FC">
                              <w:t>The details of the relevant licence conditions are available on the Creative Commons website (accessible using the links provided) as is the full legal code for the CC BY 3.0 AU licence &lt;http://creativecommons.org/licenses/by/3.0/legalcode&gt;.</w:t>
                            </w:r>
                          </w:p>
                          <w:p w:rsidR="004C5209" w:rsidRPr="00A021FC" w:rsidRDefault="004C5209" w:rsidP="00F8525F">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4C5209" w:rsidRDefault="004C5209" w:rsidP="00094819">
                            <w:pPr>
                              <w:pStyle w:val="Imprint"/>
                            </w:pPr>
                            <w:r w:rsidRPr="00A021FC">
                              <w:t xml:space="preserve">This document should be attributed as </w:t>
                            </w:r>
                            <w:r>
                              <w:t>Callan, V &amp; Bowman, K</w:t>
                            </w:r>
                            <w:r w:rsidRPr="00475E0D">
                              <w:t xml:space="preserve"> 2015, </w:t>
                            </w:r>
                            <w:proofErr w:type="gramStart"/>
                            <w:r w:rsidRPr="00475E0D">
                              <w:rPr>
                                <w:i/>
                              </w:rPr>
                              <w:t>Lessons</w:t>
                            </w:r>
                            <w:proofErr w:type="gramEnd"/>
                            <w:r>
                              <w:rPr>
                                <w:i/>
                              </w:rPr>
                              <w:t xml:space="preserve"> from VET providers delivering degrees</w:t>
                            </w:r>
                            <w:r w:rsidRPr="00A021FC">
                              <w:rPr>
                                <w:i/>
                              </w:rPr>
                              <w:t>,</w:t>
                            </w:r>
                            <w:r w:rsidRPr="00A021FC">
                              <w:t xml:space="preserve"> NCVER, Adelaide.</w:t>
                            </w:r>
                          </w:p>
                          <w:p w:rsidR="004C5209" w:rsidRPr="0075281A" w:rsidRDefault="004C5209" w:rsidP="00F8525F">
                            <w:pPr>
                              <w:pStyle w:val="Imprint"/>
                              <w:spacing w:before="80"/>
                            </w:pPr>
                            <w:r w:rsidRPr="0075281A">
                              <w:t>The views and opinions expressed in this document are those of the author/project team and do not necessarily reflect the views of the Australian Government, state and territory governments or NCVER.</w:t>
                            </w:r>
                          </w:p>
                          <w:p w:rsidR="004C5209" w:rsidRPr="0075281A" w:rsidRDefault="004C5209" w:rsidP="00F8525F">
                            <w:pPr>
                              <w:pStyle w:val="Imprint"/>
                              <w:spacing w:before="80"/>
                            </w:pPr>
                            <w:r w:rsidRPr="0075281A">
                              <w:t>Any interpretation of data is the responsibility of the author/project team.</w:t>
                            </w:r>
                          </w:p>
                          <w:p w:rsidR="004C5209" w:rsidRPr="00EC29E3" w:rsidRDefault="004C5209" w:rsidP="00094819">
                            <w:pPr>
                              <w:pStyle w:val="Imprint"/>
                              <w:ind w:right="1700"/>
                              <w:rPr>
                                <w:smallCaps/>
                                <w:color w:val="000000"/>
                              </w:rPr>
                            </w:pPr>
                            <w:r>
                              <w:rPr>
                                <w:smallCaps/>
                                <w:color w:val="000000"/>
                              </w:rPr>
                              <w:t>COVER IMAGE: Getting Images/</w:t>
                            </w:r>
                            <w:proofErr w:type="spellStart"/>
                            <w:r>
                              <w:rPr>
                                <w:smallCaps/>
                                <w:color w:val="000000"/>
                              </w:rPr>
                              <w:t>iStock</w:t>
                            </w:r>
                            <w:proofErr w:type="spellEnd"/>
                          </w:p>
                          <w:p w:rsidR="004C5209" w:rsidRPr="005C2FCF" w:rsidRDefault="004C5209" w:rsidP="00A30084">
                            <w:pPr>
                              <w:pStyle w:val="Imprint"/>
                              <w:rPr>
                                <w:color w:val="000000"/>
                              </w:rPr>
                            </w:pPr>
                            <w:r w:rsidRPr="002D551C">
                              <w:rPr>
                                <w:color w:val="000000"/>
                              </w:rPr>
                              <w:t>ISBN</w:t>
                            </w:r>
                            <w:r w:rsidRPr="002D551C">
                              <w:rPr>
                                <w:color w:val="000000"/>
                              </w:rPr>
                              <w:tab/>
                              <w:t>978 1 925173 20 8</w:t>
                            </w:r>
                            <w:r>
                              <w:rPr>
                                <w:color w:val="000000"/>
                              </w:rPr>
                              <w:br/>
                            </w:r>
                            <w:r w:rsidRPr="002D551C">
                              <w:rPr>
                                <w:color w:val="000000"/>
                              </w:rPr>
                              <w:t>TD/TNC</w:t>
                            </w:r>
                            <w:r w:rsidRPr="005C2FCF">
                              <w:rPr>
                                <w:color w:val="000000"/>
                              </w:rPr>
                              <w:tab/>
                            </w:r>
                            <w:r>
                              <w:rPr>
                                <w:color w:val="000000"/>
                              </w:rPr>
                              <w:t xml:space="preserve">120.10 </w:t>
                            </w:r>
                          </w:p>
                          <w:p w:rsidR="004C5209" w:rsidRPr="005C53F0" w:rsidRDefault="004C5209" w:rsidP="00094819">
                            <w:pPr>
                              <w:pStyle w:val="Imprint"/>
                              <w:ind w:right="228"/>
                              <w:rPr>
                                <w:color w:val="000000"/>
                              </w:rPr>
                            </w:pPr>
                            <w:r w:rsidRPr="005C53F0">
                              <w:rPr>
                                <w:color w:val="000000"/>
                              </w:rPr>
                              <w:t>Published by NCVER, ABN 87 007 967 311</w:t>
                            </w:r>
                          </w:p>
                          <w:p w:rsidR="004C5209" w:rsidRPr="005C53F0" w:rsidRDefault="004C5209" w:rsidP="00094819">
                            <w:pPr>
                              <w:pStyle w:val="Imprint"/>
                              <w:spacing w:before="0"/>
                              <w:ind w:right="227"/>
                              <w:rPr>
                                <w:color w:val="000000"/>
                              </w:rPr>
                            </w:pPr>
                            <w:r w:rsidRPr="005C53F0">
                              <w:rPr>
                                <w:color w:val="000000"/>
                              </w:rPr>
                              <w:t>Level 11, 33 King William Street, Adelaide SA 5000</w:t>
                            </w:r>
                          </w:p>
                          <w:p w:rsidR="004C5209" w:rsidRPr="005C53F0" w:rsidRDefault="004C5209" w:rsidP="00094819">
                            <w:pPr>
                              <w:pStyle w:val="Imprint"/>
                              <w:spacing w:before="0"/>
                              <w:ind w:right="227"/>
                              <w:rPr>
                                <w:color w:val="000000"/>
                              </w:rPr>
                            </w:pPr>
                            <w:r w:rsidRPr="005C53F0">
                              <w:rPr>
                                <w:color w:val="000000"/>
                              </w:rPr>
                              <w:t>PO Box 8288 Station Arcade, Adelaide SA 5000, Australia</w:t>
                            </w:r>
                          </w:p>
                          <w:p w:rsidR="004C5209" w:rsidRPr="003A39DB" w:rsidRDefault="004C5209" w:rsidP="00094819">
                            <w:pPr>
                              <w:pStyle w:val="Imprint"/>
                              <w:spacing w:before="80"/>
                            </w:pPr>
                            <w:r w:rsidRPr="003A39DB">
                              <w:t>Phone +61 8 8230 8400   Fax +61 8 8212 3436</w:t>
                            </w:r>
                          </w:p>
                          <w:p w:rsidR="004C5209" w:rsidRPr="003A39DB" w:rsidRDefault="004C5209" w:rsidP="00094819">
                            <w:pPr>
                              <w:pStyle w:val="Imprint"/>
                              <w:spacing w:before="80"/>
                            </w:pPr>
                            <w:r w:rsidRPr="003A39DB">
                              <w:t>Email ncver@ncver.edu.au   Web &lt;http://www.ncver.edu.au&gt; &lt;http://www.lsay.edu.au&gt;</w:t>
                            </w:r>
                          </w:p>
                          <w:p w:rsidR="004C5209" w:rsidRPr="00541B94" w:rsidRDefault="004C5209" w:rsidP="00094819">
                            <w:pPr>
                              <w:pStyle w:val="Imprint"/>
                              <w:tabs>
                                <w:tab w:val="left" w:pos="851"/>
                              </w:tabs>
                              <w:spacing w:before="80"/>
                            </w:pPr>
                            <w:r w:rsidRPr="003A39DB">
                              <w:t xml:space="preserve">Follow us: </w:t>
                            </w:r>
                            <w:r w:rsidRPr="003A39DB">
                              <w:tab/>
                            </w:r>
                            <w:r w:rsidRPr="003A39DB">
                              <w:rPr>
                                <w:noProof/>
                                <w:lang w:eastAsia="en-AU"/>
                              </w:rPr>
                              <w:drawing>
                                <wp:inline distT="0" distB="0" distL="0" distR="0" wp14:anchorId="57282D8A" wp14:editId="3B67FE58">
                                  <wp:extent cx="127000" cy="139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3A39DB">
                              <w:t xml:space="preserve">  &lt;</w:t>
                            </w:r>
                            <w:hyperlink r:id="rId16" w:history="1">
                              <w:r w:rsidRPr="00F8525F">
                                <w:rPr>
                                  <w:rStyle w:val="Hyperlink"/>
                                  <w:sz w:val="16"/>
                                  <w:szCs w:val="16"/>
                                </w:rPr>
                                <w:t>http://twitter.com/ncver</w:t>
                              </w:r>
                            </w:hyperlink>
                            <w:r w:rsidRPr="003A39DB">
                              <w:t xml:space="preserve">&gt;  </w:t>
                            </w:r>
                            <w:r w:rsidRPr="003A39DB">
                              <w:rPr>
                                <w:noProof/>
                                <w:lang w:eastAsia="en-AU"/>
                              </w:rPr>
                              <w:drawing>
                                <wp:inline distT="0" distB="0" distL="0" distR="0" wp14:anchorId="1F954F6F" wp14:editId="3E152A85">
                                  <wp:extent cx="139700" cy="13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3A39DB">
                              <w:t xml:space="preserve"> &lt;http://www.linkedin.com/company/ncver</w:t>
                            </w:r>
                            <w:r w:rsidRPr="005C53F0">
                              <w:t>&gt;</w:t>
                            </w:r>
                          </w:p>
                          <w:p w:rsidR="004C5209" w:rsidRPr="00541B94" w:rsidRDefault="004C5209" w:rsidP="00094819">
                            <w:pPr>
                              <w:pStyle w:val="Imprint"/>
                              <w:ind w:right="1700"/>
                              <w:rPr>
                                <w:color w:val="000000"/>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pt;margin-top:141.45pt;width:377pt;height:45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" filled="f" stroked="f">
                <v:textbox inset="0,,0">
                  <w:txbxContent>
                    <w:p w:rsidR="004C5209" w:rsidRPr="00A021FC" w:rsidRDefault="004C5209" w:rsidP="00094819">
                      <w:pPr>
                        <w:pStyle w:val="Imprint"/>
                        <w:rPr>
                          <w:b/>
                        </w:rPr>
                      </w:pPr>
                      <w:r w:rsidRPr="00A021FC">
                        <w:rPr>
                          <w:b/>
                        </w:rPr>
                        <w:t xml:space="preserve">© Commonwealth of Australia, </w:t>
                      </w:r>
                      <w:r>
                        <w:rPr>
                          <w:b/>
                        </w:rPr>
                        <w:t>2015</w:t>
                      </w:r>
                    </w:p>
                    <w:p w:rsidR="004C5209" w:rsidRDefault="004C5209" w:rsidP="00094819">
                      <w:pPr>
                        <w:pStyle w:val="Imprint"/>
                        <w:rPr>
                          <w:sz w:val="20"/>
                        </w:rPr>
                      </w:pPr>
                      <w:r w:rsidRPr="00E80270">
                        <w:rPr>
                          <w:noProof/>
                          <w:sz w:val="20"/>
                          <w:lang w:eastAsia="en-AU"/>
                        </w:rPr>
                        <w:drawing>
                          <wp:inline distT="0" distB="0" distL="0" distR="0" wp14:anchorId="4C9EEBFD" wp14:editId="07D02500">
                            <wp:extent cx="850265" cy="302895"/>
                            <wp:effectExtent l="19050" t="0" r="6985" b="0"/>
                            <wp:docPr id="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4C5209" w:rsidRPr="00A021FC" w:rsidRDefault="004C5209" w:rsidP="00094819">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4C5209" w:rsidRPr="00A021FC" w:rsidRDefault="004C5209" w:rsidP="00F8525F">
                      <w:pPr>
                        <w:pStyle w:val="Imprint"/>
                        <w:spacing w:before="80"/>
                      </w:pPr>
                      <w:r w:rsidRPr="00A021FC">
                        <w:t>The details of the relevant licence conditions are available on the Creative Commons website (accessible using the links provided) as is the full legal code for the CC BY 3.0 AU licence &lt;http://creativecommons.org/licenses/by/3.0/legalcode&gt;.</w:t>
                      </w:r>
                    </w:p>
                    <w:p w:rsidR="004C5209" w:rsidRPr="00A021FC" w:rsidRDefault="004C5209" w:rsidP="00F8525F">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4C5209" w:rsidRDefault="004C5209" w:rsidP="00094819">
                      <w:pPr>
                        <w:pStyle w:val="Imprint"/>
                      </w:pPr>
                      <w:r w:rsidRPr="00A021FC">
                        <w:t xml:space="preserve">This document should be attributed as </w:t>
                      </w:r>
                      <w:r>
                        <w:t>Callan, V &amp; Bowman, K</w:t>
                      </w:r>
                      <w:r w:rsidRPr="00475E0D">
                        <w:t xml:space="preserve"> 2015, </w:t>
                      </w:r>
                      <w:proofErr w:type="gramStart"/>
                      <w:r w:rsidRPr="00475E0D">
                        <w:rPr>
                          <w:i/>
                        </w:rPr>
                        <w:t>Lessons</w:t>
                      </w:r>
                      <w:proofErr w:type="gramEnd"/>
                      <w:r>
                        <w:rPr>
                          <w:i/>
                        </w:rPr>
                        <w:t xml:space="preserve"> from VET providers delivering degrees</w:t>
                      </w:r>
                      <w:r w:rsidRPr="00A021FC">
                        <w:rPr>
                          <w:i/>
                        </w:rPr>
                        <w:t>,</w:t>
                      </w:r>
                      <w:r w:rsidRPr="00A021FC">
                        <w:t xml:space="preserve"> NCVER, Adelaide.</w:t>
                      </w:r>
                    </w:p>
                    <w:p w:rsidR="004C5209" w:rsidRPr="0075281A" w:rsidRDefault="004C5209" w:rsidP="00F8525F">
                      <w:pPr>
                        <w:pStyle w:val="Imprint"/>
                        <w:spacing w:before="80"/>
                      </w:pPr>
                      <w:r w:rsidRPr="0075281A">
                        <w:t>The views and opinions expressed in this document are those of the author/project team and do not necessarily reflect the views of the Australian Government, state and territory governments or NCVER.</w:t>
                      </w:r>
                    </w:p>
                    <w:p w:rsidR="004C5209" w:rsidRPr="0075281A" w:rsidRDefault="004C5209" w:rsidP="00F8525F">
                      <w:pPr>
                        <w:pStyle w:val="Imprint"/>
                        <w:spacing w:before="80"/>
                      </w:pPr>
                      <w:r w:rsidRPr="0075281A">
                        <w:t>Any interpretation of data is the responsibility of the author/project team.</w:t>
                      </w:r>
                    </w:p>
                    <w:p w:rsidR="004C5209" w:rsidRPr="00EC29E3" w:rsidRDefault="004C5209" w:rsidP="00094819">
                      <w:pPr>
                        <w:pStyle w:val="Imprint"/>
                        <w:ind w:right="1700"/>
                        <w:rPr>
                          <w:smallCaps/>
                          <w:color w:val="000000"/>
                        </w:rPr>
                      </w:pPr>
                      <w:r>
                        <w:rPr>
                          <w:smallCaps/>
                          <w:color w:val="000000"/>
                        </w:rPr>
                        <w:t>COVER IMAGE: Getting Images/</w:t>
                      </w:r>
                      <w:proofErr w:type="spellStart"/>
                      <w:r>
                        <w:rPr>
                          <w:smallCaps/>
                          <w:color w:val="000000"/>
                        </w:rPr>
                        <w:t>iStock</w:t>
                      </w:r>
                      <w:proofErr w:type="spellEnd"/>
                    </w:p>
                    <w:p w:rsidR="004C5209" w:rsidRPr="005C2FCF" w:rsidRDefault="004C5209" w:rsidP="00A30084">
                      <w:pPr>
                        <w:pStyle w:val="Imprint"/>
                        <w:rPr>
                          <w:color w:val="000000"/>
                        </w:rPr>
                      </w:pPr>
                      <w:r w:rsidRPr="002D551C">
                        <w:rPr>
                          <w:color w:val="000000"/>
                        </w:rPr>
                        <w:t>ISBN</w:t>
                      </w:r>
                      <w:r w:rsidRPr="002D551C">
                        <w:rPr>
                          <w:color w:val="000000"/>
                        </w:rPr>
                        <w:tab/>
                        <w:t>978 1 925173 20 8</w:t>
                      </w:r>
                      <w:r>
                        <w:rPr>
                          <w:color w:val="000000"/>
                        </w:rPr>
                        <w:br/>
                      </w:r>
                      <w:r w:rsidRPr="002D551C">
                        <w:rPr>
                          <w:color w:val="000000"/>
                        </w:rPr>
                        <w:t>TD/TNC</w:t>
                      </w:r>
                      <w:r w:rsidRPr="005C2FCF">
                        <w:rPr>
                          <w:color w:val="000000"/>
                        </w:rPr>
                        <w:tab/>
                      </w:r>
                      <w:r>
                        <w:rPr>
                          <w:color w:val="000000"/>
                        </w:rPr>
                        <w:t xml:space="preserve">120.10 </w:t>
                      </w:r>
                    </w:p>
                    <w:p w:rsidR="004C5209" w:rsidRPr="005C53F0" w:rsidRDefault="004C5209" w:rsidP="00094819">
                      <w:pPr>
                        <w:pStyle w:val="Imprint"/>
                        <w:ind w:right="228"/>
                        <w:rPr>
                          <w:color w:val="000000"/>
                        </w:rPr>
                      </w:pPr>
                      <w:r w:rsidRPr="005C53F0">
                        <w:rPr>
                          <w:color w:val="000000"/>
                        </w:rPr>
                        <w:t>Published by NCVER, ABN 87 007 967 311</w:t>
                      </w:r>
                    </w:p>
                    <w:p w:rsidR="004C5209" w:rsidRPr="005C53F0" w:rsidRDefault="004C5209" w:rsidP="00094819">
                      <w:pPr>
                        <w:pStyle w:val="Imprint"/>
                        <w:spacing w:before="0"/>
                        <w:ind w:right="227"/>
                        <w:rPr>
                          <w:color w:val="000000"/>
                        </w:rPr>
                      </w:pPr>
                      <w:r w:rsidRPr="005C53F0">
                        <w:rPr>
                          <w:color w:val="000000"/>
                        </w:rPr>
                        <w:t>Level 11, 33 King William Street, Adelaide SA 5000</w:t>
                      </w:r>
                    </w:p>
                    <w:p w:rsidR="004C5209" w:rsidRPr="005C53F0" w:rsidRDefault="004C5209" w:rsidP="00094819">
                      <w:pPr>
                        <w:pStyle w:val="Imprint"/>
                        <w:spacing w:before="0"/>
                        <w:ind w:right="227"/>
                        <w:rPr>
                          <w:color w:val="000000"/>
                        </w:rPr>
                      </w:pPr>
                      <w:r w:rsidRPr="005C53F0">
                        <w:rPr>
                          <w:color w:val="000000"/>
                        </w:rPr>
                        <w:t>PO Box 8288 Station Arcade, Adelaide SA 5000, Australia</w:t>
                      </w:r>
                    </w:p>
                    <w:p w:rsidR="004C5209" w:rsidRPr="003A39DB" w:rsidRDefault="004C5209" w:rsidP="00094819">
                      <w:pPr>
                        <w:pStyle w:val="Imprint"/>
                        <w:spacing w:before="80"/>
                      </w:pPr>
                      <w:r w:rsidRPr="003A39DB">
                        <w:t>Phone +61 8 8230 8400   Fax +61 8 8212 3436</w:t>
                      </w:r>
                    </w:p>
                    <w:p w:rsidR="004C5209" w:rsidRPr="003A39DB" w:rsidRDefault="004C5209" w:rsidP="00094819">
                      <w:pPr>
                        <w:pStyle w:val="Imprint"/>
                        <w:spacing w:before="80"/>
                      </w:pPr>
                      <w:r w:rsidRPr="003A39DB">
                        <w:t>Email ncver@ncver.edu.au   Web &lt;http://www.ncver.edu.au&gt; &lt;http://www.lsay.edu.au&gt;</w:t>
                      </w:r>
                    </w:p>
                    <w:p w:rsidR="004C5209" w:rsidRPr="00541B94" w:rsidRDefault="004C5209" w:rsidP="00094819">
                      <w:pPr>
                        <w:pStyle w:val="Imprint"/>
                        <w:tabs>
                          <w:tab w:val="left" w:pos="851"/>
                        </w:tabs>
                        <w:spacing w:before="80"/>
                      </w:pPr>
                      <w:r w:rsidRPr="003A39DB">
                        <w:t xml:space="preserve">Follow us: </w:t>
                      </w:r>
                      <w:r w:rsidRPr="003A39DB">
                        <w:tab/>
                      </w:r>
                      <w:r w:rsidRPr="003A39DB">
                        <w:rPr>
                          <w:noProof/>
                          <w:lang w:eastAsia="en-AU"/>
                        </w:rPr>
                        <w:drawing>
                          <wp:inline distT="0" distB="0" distL="0" distR="0" wp14:anchorId="57282D8A" wp14:editId="3B67FE58">
                            <wp:extent cx="127000" cy="139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3A39DB">
                        <w:t xml:space="preserve">  &lt;</w:t>
                      </w:r>
                      <w:hyperlink r:id="rId20" w:history="1">
                        <w:r w:rsidRPr="00F8525F">
                          <w:rPr>
                            <w:rStyle w:val="Hyperlink"/>
                            <w:sz w:val="16"/>
                            <w:szCs w:val="16"/>
                          </w:rPr>
                          <w:t>http://twitter.com/ncver</w:t>
                        </w:r>
                      </w:hyperlink>
                      <w:r w:rsidRPr="003A39DB">
                        <w:t xml:space="preserve">&gt;  </w:t>
                      </w:r>
                      <w:r w:rsidRPr="003A39DB">
                        <w:rPr>
                          <w:noProof/>
                          <w:lang w:eastAsia="en-AU"/>
                        </w:rPr>
                        <w:drawing>
                          <wp:inline distT="0" distB="0" distL="0" distR="0" wp14:anchorId="1F954F6F" wp14:editId="3E152A85">
                            <wp:extent cx="139700" cy="13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3A39DB">
                        <w:t xml:space="preserve"> &lt;http://www.linkedin.com/company/ncver</w:t>
                      </w:r>
                      <w:r w:rsidRPr="005C53F0">
                        <w:t>&gt;</w:t>
                      </w:r>
                    </w:p>
                    <w:p w:rsidR="004C5209" w:rsidRPr="00541B94" w:rsidRDefault="004C5209" w:rsidP="00094819">
                      <w:pPr>
                        <w:pStyle w:val="Imprint"/>
                        <w:ind w:right="1700"/>
                        <w:rPr>
                          <w:color w:val="000000"/>
                        </w:rPr>
                      </w:pPr>
                    </w:p>
                  </w:txbxContent>
                </v:textbox>
              </v:shape>
            </w:pict>
          </mc:Fallback>
        </mc:AlternateContent>
      </w:r>
      <w:r w:rsidRPr="005C2FCF">
        <w:br w:type="page"/>
      </w:r>
      <w:bookmarkStart w:id="16" w:name="_Toc73766312"/>
      <w:bookmarkStart w:id="17" w:name="_Toc77937774"/>
      <w:bookmarkStart w:id="18" w:name="_Toc80174750"/>
      <w:bookmarkStart w:id="19" w:name="_Toc81560506"/>
      <w:bookmarkStart w:id="20" w:name="_Toc82071799"/>
      <w:bookmarkStart w:id="21" w:name="_Toc82151754"/>
      <w:bookmarkStart w:id="22" w:name="_Toc82498260"/>
      <w:bookmarkStart w:id="23" w:name="_Toc86829097"/>
      <w:bookmarkStart w:id="24" w:name="_Toc89226248"/>
      <w:bookmarkStart w:id="25" w:name="_Toc89240893"/>
      <w:bookmarkStart w:id="26" w:name="_Toc98394875"/>
      <w:bookmarkStart w:id="27" w:name="_Toc296423679"/>
      <w:bookmarkStart w:id="28" w:name="_Toc296497510"/>
      <w:r w:rsidRPr="005C2FCF">
        <w:lastRenderedPageBreak/>
        <w:t>About the research</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75281A" w:rsidRPr="002A55CE" w:rsidRDefault="0075281A" w:rsidP="00094819">
      <w:pPr>
        <w:pStyle w:val="Abouttheresearchpubtitle"/>
      </w:pPr>
      <w:bookmarkStart w:id="29" w:name="_Toc296423680"/>
      <w:bookmarkStart w:id="30" w:name="_Toc296497511"/>
      <w:bookmarkStart w:id="31" w:name="_Toc98394877"/>
      <w:r w:rsidRPr="002A55CE">
        <w:t xml:space="preserve">Lessons from VET providers </w:t>
      </w:r>
      <w:r w:rsidRPr="003452FF">
        <w:t>delivering</w:t>
      </w:r>
      <w:r w:rsidRPr="002A55CE">
        <w:t xml:space="preserve"> degree</w:t>
      </w:r>
      <w:bookmarkEnd w:id="29"/>
      <w:bookmarkEnd w:id="30"/>
      <w:r w:rsidRPr="002A55CE">
        <w:t>s</w:t>
      </w:r>
    </w:p>
    <w:p w:rsidR="0075281A" w:rsidRPr="00DF7B91" w:rsidRDefault="0075281A" w:rsidP="00094819">
      <w:pPr>
        <w:pStyle w:val="Heading3"/>
      </w:pPr>
      <w:bookmarkStart w:id="32" w:name="_Toc296423681"/>
      <w:bookmarkStart w:id="33" w:name="_Toc296497512"/>
      <w:bookmarkStart w:id="34" w:name="_Toc383076049"/>
      <w:bookmarkStart w:id="35" w:name="_Toc383428463"/>
      <w:bookmarkStart w:id="36" w:name="_Toc383428541"/>
      <w:bookmarkStart w:id="37" w:name="_Toc383428917"/>
      <w:r w:rsidRPr="002A55CE">
        <w:t>Victor J Callan</w:t>
      </w:r>
      <w:r>
        <w:t>, Callan Consulting Group;</w:t>
      </w:r>
      <w:r w:rsidRPr="002A55CE">
        <w:t xml:space="preserve"> Kaye Bowman</w:t>
      </w:r>
      <w:r>
        <w:t xml:space="preserve">, </w:t>
      </w:r>
      <w:r w:rsidR="0026405A">
        <w:br/>
      </w:r>
      <w:r>
        <w:t>Kaye Bowman Consulting</w:t>
      </w:r>
      <w:r w:rsidRPr="005F5EBB">
        <w:t xml:space="preserve"> </w:t>
      </w:r>
    </w:p>
    <w:bookmarkEnd w:id="31"/>
    <w:bookmarkEnd w:id="32"/>
    <w:bookmarkEnd w:id="33"/>
    <w:bookmarkEnd w:id="34"/>
    <w:bookmarkEnd w:id="35"/>
    <w:bookmarkEnd w:id="36"/>
    <w:bookmarkEnd w:id="37"/>
    <w:p w:rsidR="0075281A" w:rsidRDefault="0075281A" w:rsidP="00094819">
      <w:pPr>
        <w:pStyle w:val="Text"/>
      </w:pPr>
      <w:r>
        <w:t xml:space="preserve">This report is focused on the strategic, capability and operational reasons why traditional vocational education and training (VET) providers move to the delivery of higher education qualifications in their own right, in addition to their vocational qualifications. It is particularly interested in associate and bachelor degrees. This </w:t>
      </w:r>
      <w:r w:rsidR="00F71DEF">
        <w:t>beca</w:t>
      </w:r>
      <w:r>
        <w:t>me an increasingly important issue following the proposed opening-up of Commonwealth Supported Places to non-university providers under the higher education reforms outlined in the 2014 federal Budget. However, these anticipated changes have not occurred, potentially limiting VET providers’ commitment to make such changes to delivery.</w:t>
      </w:r>
    </w:p>
    <w:p w:rsidR="0075281A" w:rsidRDefault="0075281A" w:rsidP="00094819">
      <w:pPr>
        <w:pStyle w:val="Text"/>
      </w:pPr>
      <w:r>
        <w:t>By undertaking six case studies with both public and private VET providers, this research highlights the experiences and lessons learned by these institut</w:t>
      </w:r>
      <w:r w:rsidR="00F8525F">
        <w:t>ion</w:t>
      </w:r>
      <w:r>
        <w:t xml:space="preserve">s in delivering higher education qualifications. These case studies provide useful information for any VET provider considering adding higher education delivery to its </w:t>
      </w:r>
      <w:r w:rsidR="00F8525F">
        <w:t xml:space="preserve">current </w:t>
      </w:r>
      <w:r>
        <w:t>suite of qualifications.</w:t>
      </w:r>
    </w:p>
    <w:p w:rsidR="0075281A" w:rsidRPr="00361622" w:rsidRDefault="0075281A" w:rsidP="00361622">
      <w:pPr>
        <w:pStyle w:val="Keymessages"/>
      </w:pPr>
      <w:bookmarkStart w:id="38" w:name="_Toc98394878"/>
      <w:bookmarkStart w:id="39" w:name="_Toc296423682"/>
      <w:bookmarkStart w:id="40" w:name="_Toc296497513"/>
      <w:r w:rsidRPr="00361622">
        <w:t>Key messages</w:t>
      </w:r>
      <w:bookmarkEnd w:id="38"/>
      <w:bookmarkEnd w:id="39"/>
      <w:bookmarkEnd w:id="40"/>
      <w:r w:rsidRPr="00361622">
        <w:t xml:space="preserve"> </w:t>
      </w:r>
    </w:p>
    <w:p w:rsidR="0075281A" w:rsidRPr="002A0F09" w:rsidRDefault="0075281A" w:rsidP="0075281A">
      <w:pPr>
        <w:pStyle w:val="Dotpoint1"/>
        <w:spacing w:before="80"/>
      </w:pPr>
      <w:r>
        <w:t xml:space="preserve">In terms of strategic considerations, the case study organisations chose to deliver associate and bachelor degrees as a means for providing pathways into higher education for their VET graduates. They generally deliver these degrees in niche markets, those in which they have existing strengths and which will set them apart from other providers. They see their competitive points of advantage </w:t>
      </w:r>
      <w:r w:rsidRPr="002A0F09">
        <w:t>as the highly applied and field-based nature of their degrees and their smaller classes, with more personalised support for students than in traditional higher education providers.</w:t>
      </w:r>
    </w:p>
    <w:p w:rsidR="0075281A" w:rsidRPr="002A0F09" w:rsidRDefault="0075281A" w:rsidP="0075281A">
      <w:pPr>
        <w:pStyle w:val="Dotpoint1"/>
        <w:spacing w:before="80"/>
        <w:rPr>
          <w:rFonts w:eastAsia="SimSun"/>
        </w:rPr>
      </w:pPr>
      <w:r w:rsidRPr="002A0F09">
        <w:t xml:space="preserve">Locating suitably qualified staff to deliver their degrees was not a major challenge. However, organisations highlighted the challenges associated with moving VET staff to teaching in higher education and </w:t>
      </w:r>
      <w:r w:rsidR="00F8525F">
        <w:t xml:space="preserve">with </w:t>
      </w:r>
      <w:r w:rsidRPr="002A0F09">
        <w:t>providing opportunities for scholarship for staff teaching in higher education. Views on what is appropriate scholarship are still emerging and are more aligned to the applied nature of the higher education programs offered by their organisations.</w:t>
      </w:r>
    </w:p>
    <w:p w:rsidR="0075281A" w:rsidRPr="002A0F09" w:rsidRDefault="0075281A" w:rsidP="0075281A">
      <w:pPr>
        <w:pStyle w:val="Dotpoint1"/>
        <w:spacing w:before="80"/>
      </w:pPr>
      <w:r w:rsidRPr="002A0F09">
        <w:t xml:space="preserve">The cases suggest that it is important to involve industry in the planning and implementation of higher education degrees. VET providers also reveal that strategy and positioning relating to the delivery of degrees is constantly under review. They have clear short-term goals but longer-term goals are open to change. </w:t>
      </w:r>
    </w:p>
    <w:p w:rsidR="0075281A" w:rsidRDefault="0075281A" w:rsidP="0075281A">
      <w:pPr>
        <w:pStyle w:val="Dotpoint1"/>
        <w:spacing w:before="80"/>
        <w:ind w:right="-143"/>
      </w:pPr>
      <w:r w:rsidRPr="002A0F09">
        <w:t>Due to recent changes in VET funding policies in some states and the additional burden of having to report to two separate regu</w:t>
      </w:r>
      <w:r>
        <w:t xml:space="preserve">latory bodies, these VET providers have faced some challenges </w:t>
      </w:r>
      <w:r w:rsidR="00F8525F">
        <w:t>and this</w:t>
      </w:r>
      <w:r>
        <w:t xml:space="preserve"> has led </w:t>
      </w:r>
      <w:r w:rsidR="00DF4FB2">
        <w:t xml:space="preserve">some of </w:t>
      </w:r>
      <w:r>
        <w:t xml:space="preserve">them to reduce the delivery of higher education qualifications in their own right. </w:t>
      </w:r>
      <w:r w:rsidR="00F8525F">
        <w:t>One</w:t>
      </w:r>
      <w:r>
        <w:t xml:space="preserve"> view </w:t>
      </w:r>
      <w:r w:rsidR="00F8525F">
        <w:t>was that</w:t>
      </w:r>
      <w:r>
        <w:t xml:space="preserve"> a single regulatory body fo</w:t>
      </w:r>
      <w:r w:rsidR="00F8525F">
        <w:t>r both VET and higher education</w:t>
      </w:r>
      <w:r>
        <w:t xml:space="preserve"> would greatly decrease this burden</w:t>
      </w:r>
      <w:r w:rsidR="00CF0FB6">
        <w:t xml:space="preserve"> along with the </w:t>
      </w:r>
      <w:r>
        <w:t xml:space="preserve">opening-up of Commonwealth </w:t>
      </w:r>
      <w:r w:rsidR="00362BF2">
        <w:t>S</w:t>
      </w:r>
      <w:r>
        <w:t xml:space="preserve">upported </w:t>
      </w:r>
      <w:r w:rsidR="00362BF2">
        <w:t>P</w:t>
      </w:r>
      <w:r>
        <w:t>laces.</w:t>
      </w:r>
    </w:p>
    <w:p w:rsidR="0075281A" w:rsidRPr="009170E4" w:rsidRDefault="0075281A" w:rsidP="00CD6FC9">
      <w:pPr>
        <w:pStyle w:val="Text"/>
        <w:spacing w:before="560"/>
      </w:pPr>
      <w:r>
        <w:t>Dr Craig Fowler</w:t>
      </w:r>
      <w:r>
        <w:br/>
      </w:r>
      <w:r w:rsidRPr="005C2FCF">
        <w:t>Managing Director, NCVER</w:t>
      </w:r>
    </w:p>
    <w:p w:rsidR="0075281A" w:rsidRDefault="0075281A">
      <w:pPr>
        <w:spacing w:before="0" w:line="240" w:lineRule="auto"/>
        <w:rPr>
          <w:rFonts w:ascii="Tahoma" w:hAnsi="Tahoma" w:cs="Tahoma"/>
          <w:color w:val="000000"/>
          <w:kern w:val="28"/>
          <w:sz w:val="56"/>
          <w:szCs w:val="56"/>
        </w:rPr>
      </w:pPr>
      <w:r>
        <w:lastRenderedPageBreak/>
        <w:br w:type="page"/>
      </w:r>
    </w:p>
    <w:p w:rsidR="0075281A" w:rsidRDefault="0075281A" w:rsidP="00094819">
      <w:pPr>
        <w:pStyle w:val="Contents"/>
        <w:sectPr w:rsidR="0075281A" w:rsidSect="00094819">
          <w:headerReference w:type="even" r:id="rId22"/>
          <w:headerReference w:type="default" r:id="rId23"/>
          <w:footerReference w:type="even" r:id="rId24"/>
          <w:footerReference w:type="default" r:id="rId25"/>
          <w:headerReference w:type="first" r:id="rId26"/>
          <w:footerReference w:type="first" r:id="rId27"/>
          <w:pgSz w:w="11907" w:h="16840" w:code="9"/>
          <w:pgMar w:top="1276" w:right="1701" w:bottom="1276" w:left="1418" w:header="709" w:footer="556" w:gutter="0"/>
          <w:cols w:space="708"/>
          <w:docGrid w:linePitch="360"/>
        </w:sectPr>
      </w:pPr>
    </w:p>
    <w:p w:rsidR="0075281A" w:rsidRDefault="00AA64F3" w:rsidP="00094819">
      <w:pPr>
        <w:pStyle w:val="Contents"/>
      </w:pPr>
      <w:bookmarkStart w:id="41" w:name="_Toc98394880"/>
      <w:bookmarkStart w:id="42" w:name="_Toc296423683"/>
      <w:bookmarkStart w:id="43" w:name="_Toc296497514"/>
      <w:r>
        <w:rPr>
          <w:noProof/>
          <w:lang w:eastAsia="en-AU"/>
        </w:rPr>
        <w:lastRenderedPageBreak/>
        <w:drawing>
          <wp:anchor distT="0" distB="0" distL="114300" distR="114300" simplePos="0" relativeHeight="251745269" behindDoc="0" locked="0" layoutInCell="1" allowOverlap="1" wp14:anchorId="383D1138" wp14:editId="19CA5023">
            <wp:simplePos x="0" y="0"/>
            <wp:positionH relativeFrom="column">
              <wp:posOffset>1919605</wp:posOffset>
            </wp:positionH>
            <wp:positionV relativeFrom="paragraph">
              <wp:posOffset>456936</wp:posOffset>
            </wp:positionV>
            <wp:extent cx="414020" cy="414020"/>
            <wp:effectExtent l="0" t="0" r="5080" b="5080"/>
            <wp:wrapNone/>
            <wp:docPr id="4" name="Picture 4"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Conclusio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3B0">
        <w:rPr>
          <w:noProof/>
          <w:lang w:eastAsia="en-AU"/>
        </w:rPr>
        <w:drawing>
          <wp:anchor distT="0" distB="0" distL="114300" distR="114300" simplePos="0" relativeHeight="251749369" behindDoc="0" locked="0" layoutInCell="1" allowOverlap="1" wp14:anchorId="01710A70" wp14:editId="68AA153F">
            <wp:simplePos x="0" y="0"/>
            <wp:positionH relativeFrom="column">
              <wp:posOffset>3351530</wp:posOffset>
            </wp:positionH>
            <wp:positionV relativeFrom="paragraph">
              <wp:posOffset>439791</wp:posOffset>
            </wp:positionV>
            <wp:extent cx="414020" cy="431165"/>
            <wp:effectExtent l="0" t="0" r="5080" b="6985"/>
            <wp:wrapNone/>
            <wp:docPr id="91" name="Picture 91" descr="P:\PublicationComponents\Icons\DollarSign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DollarSign_Ligh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3B0">
        <w:rPr>
          <w:noProof/>
          <w:lang w:eastAsia="en-AU"/>
        </w:rPr>
        <w:drawing>
          <wp:anchor distT="0" distB="0" distL="114300" distR="114300" simplePos="0" relativeHeight="251750394" behindDoc="0" locked="0" layoutInCell="1" allowOverlap="1" wp14:anchorId="5FFDF252" wp14:editId="2C461054">
            <wp:simplePos x="0" y="0"/>
            <wp:positionH relativeFrom="column">
              <wp:posOffset>2885440</wp:posOffset>
            </wp:positionH>
            <wp:positionV relativeFrom="paragraph">
              <wp:posOffset>457200</wp:posOffset>
            </wp:positionV>
            <wp:extent cx="414020" cy="414020"/>
            <wp:effectExtent l="0" t="0" r="5080" b="5080"/>
            <wp:wrapNone/>
            <wp:docPr id="90" name="Picture 90"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3B0">
        <w:rPr>
          <w:noProof/>
          <w:lang w:eastAsia="en-AU"/>
        </w:rPr>
        <w:drawing>
          <wp:anchor distT="0" distB="0" distL="114300" distR="114300" simplePos="0" relativeHeight="251751419" behindDoc="0" locked="0" layoutInCell="1" allowOverlap="1" wp14:anchorId="16ED2682" wp14:editId="22EB015A">
            <wp:simplePos x="0" y="0"/>
            <wp:positionH relativeFrom="column">
              <wp:posOffset>2428240</wp:posOffset>
            </wp:positionH>
            <wp:positionV relativeFrom="paragraph">
              <wp:posOffset>448574</wp:posOffset>
            </wp:positionV>
            <wp:extent cx="414020" cy="414020"/>
            <wp:effectExtent l="0" t="0" r="5080" b="5080"/>
            <wp:wrapNone/>
            <wp:docPr id="89" name="Picture 89"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Reference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3CC">
        <w:rPr>
          <w:noProof/>
          <w:lang w:eastAsia="en-AU"/>
        </w:rPr>
        <w:drawing>
          <wp:anchor distT="0" distB="0" distL="114300" distR="114300" simplePos="0" relativeHeight="251755519" behindDoc="0" locked="0" layoutInCell="1" allowOverlap="1" wp14:anchorId="2C9F8F0C" wp14:editId="003F7F6D">
            <wp:simplePos x="0" y="0"/>
            <wp:positionH relativeFrom="column">
              <wp:posOffset>959485</wp:posOffset>
            </wp:positionH>
            <wp:positionV relativeFrom="paragraph">
              <wp:posOffset>460746</wp:posOffset>
            </wp:positionV>
            <wp:extent cx="414020" cy="448310"/>
            <wp:effectExtent l="0" t="0" r="5080" b="8890"/>
            <wp:wrapNone/>
            <wp:docPr id="66" name="Picture 66" descr="P:\PublicationComponents\Icons\ExclamationMark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ExclamationMarkPurpl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A35" w:rsidRPr="00FD2A35">
        <w:rPr>
          <w:noProof/>
          <w:lang w:eastAsia="en-AU"/>
        </w:rPr>
        <w:drawing>
          <wp:anchor distT="0" distB="0" distL="114300" distR="114300" simplePos="0" relativeHeight="251988992" behindDoc="0" locked="0" layoutInCell="1" allowOverlap="1" wp14:anchorId="1F0837B1" wp14:editId="194D3288">
            <wp:simplePos x="0" y="0"/>
            <wp:positionH relativeFrom="column">
              <wp:posOffset>-26035</wp:posOffset>
            </wp:positionH>
            <wp:positionV relativeFrom="paragraph">
              <wp:posOffset>455930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A35" w:rsidRPr="00FD2A35">
        <w:rPr>
          <w:noProof/>
          <w:lang w:eastAsia="en-AU"/>
        </w:rPr>
        <w:drawing>
          <wp:anchor distT="0" distB="0" distL="114300" distR="114300" simplePos="0" relativeHeight="251990016" behindDoc="0" locked="0" layoutInCell="1" allowOverlap="1" wp14:anchorId="41985A3B" wp14:editId="0CCA6693">
            <wp:simplePos x="0" y="0"/>
            <wp:positionH relativeFrom="column">
              <wp:posOffset>459740</wp:posOffset>
            </wp:positionH>
            <wp:positionV relativeFrom="paragraph">
              <wp:posOffset>452755</wp:posOffset>
            </wp:positionV>
            <wp:extent cx="419100" cy="447675"/>
            <wp:effectExtent l="0" t="0" r="0" b="9525"/>
            <wp:wrapNone/>
            <wp:docPr id="61" name="Picture 61"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A35" w:rsidRPr="00FD2A35">
        <w:rPr>
          <w:noProof/>
          <w:lang w:eastAsia="en-AU"/>
        </w:rPr>
        <w:drawing>
          <wp:anchor distT="0" distB="0" distL="114300" distR="114300" simplePos="0" relativeHeight="251991040" behindDoc="0" locked="0" layoutInCell="1" allowOverlap="1" wp14:anchorId="4BCDC069" wp14:editId="2F5B6006">
            <wp:simplePos x="0" y="0"/>
            <wp:positionH relativeFrom="column">
              <wp:posOffset>1431290</wp:posOffset>
            </wp:positionH>
            <wp:positionV relativeFrom="paragraph">
              <wp:posOffset>455930</wp:posOffset>
            </wp:positionV>
            <wp:extent cx="419100" cy="419100"/>
            <wp:effectExtent l="0" t="0" r="0" b="0"/>
            <wp:wrapNone/>
            <wp:docPr id="63" name="Picture 63" descr="P:\PublicationComponents\Icons\TargetWithArrow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TargetWithArrow_LightBlu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81A" w:rsidRPr="00DC5F5C">
        <w:t>Contents</w:t>
      </w:r>
    </w:p>
    <w:p w:rsidR="00FD2A35" w:rsidRDefault="00FD2A35" w:rsidP="00FD2A35">
      <w:pPr>
        <w:pStyle w:val="TOC1"/>
        <w:spacing w:before="360"/>
        <w:ind w:right="1985"/>
        <w:rPr>
          <w:rFonts w:ascii="Avant Garde" w:hAnsi="Avant Garde"/>
        </w:rPr>
      </w:pPr>
    </w:p>
    <w:p w:rsidR="0075281A" w:rsidRDefault="0075281A" w:rsidP="00FD2A35">
      <w:pPr>
        <w:pStyle w:val="TOC1"/>
        <w:spacing w:before="360"/>
        <w:ind w:right="1985"/>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Pr="009775C7">
        <w:rPr>
          <w:rFonts w:ascii="Avant Garde" w:hAnsi="Avant Garde"/>
        </w:rPr>
        <w:instrText xml:space="preserve"> TOC \o "1-2" </w:instrText>
      </w:r>
      <w:r w:rsidRPr="009775C7">
        <w:rPr>
          <w:rFonts w:ascii="Avant Garde" w:hAnsi="Avant Garde"/>
        </w:rPr>
        <w:fldChar w:fldCharType="separate"/>
      </w:r>
      <w:r>
        <w:t>Tables and figures</w:t>
      </w:r>
      <w:r>
        <w:tab/>
      </w:r>
      <w:r>
        <w:fldChar w:fldCharType="begin"/>
      </w:r>
      <w:r>
        <w:instrText xml:space="preserve"> PAGEREF _Toc419972073 \h </w:instrText>
      </w:r>
      <w:r>
        <w:fldChar w:fldCharType="separate"/>
      </w:r>
      <w:r w:rsidR="00DF4FB2">
        <w:t>6</w:t>
      </w:r>
      <w:r>
        <w:fldChar w:fldCharType="end"/>
      </w:r>
    </w:p>
    <w:p w:rsidR="0075281A" w:rsidRDefault="0075281A">
      <w:pPr>
        <w:pStyle w:val="TOC1"/>
        <w:rPr>
          <w:rFonts w:asciiTheme="minorHAnsi" w:eastAsiaTheme="minorEastAsia" w:hAnsiTheme="minorHAnsi" w:cstheme="minorBidi"/>
          <w:color w:val="auto"/>
          <w:sz w:val="22"/>
          <w:szCs w:val="22"/>
          <w:lang w:eastAsia="en-AU"/>
        </w:rPr>
      </w:pPr>
      <w:r>
        <w:t>Acknowledgments</w:t>
      </w:r>
      <w:r>
        <w:tab/>
      </w:r>
      <w:r>
        <w:fldChar w:fldCharType="begin"/>
      </w:r>
      <w:r>
        <w:instrText xml:space="preserve"> PAGEREF _Toc419972076 \h </w:instrText>
      </w:r>
      <w:r>
        <w:fldChar w:fldCharType="separate"/>
      </w:r>
      <w:r w:rsidR="00DF4FB2">
        <w:t>7</w:t>
      </w:r>
      <w:r>
        <w:fldChar w:fldCharType="end"/>
      </w:r>
    </w:p>
    <w:p w:rsidR="0075281A" w:rsidRDefault="0075281A">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_Toc419972077 \h </w:instrText>
      </w:r>
      <w:r>
        <w:fldChar w:fldCharType="separate"/>
      </w:r>
      <w:r w:rsidR="00DF4FB2">
        <w:t>8</w:t>
      </w:r>
      <w:r>
        <w:fldChar w:fldCharType="end"/>
      </w:r>
    </w:p>
    <w:p w:rsidR="0075281A" w:rsidRDefault="0075281A">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_Toc419972082 \h </w:instrText>
      </w:r>
      <w:r>
        <w:fldChar w:fldCharType="separate"/>
      </w:r>
      <w:r w:rsidR="00DF4FB2">
        <w:t>12</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Research aims and questions</w:t>
      </w:r>
      <w:r>
        <w:tab/>
      </w:r>
      <w:r>
        <w:fldChar w:fldCharType="begin"/>
      </w:r>
      <w:r>
        <w:instrText xml:space="preserve"> PAGEREF _Toc419972083 \h </w:instrText>
      </w:r>
      <w:r>
        <w:fldChar w:fldCharType="separate"/>
      </w:r>
      <w:r w:rsidR="00DF4FB2">
        <w:t>12</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Research context</w:t>
      </w:r>
      <w:r>
        <w:tab/>
      </w:r>
      <w:r>
        <w:fldChar w:fldCharType="begin"/>
      </w:r>
      <w:r>
        <w:instrText xml:space="preserve"> PAGEREF _Toc419972084 \h </w:instrText>
      </w:r>
      <w:r>
        <w:fldChar w:fldCharType="separate"/>
      </w:r>
      <w:r w:rsidR="00DF4FB2">
        <w:t>12</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_Toc419972085 \h </w:instrText>
      </w:r>
      <w:r>
        <w:fldChar w:fldCharType="separate"/>
      </w:r>
      <w:r w:rsidR="00DF4FB2">
        <w:t>12</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Case study method</w:t>
      </w:r>
      <w:r>
        <w:tab/>
      </w:r>
      <w:r>
        <w:fldChar w:fldCharType="begin"/>
      </w:r>
      <w:r>
        <w:instrText xml:space="preserve"> PAGEREF _Toc419972086 \h </w:instrText>
      </w:r>
      <w:r>
        <w:fldChar w:fldCharType="separate"/>
      </w:r>
      <w:r w:rsidR="00DF4FB2">
        <w:t>13</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Report structure</w:t>
      </w:r>
      <w:r>
        <w:tab/>
      </w:r>
      <w:r>
        <w:fldChar w:fldCharType="begin"/>
      </w:r>
      <w:r>
        <w:instrText xml:space="preserve"> PAGEREF _Toc419972087 \h </w:instrText>
      </w:r>
      <w:r>
        <w:fldChar w:fldCharType="separate"/>
      </w:r>
      <w:r w:rsidR="00DF4FB2">
        <w:t>14</w:t>
      </w:r>
      <w:r>
        <w:fldChar w:fldCharType="end"/>
      </w:r>
    </w:p>
    <w:p w:rsidR="0075281A" w:rsidRDefault="0075281A">
      <w:pPr>
        <w:pStyle w:val="TOC1"/>
        <w:rPr>
          <w:rFonts w:asciiTheme="minorHAnsi" w:eastAsiaTheme="minorEastAsia" w:hAnsiTheme="minorHAnsi" w:cstheme="minorBidi"/>
          <w:color w:val="auto"/>
          <w:sz w:val="22"/>
          <w:szCs w:val="22"/>
          <w:lang w:eastAsia="en-AU"/>
        </w:rPr>
      </w:pPr>
      <w:r>
        <w:t>Issues for VET providers delivering associate and bachelor degrees</w:t>
      </w:r>
      <w:r>
        <w:tab/>
      </w:r>
      <w:r>
        <w:fldChar w:fldCharType="begin"/>
      </w:r>
      <w:r>
        <w:instrText xml:space="preserve"> PAGEREF _Toc419972088 \h </w:instrText>
      </w:r>
      <w:r>
        <w:fldChar w:fldCharType="separate"/>
      </w:r>
      <w:r w:rsidR="00DF4FB2">
        <w:t>15</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Reforms and diversification of provider types in tertiary education</w:t>
      </w:r>
      <w:r>
        <w:tab/>
      </w:r>
      <w:r>
        <w:fldChar w:fldCharType="begin"/>
      </w:r>
      <w:r>
        <w:instrText xml:space="preserve"> PAGEREF _Toc419972089 \h </w:instrText>
      </w:r>
      <w:r>
        <w:fldChar w:fldCharType="separate"/>
      </w:r>
      <w:r w:rsidR="00DF4FB2">
        <w:t>15</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Issues arising for VET providers delivering degrees in their own right</w:t>
      </w:r>
      <w:r>
        <w:tab/>
      </w:r>
      <w:r>
        <w:fldChar w:fldCharType="begin"/>
      </w:r>
      <w:r>
        <w:instrText xml:space="preserve"> PAGEREF _Toc419972090 \h </w:instrText>
      </w:r>
      <w:r>
        <w:fldChar w:fldCharType="separate"/>
      </w:r>
      <w:r w:rsidR="00DF4FB2">
        <w:t>18</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_Toc419972094 \h </w:instrText>
      </w:r>
      <w:r>
        <w:fldChar w:fldCharType="separate"/>
      </w:r>
      <w:r w:rsidR="00DF4FB2">
        <w:t>22</w:t>
      </w:r>
      <w:r>
        <w:fldChar w:fldCharType="end"/>
      </w:r>
    </w:p>
    <w:p w:rsidR="0075281A" w:rsidRDefault="0075281A">
      <w:pPr>
        <w:pStyle w:val="TOC1"/>
        <w:rPr>
          <w:rFonts w:asciiTheme="minorHAnsi" w:eastAsiaTheme="minorEastAsia" w:hAnsiTheme="minorHAnsi" w:cstheme="minorBidi"/>
          <w:color w:val="auto"/>
          <w:sz w:val="22"/>
          <w:szCs w:val="22"/>
          <w:lang w:eastAsia="en-AU"/>
        </w:rPr>
      </w:pPr>
      <w:r>
        <w:t>Findings from the case studies</w:t>
      </w:r>
      <w:r>
        <w:tab/>
      </w:r>
      <w:r>
        <w:fldChar w:fldCharType="begin"/>
      </w:r>
      <w:r>
        <w:instrText xml:space="preserve"> PAGEREF _Toc419972095 \h </w:instrText>
      </w:r>
      <w:r>
        <w:fldChar w:fldCharType="separate"/>
      </w:r>
      <w:r w:rsidR="00DF4FB2">
        <w:t>23</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Strategic drivers for VET providers</w:t>
      </w:r>
      <w:r>
        <w:tab/>
      </w:r>
      <w:r>
        <w:fldChar w:fldCharType="begin"/>
      </w:r>
      <w:r>
        <w:instrText xml:space="preserve"> PAGEREF _Toc419972096 \h </w:instrText>
      </w:r>
      <w:r>
        <w:fldChar w:fldCharType="separate"/>
      </w:r>
      <w:r w:rsidR="00DF4FB2">
        <w:t>23</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Summary: Research question 1</w:t>
      </w:r>
      <w:r>
        <w:tab/>
      </w:r>
      <w:r>
        <w:fldChar w:fldCharType="begin"/>
      </w:r>
      <w:r>
        <w:instrText xml:space="preserve"> PAGEREF _Toc419972097 \h </w:instrText>
      </w:r>
      <w:r>
        <w:fldChar w:fldCharType="separate"/>
      </w:r>
      <w:r w:rsidR="00DF4FB2">
        <w:t>27</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Building capability in staff and students</w:t>
      </w:r>
      <w:r>
        <w:tab/>
      </w:r>
      <w:r>
        <w:fldChar w:fldCharType="begin"/>
      </w:r>
      <w:r>
        <w:instrText xml:space="preserve"> PAGEREF _Toc419972098 \h </w:instrText>
      </w:r>
      <w:r>
        <w:fldChar w:fldCharType="separate"/>
      </w:r>
      <w:r w:rsidR="00DF4FB2">
        <w:t>28</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Summary: Research question 2</w:t>
      </w:r>
      <w:r>
        <w:tab/>
      </w:r>
      <w:r>
        <w:fldChar w:fldCharType="begin"/>
      </w:r>
      <w:r>
        <w:instrText xml:space="preserve"> PAGEREF _Toc419972099 \h </w:instrText>
      </w:r>
      <w:r>
        <w:fldChar w:fldCharType="separate"/>
      </w:r>
      <w:r w:rsidR="00DF4FB2">
        <w:t>31</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Operational issues</w:t>
      </w:r>
      <w:r>
        <w:tab/>
      </w:r>
      <w:r>
        <w:fldChar w:fldCharType="begin"/>
      </w:r>
      <w:r>
        <w:instrText xml:space="preserve"> PAGEREF _Toc419972100 \h </w:instrText>
      </w:r>
      <w:r>
        <w:fldChar w:fldCharType="separate"/>
      </w:r>
      <w:r w:rsidR="00DF4FB2">
        <w:t>31</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Summary: Research question 3</w:t>
      </w:r>
      <w:r>
        <w:tab/>
      </w:r>
      <w:r>
        <w:fldChar w:fldCharType="begin"/>
      </w:r>
      <w:r>
        <w:instrText xml:space="preserve"> PAGEREF _Toc419972101 \h </w:instrText>
      </w:r>
      <w:r>
        <w:fldChar w:fldCharType="separate"/>
      </w:r>
      <w:r w:rsidR="00DF4FB2">
        <w:t>34</w:t>
      </w:r>
      <w:r>
        <w:fldChar w:fldCharType="end"/>
      </w:r>
    </w:p>
    <w:p w:rsidR="0075281A" w:rsidRDefault="0075281A">
      <w:pPr>
        <w:pStyle w:val="TOC1"/>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_Toc419972102 \h </w:instrText>
      </w:r>
      <w:r>
        <w:fldChar w:fldCharType="separate"/>
      </w:r>
      <w:r w:rsidR="00DF4FB2">
        <w:t>35</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Best practice guides</w:t>
      </w:r>
      <w:r>
        <w:tab/>
      </w:r>
      <w:r>
        <w:fldChar w:fldCharType="begin"/>
      </w:r>
      <w:r>
        <w:instrText xml:space="preserve"> PAGEREF _Toc419972103 \h </w:instrText>
      </w:r>
      <w:r>
        <w:fldChar w:fldCharType="separate"/>
      </w:r>
      <w:r w:rsidR="00DF4FB2">
        <w:t>35</w:t>
      </w:r>
      <w:r>
        <w:fldChar w:fldCharType="end"/>
      </w:r>
    </w:p>
    <w:p w:rsidR="0075281A" w:rsidRDefault="0075281A">
      <w:pPr>
        <w:pStyle w:val="TOC2"/>
        <w:rPr>
          <w:rFonts w:asciiTheme="minorHAnsi" w:eastAsiaTheme="minorEastAsia" w:hAnsiTheme="minorHAnsi" w:cstheme="minorBidi"/>
          <w:color w:val="auto"/>
          <w:sz w:val="22"/>
          <w:szCs w:val="22"/>
          <w:lang w:eastAsia="en-AU"/>
        </w:rPr>
      </w:pPr>
      <w:r>
        <w:t>Concluding remarks</w:t>
      </w:r>
      <w:r>
        <w:tab/>
      </w:r>
      <w:r>
        <w:fldChar w:fldCharType="begin"/>
      </w:r>
      <w:r>
        <w:instrText xml:space="preserve"> PAGEREF _Toc419972104 \h </w:instrText>
      </w:r>
      <w:r>
        <w:fldChar w:fldCharType="separate"/>
      </w:r>
      <w:r w:rsidR="00DF4FB2">
        <w:t>37</w:t>
      </w:r>
      <w:r>
        <w:fldChar w:fldCharType="end"/>
      </w:r>
    </w:p>
    <w:p w:rsidR="0075281A" w:rsidRDefault="0075281A">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_Toc419972105 \h </w:instrText>
      </w:r>
      <w:r>
        <w:fldChar w:fldCharType="separate"/>
      </w:r>
      <w:r w:rsidR="00DF4FB2">
        <w:t>39</w:t>
      </w:r>
      <w:r>
        <w:fldChar w:fldCharType="end"/>
      </w:r>
    </w:p>
    <w:p w:rsidR="0075281A" w:rsidRDefault="0075281A">
      <w:pPr>
        <w:pStyle w:val="TOC1"/>
        <w:rPr>
          <w:rFonts w:asciiTheme="minorHAnsi" w:eastAsiaTheme="minorEastAsia" w:hAnsiTheme="minorHAnsi" w:cstheme="minorBidi"/>
          <w:color w:val="auto"/>
          <w:sz w:val="22"/>
          <w:szCs w:val="22"/>
          <w:lang w:eastAsia="en-AU"/>
        </w:rPr>
      </w:pPr>
      <w:r>
        <w:t>Appendix A: Interview guide for the case studies</w:t>
      </w:r>
      <w:r>
        <w:tab/>
      </w:r>
      <w:r>
        <w:fldChar w:fldCharType="begin"/>
      </w:r>
      <w:r>
        <w:instrText xml:space="preserve"> PAGEREF _Toc419972106 \h </w:instrText>
      </w:r>
      <w:r>
        <w:fldChar w:fldCharType="separate"/>
      </w:r>
      <w:r w:rsidR="00DF4FB2">
        <w:t>41</w:t>
      </w:r>
      <w:r>
        <w:fldChar w:fldCharType="end"/>
      </w:r>
    </w:p>
    <w:p w:rsidR="0075281A" w:rsidRDefault="0075281A">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_Toc419972107 \h </w:instrText>
      </w:r>
      <w:r>
        <w:fldChar w:fldCharType="separate"/>
      </w:r>
      <w:r w:rsidR="00DF4FB2">
        <w:t>43</w:t>
      </w:r>
      <w:r>
        <w:fldChar w:fldCharType="end"/>
      </w:r>
    </w:p>
    <w:p w:rsidR="0075281A" w:rsidRPr="003432DD" w:rsidRDefault="0075281A" w:rsidP="00094819">
      <w:pPr>
        <w:pStyle w:val="Text"/>
      </w:pPr>
      <w:r w:rsidRPr="009775C7">
        <w:fldChar w:fldCharType="end"/>
      </w:r>
    </w:p>
    <w:p w:rsidR="0075281A" w:rsidRDefault="0075281A">
      <w:pPr>
        <w:spacing w:before="0" w:line="240" w:lineRule="auto"/>
        <w:rPr>
          <w:rFonts w:ascii="Tahoma" w:hAnsi="Tahoma" w:cs="Tahoma"/>
          <w:color w:val="000000"/>
          <w:kern w:val="28"/>
          <w:sz w:val="56"/>
          <w:szCs w:val="56"/>
        </w:rPr>
      </w:pPr>
      <w:r>
        <w:br w:type="page"/>
      </w:r>
    </w:p>
    <w:p w:rsidR="0075281A" w:rsidRDefault="0075281A" w:rsidP="00094819">
      <w:pPr>
        <w:pStyle w:val="Heading1"/>
      </w:pPr>
      <w:bookmarkStart w:id="44" w:name="_Toc419972073"/>
      <w:r>
        <w:lastRenderedPageBreak/>
        <w:t>Tables and figures</w:t>
      </w:r>
      <w:bookmarkEnd w:id="44"/>
    </w:p>
    <w:p w:rsidR="0075281A" w:rsidRDefault="0075281A" w:rsidP="00094819">
      <w:pPr>
        <w:pStyle w:val="Heading2"/>
      </w:pPr>
      <w:bookmarkStart w:id="45" w:name="_Toc419382429"/>
      <w:bookmarkStart w:id="46" w:name="_Toc419791049"/>
      <w:bookmarkStart w:id="47" w:name="_Toc419972074"/>
      <w:r>
        <w:t>Tables</w:t>
      </w:r>
      <w:bookmarkEnd w:id="45"/>
      <w:bookmarkEnd w:id="46"/>
      <w:bookmarkEnd w:id="47"/>
    </w:p>
    <w:p w:rsidR="0075281A" w:rsidRDefault="0075281A">
      <w:pPr>
        <w:pStyle w:val="TableofFigures"/>
        <w:tabs>
          <w:tab w:val="left" w:pos="88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t>1</w:t>
      </w:r>
      <w:r>
        <w:rPr>
          <w:rFonts w:asciiTheme="minorHAnsi" w:eastAsiaTheme="minorEastAsia" w:hAnsiTheme="minorHAnsi" w:cstheme="minorBidi"/>
          <w:color w:val="auto"/>
          <w:sz w:val="22"/>
          <w:szCs w:val="22"/>
          <w:lang w:eastAsia="en-AU"/>
        </w:rPr>
        <w:tab/>
      </w:r>
      <w:r>
        <w:t>Categories of tertiary education institutions in Australia</w:t>
      </w:r>
      <w:r>
        <w:tab/>
      </w:r>
      <w:r>
        <w:fldChar w:fldCharType="begin"/>
      </w:r>
      <w:r>
        <w:instrText xml:space="preserve"> PAGEREF _Toc419791094 \h </w:instrText>
      </w:r>
      <w:r>
        <w:fldChar w:fldCharType="separate"/>
      </w:r>
      <w:r w:rsidR="00DF4FB2">
        <w:t>13</w:t>
      </w:r>
      <w:r>
        <w:fldChar w:fldCharType="end"/>
      </w:r>
    </w:p>
    <w:p w:rsidR="0075281A" w:rsidRDefault="0075281A">
      <w:pPr>
        <w:pStyle w:val="TableofFigures"/>
        <w:tabs>
          <w:tab w:val="left" w:pos="880"/>
        </w:tabs>
        <w:rPr>
          <w:rFonts w:asciiTheme="minorHAnsi" w:eastAsiaTheme="minorEastAsia" w:hAnsiTheme="minorHAnsi" w:cstheme="minorBidi"/>
          <w:color w:val="auto"/>
          <w:sz w:val="22"/>
          <w:szCs w:val="22"/>
          <w:lang w:eastAsia="en-AU"/>
        </w:rPr>
      </w:pPr>
      <w:r w:rsidRPr="005E3F4C">
        <w:rPr>
          <w:rFonts w:eastAsiaTheme="majorEastAsia"/>
        </w:rPr>
        <w:t>2</w:t>
      </w:r>
      <w:r>
        <w:rPr>
          <w:rFonts w:asciiTheme="minorHAnsi" w:eastAsiaTheme="minorEastAsia" w:hAnsiTheme="minorHAnsi" w:cstheme="minorBidi"/>
          <w:color w:val="auto"/>
          <w:sz w:val="22"/>
          <w:szCs w:val="22"/>
          <w:lang w:eastAsia="en-AU"/>
        </w:rPr>
        <w:tab/>
      </w:r>
      <w:r w:rsidRPr="005E3F4C">
        <w:rPr>
          <w:rFonts w:eastAsiaTheme="majorEastAsia"/>
        </w:rPr>
        <w:t>Case study providers and the selection criteria</w:t>
      </w:r>
      <w:r>
        <w:tab/>
      </w:r>
      <w:r>
        <w:fldChar w:fldCharType="begin"/>
      </w:r>
      <w:r>
        <w:instrText xml:space="preserve"> PAGEREF _Toc419791095 \h </w:instrText>
      </w:r>
      <w:r>
        <w:fldChar w:fldCharType="separate"/>
      </w:r>
      <w:r w:rsidR="00DF4FB2">
        <w:t>14</w:t>
      </w:r>
      <w:r>
        <w:fldChar w:fldCharType="end"/>
      </w:r>
    </w:p>
    <w:p w:rsidR="0075281A" w:rsidRDefault="0075281A">
      <w:pPr>
        <w:pStyle w:val="TableofFigures"/>
        <w:tabs>
          <w:tab w:val="left" w:pos="880"/>
        </w:tabs>
        <w:rPr>
          <w:rFonts w:asciiTheme="minorHAnsi" w:eastAsiaTheme="minorEastAsia" w:hAnsiTheme="minorHAnsi" w:cstheme="minorBidi"/>
          <w:color w:val="auto"/>
          <w:sz w:val="22"/>
          <w:szCs w:val="22"/>
          <w:lang w:eastAsia="en-AU"/>
        </w:rPr>
      </w:pPr>
      <w:r w:rsidRPr="005E3F4C">
        <w:rPr>
          <w:rFonts w:eastAsiaTheme="minorHAnsi"/>
        </w:rPr>
        <w:t>3</w:t>
      </w:r>
      <w:r>
        <w:rPr>
          <w:rFonts w:asciiTheme="minorHAnsi" w:eastAsiaTheme="minorEastAsia" w:hAnsiTheme="minorHAnsi" w:cstheme="minorBidi"/>
          <w:color w:val="auto"/>
          <w:sz w:val="22"/>
          <w:szCs w:val="22"/>
          <w:lang w:eastAsia="en-AU"/>
        </w:rPr>
        <w:tab/>
      </w:r>
      <w:r w:rsidRPr="005E3F4C">
        <w:rPr>
          <w:rFonts w:eastAsiaTheme="minorHAnsi"/>
        </w:rPr>
        <w:t>Characteristics of a Holmesglen higher education course</w:t>
      </w:r>
      <w:r>
        <w:tab/>
      </w:r>
      <w:r>
        <w:fldChar w:fldCharType="begin"/>
      </w:r>
      <w:r>
        <w:instrText xml:space="preserve"> PAGEREF _Toc419791096 \h </w:instrText>
      </w:r>
      <w:r>
        <w:fldChar w:fldCharType="separate"/>
      </w:r>
      <w:r w:rsidR="00DF4FB2">
        <w:t>35</w:t>
      </w:r>
      <w:r>
        <w:fldChar w:fldCharType="end"/>
      </w:r>
    </w:p>
    <w:p w:rsidR="0075281A" w:rsidRDefault="0075281A" w:rsidP="00094819">
      <w:pPr>
        <w:pStyle w:val="Heading2"/>
        <w:rPr>
          <w:noProof/>
        </w:rPr>
      </w:pPr>
      <w:r>
        <w:fldChar w:fldCharType="end"/>
      </w:r>
      <w:bookmarkStart w:id="48" w:name="_Toc419382430"/>
      <w:bookmarkStart w:id="49" w:name="_Toc419791050"/>
      <w:bookmarkStart w:id="50" w:name="_Toc419972075"/>
      <w:r>
        <w:t>Figure</w:t>
      </w:r>
      <w:bookmarkEnd w:id="48"/>
      <w:bookmarkEnd w:id="49"/>
      <w:bookmarkEnd w:id="50"/>
      <w:r>
        <w:rPr>
          <w:rFonts w:ascii="Garamond" w:hAnsi="Garamond"/>
          <w:sz w:val="22"/>
        </w:rPr>
        <w:fldChar w:fldCharType="begin"/>
      </w:r>
      <w:r>
        <w:instrText xml:space="preserve"> TOC \t "Figuretitle" \c </w:instrText>
      </w:r>
      <w:r>
        <w:rPr>
          <w:rFonts w:ascii="Garamond" w:hAnsi="Garamond"/>
          <w:sz w:val="22"/>
        </w:rPr>
        <w:fldChar w:fldCharType="separate"/>
      </w:r>
    </w:p>
    <w:p w:rsidR="0075281A" w:rsidRDefault="0075281A" w:rsidP="00094819">
      <w:pPr>
        <w:pStyle w:val="TableofFigures"/>
        <w:tabs>
          <w:tab w:val="left" w:pos="1100"/>
        </w:tabs>
        <w:ind w:left="284" w:hanging="284"/>
        <w:rPr>
          <w:rFonts w:asciiTheme="minorHAnsi" w:eastAsiaTheme="minorEastAsia" w:hAnsiTheme="minorHAnsi" w:cstheme="minorBidi"/>
          <w:color w:val="auto"/>
          <w:sz w:val="22"/>
          <w:szCs w:val="22"/>
          <w:lang w:eastAsia="en-AU"/>
        </w:rPr>
      </w:pPr>
      <w:r w:rsidRPr="0055522E">
        <w:rPr>
          <w:rFonts w:eastAsia="SimSun"/>
          <w:lang w:eastAsia="zh-CN"/>
        </w:rPr>
        <w:t>1</w:t>
      </w:r>
      <w:r>
        <w:rPr>
          <w:rFonts w:asciiTheme="minorHAnsi" w:eastAsiaTheme="minorEastAsia" w:hAnsiTheme="minorHAnsi" w:cstheme="minorBidi"/>
          <w:color w:val="auto"/>
          <w:sz w:val="22"/>
          <w:szCs w:val="22"/>
          <w:lang w:eastAsia="en-AU"/>
        </w:rPr>
        <w:tab/>
      </w:r>
      <w:r w:rsidRPr="0055522E">
        <w:rPr>
          <w:rFonts w:eastAsia="SimSun"/>
          <w:lang w:eastAsia="zh-CN"/>
        </w:rPr>
        <w:t xml:space="preserve">Continuum of higher education engagement strategies adopted </w:t>
      </w:r>
      <w:r>
        <w:rPr>
          <w:rFonts w:eastAsia="SimSun"/>
          <w:lang w:eastAsia="zh-CN"/>
        </w:rPr>
        <w:br/>
      </w:r>
      <w:r w:rsidRPr="0055522E">
        <w:rPr>
          <w:rFonts w:eastAsia="SimSun"/>
          <w:lang w:eastAsia="zh-CN"/>
        </w:rPr>
        <w:t>by TAFE SA</w:t>
      </w:r>
      <w:r>
        <w:tab/>
      </w:r>
      <w:r>
        <w:fldChar w:fldCharType="begin"/>
      </w:r>
      <w:r>
        <w:instrText xml:space="preserve"> PAGEREF _Toc419791102 \h </w:instrText>
      </w:r>
      <w:r>
        <w:fldChar w:fldCharType="separate"/>
      </w:r>
      <w:r w:rsidR="00DF4FB2">
        <w:t>36</w:t>
      </w:r>
      <w:r>
        <w:fldChar w:fldCharType="end"/>
      </w:r>
    </w:p>
    <w:p w:rsidR="0075281A" w:rsidRDefault="0075281A" w:rsidP="00094819">
      <w:pPr>
        <w:pStyle w:val="TableofFigures"/>
      </w:pPr>
      <w:r>
        <w:fldChar w:fldCharType="end"/>
      </w:r>
    </w:p>
    <w:p w:rsidR="0075281A" w:rsidRDefault="0075281A">
      <w:pPr>
        <w:spacing w:before="0" w:line="240" w:lineRule="auto"/>
        <w:rPr>
          <w:rFonts w:ascii="Tahoma" w:hAnsi="Tahoma" w:cs="Tahoma"/>
          <w:color w:val="000000"/>
          <w:kern w:val="28"/>
          <w:sz w:val="56"/>
          <w:szCs w:val="56"/>
        </w:rPr>
      </w:pPr>
      <w:bookmarkStart w:id="51" w:name="_Toc396117488"/>
      <w:bookmarkEnd w:id="41"/>
      <w:bookmarkEnd w:id="42"/>
      <w:bookmarkEnd w:id="43"/>
      <w:r>
        <w:br w:type="page"/>
      </w:r>
    </w:p>
    <w:p w:rsidR="0075281A" w:rsidRDefault="0075281A" w:rsidP="00094819">
      <w:pPr>
        <w:pStyle w:val="Heading1"/>
      </w:pPr>
      <w:bookmarkStart w:id="52" w:name="_Toc419972076"/>
      <w:r>
        <w:lastRenderedPageBreak/>
        <w:t>Acknowledgments</w:t>
      </w:r>
      <w:bookmarkEnd w:id="51"/>
      <w:bookmarkEnd w:id="52"/>
      <w:r>
        <w:t xml:space="preserve"> </w:t>
      </w:r>
    </w:p>
    <w:p w:rsidR="0075281A" w:rsidRPr="002A0F09" w:rsidRDefault="0075281A" w:rsidP="00810793">
      <w:pPr>
        <w:pStyle w:val="Text"/>
        <w:ind w:right="-1"/>
      </w:pPr>
      <w:r>
        <w:t xml:space="preserve">We gratefully acknowledge the willingness of the six case study </w:t>
      </w:r>
      <w:r w:rsidRPr="009170E4">
        <w:t>organisations to share</w:t>
      </w:r>
      <w:r>
        <w:t xml:space="preserve"> their experiences</w:t>
      </w:r>
      <w:r w:rsidR="00810793">
        <w:t xml:space="preserve"> of</w:t>
      </w:r>
      <w:r>
        <w:t xml:space="preserve"> </w:t>
      </w:r>
      <w:r w:rsidRPr="00C10EF9">
        <w:t>transition</w:t>
      </w:r>
      <w:r>
        <w:t xml:space="preserve">ing </w:t>
      </w:r>
      <w:r w:rsidRPr="00C10EF9">
        <w:t xml:space="preserve">from delivery in vocational education and training to delivery </w:t>
      </w:r>
      <w:r>
        <w:t xml:space="preserve">also in higher education. These case study organisations </w:t>
      </w:r>
      <w:r w:rsidRPr="00492DDB">
        <w:t xml:space="preserve">are among a minority of public and private VET providers that </w:t>
      </w:r>
      <w:r>
        <w:t xml:space="preserve">have </w:t>
      </w:r>
      <w:r w:rsidRPr="00492DDB">
        <w:t>to date made the transition to deliver</w:t>
      </w:r>
      <w:r>
        <w:t>ing</w:t>
      </w:r>
      <w:r w:rsidRPr="00492DDB">
        <w:t xml:space="preserve"> degrees in their own right</w:t>
      </w:r>
      <w:r>
        <w:t>. Their agreement to be identified</w:t>
      </w:r>
      <w:r w:rsidRPr="00492DDB">
        <w:t xml:space="preserve"> </w:t>
      </w:r>
      <w:r>
        <w:t xml:space="preserve">reveals their willingness to share their experiences openly with the VET and higher education sectors, </w:t>
      </w:r>
      <w:r w:rsidRPr="00492DDB">
        <w:t>including</w:t>
      </w:r>
      <w:r>
        <w:t xml:space="preserve"> what they have managed well, but also where</w:t>
      </w:r>
      <w:r w:rsidRPr="00492DDB">
        <w:t xml:space="preserve"> challenges </w:t>
      </w:r>
      <w:r>
        <w:t xml:space="preserve">continue to exist. </w:t>
      </w:r>
      <w:r w:rsidRPr="00311517">
        <w:t xml:space="preserve">We thank them for their </w:t>
      </w:r>
      <w:r>
        <w:t xml:space="preserve">openness and </w:t>
      </w:r>
      <w:r w:rsidRPr="00311517">
        <w:t>frankness</w:t>
      </w:r>
      <w:r>
        <w:t>. Our particula</w:t>
      </w:r>
      <w:r w:rsidRPr="00B8781C">
        <w:t>r gratitude goes to th</w:t>
      </w:r>
      <w:r>
        <w:t xml:space="preserve">e participants </w:t>
      </w:r>
      <w:r w:rsidR="00810793">
        <w:t xml:space="preserve">listed </w:t>
      </w:r>
      <w:r>
        <w:t xml:space="preserve">below for the time and effort provided to participate in the interviews and validation process. </w:t>
      </w:r>
    </w:p>
    <w:p w:rsidR="0075281A" w:rsidRPr="00C65B80" w:rsidRDefault="0075281A" w:rsidP="00094819">
      <w:pPr>
        <w:pStyle w:val="Text"/>
        <w:rPr>
          <w:color w:val="000000" w:themeColor="text1"/>
          <w:szCs w:val="19"/>
        </w:rPr>
      </w:pPr>
      <w:r w:rsidRPr="00F932E6">
        <w:rPr>
          <w:bCs/>
          <w:color w:val="000000"/>
          <w:szCs w:val="19"/>
          <w:lang w:val="en-ZA"/>
        </w:rPr>
        <w:t xml:space="preserve">Anita </w:t>
      </w:r>
      <w:proofErr w:type="spellStart"/>
      <w:r w:rsidRPr="00F932E6">
        <w:rPr>
          <w:bCs/>
          <w:color w:val="000000"/>
          <w:szCs w:val="19"/>
          <w:lang w:val="en-ZA"/>
        </w:rPr>
        <w:t>Wesney</w:t>
      </w:r>
      <w:proofErr w:type="spellEnd"/>
      <w:r w:rsidRPr="00F932E6">
        <w:rPr>
          <w:bCs/>
          <w:color w:val="000000"/>
          <w:szCs w:val="19"/>
          <w:lang w:val="en-ZA"/>
        </w:rPr>
        <w:t xml:space="preserve">, </w:t>
      </w:r>
      <w:r>
        <w:rPr>
          <w:color w:val="000000" w:themeColor="text1"/>
          <w:szCs w:val="19"/>
          <w:lang w:val="en-ZA"/>
        </w:rPr>
        <w:t xml:space="preserve">Manager, </w:t>
      </w:r>
      <w:r w:rsidRPr="00F932E6">
        <w:rPr>
          <w:color w:val="000000" w:themeColor="text1"/>
          <w:szCs w:val="19"/>
          <w:lang w:val="en-ZA"/>
        </w:rPr>
        <w:t>Quality Services, Education Services, Student and Academic Services</w:t>
      </w:r>
      <w:r>
        <w:rPr>
          <w:color w:val="000000" w:themeColor="text1"/>
          <w:szCs w:val="19"/>
          <w:lang w:val="en-ZA"/>
        </w:rPr>
        <w:t xml:space="preserve">, Canberra Institute of Technology (CIT); </w:t>
      </w:r>
      <w:r w:rsidRPr="00F932E6">
        <w:rPr>
          <w:bCs/>
          <w:color w:val="000000"/>
          <w:szCs w:val="19"/>
          <w:lang w:val="en-ZA"/>
        </w:rPr>
        <w:t xml:space="preserve">Dr Kym Turnbull, </w:t>
      </w:r>
      <w:r w:rsidRPr="00F932E6">
        <w:rPr>
          <w:color w:val="000000" w:themeColor="text1"/>
          <w:szCs w:val="19"/>
          <w:lang w:val="en-ZA"/>
        </w:rPr>
        <w:t>Head of Department, Forensic Science Health, Community and Science</w:t>
      </w:r>
      <w:r>
        <w:rPr>
          <w:color w:val="000000" w:themeColor="text1"/>
          <w:szCs w:val="19"/>
          <w:lang w:val="en-ZA"/>
        </w:rPr>
        <w:t xml:space="preserve">, CIT; </w:t>
      </w:r>
      <w:r w:rsidRPr="00F932E6">
        <w:rPr>
          <w:bCs/>
          <w:color w:val="000000"/>
          <w:szCs w:val="19"/>
          <w:lang w:val="en-ZA"/>
        </w:rPr>
        <w:t xml:space="preserve">Elizabeth </w:t>
      </w:r>
      <w:proofErr w:type="spellStart"/>
      <w:r w:rsidRPr="00F932E6">
        <w:rPr>
          <w:bCs/>
          <w:color w:val="000000"/>
          <w:szCs w:val="19"/>
          <w:lang w:val="en-ZA"/>
        </w:rPr>
        <w:t>Tomaras</w:t>
      </w:r>
      <w:proofErr w:type="spellEnd"/>
      <w:r w:rsidRPr="00F932E6">
        <w:rPr>
          <w:bCs/>
          <w:color w:val="000000"/>
          <w:szCs w:val="19"/>
          <w:lang w:val="en-ZA"/>
        </w:rPr>
        <w:t xml:space="preserve">, </w:t>
      </w:r>
      <w:r w:rsidRPr="00F932E6">
        <w:rPr>
          <w:szCs w:val="19"/>
          <w:lang w:val="en-ZA"/>
        </w:rPr>
        <w:t>Manager, Student and Academic Services</w:t>
      </w:r>
      <w:r>
        <w:rPr>
          <w:szCs w:val="19"/>
          <w:lang w:val="en-ZA"/>
        </w:rPr>
        <w:t xml:space="preserve">, CIT; </w:t>
      </w:r>
      <w:r w:rsidRPr="00F932E6">
        <w:rPr>
          <w:szCs w:val="19"/>
        </w:rPr>
        <w:t>Don Munro, Teacher ICT, IT degree Coordinator</w:t>
      </w:r>
      <w:r>
        <w:rPr>
          <w:szCs w:val="19"/>
        </w:rPr>
        <w:t xml:space="preserve">, CIT; </w:t>
      </w:r>
      <w:r w:rsidRPr="00F932E6">
        <w:rPr>
          <w:szCs w:val="19"/>
        </w:rPr>
        <w:t>Diana Kirby, Research and Policy, CIT Student and Academic Services</w:t>
      </w:r>
      <w:r>
        <w:rPr>
          <w:szCs w:val="19"/>
        </w:rPr>
        <w:t xml:space="preserve">, CIT; </w:t>
      </w:r>
      <w:r w:rsidRPr="00F932E6">
        <w:rPr>
          <w:bCs/>
          <w:color w:val="000000"/>
          <w:szCs w:val="19"/>
          <w:lang w:val="en-ZA"/>
        </w:rPr>
        <w:t xml:space="preserve">William </w:t>
      </w:r>
      <w:proofErr w:type="spellStart"/>
      <w:r w:rsidRPr="00F932E6">
        <w:rPr>
          <w:bCs/>
          <w:color w:val="000000"/>
          <w:szCs w:val="19"/>
          <w:lang w:val="en-ZA"/>
        </w:rPr>
        <w:t>Nauenburg</w:t>
      </w:r>
      <w:proofErr w:type="spellEnd"/>
      <w:r w:rsidRPr="00F932E6">
        <w:rPr>
          <w:bCs/>
          <w:color w:val="000000"/>
          <w:szCs w:val="19"/>
          <w:lang w:val="en-ZA"/>
        </w:rPr>
        <w:t xml:space="preserve">, </w:t>
      </w:r>
      <w:r w:rsidRPr="00F932E6">
        <w:rPr>
          <w:szCs w:val="19"/>
          <w:lang w:val="en-ZA"/>
        </w:rPr>
        <w:t>Director, Technology and Design</w:t>
      </w:r>
      <w:r>
        <w:rPr>
          <w:szCs w:val="19"/>
          <w:lang w:val="en-ZA"/>
        </w:rPr>
        <w:t xml:space="preserve">, CIT; and </w:t>
      </w:r>
      <w:r w:rsidRPr="00F932E6">
        <w:rPr>
          <w:szCs w:val="19"/>
        </w:rPr>
        <w:t>Geoff Bell, Centre Director, Health, Community and Science</w:t>
      </w:r>
      <w:r>
        <w:rPr>
          <w:szCs w:val="19"/>
        </w:rPr>
        <w:t>, CIT.</w:t>
      </w:r>
    </w:p>
    <w:p w:rsidR="0075281A" w:rsidRPr="00C65B80" w:rsidRDefault="0075281A" w:rsidP="00094819">
      <w:pPr>
        <w:pStyle w:val="Text"/>
        <w:rPr>
          <w:szCs w:val="19"/>
        </w:rPr>
      </w:pPr>
      <w:proofErr w:type="gramStart"/>
      <w:r w:rsidRPr="000F23F8">
        <w:rPr>
          <w:szCs w:val="19"/>
        </w:rPr>
        <w:t xml:space="preserve">Ili </w:t>
      </w:r>
      <w:proofErr w:type="spellStart"/>
      <w:r w:rsidRPr="000F23F8">
        <w:rPr>
          <w:szCs w:val="19"/>
        </w:rPr>
        <w:t>Pelliter</w:t>
      </w:r>
      <w:proofErr w:type="spellEnd"/>
      <w:r w:rsidRPr="000F23F8">
        <w:rPr>
          <w:szCs w:val="19"/>
        </w:rPr>
        <w:t>,</w:t>
      </w:r>
      <w:r>
        <w:rPr>
          <w:szCs w:val="19"/>
        </w:rPr>
        <w:t xml:space="preserve"> </w:t>
      </w:r>
      <w:r w:rsidRPr="000F23F8">
        <w:rPr>
          <w:rStyle w:val="st1"/>
          <w:rFonts w:cs="Arial"/>
          <w:szCs w:val="19"/>
        </w:rPr>
        <w:t xml:space="preserve">Manager, Higher Education Support Unit, </w:t>
      </w:r>
      <w:r w:rsidRPr="000F23F8">
        <w:rPr>
          <w:rStyle w:val="st1"/>
          <w:rFonts w:cs="Arial"/>
          <w:bCs/>
          <w:szCs w:val="19"/>
        </w:rPr>
        <w:t>Holmesglen Institute</w:t>
      </w:r>
      <w:r>
        <w:rPr>
          <w:rStyle w:val="st1"/>
          <w:rFonts w:cs="Arial"/>
          <w:bCs/>
          <w:szCs w:val="19"/>
        </w:rPr>
        <w:t xml:space="preserve">; and </w:t>
      </w:r>
      <w:r w:rsidRPr="00763C57">
        <w:rPr>
          <w:szCs w:val="19"/>
        </w:rPr>
        <w:t xml:space="preserve">Mary </w:t>
      </w:r>
      <w:proofErr w:type="spellStart"/>
      <w:r w:rsidRPr="00763C57">
        <w:rPr>
          <w:szCs w:val="19"/>
        </w:rPr>
        <w:t>Faraone</w:t>
      </w:r>
      <w:proofErr w:type="spellEnd"/>
      <w:r w:rsidRPr="00763C57">
        <w:rPr>
          <w:szCs w:val="19"/>
        </w:rPr>
        <w:t>, Chief Executive, Holmesglen Institute</w:t>
      </w:r>
      <w:r>
        <w:rPr>
          <w:szCs w:val="19"/>
        </w:rPr>
        <w:t>.</w:t>
      </w:r>
      <w:proofErr w:type="gramEnd"/>
    </w:p>
    <w:p w:rsidR="0075281A" w:rsidRPr="00C65B80" w:rsidRDefault="0075281A" w:rsidP="00094819">
      <w:pPr>
        <w:pStyle w:val="Text"/>
        <w:rPr>
          <w:rFonts w:cs="Arial"/>
          <w:bCs/>
          <w:szCs w:val="19"/>
        </w:rPr>
      </w:pPr>
      <w:r w:rsidRPr="00D46D5B">
        <w:rPr>
          <w:szCs w:val="19"/>
        </w:rPr>
        <w:t xml:space="preserve">Bill </w:t>
      </w:r>
      <w:proofErr w:type="spellStart"/>
      <w:r w:rsidRPr="00D46D5B">
        <w:rPr>
          <w:szCs w:val="19"/>
        </w:rPr>
        <w:t>Swetman</w:t>
      </w:r>
      <w:proofErr w:type="spellEnd"/>
      <w:r w:rsidRPr="00D46D5B">
        <w:rPr>
          <w:szCs w:val="19"/>
        </w:rPr>
        <w:t>, General Man</w:t>
      </w:r>
      <w:r>
        <w:rPr>
          <w:szCs w:val="19"/>
        </w:rPr>
        <w:t>a</w:t>
      </w:r>
      <w:r w:rsidRPr="00D46D5B">
        <w:rPr>
          <w:szCs w:val="19"/>
        </w:rPr>
        <w:t>ger</w:t>
      </w:r>
      <w:r>
        <w:rPr>
          <w:szCs w:val="19"/>
        </w:rPr>
        <w:t>,</w:t>
      </w:r>
      <w:r w:rsidRPr="00D46D5B">
        <w:rPr>
          <w:szCs w:val="19"/>
        </w:rPr>
        <w:t xml:space="preserve"> Organisational Services, Polytechnic West</w:t>
      </w:r>
      <w:r>
        <w:rPr>
          <w:szCs w:val="19"/>
        </w:rPr>
        <w:t xml:space="preserve">; </w:t>
      </w:r>
      <w:r w:rsidRPr="0016042A">
        <w:rPr>
          <w:szCs w:val="19"/>
        </w:rPr>
        <w:t>Kath Finn</w:t>
      </w:r>
      <w:r w:rsidRPr="00CA6CE7">
        <w:rPr>
          <w:szCs w:val="19"/>
        </w:rPr>
        <w:t>, Director</w:t>
      </w:r>
      <w:r w:rsidR="00810793">
        <w:rPr>
          <w:szCs w:val="19"/>
        </w:rPr>
        <w:t>,</w:t>
      </w:r>
      <w:r w:rsidRPr="00CA6CE7">
        <w:rPr>
          <w:szCs w:val="19"/>
        </w:rPr>
        <w:t xml:space="preserve"> Teaching and Learning</w:t>
      </w:r>
      <w:r w:rsidRPr="0016042A">
        <w:rPr>
          <w:szCs w:val="19"/>
        </w:rPr>
        <w:t>, Polytechnic</w:t>
      </w:r>
      <w:r w:rsidRPr="00D46D5B">
        <w:rPr>
          <w:szCs w:val="19"/>
        </w:rPr>
        <w:t xml:space="preserve"> West</w:t>
      </w:r>
      <w:r>
        <w:rPr>
          <w:szCs w:val="19"/>
        </w:rPr>
        <w:t xml:space="preserve">; </w:t>
      </w:r>
      <w:r w:rsidRPr="00D46D5B">
        <w:rPr>
          <w:szCs w:val="19"/>
        </w:rPr>
        <w:t xml:space="preserve">Brenda </w:t>
      </w:r>
      <w:proofErr w:type="spellStart"/>
      <w:r w:rsidRPr="00D46D5B">
        <w:rPr>
          <w:szCs w:val="19"/>
        </w:rPr>
        <w:t>Micale</w:t>
      </w:r>
      <w:proofErr w:type="spellEnd"/>
      <w:r w:rsidRPr="00D46D5B">
        <w:rPr>
          <w:szCs w:val="19"/>
        </w:rPr>
        <w:t>, Executive Director</w:t>
      </w:r>
      <w:r>
        <w:rPr>
          <w:szCs w:val="19"/>
        </w:rPr>
        <w:t>,</w:t>
      </w:r>
      <w:r w:rsidRPr="00D46D5B">
        <w:rPr>
          <w:szCs w:val="19"/>
        </w:rPr>
        <w:t xml:space="preserve"> Commerce and Hospitality, Polytechnic West</w:t>
      </w:r>
      <w:r>
        <w:rPr>
          <w:szCs w:val="19"/>
        </w:rPr>
        <w:t xml:space="preserve">; </w:t>
      </w:r>
      <w:r w:rsidRPr="00D46D5B">
        <w:rPr>
          <w:szCs w:val="19"/>
        </w:rPr>
        <w:t>Blair Marsh, General Manager</w:t>
      </w:r>
      <w:r>
        <w:rPr>
          <w:szCs w:val="19"/>
        </w:rPr>
        <w:t>,</w:t>
      </w:r>
      <w:r w:rsidRPr="00D46D5B">
        <w:rPr>
          <w:szCs w:val="19"/>
        </w:rPr>
        <w:t xml:space="preserve"> Training and Industry Services</w:t>
      </w:r>
      <w:r>
        <w:rPr>
          <w:szCs w:val="19"/>
        </w:rPr>
        <w:t>,</w:t>
      </w:r>
      <w:r w:rsidRPr="00E81673">
        <w:rPr>
          <w:szCs w:val="19"/>
        </w:rPr>
        <w:t xml:space="preserve"> </w:t>
      </w:r>
      <w:r w:rsidRPr="00D46D5B">
        <w:rPr>
          <w:szCs w:val="19"/>
        </w:rPr>
        <w:t>Polytechnic West</w:t>
      </w:r>
      <w:r>
        <w:rPr>
          <w:szCs w:val="19"/>
        </w:rPr>
        <w:t>; and Jill Jamieson,</w:t>
      </w:r>
      <w:r w:rsidRPr="00763C57">
        <w:rPr>
          <w:szCs w:val="19"/>
        </w:rPr>
        <w:t xml:space="preserve"> Chief Executive, </w:t>
      </w:r>
      <w:r>
        <w:rPr>
          <w:szCs w:val="19"/>
        </w:rPr>
        <w:t>Polytechnic West.</w:t>
      </w:r>
    </w:p>
    <w:p w:rsidR="0075281A" w:rsidRDefault="0075281A" w:rsidP="00094819">
      <w:pPr>
        <w:pStyle w:val="Text"/>
        <w:rPr>
          <w:szCs w:val="19"/>
        </w:rPr>
      </w:pPr>
      <w:r w:rsidRPr="00E81673">
        <w:rPr>
          <w:szCs w:val="19"/>
        </w:rPr>
        <w:t xml:space="preserve">Dr Don </w:t>
      </w:r>
      <w:proofErr w:type="spellStart"/>
      <w:r w:rsidRPr="00E81673">
        <w:rPr>
          <w:szCs w:val="19"/>
        </w:rPr>
        <w:t>O</w:t>
      </w:r>
      <w:r>
        <w:rPr>
          <w:szCs w:val="19"/>
        </w:rPr>
        <w:t>wers</w:t>
      </w:r>
      <w:proofErr w:type="spellEnd"/>
      <w:r>
        <w:rPr>
          <w:szCs w:val="19"/>
        </w:rPr>
        <w:t xml:space="preserve">, Principal, Tabor Adelaide; </w:t>
      </w:r>
      <w:r w:rsidRPr="00E81673">
        <w:rPr>
          <w:szCs w:val="19"/>
        </w:rPr>
        <w:t>Rev</w:t>
      </w:r>
      <w:r>
        <w:rPr>
          <w:szCs w:val="19"/>
        </w:rPr>
        <w:t>.</w:t>
      </w:r>
      <w:r w:rsidRPr="00E81673">
        <w:rPr>
          <w:szCs w:val="19"/>
        </w:rPr>
        <w:t xml:space="preserve"> Dr Stephen Spence, Deputy Princi</w:t>
      </w:r>
      <w:r>
        <w:rPr>
          <w:szCs w:val="19"/>
        </w:rPr>
        <w:t xml:space="preserve">pal (Academic), Tabor Adelaide; and </w:t>
      </w:r>
      <w:r w:rsidRPr="00E81673">
        <w:rPr>
          <w:szCs w:val="19"/>
        </w:rPr>
        <w:t>Meg Rowlands, Manager, VET Programs, Tabor Adelaide.</w:t>
      </w:r>
    </w:p>
    <w:p w:rsidR="0075281A" w:rsidRDefault="0075281A" w:rsidP="00094819">
      <w:pPr>
        <w:pStyle w:val="Text"/>
        <w:rPr>
          <w:color w:val="000000" w:themeColor="text1"/>
          <w:szCs w:val="19"/>
        </w:rPr>
      </w:pPr>
      <w:r w:rsidRPr="00E6492E">
        <w:rPr>
          <w:color w:val="000000" w:themeColor="text1"/>
          <w:szCs w:val="19"/>
        </w:rPr>
        <w:t>Ruth Schubert, Director</w:t>
      </w:r>
      <w:r w:rsidR="00810793">
        <w:rPr>
          <w:color w:val="000000" w:themeColor="text1"/>
          <w:szCs w:val="19"/>
        </w:rPr>
        <w:t>,</w:t>
      </w:r>
      <w:r w:rsidRPr="00E6492E">
        <w:rPr>
          <w:color w:val="000000" w:themeColor="text1"/>
          <w:szCs w:val="19"/>
        </w:rPr>
        <w:t xml:space="preserve"> Strategy and Business Regional, TAFE SA; Christie Anthony, Creative Director of the Arts, TAFE SA; Madeline Frost, </w:t>
      </w:r>
      <w:r w:rsidRPr="00E6492E">
        <w:rPr>
          <w:rFonts w:cs="Arial"/>
          <w:color w:val="000000" w:themeColor="text1"/>
          <w:szCs w:val="19"/>
        </w:rPr>
        <w:t>Director</w:t>
      </w:r>
      <w:r w:rsidR="00810793">
        <w:rPr>
          <w:rFonts w:cs="Arial"/>
          <w:color w:val="000000" w:themeColor="text1"/>
          <w:szCs w:val="19"/>
        </w:rPr>
        <w:t>,</w:t>
      </w:r>
      <w:r w:rsidRPr="00E6492E">
        <w:rPr>
          <w:rFonts w:cs="Arial"/>
          <w:color w:val="000000" w:themeColor="text1"/>
          <w:szCs w:val="19"/>
        </w:rPr>
        <w:t xml:space="preserve"> Tourism, Hospitality and Creative Arts, TAFE SA; </w:t>
      </w:r>
      <w:r w:rsidRPr="00E6492E">
        <w:rPr>
          <w:color w:val="000000" w:themeColor="text1"/>
          <w:szCs w:val="19"/>
        </w:rPr>
        <w:t>Greg</w:t>
      </w:r>
      <w:r>
        <w:rPr>
          <w:color w:val="000000" w:themeColor="text1"/>
          <w:szCs w:val="19"/>
        </w:rPr>
        <w:t> </w:t>
      </w:r>
      <w:proofErr w:type="spellStart"/>
      <w:r w:rsidR="00810793">
        <w:rPr>
          <w:color w:val="000000" w:themeColor="text1"/>
          <w:szCs w:val="19"/>
        </w:rPr>
        <w:t>Bassani</w:t>
      </w:r>
      <w:proofErr w:type="spellEnd"/>
      <w:r w:rsidRPr="00E6492E">
        <w:rPr>
          <w:color w:val="000000" w:themeColor="text1"/>
          <w:szCs w:val="19"/>
        </w:rPr>
        <w:t>, Educational Manager</w:t>
      </w:r>
      <w:r>
        <w:rPr>
          <w:color w:val="000000" w:themeColor="text1"/>
          <w:szCs w:val="19"/>
        </w:rPr>
        <w:t>,</w:t>
      </w:r>
      <w:r w:rsidRPr="00E6492E">
        <w:rPr>
          <w:color w:val="000000" w:themeColor="text1"/>
          <w:szCs w:val="19"/>
        </w:rPr>
        <w:t xml:space="preserve"> Electronics and Computer Systems Engineering, TAFE SA; Sharon</w:t>
      </w:r>
      <w:r>
        <w:rPr>
          <w:color w:val="000000" w:themeColor="text1"/>
          <w:szCs w:val="19"/>
        </w:rPr>
        <w:t> </w:t>
      </w:r>
      <w:proofErr w:type="spellStart"/>
      <w:r w:rsidRPr="00E6492E">
        <w:rPr>
          <w:color w:val="000000" w:themeColor="text1"/>
          <w:szCs w:val="19"/>
        </w:rPr>
        <w:t>Guscott</w:t>
      </w:r>
      <w:proofErr w:type="spellEnd"/>
      <w:r w:rsidRPr="00E6492E">
        <w:rPr>
          <w:color w:val="000000" w:themeColor="text1"/>
          <w:szCs w:val="19"/>
        </w:rPr>
        <w:t>, Principal Consultant</w:t>
      </w:r>
      <w:r>
        <w:rPr>
          <w:color w:val="000000" w:themeColor="text1"/>
          <w:szCs w:val="19"/>
        </w:rPr>
        <w:t>,</w:t>
      </w:r>
      <w:r w:rsidRPr="00E6492E">
        <w:rPr>
          <w:color w:val="000000" w:themeColor="text1"/>
          <w:szCs w:val="19"/>
        </w:rPr>
        <w:t xml:space="preserve"> Higher Education, TAFE SA; and Jen Rodger, Executive Director, Education, TAFE SA. </w:t>
      </w:r>
    </w:p>
    <w:p w:rsidR="0075281A" w:rsidRPr="00E6492E" w:rsidRDefault="0075281A" w:rsidP="00094819">
      <w:pPr>
        <w:pStyle w:val="Text"/>
        <w:rPr>
          <w:color w:val="000000" w:themeColor="text1"/>
          <w:szCs w:val="19"/>
        </w:rPr>
      </w:pPr>
      <w:r w:rsidRPr="004E5287">
        <w:rPr>
          <w:rFonts w:cs="Arial"/>
          <w:color w:val="000000" w:themeColor="text1"/>
          <w:szCs w:val="19"/>
          <w:lang w:val="en-US"/>
        </w:rPr>
        <w:t xml:space="preserve">Helen </w:t>
      </w:r>
      <w:proofErr w:type="spellStart"/>
      <w:r w:rsidRPr="004E5287">
        <w:rPr>
          <w:rFonts w:cs="Arial"/>
          <w:color w:val="000000" w:themeColor="text1"/>
          <w:szCs w:val="19"/>
          <w:lang w:val="en-US"/>
        </w:rPr>
        <w:t>Batey</w:t>
      </w:r>
      <w:proofErr w:type="spellEnd"/>
      <w:r w:rsidRPr="004E5287">
        <w:rPr>
          <w:rFonts w:cs="Arial"/>
          <w:color w:val="000000" w:themeColor="text1"/>
          <w:szCs w:val="19"/>
          <w:lang w:val="en-US"/>
        </w:rPr>
        <w:t>, Director of Higher Education &amp; Head of Academic Services Division, Think</w:t>
      </w:r>
      <w:r>
        <w:rPr>
          <w:rFonts w:cs="Arial"/>
          <w:color w:val="000000" w:themeColor="text1"/>
          <w:szCs w:val="19"/>
          <w:lang w:val="en-US"/>
        </w:rPr>
        <w:t xml:space="preserve">; </w:t>
      </w:r>
      <w:r w:rsidRPr="004E5287">
        <w:rPr>
          <w:rFonts w:cs="Arial"/>
          <w:iCs/>
          <w:color w:val="000000" w:themeColor="text1"/>
          <w:szCs w:val="19"/>
          <w:lang w:val="en-US"/>
        </w:rPr>
        <w:t>Anne Murray, Manager, VET, Think</w:t>
      </w:r>
      <w:r>
        <w:rPr>
          <w:rFonts w:cs="Arial"/>
          <w:iCs/>
          <w:color w:val="000000" w:themeColor="text1"/>
          <w:szCs w:val="19"/>
          <w:lang w:val="en-US"/>
        </w:rPr>
        <w:t xml:space="preserve">; </w:t>
      </w:r>
      <w:r w:rsidRPr="004E5287">
        <w:rPr>
          <w:rFonts w:cs="Arial"/>
          <w:iCs/>
          <w:color w:val="000000" w:themeColor="text1"/>
          <w:szCs w:val="19"/>
          <w:lang w:val="en-US"/>
        </w:rPr>
        <w:t xml:space="preserve">Trish Fairburn, </w:t>
      </w:r>
      <w:r w:rsidRPr="004E5287">
        <w:rPr>
          <w:szCs w:val="19"/>
        </w:rPr>
        <w:t>Head of Academic Studies</w:t>
      </w:r>
      <w:r>
        <w:rPr>
          <w:szCs w:val="19"/>
        </w:rPr>
        <w:t>,</w:t>
      </w:r>
      <w:r w:rsidRPr="004E5287">
        <w:rPr>
          <w:szCs w:val="19"/>
        </w:rPr>
        <w:t xml:space="preserve"> Higher Education, APM College of Bu</w:t>
      </w:r>
      <w:r>
        <w:rPr>
          <w:szCs w:val="19"/>
        </w:rPr>
        <w:t xml:space="preserve">siness and Communication, Think; </w:t>
      </w:r>
      <w:r w:rsidRPr="004E5287">
        <w:rPr>
          <w:rFonts w:cs="Arial"/>
          <w:iCs/>
          <w:color w:val="000000" w:themeColor="text1"/>
          <w:szCs w:val="19"/>
          <w:lang w:val="en-US"/>
        </w:rPr>
        <w:t xml:space="preserve">Stuart Wiggins, </w:t>
      </w:r>
      <w:r w:rsidRPr="004E5287">
        <w:rPr>
          <w:bCs/>
          <w:szCs w:val="19"/>
        </w:rPr>
        <w:t>Quality and Risk Manager, Facul</w:t>
      </w:r>
      <w:r>
        <w:rPr>
          <w:bCs/>
          <w:szCs w:val="19"/>
        </w:rPr>
        <w:t xml:space="preserve">ty of Business and Hospitality, Think; and </w:t>
      </w:r>
      <w:r w:rsidRPr="004E5287">
        <w:rPr>
          <w:rFonts w:cs="Arial"/>
          <w:iCs/>
          <w:color w:val="000000" w:themeColor="text1"/>
          <w:szCs w:val="19"/>
          <w:lang w:val="en-US" w:eastAsia="en-AU"/>
        </w:rPr>
        <w:t xml:space="preserve">Sue Buckle, </w:t>
      </w:r>
      <w:r w:rsidRPr="004E5287">
        <w:rPr>
          <w:color w:val="000000" w:themeColor="text1"/>
          <w:szCs w:val="19"/>
          <w:lang w:val="en-US" w:eastAsia="en-AU"/>
        </w:rPr>
        <w:t>Head of Academic Studies</w:t>
      </w:r>
      <w:r>
        <w:rPr>
          <w:color w:val="000000" w:themeColor="text1"/>
          <w:szCs w:val="19"/>
          <w:lang w:val="en-US" w:eastAsia="en-AU"/>
        </w:rPr>
        <w:t>,</w:t>
      </w:r>
      <w:r w:rsidRPr="004E5287">
        <w:rPr>
          <w:color w:val="000000" w:themeColor="text1"/>
          <w:szCs w:val="19"/>
          <w:lang w:val="en-US" w:eastAsia="en-AU"/>
        </w:rPr>
        <w:t xml:space="preserve"> Naturopathy</w:t>
      </w:r>
      <w:r w:rsidRPr="004E5287">
        <w:rPr>
          <w:color w:val="000000" w:themeColor="text1"/>
          <w:szCs w:val="19"/>
          <w:lang w:eastAsia="en-AU"/>
        </w:rPr>
        <w:t xml:space="preserve">, </w:t>
      </w:r>
      <w:r w:rsidRPr="004E5287">
        <w:rPr>
          <w:color w:val="000000" w:themeColor="text1"/>
          <w:szCs w:val="19"/>
          <w:lang w:val="en-US" w:eastAsia="en-AU"/>
        </w:rPr>
        <w:t>Southern School of Natural Therapies, Think.</w:t>
      </w:r>
    </w:p>
    <w:p w:rsidR="0075281A" w:rsidRPr="004E5287" w:rsidRDefault="0075281A" w:rsidP="00094819">
      <w:pPr>
        <w:pStyle w:val="Text"/>
        <w:rPr>
          <w:rStyle w:val="st1"/>
          <w:color w:val="000000" w:themeColor="text1"/>
          <w:szCs w:val="19"/>
          <w:lang w:eastAsia="en-AU"/>
        </w:rPr>
      </w:pPr>
      <w:r>
        <w:rPr>
          <w:rStyle w:val="st1"/>
          <w:color w:val="000000" w:themeColor="text1"/>
          <w:szCs w:val="19"/>
          <w:lang w:eastAsia="en-AU"/>
        </w:rPr>
        <w:t>We are also grateful</w:t>
      </w:r>
      <w:r w:rsidRPr="00C20A2C">
        <w:rPr>
          <w:rStyle w:val="st1"/>
          <w:color w:val="000000" w:themeColor="text1"/>
          <w:szCs w:val="19"/>
          <w:lang w:eastAsia="en-AU"/>
        </w:rPr>
        <w:t xml:space="preserve"> to Ben </w:t>
      </w:r>
      <w:proofErr w:type="spellStart"/>
      <w:r w:rsidRPr="00C20A2C">
        <w:rPr>
          <w:rStyle w:val="st1"/>
          <w:color w:val="000000" w:themeColor="text1"/>
          <w:szCs w:val="19"/>
          <w:lang w:eastAsia="en-AU"/>
        </w:rPr>
        <w:t>Vivekanandan</w:t>
      </w:r>
      <w:proofErr w:type="spellEnd"/>
      <w:r w:rsidRPr="00C20A2C">
        <w:rPr>
          <w:rStyle w:val="st1"/>
          <w:color w:val="000000" w:themeColor="text1"/>
          <w:szCs w:val="19"/>
          <w:lang w:eastAsia="en-AU"/>
        </w:rPr>
        <w:t xml:space="preserve"> </w:t>
      </w:r>
      <w:r>
        <w:rPr>
          <w:rStyle w:val="st1"/>
          <w:color w:val="000000" w:themeColor="text1"/>
          <w:szCs w:val="19"/>
          <w:lang w:eastAsia="en-AU"/>
        </w:rPr>
        <w:t xml:space="preserve">of the Australian Council for Private Education and Training and </w:t>
      </w:r>
      <w:r w:rsidRPr="00C20A2C">
        <w:rPr>
          <w:rStyle w:val="st1"/>
          <w:color w:val="000000" w:themeColor="text1"/>
          <w:szCs w:val="19"/>
          <w:lang w:eastAsia="en-AU"/>
        </w:rPr>
        <w:t>Martin Riordan a</w:t>
      </w:r>
      <w:r>
        <w:rPr>
          <w:rStyle w:val="st1"/>
          <w:color w:val="000000" w:themeColor="text1"/>
          <w:szCs w:val="19"/>
          <w:lang w:eastAsia="en-AU"/>
        </w:rPr>
        <w:t xml:space="preserve">nd Melinda Waters of TAFE Directors Australia for their assistance. </w:t>
      </w:r>
    </w:p>
    <w:p w:rsidR="0075281A" w:rsidRDefault="0075281A">
      <w:pPr>
        <w:spacing w:before="0" w:line="240" w:lineRule="auto"/>
        <w:rPr>
          <w:rFonts w:ascii="Tahoma" w:hAnsi="Tahoma" w:cs="Tahoma"/>
          <w:color w:val="000000"/>
          <w:kern w:val="28"/>
          <w:sz w:val="56"/>
          <w:szCs w:val="56"/>
        </w:rPr>
      </w:pPr>
      <w:bookmarkStart w:id="53" w:name="_Toc396117489"/>
      <w:r>
        <w:br w:type="page"/>
      </w:r>
    </w:p>
    <w:p w:rsidR="0075281A" w:rsidRPr="00B86D06" w:rsidRDefault="00094819" w:rsidP="00FD2A35">
      <w:pPr>
        <w:pStyle w:val="Heading1"/>
        <w:tabs>
          <w:tab w:val="left" w:pos="709"/>
        </w:tabs>
      </w:pPr>
      <w:bookmarkStart w:id="54" w:name="_Toc419972077"/>
      <w:r>
        <w:rPr>
          <w:noProof/>
          <w:lang w:eastAsia="en-AU"/>
        </w:rPr>
        <w:lastRenderedPageBreak/>
        <w:drawing>
          <wp:anchor distT="0" distB="0" distL="114300" distR="114300" simplePos="0" relativeHeight="251999232" behindDoc="0" locked="0" layoutInCell="1" allowOverlap="1" wp14:anchorId="5F7FA4E3" wp14:editId="3EE58915">
            <wp:simplePos x="0" y="0"/>
            <wp:positionH relativeFrom="column">
              <wp:posOffset>-1270</wp:posOffset>
            </wp:positionH>
            <wp:positionV relativeFrom="paragraph">
              <wp:posOffset>-66411</wp:posOffset>
            </wp:positionV>
            <wp:extent cx="410210" cy="410210"/>
            <wp:effectExtent l="0" t="0" r="8890" b="8890"/>
            <wp:wrapNone/>
            <wp:docPr id="28" name="Picture 2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A35">
        <w:tab/>
      </w:r>
      <w:r w:rsidR="0075281A" w:rsidRPr="00B86D06">
        <w:t>Executive summary</w:t>
      </w:r>
      <w:bookmarkEnd w:id="53"/>
      <w:bookmarkEnd w:id="54"/>
      <w:r w:rsidR="0075281A">
        <w:t xml:space="preserve"> </w:t>
      </w:r>
    </w:p>
    <w:p w:rsidR="0075281A" w:rsidRDefault="0075281A" w:rsidP="00094819">
      <w:pPr>
        <w:pStyle w:val="Text"/>
        <w:ind w:right="-143"/>
      </w:pPr>
      <w:bookmarkStart w:id="55" w:name="_Toc296423685"/>
      <w:bookmarkStart w:id="56" w:name="_Toc296497519"/>
      <w:bookmarkStart w:id="57" w:name="_Toc298162804"/>
      <w:r>
        <w:t xml:space="preserve">The recent growth in the number of registered vocational education and training </w:t>
      </w:r>
      <w:r w:rsidRPr="00882742">
        <w:t>(VET) providers delivering associate degrees and bachelor degrees in their own right</w:t>
      </w:r>
      <w:r>
        <w:t xml:space="preserve"> has been well publicised. However, little is known about w</w:t>
      </w:r>
      <w:r w:rsidRPr="00A23858">
        <w:t>hy the</w:t>
      </w:r>
      <w:r>
        <w:t>se VET providers have made this transition, what</w:t>
      </w:r>
      <w:r w:rsidRPr="001774C6">
        <w:t xml:space="preserve"> support is being provi</w:t>
      </w:r>
      <w:r>
        <w:t>ded to their staff and students, and h</w:t>
      </w:r>
      <w:r w:rsidRPr="001774C6">
        <w:t>ow the associated opera</w:t>
      </w:r>
      <w:r>
        <w:t xml:space="preserve">tional issues are being managed. </w:t>
      </w:r>
    </w:p>
    <w:p w:rsidR="0075281A" w:rsidRPr="00455853" w:rsidRDefault="0075281A" w:rsidP="00094819">
      <w:pPr>
        <w:pStyle w:val="Text"/>
        <w:ind w:right="141"/>
      </w:pPr>
      <w:r>
        <w:t xml:space="preserve">Through the completion of 23 interviews with key </w:t>
      </w:r>
      <w:r w:rsidRPr="00A17C11">
        <w:t>staff during the last half of 2013, six in-depth</w:t>
      </w:r>
      <w:r>
        <w:t xml:space="preserve"> case studies were developed. The aim was</w:t>
      </w:r>
      <w:r w:rsidRPr="00B611EF">
        <w:t xml:space="preserve"> </w:t>
      </w:r>
      <w:r>
        <w:t xml:space="preserve">to establish </w:t>
      </w:r>
      <w:r w:rsidRPr="004428F2">
        <w:t xml:space="preserve">a better understanding of the </w:t>
      </w:r>
      <w:r>
        <w:t>major drivers and key c</w:t>
      </w:r>
      <w:r w:rsidRPr="004428F2">
        <w:t xml:space="preserve">hallenges </w:t>
      </w:r>
      <w:r>
        <w:t xml:space="preserve">facing these institutions as they transition to offering higher education qualifications. </w:t>
      </w:r>
      <w:r w:rsidRPr="00BC71D2">
        <w:t>The</w:t>
      </w:r>
      <w:r>
        <w:t xml:space="preserve"> case </w:t>
      </w:r>
      <w:r w:rsidRPr="00BC71D2">
        <w:t>in</w:t>
      </w:r>
      <w:r>
        <w:t xml:space="preserve">stitutions were </w:t>
      </w:r>
      <w:r w:rsidRPr="00EF2ED0">
        <w:rPr>
          <w:lang w:eastAsia="en-AU"/>
        </w:rPr>
        <w:t xml:space="preserve">Canberra Institute of Technology, </w:t>
      </w:r>
      <w:r w:rsidRPr="00EF2ED0">
        <w:rPr>
          <w:rFonts w:cs="ITC Franklin Gothic Book"/>
        </w:rPr>
        <w:t xml:space="preserve">Holmesglen Institute, </w:t>
      </w:r>
      <w:r w:rsidRPr="00EF2ED0">
        <w:t xml:space="preserve">Polytechnic West, </w:t>
      </w:r>
      <w:r w:rsidRPr="00EF2ED0">
        <w:rPr>
          <w:bCs/>
          <w:lang w:val="en-GB" w:eastAsia="en-AU"/>
        </w:rPr>
        <w:t>TAFE</w:t>
      </w:r>
      <w:r>
        <w:rPr>
          <w:bCs/>
          <w:lang w:val="en-GB" w:eastAsia="en-AU"/>
        </w:rPr>
        <w:t xml:space="preserve"> </w:t>
      </w:r>
      <w:r w:rsidRPr="00EF2ED0">
        <w:rPr>
          <w:bCs/>
          <w:lang w:val="en-GB" w:eastAsia="en-AU"/>
        </w:rPr>
        <w:t>SA</w:t>
      </w:r>
      <w:r>
        <w:rPr>
          <w:bCs/>
          <w:lang w:val="en-GB" w:eastAsia="en-AU"/>
        </w:rPr>
        <w:t>, Tabor Adelaide and Think Education</w:t>
      </w:r>
      <w:r>
        <w:t xml:space="preserve">. They </w:t>
      </w:r>
      <w:r>
        <w:rPr>
          <w:bCs/>
          <w:lang w:val="en-GB" w:eastAsia="en-AU"/>
        </w:rPr>
        <w:t xml:space="preserve">were </w:t>
      </w:r>
      <w:r>
        <w:t>chosen for their diversity in size, type, the length of time they have delivered associate and bachelor degrees, the fields of study in which the degrees are being delivered, and the jurisdictions in which they operate.</w:t>
      </w:r>
      <w:r w:rsidRPr="00264FE8">
        <w:t xml:space="preserve"> </w:t>
      </w:r>
      <w:r w:rsidRPr="00B36434">
        <w:t>They are among a minority of public and private VET providers that to date have</w:t>
      </w:r>
      <w:r>
        <w:t xml:space="preserve"> made the transition to delivering</w:t>
      </w:r>
      <w:r w:rsidRPr="00B36434">
        <w:t xml:space="preserve"> degrees in their own right. </w:t>
      </w:r>
    </w:p>
    <w:p w:rsidR="0075281A" w:rsidRDefault="0075281A" w:rsidP="00094819">
      <w:pPr>
        <w:pStyle w:val="Heading2"/>
      </w:pPr>
      <w:bookmarkStart w:id="58" w:name="_Toc396117491"/>
      <w:bookmarkStart w:id="59" w:name="_Toc419382433"/>
      <w:bookmarkStart w:id="60" w:name="_Toc419791053"/>
      <w:bookmarkStart w:id="61" w:name="_Toc419972078"/>
      <w:r>
        <w:t>Strategic issues</w:t>
      </w:r>
      <w:bookmarkEnd w:id="58"/>
      <w:bookmarkEnd w:id="59"/>
      <w:bookmarkEnd w:id="60"/>
      <w:bookmarkEnd w:id="61"/>
      <w:r>
        <w:t xml:space="preserve"> </w:t>
      </w:r>
    </w:p>
    <w:p w:rsidR="0075281A" w:rsidRPr="00171F84" w:rsidRDefault="0075281A" w:rsidP="00094819">
      <w:pPr>
        <w:pStyle w:val="Text"/>
      </w:pPr>
      <w:r w:rsidRPr="00724DC2">
        <w:rPr>
          <w:szCs w:val="19"/>
        </w:rPr>
        <w:t xml:space="preserve">To keep Australia internationally competitive, we need to </w:t>
      </w:r>
      <w:r>
        <w:rPr>
          <w:szCs w:val="19"/>
        </w:rPr>
        <w:t>increase</w:t>
      </w:r>
      <w:r w:rsidRPr="00724DC2">
        <w:rPr>
          <w:szCs w:val="19"/>
        </w:rPr>
        <w:t xml:space="preserve"> the number of Australians who are qualified at the diploma to bachelor degree levels</w:t>
      </w:r>
      <w:r>
        <w:rPr>
          <w:szCs w:val="19"/>
        </w:rPr>
        <w:t xml:space="preserve"> to</w:t>
      </w:r>
      <w:r>
        <w:t xml:space="preserve"> fill the growing number of paraprofessional and professional jobs</w:t>
      </w:r>
      <w:r w:rsidRPr="00724DC2">
        <w:rPr>
          <w:szCs w:val="19"/>
        </w:rPr>
        <w:t xml:space="preserve">. </w:t>
      </w:r>
      <w:r>
        <w:rPr>
          <w:szCs w:val="19"/>
        </w:rPr>
        <w:t>One of many</w:t>
      </w:r>
      <w:r w:rsidRPr="002354D5">
        <w:t xml:space="preserve"> strategies being implemented to achieve the required growth</w:t>
      </w:r>
      <w:r w:rsidRPr="00724DC2">
        <w:rPr>
          <w:szCs w:val="19"/>
        </w:rPr>
        <w:t xml:space="preserve"> </w:t>
      </w:r>
      <w:r>
        <w:rPr>
          <w:szCs w:val="19"/>
        </w:rPr>
        <w:t xml:space="preserve">is the development of more mixed-sector </w:t>
      </w:r>
      <w:r>
        <w:t xml:space="preserve">educational institutions. </w:t>
      </w:r>
    </w:p>
    <w:p w:rsidR="0075281A" w:rsidRPr="00724DC2" w:rsidRDefault="0075281A" w:rsidP="00094819">
      <w:pPr>
        <w:pStyle w:val="Text"/>
        <w:rPr>
          <w:szCs w:val="19"/>
        </w:rPr>
      </w:pPr>
      <w:r>
        <w:rPr>
          <w:szCs w:val="19"/>
        </w:rPr>
        <w:t>In most cases, these</w:t>
      </w:r>
      <w:r w:rsidRPr="007D1D44">
        <w:rPr>
          <w:szCs w:val="19"/>
        </w:rPr>
        <w:t xml:space="preserve"> organisations </w:t>
      </w:r>
      <w:r>
        <w:rPr>
          <w:szCs w:val="19"/>
        </w:rPr>
        <w:t xml:space="preserve">have delivered VET programs as their major role. In </w:t>
      </w:r>
      <w:r w:rsidR="00810793">
        <w:rPr>
          <w:szCs w:val="19"/>
        </w:rPr>
        <w:t xml:space="preserve">their </w:t>
      </w:r>
      <w:r>
        <w:rPr>
          <w:szCs w:val="19"/>
        </w:rPr>
        <w:t>mov</w:t>
      </w:r>
      <w:r w:rsidR="00810793">
        <w:rPr>
          <w:szCs w:val="19"/>
        </w:rPr>
        <w:t>e</w:t>
      </w:r>
      <w:r>
        <w:rPr>
          <w:szCs w:val="19"/>
        </w:rPr>
        <w:t xml:space="preserve"> to</w:t>
      </w:r>
      <w:r w:rsidRPr="007D1D44">
        <w:rPr>
          <w:szCs w:val="19"/>
        </w:rPr>
        <w:t xml:space="preserve"> </w:t>
      </w:r>
      <w:r>
        <w:rPr>
          <w:szCs w:val="19"/>
        </w:rPr>
        <w:t>higher education</w:t>
      </w:r>
      <w:r w:rsidRPr="007D1D44">
        <w:rPr>
          <w:szCs w:val="19"/>
        </w:rPr>
        <w:t xml:space="preserve"> </w:t>
      </w:r>
      <w:r>
        <w:rPr>
          <w:szCs w:val="19"/>
        </w:rPr>
        <w:t xml:space="preserve">delivery, </w:t>
      </w:r>
      <w:r w:rsidRPr="007D1D44">
        <w:rPr>
          <w:szCs w:val="19"/>
        </w:rPr>
        <w:t xml:space="preserve">there was no evidence that these organisations were passive or accidental players in the </w:t>
      </w:r>
      <w:r>
        <w:rPr>
          <w:szCs w:val="19"/>
        </w:rPr>
        <w:t>higher education</w:t>
      </w:r>
      <w:r w:rsidRPr="007D1D44">
        <w:rPr>
          <w:szCs w:val="19"/>
        </w:rPr>
        <w:t xml:space="preserve"> market. </w:t>
      </w:r>
      <w:r>
        <w:rPr>
          <w:szCs w:val="19"/>
        </w:rPr>
        <w:t xml:space="preserve">They </w:t>
      </w:r>
      <w:r w:rsidR="00810793">
        <w:rPr>
          <w:szCs w:val="19"/>
        </w:rPr>
        <w:t>we</w:t>
      </w:r>
      <w:r>
        <w:rPr>
          <w:szCs w:val="19"/>
        </w:rPr>
        <w:t>re seeking</w:t>
      </w:r>
      <w:r w:rsidRPr="007D1D44">
        <w:rPr>
          <w:szCs w:val="19"/>
        </w:rPr>
        <w:t xml:space="preserve"> to complement rather than compete with </w:t>
      </w:r>
      <w:r>
        <w:rPr>
          <w:szCs w:val="19"/>
        </w:rPr>
        <w:t xml:space="preserve">major </w:t>
      </w:r>
      <w:r w:rsidRPr="00724DC2">
        <w:rPr>
          <w:szCs w:val="19"/>
        </w:rPr>
        <w:t>universities,</w:t>
      </w:r>
      <w:r>
        <w:rPr>
          <w:szCs w:val="19"/>
        </w:rPr>
        <w:t xml:space="preserve"> a</w:t>
      </w:r>
      <w:r w:rsidRPr="00724DC2">
        <w:rPr>
          <w:szCs w:val="19"/>
        </w:rPr>
        <w:t xml:space="preserve">nd </w:t>
      </w:r>
      <w:r w:rsidR="00810793">
        <w:rPr>
          <w:szCs w:val="19"/>
        </w:rPr>
        <w:t>have done</w:t>
      </w:r>
      <w:r>
        <w:rPr>
          <w:szCs w:val="19"/>
        </w:rPr>
        <w:t xml:space="preserve"> so by establishing</w:t>
      </w:r>
      <w:r w:rsidRPr="00724DC2">
        <w:rPr>
          <w:szCs w:val="19"/>
        </w:rPr>
        <w:t xml:space="preserve"> special points of difference to attract </w:t>
      </w:r>
      <w:r>
        <w:rPr>
          <w:szCs w:val="19"/>
        </w:rPr>
        <w:t>higher education</w:t>
      </w:r>
      <w:r w:rsidRPr="00724DC2">
        <w:rPr>
          <w:szCs w:val="19"/>
        </w:rPr>
        <w:t xml:space="preserve"> students</w:t>
      </w:r>
      <w:r>
        <w:rPr>
          <w:szCs w:val="19"/>
        </w:rPr>
        <w:t xml:space="preserve">. In some cases, </w:t>
      </w:r>
      <w:r w:rsidRPr="00724DC2">
        <w:rPr>
          <w:szCs w:val="19"/>
        </w:rPr>
        <w:t xml:space="preserve">governments </w:t>
      </w:r>
      <w:r>
        <w:rPr>
          <w:szCs w:val="19"/>
        </w:rPr>
        <w:t>and</w:t>
      </w:r>
      <w:r w:rsidRPr="00724DC2">
        <w:rPr>
          <w:szCs w:val="19"/>
        </w:rPr>
        <w:t xml:space="preserve"> agencies in their jurisdictions </w:t>
      </w:r>
      <w:r>
        <w:rPr>
          <w:szCs w:val="19"/>
        </w:rPr>
        <w:t xml:space="preserve">were </w:t>
      </w:r>
      <w:r w:rsidRPr="00724DC2">
        <w:rPr>
          <w:szCs w:val="19"/>
        </w:rPr>
        <w:t>active agents in shaping the strategies</w:t>
      </w:r>
      <w:r>
        <w:rPr>
          <w:szCs w:val="19"/>
        </w:rPr>
        <w:t xml:space="preserve"> around which qualifications might be offered</w:t>
      </w:r>
      <w:r w:rsidRPr="00724DC2">
        <w:rPr>
          <w:szCs w:val="19"/>
        </w:rPr>
        <w:t>.</w:t>
      </w:r>
    </w:p>
    <w:p w:rsidR="0075281A" w:rsidRPr="00F8235B" w:rsidRDefault="0075281A" w:rsidP="00094819">
      <w:pPr>
        <w:pStyle w:val="Text"/>
        <w:rPr>
          <w:rFonts w:eastAsia="Calibri"/>
          <w:color w:val="000000" w:themeColor="text1"/>
          <w:szCs w:val="19"/>
        </w:rPr>
      </w:pPr>
      <w:r>
        <w:rPr>
          <w:szCs w:val="19"/>
        </w:rPr>
        <w:t>The</w:t>
      </w:r>
      <w:r w:rsidRPr="00724DC2">
        <w:rPr>
          <w:szCs w:val="19"/>
        </w:rPr>
        <w:t xml:space="preserve"> major strategic driver</w:t>
      </w:r>
      <w:r>
        <w:rPr>
          <w:szCs w:val="19"/>
        </w:rPr>
        <w:t>s</w:t>
      </w:r>
      <w:r w:rsidRPr="00724DC2">
        <w:rPr>
          <w:szCs w:val="19"/>
        </w:rPr>
        <w:t xml:space="preserve"> for moving into </w:t>
      </w:r>
      <w:r>
        <w:rPr>
          <w:szCs w:val="19"/>
        </w:rPr>
        <w:t>higher education</w:t>
      </w:r>
      <w:r w:rsidRPr="00724DC2">
        <w:rPr>
          <w:szCs w:val="19"/>
        </w:rPr>
        <w:t xml:space="preserve"> </w:t>
      </w:r>
      <w:r>
        <w:rPr>
          <w:szCs w:val="19"/>
        </w:rPr>
        <w:t>were to increase the revenue base of the organisations and</w:t>
      </w:r>
      <w:r w:rsidRPr="0068180F">
        <w:rPr>
          <w:szCs w:val="19"/>
        </w:rPr>
        <w:t xml:space="preserve"> to provide access to </w:t>
      </w:r>
      <w:r>
        <w:rPr>
          <w:szCs w:val="19"/>
        </w:rPr>
        <w:t>higher education</w:t>
      </w:r>
      <w:r w:rsidRPr="0068180F">
        <w:rPr>
          <w:szCs w:val="19"/>
        </w:rPr>
        <w:t xml:space="preserve"> </w:t>
      </w:r>
      <w:r>
        <w:rPr>
          <w:szCs w:val="19"/>
        </w:rPr>
        <w:t>for</w:t>
      </w:r>
      <w:r w:rsidRPr="0068180F">
        <w:rPr>
          <w:szCs w:val="19"/>
        </w:rPr>
        <w:t xml:space="preserve"> their VET students </w:t>
      </w:r>
      <w:r>
        <w:rPr>
          <w:szCs w:val="19"/>
        </w:rPr>
        <w:t>or</w:t>
      </w:r>
      <w:r w:rsidRPr="0068180F">
        <w:rPr>
          <w:szCs w:val="19"/>
        </w:rPr>
        <w:t xml:space="preserve"> other</w:t>
      </w:r>
      <w:r>
        <w:rPr>
          <w:szCs w:val="19"/>
        </w:rPr>
        <w:t>s</w:t>
      </w:r>
      <w:r w:rsidRPr="0068180F">
        <w:rPr>
          <w:szCs w:val="19"/>
        </w:rPr>
        <w:t xml:space="preserve"> who may not otherwise have entered a university degree program. Their supply of </w:t>
      </w:r>
      <w:r>
        <w:rPr>
          <w:szCs w:val="19"/>
        </w:rPr>
        <w:t>higher education</w:t>
      </w:r>
      <w:r w:rsidRPr="0068180F">
        <w:rPr>
          <w:szCs w:val="19"/>
        </w:rPr>
        <w:t xml:space="preserve"> degrees is </w:t>
      </w:r>
      <w:r>
        <w:rPr>
          <w:szCs w:val="19"/>
        </w:rPr>
        <w:t>predominantly</w:t>
      </w:r>
      <w:r w:rsidRPr="0068180F">
        <w:rPr>
          <w:szCs w:val="19"/>
        </w:rPr>
        <w:t xml:space="preserve"> in </w:t>
      </w:r>
      <w:r>
        <w:rPr>
          <w:szCs w:val="19"/>
        </w:rPr>
        <w:t xml:space="preserve">the </w:t>
      </w:r>
      <w:r w:rsidRPr="0068180F">
        <w:rPr>
          <w:szCs w:val="19"/>
        </w:rPr>
        <w:t xml:space="preserve">niche markets </w:t>
      </w:r>
      <w:r w:rsidR="00810793">
        <w:rPr>
          <w:szCs w:val="19"/>
        </w:rPr>
        <w:t>in which</w:t>
      </w:r>
      <w:r w:rsidRPr="0068180F">
        <w:rPr>
          <w:szCs w:val="19"/>
        </w:rPr>
        <w:t xml:space="preserve"> the institutions </w:t>
      </w:r>
      <w:r>
        <w:rPr>
          <w:szCs w:val="19"/>
        </w:rPr>
        <w:t>believe that they have</w:t>
      </w:r>
      <w:r w:rsidRPr="0068180F">
        <w:rPr>
          <w:szCs w:val="19"/>
        </w:rPr>
        <w:t xml:space="preserve"> existing strengths</w:t>
      </w:r>
      <w:r w:rsidRPr="0068180F">
        <w:rPr>
          <w:rFonts w:eastAsia="Calibri"/>
          <w:color w:val="000000" w:themeColor="text1"/>
          <w:szCs w:val="19"/>
        </w:rPr>
        <w:t xml:space="preserve">. </w:t>
      </w:r>
      <w:r w:rsidRPr="0068180F">
        <w:rPr>
          <w:szCs w:val="19"/>
        </w:rPr>
        <w:t>These strengths include the capability to d</w:t>
      </w:r>
      <w:r>
        <w:rPr>
          <w:szCs w:val="19"/>
        </w:rPr>
        <w:t>esign and deliver the applied field</w:t>
      </w:r>
      <w:r w:rsidRPr="0068180F">
        <w:rPr>
          <w:szCs w:val="19"/>
        </w:rPr>
        <w:t>work qualifications that specific industries</w:t>
      </w:r>
      <w:r w:rsidRPr="00724DC2">
        <w:rPr>
          <w:szCs w:val="19"/>
        </w:rPr>
        <w:t xml:space="preserve"> (</w:t>
      </w:r>
      <w:r>
        <w:rPr>
          <w:szCs w:val="19"/>
        </w:rPr>
        <w:t xml:space="preserve">for example, </w:t>
      </w:r>
      <w:r w:rsidRPr="00724DC2">
        <w:rPr>
          <w:szCs w:val="19"/>
        </w:rPr>
        <w:t xml:space="preserve">hospitality, tourism, design, health, computer gaming, police and forensic science) </w:t>
      </w:r>
      <w:r>
        <w:rPr>
          <w:szCs w:val="19"/>
        </w:rPr>
        <w:t>require</w:t>
      </w:r>
      <w:r w:rsidRPr="00724DC2">
        <w:rPr>
          <w:szCs w:val="19"/>
        </w:rPr>
        <w:t xml:space="preserve"> to raise the professional standards of their key staff.</w:t>
      </w:r>
      <w:r>
        <w:rPr>
          <w:szCs w:val="19"/>
        </w:rPr>
        <w:t xml:space="preserve"> Moreover, these</w:t>
      </w:r>
      <w:r w:rsidRPr="00724DC2">
        <w:rPr>
          <w:szCs w:val="19"/>
        </w:rPr>
        <w:t xml:space="preserve"> organisations </w:t>
      </w:r>
      <w:r>
        <w:rPr>
          <w:szCs w:val="19"/>
        </w:rPr>
        <w:t>c</w:t>
      </w:r>
      <w:r w:rsidR="00810793">
        <w:rPr>
          <w:szCs w:val="19"/>
        </w:rPr>
        <w:t>a</w:t>
      </w:r>
      <w:r>
        <w:rPr>
          <w:szCs w:val="19"/>
        </w:rPr>
        <w:t>me into higher education delivery</w:t>
      </w:r>
      <w:r w:rsidRPr="00724DC2">
        <w:rPr>
          <w:szCs w:val="19"/>
        </w:rPr>
        <w:t xml:space="preserve"> </w:t>
      </w:r>
      <w:r>
        <w:rPr>
          <w:szCs w:val="19"/>
        </w:rPr>
        <w:t xml:space="preserve">with considerable experience in innovative </w:t>
      </w:r>
      <w:r w:rsidRPr="00724DC2">
        <w:rPr>
          <w:szCs w:val="19"/>
        </w:rPr>
        <w:t xml:space="preserve">ways to promote greater flexibility in </w:t>
      </w:r>
      <w:r>
        <w:rPr>
          <w:szCs w:val="19"/>
        </w:rPr>
        <w:t>higher education</w:t>
      </w:r>
      <w:r w:rsidRPr="00724DC2">
        <w:rPr>
          <w:szCs w:val="19"/>
        </w:rPr>
        <w:t xml:space="preserve"> programs</w:t>
      </w:r>
      <w:r w:rsidRPr="00CE7C18">
        <w:rPr>
          <w:szCs w:val="19"/>
        </w:rPr>
        <w:t xml:space="preserve">. </w:t>
      </w:r>
    </w:p>
    <w:p w:rsidR="0075281A" w:rsidRDefault="0075281A" w:rsidP="00094819">
      <w:pPr>
        <w:pStyle w:val="Heading2"/>
      </w:pPr>
      <w:bookmarkStart w:id="62" w:name="_Toc396117492"/>
      <w:bookmarkStart w:id="63" w:name="_Toc419382434"/>
      <w:bookmarkStart w:id="64" w:name="_Toc419791054"/>
      <w:bookmarkStart w:id="65" w:name="_Toc419972079"/>
      <w:r>
        <w:t>Student and staff support</w:t>
      </w:r>
      <w:bookmarkEnd w:id="62"/>
      <w:bookmarkEnd w:id="63"/>
      <w:bookmarkEnd w:id="64"/>
      <w:bookmarkEnd w:id="65"/>
      <w:r>
        <w:t xml:space="preserve"> </w:t>
      </w:r>
    </w:p>
    <w:p w:rsidR="0075281A" w:rsidRDefault="0075281A" w:rsidP="00094819">
      <w:pPr>
        <w:pStyle w:val="Text"/>
      </w:pPr>
      <w:r>
        <w:t>The i</w:t>
      </w:r>
      <w:r w:rsidRPr="00724DC2">
        <w:t>nstitutions var</w:t>
      </w:r>
      <w:r>
        <w:t>ied</w:t>
      </w:r>
      <w:r w:rsidRPr="00724DC2">
        <w:t xml:space="preserve"> in the extent t</w:t>
      </w:r>
      <w:r>
        <w:t xml:space="preserve">o which </w:t>
      </w:r>
      <w:r w:rsidRPr="00724DC2">
        <w:t xml:space="preserve">staff </w:t>
      </w:r>
      <w:r>
        <w:t>taught</w:t>
      </w:r>
      <w:r w:rsidRPr="00724DC2">
        <w:t xml:space="preserve"> across the VET and </w:t>
      </w:r>
      <w:r>
        <w:t>higher education</w:t>
      </w:r>
      <w:r w:rsidRPr="00724DC2">
        <w:t xml:space="preserve"> sectors</w:t>
      </w:r>
      <w:r>
        <w:t xml:space="preserve">. Some choose to confine teachers to only one sector, while others are working to allow VET staff to teach higher education qualifications. </w:t>
      </w:r>
      <w:r w:rsidRPr="00724DC2">
        <w:t>The</w:t>
      </w:r>
      <w:r>
        <w:t xml:space="preserve"> </w:t>
      </w:r>
      <w:r w:rsidRPr="00724DC2">
        <w:t xml:space="preserve">organisations did not report any major challenges in locating suitably qualified staff to teach their </w:t>
      </w:r>
      <w:r>
        <w:t>higher education</w:t>
      </w:r>
      <w:r w:rsidRPr="00724DC2">
        <w:t xml:space="preserve"> programs. </w:t>
      </w:r>
      <w:r>
        <w:t>They make</w:t>
      </w:r>
      <w:r w:rsidRPr="00724DC2">
        <w:t xml:space="preserve"> </w:t>
      </w:r>
      <w:r>
        <w:t xml:space="preserve">use of </w:t>
      </w:r>
      <w:r w:rsidRPr="00724DC2">
        <w:t xml:space="preserve">a large pool of qualified sessional and casual staff </w:t>
      </w:r>
      <w:proofErr w:type="gramStart"/>
      <w:r>
        <w:t>who</w:t>
      </w:r>
      <w:proofErr w:type="gramEnd"/>
      <w:r>
        <w:t xml:space="preserve"> are also qualified </w:t>
      </w:r>
      <w:r w:rsidRPr="00724DC2">
        <w:t xml:space="preserve">to teach </w:t>
      </w:r>
      <w:r>
        <w:t>higher education</w:t>
      </w:r>
      <w:r w:rsidRPr="00724DC2">
        <w:t xml:space="preserve"> programs. </w:t>
      </w:r>
      <w:r w:rsidRPr="00724DC2">
        <w:lastRenderedPageBreak/>
        <w:t>None of the case study providers ha</w:t>
      </w:r>
      <w:r>
        <w:t>s</w:t>
      </w:r>
      <w:r w:rsidRPr="00724DC2">
        <w:t xml:space="preserve"> concerns about their ability to design and deliver successful </w:t>
      </w:r>
      <w:r>
        <w:t>higher education</w:t>
      </w:r>
      <w:r w:rsidRPr="00724DC2">
        <w:t xml:space="preserve"> programs. However, each highlighted the challenges </w:t>
      </w:r>
      <w:r>
        <w:t>associated with</w:t>
      </w:r>
      <w:r w:rsidRPr="00724DC2">
        <w:t xml:space="preserve"> defining and providing access to scholarship</w:t>
      </w:r>
      <w:r>
        <w:t xml:space="preserve"> for higher education teaching staff</w:t>
      </w:r>
      <w:r w:rsidRPr="00724DC2">
        <w:t xml:space="preserve">, with their views </w:t>
      </w:r>
      <w:r>
        <w:t>on</w:t>
      </w:r>
      <w:r w:rsidRPr="00724DC2">
        <w:t xml:space="preserve"> appropriate scholarship still emerging. Currently</w:t>
      </w:r>
      <w:r w:rsidR="00810793">
        <w:t>,</w:t>
      </w:r>
      <w:r w:rsidRPr="00724DC2">
        <w:t xml:space="preserve"> scholarship activity is aligned more to the applied and professional nature of their </w:t>
      </w:r>
      <w:r>
        <w:t>higher education</w:t>
      </w:r>
      <w:r w:rsidRPr="00724DC2">
        <w:t xml:space="preserve"> programs rather than to </w:t>
      </w:r>
      <w:r w:rsidR="00810793">
        <w:t xml:space="preserve">the </w:t>
      </w:r>
      <w:r>
        <w:t xml:space="preserve">undertaking </w:t>
      </w:r>
      <w:r w:rsidR="00810793">
        <w:t xml:space="preserve">of </w:t>
      </w:r>
      <w:r w:rsidRPr="00724DC2">
        <w:t>academic research</w:t>
      </w:r>
      <w:r>
        <w:t>. In some cases, e</w:t>
      </w:r>
      <w:r w:rsidRPr="00724DC2">
        <w:t>xisting partnerships and networks with universities and TAFE</w:t>
      </w:r>
      <w:r>
        <w:t xml:space="preserve"> (technical and further education) institute</w:t>
      </w:r>
      <w:r w:rsidRPr="00724DC2">
        <w:t xml:space="preserve">s are </w:t>
      </w:r>
      <w:r>
        <w:t xml:space="preserve">being </w:t>
      </w:r>
      <w:r w:rsidRPr="00724DC2">
        <w:t xml:space="preserve">used to support </w:t>
      </w:r>
      <w:r>
        <w:t>activities concerned with</w:t>
      </w:r>
      <w:r w:rsidRPr="00724DC2">
        <w:t xml:space="preserve"> </w:t>
      </w:r>
      <w:r>
        <w:t xml:space="preserve">the </w:t>
      </w:r>
      <w:r w:rsidRPr="00724DC2">
        <w:t xml:space="preserve">scholarship and </w:t>
      </w:r>
      <w:r>
        <w:t xml:space="preserve">the </w:t>
      </w:r>
      <w:r w:rsidRPr="00724DC2">
        <w:t xml:space="preserve">professional development of their </w:t>
      </w:r>
      <w:r>
        <w:t>higher education</w:t>
      </w:r>
      <w:r w:rsidRPr="00724DC2">
        <w:t xml:space="preserve"> staff.</w:t>
      </w:r>
    </w:p>
    <w:p w:rsidR="0075281A" w:rsidRPr="006F63E5" w:rsidRDefault="0075281A" w:rsidP="00094819">
      <w:pPr>
        <w:pStyle w:val="Text"/>
      </w:pPr>
      <w:r w:rsidRPr="00724DC2">
        <w:t>In general</w:t>
      </w:r>
      <w:r>
        <w:t>,</w:t>
      </w:r>
      <w:r w:rsidRPr="00724DC2">
        <w:t xml:space="preserve"> the student support services provided to </w:t>
      </w:r>
      <w:r>
        <w:t>higher education</w:t>
      </w:r>
      <w:r w:rsidRPr="00724DC2">
        <w:t xml:space="preserve"> students have evolved and increased over time. These </w:t>
      </w:r>
      <w:r>
        <w:t>higher education</w:t>
      </w:r>
      <w:r w:rsidRPr="00724DC2">
        <w:t xml:space="preserve"> supports are addition</w:t>
      </w:r>
      <w:r>
        <w:t>al</w:t>
      </w:r>
      <w:r w:rsidRPr="00724DC2">
        <w:t xml:space="preserve"> to </w:t>
      </w:r>
      <w:r>
        <w:t xml:space="preserve">the </w:t>
      </w:r>
      <w:r w:rsidRPr="00724DC2">
        <w:t>existin</w:t>
      </w:r>
      <w:r>
        <w:t>g supports for VET students, which</w:t>
      </w:r>
      <w:r w:rsidRPr="00724DC2">
        <w:t xml:space="preserve"> </w:t>
      </w:r>
      <w:r>
        <w:t>higher education</w:t>
      </w:r>
      <w:r w:rsidRPr="00724DC2">
        <w:t xml:space="preserve"> students also </w:t>
      </w:r>
      <w:r>
        <w:t xml:space="preserve">can </w:t>
      </w:r>
      <w:r w:rsidRPr="00724DC2">
        <w:t>access.</w:t>
      </w:r>
      <w:r w:rsidRPr="00EB40DF">
        <w:t xml:space="preserve"> </w:t>
      </w:r>
      <w:r>
        <w:t>The r</w:t>
      </w:r>
      <w:r w:rsidRPr="00724DC2">
        <w:t xml:space="preserve">ates of student engagement and attrition require constant attention, with a range of strategies in place to promote access, participation, completion and employment. More </w:t>
      </w:r>
      <w:r>
        <w:t>higher education-</w:t>
      </w:r>
      <w:r w:rsidRPr="00724DC2">
        <w:t>specific support for students include</w:t>
      </w:r>
      <w:r>
        <w:t>s</w:t>
      </w:r>
      <w:r w:rsidRPr="00724DC2">
        <w:t xml:space="preserve"> smaller classes with </w:t>
      </w:r>
      <w:r w:rsidR="00810793">
        <w:t>ready</w:t>
      </w:r>
      <w:r w:rsidRPr="00724DC2">
        <w:t xml:space="preserve"> access to teaching staff; the use of multiple mechanisms</w:t>
      </w:r>
      <w:r>
        <w:t xml:space="preserve"> up-front</w:t>
      </w:r>
      <w:r w:rsidRPr="00724DC2">
        <w:t xml:space="preserve"> to test student readiness for </w:t>
      </w:r>
      <w:r>
        <w:t>higher education</w:t>
      </w:r>
      <w:r w:rsidRPr="00724DC2">
        <w:t xml:space="preserve"> study; extra tutorial support in </w:t>
      </w:r>
      <w:r>
        <w:t>some more theoretical and academic</w:t>
      </w:r>
      <w:r w:rsidRPr="00724DC2">
        <w:t xml:space="preserve"> core courses; literacy, numeracy and computer skills support programs; use of individual learning plans </w:t>
      </w:r>
      <w:r>
        <w:t>for at-</w:t>
      </w:r>
      <w:r w:rsidRPr="00724DC2">
        <w:t xml:space="preserve">risk students; the redesign of </w:t>
      </w:r>
      <w:r>
        <w:t>higher education</w:t>
      </w:r>
      <w:r w:rsidRPr="00724DC2">
        <w:t xml:space="preserve"> qualifications to promote the more applied or</w:t>
      </w:r>
      <w:r>
        <w:t>ientation of the qualifications</w:t>
      </w:r>
      <w:r w:rsidRPr="00724DC2">
        <w:t xml:space="preserve"> as a balance to the academic focus; and support for more gifted students. In sum, developing </w:t>
      </w:r>
      <w:r>
        <w:t xml:space="preserve">and maintaining a strong student-centric </w:t>
      </w:r>
      <w:r w:rsidRPr="00724DC2">
        <w:t xml:space="preserve">culture </w:t>
      </w:r>
      <w:r>
        <w:t xml:space="preserve">is </w:t>
      </w:r>
      <w:r w:rsidRPr="00724DC2">
        <w:t>allow</w:t>
      </w:r>
      <w:r>
        <w:t>ing</w:t>
      </w:r>
      <w:r w:rsidRPr="00724DC2">
        <w:t xml:space="preserve"> these public and private </w:t>
      </w:r>
      <w:r>
        <w:t xml:space="preserve">VET </w:t>
      </w:r>
      <w:r w:rsidRPr="00724DC2">
        <w:t>providers to compete against much larger and better resourced universitie</w:t>
      </w:r>
      <w:r>
        <w:t>s.</w:t>
      </w:r>
      <w:r w:rsidRPr="006F63E5">
        <w:t xml:space="preserve"> </w:t>
      </w:r>
    </w:p>
    <w:p w:rsidR="0075281A" w:rsidRDefault="0075281A" w:rsidP="00094819">
      <w:pPr>
        <w:pStyle w:val="Heading2"/>
      </w:pPr>
      <w:bookmarkStart w:id="66" w:name="_Toc396117493"/>
      <w:bookmarkStart w:id="67" w:name="_Toc419382435"/>
      <w:bookmarkStart w:id="68" w:name="_Toc419791055"/>
      <w:bookmarkStart w:id="69" w:name="_Toc419972080"/>
      <w:r>
        <w:t>Operational issues</w:t>
      </w:r>
      <w:bookmarkEnd w:id="66"/>
      <w:bookmarkEnd w:id="67"/>
      <w:bookmarkEnd w:id="68"/>
      <w:bookmarkEnd w:id="69"/>
    </w:p>
    <w:p w:rsidR="0075281A" w:rsidRPr="00C10EF9" w:rsidRDefault="0075281A" w:rsidP="00094819">
      <w:pPr>
        <w:pStyle w:val="Text"/>
      </w:pPr>
      <w:r w:rsidRPr="00C10EF9">
        <w:t>The</w:t>
      </w:r>
      <w:r>
        <w:t xml:space="preserve">se </w:t>
      </w:r>
      <w:r w:rsidRPr="00C10EF9">
        <w:t xml:space="preserve">organisations have managed, and continue to manage, numerous operational challenges </w:t>
      </w:r>
      <w:r w:rsidR="00810793">
        <w:t>in</w:t>
      </w:r>
      <w:r w:rsidRPr="00C10EF9">
        <w:t xml:space="preserve"> offer</w:t>
      </w:r>
      <w:r w:rsidR="00810793">
        <w:t>ing</w:t>
      </w:r>
      <w:r w:rsidRPr="00C10EF9">
        <w:t xml:space="preserve"> </w:t>
      </w:r>
      <w:r>
        <w:t>their higher education qualifications. A major challenge is the</w:t>
      </w:r>
      <w:r w:rsidRPr="00C10EF9">
        <w:t xml:space="preserve"> </w:t>
      </w:r>
      <w:r>
        <w:t>financial cost</w:t>
      </w:r>
      <w:r w:rsidRPr="00C10EF9">
        <w:t xml:space="preserve"> </w:t>
      </w:r>
      <w:r>
        <w:t>as well as</w:t>
      </w:r>
      <w:r w:rsidRPr="00C10EF9">
        <w:t xml:space="preserve"> staff time to seek and maintain accreditation of </w:t>
      </w:r>
      <w:r>
        <w:t>higher education</w:t>
      </w:r>
      <w:r w:rsidRPr="00C10EF9">
        <w:t xml:space="preserve"> degree courses and </w:t>
      </w:r>
      <w:r>
        <w:t>higher education</w:t>
      </w:r>
      <w:r w:rsidRPr="00C10EF9">
        <w:t xml:space="preserve"> provider registr</w:t>
      </w:r>
      <w:r>
        <w:t>ation. Except for a few special-</w:t>
      </w:r>
      <w:r w:rsidRPr="00C10EF9">
        <w:t>needs cases (</w:t>
      </w:r>
      <w:r>
        <w:t xml:space="preserve">for example, for some </w:t>
      </w:r>
      <w:r w:rsidRPr="00C10EF9">
        <w:t xml:space="preserve">nursing </w:t>
      </w:r>
      <w:r>
        <w:t>and education degrees at Holmesglen Institute</w:t>
      </w:r>
      <w:r w:rsidRPr="00C10EF9">
        <w:t xml:space="preserve"> </w:t>
      </w:r>
      <w:r>
        <w:t xml:space="preserve">and </w:t>
      </w:r>
      <w:r w:rsidRPr="00C10EF9">
        <w:t xml:space="preserve">education at Tabor Adelaide), organisations </w:t>
      </w:r>
      <w:r>
        <w:t>currently</w:t>
      </w:r>
      <w:r w:rsidRPr="00C10EF9">
        <w:t xml:space="preserve"> do not receive Commonwealth funding for their </w:t>
      </w:r>
      <w:r>
        <w:t>higher education</w:t>
      </w:r>
      <w:r w:rsidRPr="00C10EF9">
        <w:t xml:space="preserve"> students, although students often do access FEE-</w:t>
      </w:r>
      <w:r>
        <w:t>HE</w:t>
      </w:r>
      <w:r w:rsidRPr="00C10EF9">
        <w:t xml:space="preserve">LP. Maintaining viable class sizes is a </w:t>
      </w:r>
      <w:r>
        <w:t>day-to-</w:t>
      </w:r>
      <w:r w:rsidRPr="00C10EF9">
        <w:t>day concern for these organisations</w:t>
      </w:r>
      <w:r>
        <w:t>,</w:t>
      </w:r>
      <w:r w:rsidRPr="00C10EF9">
        <w:t xml:space="preserve"> where </w:t>
      </w:r>
      <w:r>
        <w:t>higher education</w:t>
      </w:r>
      <w:r w:rsidRPr="00C10EF9">
        <w:t xml:space="preserve"> is a minority part of their activity</w:t>
      </w:r>
      <w:r>
        <w:t>.</w:t>
      </w:r>
    </w:p>
    <w:p w:rsidR="0075281A" w:rsidRPr="001A3CBB" w:rsidRDefault="0075281A" w:rsidP="00094819">
      <w:pPr>
        <w:pStyle w:val="Text"/>
      </w:pPr>
      <w:r w:rsidRPr="00C10EF9">
        <w:t xml:space="preserve">Our cases reveal strong and evolving governance structures </w:t>
      </w:r>
      <w:r w:rsidR="00810793">
        <w:t>to</w:t>
      </w:r>
      <w:r w:rsidRPr="00C10EF9">
        <w:t xml:space="preserve"> support the development and delivery of the</w:t>
      </w:r>
      <w:r>
        <w:t>ir higher education</w:t>
      </w:r>
      <w:r w:rsidRPr="00C10EF9">
        <w:t xml:space="preserve"> qualifications. In the initial years of </w:t>
      </w:r>
      <w:r>
        <w:t>higher education</w:t>
      </w:r>
      <w:r w:rsidRPr="00C10EF9">
        <w:t xml:space="preserve"> delivery, the operational arrangements for </w:t>
      </w:r>
      <w:r>
        <w:t>higher education</w:t>
      </w:r>
      <w:r w:rsidRPr="00C10EF9">
        <w:t xml:space="preserve"> are </w:t>
      </w:r>
      <w:r>
        <w:t xml:space="preserve">often </w:t>
      </w:r>
      <w:r w:rsidRPr="00C10EF9">
        <w:t>managed as exceptions to existing VET arrangements.</w:t>
      </w:r>
      <w:r>
        <w:t xml:space="preserve"> </w:t>
      </w:r>
      <w:r w:rsidRPr="00C10EF9">
        <w:t xml:space="preserve">Over time, supporting units, governance structures, policies and procedures </w:t>
      </w:r>
      <w:r>
        <w:t xml:space="preserve">have </w:t>
      </w:r>
      <w:r w:rsidRPr="00C10EF9">
        <w:t xml:space="preserve">become more differentiated, with the formation of a </w:t>
      </w:r>
      <w:r>
        <w:t>higher education</w:t>
      </w:r>
      <w:r w:rsidRPr="00C10EF9">
        <w:t xml:space="preserve"> support leader and unit being a key milestone </w:t>
      </w:r>
      <w:r>
        <w:t>in</w:t>
      </w:r>
      <w:r w:rsidRPr="00C10EF9">
        <w:t xml:space="preserve"> this differentiation. In particular, the governance and regulatory environment has changed considerably with the </w:t>
      </w:r>
      <w:r>
        <w:t>establishment</w:t>
      </w:r>
      <w:r w:rsidRPr="00C10EF9">
        <w:t xml:space="preserve"> of</w:t>
      </w:r>
      <w:r>
        <w:t xml:space="preserve"> the</w:t>
      </w:r>
      <w:r w:rsidRPr="00075316">
        <w:t xml:space="preserve"> </w:t>
      </w:r>
      <w:r>
        <w:t>Tertiary Education Quality Standards Agency</w:t>
      </w:r>
      <w:r w:rsidRPr="00C10EF9">
        <w:t xml:space="preserve"> </w:t>
      </w:r>
      <w:r>
        <w:t>(</w:t>
      </w:r>
      <w:r w:rsidRPr="00C10EF9">
        <w:t>TEQSA</w:t>
      </w:r>
      <w:r>
        <w:t>)</w:t>
      </w:r>
      <w:r w:rsidRPr="00C10EF9">
        <w:t xml:space="preserve">. All organisations report that meeting TEQSA’s </w:t>
      </w:r>
      <w:r>
        <w:t xml:space="preserve">early </w:t>
      </w:r>
      <w:r w:rsidRPr="00C10EF9">
        <w:t>expectations ha</w:t>
      </w:r>
      <w:r>
        <w:t>ve</w:t>
      </w:r>
      <w:r w:rsidRPr="00C10EF9">
        <w:t xml:space="preserve"> been costly in terms of direct financial costs, lost opportunity costs, and staff time</w:t>
      </w:r>
      <w:r>
        <w:t>,</w:t>
      </w:r>
      <w:r w:rsidRPr="00C10EF9">
        <w:t xml:space="preserve"> including </w:t>
      </w:r>
      <w:r>
        <w:t xml:space="preserve">staff time to </w:t>
      </w:r>
      <w:r w:rsidRPr="00C10EF9">
        <w:t>rework submissions.</w:t>
      </w:r>
      <w:r>
        <w:t xml:space="preserve"> The cost</w:t>
      </w:r>
      <w:r w:rsidRPr="00C10EF9">
        <w:t xml:space="preserve"> of seeking and </w:t>
      </w:r>
      <w:r>
        <w:t xml:space="preserve">meeting the agency’s requirements is one </w:t>
      </w:r>
      <w:r w:rsidRPr="00C10EF9">
        <w:t xml:space="preserve">factor in the </w:t>
      </w:r>
      <w:r>
        <w:t xml:space="preserve">recent </w:t>
      </w:r>
      <w:r w:rsidRPr="00C10EF9">
        <w:t xml:space="preserve">decisions </w:t>
      </w:r>
      <w:r>
        <w:t>by</w:t>
      </w:r>
      <w:r w:rsidRPr="00C10EF9">
        <w:t xml:space="preserve"> some institutions to reduce their delivery of </w:t>
      </w:r>
      <w:r>
        <w:t>higher education</w:t>
      </w:r>
      <w:r w:rsidRPr="00C10EF9">
        <w:t xml:space="preserve"> qualification</w:t>
      </w:r>
      <w:r>
        <w:t>s in their own right</w:t>
      </w:r>
      <w:r w:rsidRPr="00C10EF9">
        <w:t xml:space="preserve">. </w:t>
      </w:r>
      <w:r>
        <w:t xml:space="preserve">In some cases a factor has been recent changes in state VET funding policies. Rather than dropping higher education, some providers </w:t>
      </w:r>
      <w:r w:rsidRPr="00C10EF9">
        <w:t>will still deliver the</w:t>
      </w:r>
      <w:r>
        <w:t xml:space="preserve">se higher education </w:t>
      </w:r>
      <w:r w:rsidRPr="00C10EF9">
        <w:t xml:space="preserve">qualifications </w:t>
      </w:r>
      <w:r>
        <w:t xml:space="preserve">but </w:t>
      </w:r>
      <w:r w:rsidRPr="00C10EF9">
        <w:t>in partnerships with universities or other providers.</w:t>
      </w:r>
      <w:r w:rsidRPr="005E1A79">
        <w:t xml:space="preserve"> </w:t>
      </w:r>
      <w:r w:rsidRPr="000A72C4">
        <w:t xml:space="preserve">All six case organisations plan to maintain their </w:t>
      </w:r>
      <w:r>
        <w:lastRenderedPageBreak/>
        <w:t xml:space="preserve">higher education capacity as far as possible and to increase their higher education involvement when there is a sound business case to do so. </w:t>
      </w:r>
    </w:p>
    <w:p w:rsidR="0075281A" w:rsidRDefault="0075281A" w:rsidP="00094819">
      <w:pPr>
        <w:pStyle w:val="Heading2"/>
      </w:pPr>
      <w:bookmarkStart w:id="70" w:name="_Toc396117494"/>
      <w:bookmarkStart w:id="71" w:name="_Toc419382436"/>
      <w:bookmarkStart w:id="72" w:name="_Toc419791056"/>
      <w:bookmarkStart w:id="73" w:name="_Toc419972081"/>
      <w:r>
        <w:t>Best practice guidelines</w:t>
      </w:r>
      <w:bookmarkEnd w:id="70"/>
      <w:bookmarkEnd w:id="71"/>
      <w:bookmarkEnd w:id="72"/>
      <w:bookmarkEnd w:id="73"/>
      <w:r>
        <w:t xml:space="preserve"> </w:t>
      </w:r>
    </w:p>
    <w:p w:rsidR="0075281A" w:rsidRPr="00C10EF9" w:rsidRDefault="0075281A" w:rsidP="00094819">
      <w:pPr>
        <w:pStyle w:val="Text"/>
      </w:pPr>
      <w:r>
        <w:t xml:space="preserve">A key </w:t>
      </w:r>
      <w:r w:rsidRPr="00C10EF9">
        <w:t xml:space="preserve">purpose in preparing the six case studies was to identify guidelines </w:t>
      </w:r>
      <w:r>
        <w:t>to</w:t>
      </w:r>
      <w:r w:rsidRPr="00C10EF9">
        <w:t xml:space="preserve"> assist VET providers that have or are considering </w:t>
      </w:r>
      <w:r w:rsidR="00810793">
        <w:t xml:space="preserve">future </w:t>
      </w:r>
      <w:r w:rsidRPr="00C10EF9">
        <w:t xml:space="preserve">transition into the delivery of </w:t>
      </w:r>
      <w:r>
        <w:t>higher education</w:t>
      </w:r>
      <w:r w:rsidRPr="00C10EF9">
        <w:t xml:space="preserve"> programs</w:t>
      </w:r>
      <w:r>
        <w:t>. The b</w:t>
      </w:r>
      <w:r w:rsidRPr="00C10EF9">
        <w:t>est prac</w:t>
      </w:r>
      <w:r>
        <w:t>tice ideas that emerge from the</w:t>
      </w:r>
      <w:r w:rsidRPr="00C10EF9">
        <w:t xml:space="preserve"> cases include:</w:t>
      </w:r>
    </w:p>
    <w:p w:rsidR="0075281A" w:rsidRPr="00360946" w:rsidRDefault="0075281A" w:rsidP="0075281A">
      <w:pPr>
        <w:pStyle w:val="Dotpoint1"/>
        <w:spacing w:before="80"/>
      </w:pPr>
      <w:r w:rsidRPr="007C4F43">
        <w:rPr>
          <w:i/>
        </w:rPr>
        <w:t>Be strategic</w:t>
      </w:r>
      <w:r>
        <w:t xml:space="preserve">: </w:t>
      </w:r>
      <w:r w:rsidRPr="00360946">
        <w:t xml:space="preserve">success is linked to the supply of </w:t>
      </w:r>
      <w:r>
        <w:t>higher education</w:t>
      </w:r>
      <w:r w:rsidRPr="00360946">
        <w:t xml:space="preserve"> degrees to niche markets </w:t>
      </w:r>
      <w:r w:rsidR="00810793">
        <w:t>in which</w:t>
      </w:r>
      <w:r w:rsidRPr="00360946">
        <w:t xml:space="preserve"> providers have existing and special strengths. In particular, successful VET </w:t>
      </w:r>
      <w:r>
        <w:t>higher education</w:t>
      </w:r>
      <w:r w:rsidRPr="00360946">
        <w:t xml:space="preserve"> pr</w:t>
      </w:r>
      <w:r>
        <w:t>oviders are delivering the applied field-based</w:t>
      </w:r>
      <w:r w:rsidRPr="00360946">
        <w:t xml:space="preserve"> qualifications required by industries. Industry needs to be involved in all aspects of the strategic planning and implementation</w:t>
      </w:r>
      <w:r w:rsidR="00810793">
        <w:t>:</w:t>
      </w:r>
      <w:r w:rsidRPr="00360946">
        <w:t xml:space="preserve"> from the development of the business plan, </w:t>
      </w:r>
      <w:r>
        <w:t>to</w:t>
      </w:r>
      <w:r w:rsidRPr="00360946">
        <w:t xml:space="preserve"> offering industry experts </w:t>
      </w:r>
      <w:r>
        <w:t xml:space="preserve">the opportunity </w:t>
      </w:r>
      <w:r w:rsidRPr="00360946">
        <w:t xml:space="preserve">to assist in the design and delivery of </w:t>
      </w:r>
      <w:r>
        <w:t>higher education</w:t>
      </w:r>
      <w:r w:rsidRPr="00360946">
        <w:t xml:space="preserve"> courses, to providing student placements and industry projects that enhance the employability of graduating students</w:t>
      </w:r>
      <w:r>
        <w:t>.</w:t>
      </w:r>
      <w:r w:rsidRPr="00360946">
        <w:t xml:space="preserve"> </w:t>
      </w:r>
    </w:p>
    <w:p w:rsidR="0075281A" w:rsidRDefault="0075281A" w:rsidP="0075281A">
      <w:pPr>
        <w:pStyle w:val="Dotpoint1"/>
        <w:spacing w:before="80"/>
      </w:pPr>
      <w:r w:rsidRPr="007C4F43">
        <w:rPr>
          <w:i/>
        </w:rPr>
        <w:t>Develop the business case</w:t>
      </w:r>
      <w:r>
        <w:t>:</w:t>
      </w:r>
      <w:r w:rsidRPr="00360946">
        <w:t xml:space="preserve"> </w:t>
      </w:r>
      <w:r>
        <w:t xml:space="preserve">in the current environment, </w:t>
      </w:r>
      <w:r w:rsidRPr="00360946">
        <w:t xml:space="preserve">a strong business case must exist for any new </w:t>
      </w:r>
      <w:r>
        <w:t>higher education</w:t>
      </w:r>
      <w:r w:rsidRPr="00360946">
        <w:t xml:space="preserve"> qual</w:t>
      </w:r>
      <w:r>
        <w:t>ification. Organisations need to e</w:t>
      </w:r>
      <w:r w:rsidRPr="00360946">
        <w:t xml:space="preserve">xamine the benefits of introducing </w:t>
      </w:r>
      <w:r>
        <w:t>higher education</w:t>
      </w:r>
      <w:r w:rsidRPr="00360946">
        <w:t xml:space="preserve"> programs into a traditional VET organisation: </w:t>
      </w:r>
      <w:r>
        <w:t xml:space="preserve">the </w:t>
      </w:r>
      <w:r w:rsidRPr="00360946">
        <w:t xml:space="preserve">potential to increase revenue; </w:t>
      </w:r>
      <w:r>
        <w:t xml:space="preserve">the </w:t>
      </w:r>
      <w:r w:rsidRPr="00360946">
        <w:t xml:space="preserve">ability to leverage off the experience and capability </w:t>
      </w:r>
      <w:r>
        <w:t xml:space="preserve">gained from </w:t>
      </w:r>
      <w:r w:rsidRPr="00360946">
        <w:t xml:space="preserve">delivering existing VET programs; and </w:t>
      </w:r>
      <w:r>
        <w:t xml:space="preserve">the </w:t>
      </w:r>
      <w:r w:rsidRPr="00360946">
        <w:t xml:space="preserve">roll-on effects to </w:t>
      </w:r>
      <w:r>
        <w:t xml:space="preserve">their </w:t>
      </w:r>
      <w:r w:rsidRPr="00360946">
        <w:t xml:space="preserve">VET qualifications and the institute’s brand through the inclusion of </w:t>
      </w:r>
      <w:r>
        <w:t>higher education</w:t>
      </w:r>
      <w:r w:rsidRPr="00360946">
        <w:t xml:space="preserve">. </w:t>
      </w:r>
      <w:r>
        <w:t xml:space="preserve">However, organisations need to investigate the </w:t>
      </w:r>
      <w:r w:rsidRPr="00360946">
        <w:t>costs</w:t>
      </w:r>
      <w:r>
        <w:t>,</w:t>
      </w:r>
      <w:r w:rsidRPr="00360946">
        <w:t xml:space="preserve"> </w:t>
      </w:r>
      <w:r>
        <w:t>including:</w:t>
      </w:r>
      <w:r w:rsidRPr="00360946">
        <w:t xml:space="preserve"> setting up appropriate governance structures, accreditation and re-accredit</w:t>
      </w:r>
      <w:r>
        <w:t>ation processes; managing a fee-for-</w:t>
      </w:r>
      <w:r w:rsidRPr="00360946">
        <w:t>service regime and culture; and the costs and planning for additional supports (</w:t>
      </w:r>
      <w:r>
        <w:t xml:space="preserve">for example, </w:t>
      </w:r>
      <w:r w:rsidRPr="00360946">
        <w:t xml:space="preserve">extra tutorials, monitoring student progress) to assist students </w:t>
      </w:r>
      <w:r>
        <w:t>who</w:t>
      </w:r>
      <w:r w:rsidRPr="00360946">
        <w:t xml:space="preserve"> </w:t>
      </w:r>
      <w:r>
        <w:t xml:space="preserve">take up the higher education qualifications. In addition, they must examine the opportunities but also the risks associated with possible changes to relevant key policies. </w:t>
      </w:r>
    </w:p>
    <w:p w:rsidR="0075281A" w:rsidRPr="00514172" w:rsidRDefault="0075281A" w:rsidP="0075281A">
      <w:pPr>
        <w:pStyle w:val="Dotpoint1"/>
        <w:spacing w:before="80"/>
      </w:pPr>
      <w:r w:rsidRPr="007C4F43">
        <w:rPr>
          <w:i/>
        </w:rPr>
        <w:t>Work up to delivering higher education in your own right</w:t>
      </w:r>
      <w:r>
        <w:t>:</w:t>
      </w:r>
      <w:r w:rsidRPr="00360946">
        <w:t xml:space="preserve"> </w:t>
      </w:r>
      <w:r>
        <w:t xml:space="preserve">the case studies reveal that </w:t>
      </w:r>
      <w:r w:rsidRPr="00360946">
        <w:t>organisations need to gai</w:t>
      </w:r>
      <w:r>
        <w:t>n experience first in other VET-to-higher education</w:t>
      </w:r>
      <w:r w:rsidRPr="00360946">
        <w:t xml:space="preserve"> arrangements. These experiences</w:t>
      </w:r>
      <w:r>
        <w:t>,</w:t>
      </w:r>
      <w:r w:rsidRPr="00360946">
        <w:t xml:space="preserve"> either through partnerships with universities or other </w:t>
      </w:r>
      <w:r w:rsidRPr="00514172">
        <w:t>arrangements</w:t>
      </w:r>
      <w:r>
        <w:t>,</w:t>
      </w:r>
      <w:r w:rsidRPr="00514172">
        <w:t xml:space="preserve"> develop the </w:t>
      </w:r>
      <w:r>
        <w:t>higher education</w:t>
      </w:r>
      <w:r w:rsidRPr="00514172">
        <w:t xml:space="preserve"> knowledge and capability of staff. In particular, contracted </w:t>
      </w:r>
      <w:r>
        <w:t>higher education</w:t>
      </w:r>
      <w:r w:rsidRPr="00514172">
        <w:t xml:space="preserve"> delivery develops staff</w:t>
      </w:r>
      <w:r>
        <w:t>,</w:t>
      </w:r>
      <w:r w:rsidRPr="00514172">
        <w:t xml:space="preserve"> </w:t>
      </w:r>
      <w:proofErr w:type="gramStart"/>
      <w:r w:rsidRPr="00514172">
        <w:t>who</w:t>
      </w:r>
      <w:proofErr w:type="gramEnd"/>
      <w:r w:rsidRPr="00514172">
        <w:t xml:space="preserve"> are </w:t>
      </w:r>
      <w:r>
        <w:t xml:space="preserve">then </w:t>
      </w:r>
      <w:r w:rsidRPr="00514172">
        <w:t xml:space="preserve">better prepared for </w:t>
      </w:r>
      <w:r>
        <w:t>higher education programs;</w:t>
      </w:r>
      <w:r w:rsidRPr="00514172">
        <w:t xml:space="preserve"> staff </w:t>
      </w:r>
      <w:r>
        <w:t>begin to explore their own</w:t>
      </w:r>
      <w:r w:rsidRPr="00514172">
        <w:t xml:space="preserve"> ideas and strategies </w:t>
      </w:r>
      <w:r>
        <w:t>relating to the delivery of</w:t>
      </w:r>
      <w:r w:rsidRPr="00514172">
        <w:t xml:space="preserve"> a </w:t>
      </w:r>
      <w:r>
        <w:t>higher education</w:t>
      </w:r>
      <w:r w:rsidRPr="00514172">
        <w:t xml:space="preserve"> portfolio in their institution.</w:t>
      </w:r>
    </w:p>
    <w:p w:rsidR="0075281A" w:rsidRPr="00514172" w:rsidRDefault="0075281A" w:rsidP="0075281A">
      <w:pPr>
        <w:pStyle w:val="Dotpoint1"/>
        <w:spacing w:before="80"/>
        <w:rPr>
          <w:szCs w:val="19"/>
        </w:rPr>
      </w:pPr>
      <w:r w:rsidRPr="007C4F43">
        <w:rPr>
          <w:i/>
          <w:szCs w:val="19"/>
        </w:rPr>
        <w:t>Develop appropriate academic governance arrangements</w:t>
      </w:r>
      <w:r>
        <w:rPr>
          <w:szCs w:val="19"/>
        </w:rPr>
        <w:t>: i</w:t>
      </w:r>
      <w:r w:rsidRPr="00514172">
        <w:t xml:space="preserve">nitially, different operational arrangements for </w:t>
      </w:r>
      <w:r>
        <w:t>higher education</w:t>
      </w:r>
      <w:r w:rsidRPr="00514172">
        <w:t xml:space="preserve"> are often managed as exceptions to VET arrangements.</w:t>
      </w:r>
      <w:r>
        <w:t xml:space="preserve"> </w:t>
      </w:r>
      <w:r w:rsidRPr="00514172">
        <w:t xml:space="preserve">Supporting units, governance structures, policies and procedures become more differentiated over time, with the formation of a </w:t>
      </w:r>
      <w:r>
        <w:t>higher education</w:t>
      </w:r>
      <w:r w:rsidRPr="00514172">
        <w:t xml:space="preserve"> support leader and unit being a key development for this differentiation. </w:t>
      </w:r>
    </w:p>
    <w:p w:rsidR="0075281A" w:rsidRPr="00514172" w:rsidRDefault="0075281A" w:rsidP="0075281A">
      <w:pPr>
        <w:pStyle w:val="Dotpoint1"/>
        <w:spacing w:before="80"/>
      </w:pPr>
      <w:r w:rsidRPr="007C4F43">
        <w:rPr>
          <w:i/>
        </w:rPr>
        <w:t>Provide additional student support</w:t>
      </w:r>
      <w:r>
        <w:t>:</w:t>
      </w:r>
      <w:r w:rsidRPr="00514172">
        <w:t xml:space="preserve"> a range of strategies are required, in addition to those already in place, to support </w:t>
      </w:r>
      <w:r>
        <w:t>higher education</w:t>
      </w:r>
      <w:r w:rsidRPr="00514172">
        <w:t xml:space="preserve"> students. Strategies include the provision of: smaller classes; up-front mechanisms to test student readiness for </w:t>
      </w:r>
      <w:r>
        <w:t>higher education</w:t>
      </w:r>
      <w:r w:rsidRPr="00514172">
        <w:t xml:space="preserve"> study; extra tutorial support; literacy, numeracy and computer skills support programs;</w:t>
      </w:r>
      <w:r>
        <w:t xml:space="preserve"> </w:t>
      </w:r>
      <w:r w:rsidRPr="00514172">
        <w:t xml:space="preserve">monitoring </w:t>
      </w:r>
      <w:r w:rsidR="00810793">
        <w:t xml:space="preserve">for </w:t>
      </w:r>
      <w:r>
        <w:t xml:space="preserve">at-risk students </w:t>
      </w:r>
      <w:r w:rsidRPr="00514172">
        <w:t xml:space="preserve">through individual learning plans; and course redesign that promotes the more applied orientation of the </w:t>
      </w:r>
      <w:r>
        <w:t>higher education</w:t>
      </w:r>
      <w:r w:rsidRPr="00514172">
        <w:t xml:space="preserve"> program.</w:t>
      </w:r>
    </w:p>
    <w:p w:rsidR="0075281A" w:rsidRPr="00514172" w:rsidRDefault="0075281A" w:rsidP="0075281A">
      <w:pPr>
        <w:pStyle w:val="Dotpoint1"/>
        <w:spacing w:before="80"/>
      </w:pPr>
      <w:r w:rsidRPr="00515FBE">
        <w:rPr>
          <w:i/>
        </w:rPr>
        <w:t>Promote scholarship</w:t>
      </w:r>
      <w:r>
        <w:t>:</w:t>
      </w:r>
      <w:r w:rsidRPr="00514172">
        <w:t xml:space="preserve"> VET providers need to develop an appropriate model for scholarship to underpin </w:t>
      </w:r>
      <w:r>
        <w:t>higher education</w:t>
      </w:r>
      <w:r w:rsidRPr="00514172">
        <w:t xml:space="preserve"> provision and add value more generally to teaching and learning in their </w:t>
      </w:r>
      <w:r w:rsidRPr="00514172">
        <w:lastRenderedPageBreak/>
        <w:t xml:space="preserve">institution. This can be done through leveraging off established partnerships with local universities and other VET organisations offering </w:t>
      </w:r>
      <w:r>
        <w:t>higher education</w:t>
      </w:r>
      <w:r w:rsidRPr="00514172">
        <w:t xml:space="preserve"> in their own right to provide access to opportunities for scholarship and professional development for </w:t>
      </w:r>
      <w:r>
        <w:t>their higher education</w:t>
      </w:r>
      <w:r w:rsidRPr="00514172">
        <w:t xml:space="preserve"> staff.</w:t>
      </w:r>
    </w:p>
    <w:p w:rsidR="0075281A" w:rsidRPr="00514172" w:rsidRDefault="0075281A" w:rsidP="0075281A">
      <w:pPr>
        <w:pStyle w:val="Dotpoint1"/>
        <w:spacing w:before="80"/>
      </w:pPr>
      <w:r w:rsidRPr="00A36955">
        <w:rPr>
          <w:i/>
        </w:rPr>
        <w:t>Adopt continuous improvement</w:t>
      </w:r>
      <w:r>
        <w:t>: e</w:t>
      </w:r>
      <w:r w:rsidRPr="00514172">
        <w:t xml:space="preserve">xpect </w:t>
      </w:r>
      <w:r>
        <w:t>higher education</w:t>
      </w:r>
      <w:r w:rsidRPr="00514172">
        <w:t xml:space="preserve"> operations to evolve over time with experience. Setting up in </w:t>
      </w:r>
      <w:r>
        <w:t>higher education is a long-</w:t>
      </w:r>
      <w:r w:rsidRPr="00514172">
        <w:t>term venture requiring concerted effort on several fronts within a continuous improvement framework.</w:t>
      </w:r>
      <w:r>
        <w:t xml:space="preserve"> </w:t>
      </w:r>
    </w:p>
    <w:p w:rsidR="0075281A" w:rsidRDefault="0075281A">
      <w:pPr>
        <w:spacing w:before="0" w:line="240" w:lineRule="auto"/>
        <w:rPr>
          <w:rFonts w:ascii="Tahoma" w:hAnsi="Tahoma" w:cs="Tahoma"/>
          <w:color w:val="000000"/>
          <w:kern w:val="28"/>
          <w:sz w:val="56"/>
          <w:szCs w:val="56"/>
        </w:rPr>
      </w:pPr>
      <w:bookmarkStart w:id="74" w:name="_Toc396117495"/>
      <w:bookmarkEnd w:id="55"/>
      <w:bookmarkEnd w:id="56"/>
      <w:bookmarkEnd w:id="57"/>
      <w:r>
        <w:br w:type="page"/>
      </w:r>
    </w:p>
    <w:p w:rsidR="0075281A" w:rsidRPr="005C2FCF" w:rsidRDefault="00FD2A35" w:rsidP="00FD2A35">
      <w:pPr>
        <w:pStyle w:val="Heading1"/>
        <w:tabs>
          <w:tab w:val="left" w:pos="709"/>
        </w:tabs>
      </w:pPr>
      <w:bookmarkStart w:id="75" w:name="_Toc419972082"/>
      <w:r>
        <w:rPr>
          <w:noProof/>
          <w:lang w:eastAsia="en-AU"/>
        </w:rPr>
        <w:lastRenderedPageBreak/>
        <w:drawing>
          <wp:anchor distT="0" distB="0" distL="114300" distR="114300" simplePos="0" relativeHeight="251997184" behindDoc="0" locked="0" layoutInCell="1" allowOverlap="1" wp14:anchorId="06C8C4B2" wp14:editId="5F2EA0E0">
            <wp:simplePos x="0" y="0"/>
            <wp:positionH relativeFrom="column">
              <wp:posOffset>-1905</wp:posOffset>
            </wp:positionH>
            <wp:positionV relativeFrom="paragraph">
              <wp:posOffset>-73289</wp:posOffset>
            </wp:positionV>
            <wp:extent cx="414020" cy="448310"/>
            <wp:effectExtent l="0" t="0" r="5080" b="8890"/>
            <wp:wrapNone/>
            <wp:docPr id="29" name="Picture 29"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Intro_Green.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20" cy="4483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75281A">
        <w:t>Introduction</w:t>
      </w:r>
      <w:bookmarkEnd w:id="74"/>
      <w:bookmarkEnd w:id="75"/>
    </w:p>
    <w:p w:rsidR="0075281A" w:rsidRPr="002354D5" w:rsidRDefault="0075281A" w:rsidP="00094819">
      <w:pPr>
        <w:pStyle w:val="Heading2"/>
      </w:pPr>
      <w:bookmarkStart w:id="76" w:name="_Toc383013077"/>
      <w:bookmarkStart w:id="77" w:name="_Toc188077642"/>
      <w:bookmarkStart w:id="78" w:name="_Toc396117496"/>
      <w:bookmarkStart w:id="79" w:name="_Toc419972083"/>
      <w:r w:rsidRPr="002354D5">
        <w:t>Research aims</w:t>
      </w:r>
      <w:bookmarkEnd w:id="76"/>
      <w:r w:rsidRPr="002354D5">
        <w:t xml:space="preserve"> </w:t>
      </w:r>
      <w:bookmarkEnd w:id="77"/>
      <w:r>
        <w:t>and questions</w:t>
      </w:r>
      <w:bookmarkEnd w:id="78"/>
      <w:bookmarkEnd w:id="79"/>
    </w:p>
    <w:p w:rsidR="0075281A" w:rsidRDefault="0075281A" w:rsidP="00094819">
      <w:pPr>
        <w:pStyle w:val="Text"/>
      </w:pPr>
      <w:r>
        <w:t>While still small, the number of registered VET providers delivering associate degrees and bachelor degrees in their own right has grown. This research project aims to promote a better understanding of the drivers and key challenges involved and to identify best practice approaches as a guide for VET providers that have made or plan to make transitions into higher education. Three research questions were investigated:</w:t>
      </w:r>
    </w:p>
    <w:p w:rsidR="0075281A" w:rsidRPr="00BC0361" w:rsidRDefault="0075281A" w:rsidP="0075281A">
      <w:pPr>
        <w:pStyle w:val="Dotpoint1"/>
        <w:spacing w:before="80"/>
      </w:pPr>
      <w:r w:rsidRPr="00BC0361">
        <w:t xml:space="preserve">Why are VET providers moving to deliver associate and bachelor degrees in their own right? </w:t>
      </w:r>
    </w:p>
    <w:p w:rsidR="0075281A" w:rsidRPr="00BC0361" w:rsidRDefault="0075281A" w:rsidP="0075281A">
      <w:pPr>
        <w:pStyle w:val="Dotpoint1"/>
        <w:spacing w:before="80"/>
      </w:pPr>
      <w:r w:rsidRPr="00BC0361">
        <w:t xml:space="preserve">How are the VET providers supporting teachers and support staff to deliver </w:t>
      </w:r>
      <w:r>
        <w:t>higher education</w:t>
      </w:r>
      <w:r w:rsidRPr="00BC0361">
        <w:t xml:space="preserve"> qualifications and how are they assisting their learners to complete these qualifications?</w:t>
      </w:r>
      <w:r>
        <w:t xml:space="preserve"> </w:t>
      </w:r>
    </w:p>
    <w:p w:rsidR="0075281A" w:rsidRPr="00BC0361" w:rsidRDefault="0075281A" w:rsidP="0075281A">
      <w:pPr>
        <w:pStyle w:val="Dotpoint1"/>
        <w:spacing w:before="80"/>
      </w:pPr>
      <w:r w:rsidRPr="00BC0361">
        <w:t xml:space="preserve">What views and concerns do VET providers have with the range of funding, reporting, curriculum, accreditation and other operational factors that need to be managed to deliver </w:t>
      </w:r>
      <w:r>
        <w:t>higher education</w:t>
      </w:r>
      <w:r w:rsidRPr="00BC0361">
        <w:t>?</w:t>
      </w:r>
    </w:p>
    <w:p w:rsidR="0075281A" w:rsidRDefault="0075281A" w:rsidP="00094819">
      <w:pPr>
        <w:pStyle w:val="Heading2"/>
      </w:pPr>
      <w:bookmarkStart w:id="80" w:name="_Toc396117497"/>
      <w:bookmarkStart w:id="81" w:name="_Toc419972084"/>
      <w:r>
        <w:t>Research context</w:t>
      </w:r>
      <w:bookmarkEnd w:id="80"/>
      <w:bookmarkEnd w:id="81"/>
    </w:p>
    <w:p w:rsidR="0075281A" w:rsidRPr="003710B2" w:rsidRDefault="0075281A" w:rsidP="00094819">
      <w:pPr>
        <w:pStyle w:val="Text"/>
      </w:pPr>
      <w:r w:rsidRPr="004A05DB">
        <w:t xml:space="preserve">Australia’s future workforce will have a shortfall of qualified people to fill the growing number of paraprofessional and professional jobs required to keep Australia internationally competitive (Burke &amp; Shah 2006; Access Economics 2009). </w:t>
      </w:r>
      <w:r>
        <w:t>T</w:t>
      </w:r>
      <w:r w:rsidRPr="002354D5">
        <w:t>here</w:t>
      </w:r>
      <w:r>
        <w:t>fore there</w:t>
      </w:r>
      <w:r w:rsidRPr="002354D5">
        <w:t xml:space="preserve"> is an economic imperative to </w:t>
      </w:r>
      <w:r>
        <w:t>increase</w:t>
      </w:r>
      <w:r w:rsidRPr="002354D5">
        <w:t xml:space="preserve"> the number of Australians who are qualified at the diploma to bachelor degree levels</w:t>
      </w:r>
      <w:r>
        <w:t>, in which</w:t>
      </w:r>
      <w:r w:rsidRPr="008F043E">
        <w:t xml:space="preserve"> associate degrees also fit</w:t>
      </w:r>
      <w:r>
        <w:t xml:space="preserve">, to </w:t>
      </w:r>
      <w:r w:rsidRPr="002354D5">
        <w:t>keep Australia internationall</w:t>
      </w:r>
      <w:r w:rsidRPr="003710B2">
        <w:t xml:space="preserve">y competitive. </w:t>
      </w:r>
    </w:p>
    <w:p w:rsidR="0075281A" w:rsidRDefault="0075281A" w:rsidP="00094819">
      <w:pPr>
        <w:pStyle w:val="Text"/>
      </w:pPr>
      <w:r w:rsidRPr="003710B2">
        <w:t>Many strategies are being implemented to achie</w:t>
      </w:r>
      <w:r>
        <w:t xml:space="preserve">ve the required growth. Today, there are numerous examples of VET providers that have partnered with higher education providers to develop pathways between their VET and higher education qualifications through improved articulation and credit transfer arrangements (Phillips KPA 2006; </w:t>
      </w:r>
      <w:proofErr w:type="spellStart"/>
      <w:r>
        <w:t>Wheelahan</w:t>
      </w:r>
      <w:proofErr w:type="spellEnd"/>
      <w:r>
        <w:t xml:space="preserve"> et al. 2009). In addition, there are many examples of VET providers partnering with higher education providers to deliver the early years of higher education programs via contracted delivery. Furthermore, some educational institutions are going it alone: they have become a provider of both VET and higher education in their own right, achieving vertical integration of their tertiary education in their own institution. </w:t>
      </w:r>
    </w:p>
    <w:p w:rsidR="0075281A" w:rsidRDefault="0075281A" w:rsidP="00094819">
      <w:pPr>
        <w:pStyle w:val="Heading2"/>
      </w:pPr>
      <w:bookmarkStart w:id="82" w:name="_Toc396117498"/>
      <w:bookmarkStart w:id="83" w:name="_Toc419972085"/>
      <w:r>
        <w:t>M</w:t>
      </w:r>
      <w:r w:rsidRPr="00AB0517">
        <w:t>ethodology</w:t>
      </w:r>
      <w:bookmarkEnd w:id="82"/>
      <w:bookmarkEnd w:id="83"/>
    </w:p>
    <w:p w:rsidR="0075281A" w:rsidRPr="003710B2" w:rsidRDefault="0075281A" w:rsidP="00094819">
      <w:pPr>
        <w:pStyle w:val="Text"/>
        <w:ind w:right="141"/>
      </w:pPr>
      <w:r>
        <w:t xml:space="preserve">In attempting to capture the variety of tertiary education providers, </w:t>
      </w:r>
      <w:proofErr w:type="spellStart"/>
      <w:r w:rsidRPr="003D0C11">
        <w:t>Moodie</w:t>
      </w:r>
      <w:proofErr w:type="spellEnd"/>
      <w:r w:rsidRPr="003D0C11">
        <w:t xml:space="preserve"> (2012)</w:t>
      </w:r>
      <w:r>
        <w:t xml:space="preserve"> has</w:t>
      </w:r>
      <w:r w:rsidRPr="003D0C11">
        <w:t xml:space="preserve"> identified</w:t>
      </w:r>
      <w:r>
        <w:t xml:space="preserve"> four categories, as outlined in table 1. We have added various sub-groups on the right of table 1. While there are still many single-sector providers of either VET or higher education, a growing number of tertiary education providers have been accredited to offer both VET and higher education. As noted in table 1, </w:t>
      </w:r>
      <w:proofErr w:type="spellStart"/>
      <w:r>
        <w:t>Moodie</w:t>
      </w:r>
      <w:proofErr w:type="spellEnd"/>
      <w:r>
        <w:t xml:space="preserve"> has classified these organisations as mi</w:t>
      </w:r>
      <w:r w:rsidRPr="003710B2">
        <w:t>xed-sector, dual-sector or cross-sector institutions.</w:t>
      </w:r>
      <w:bookmarkStart w:id="84" w:name="_Toc296497273"/>
    </w:p>
    <w:p w:rsidR="0075281A" w:rsidRDefault="0075281A" w:rsidP="00094819">
      <w:pPr>
        <w:pStyle w:val="Text"/>
      </w:pPr>
      <w:r w:rsidRPr="003710B2">
        <w:t xml:space="preserve">In the current research, following in part </w:t>
      </w:r>
      <w:proofErr w:type="spellStart"/>
      <w:r w:rsidRPr="003710B2">
        <w:t>Moodie’s</w:t>
      </w:r>
      <w:proofErr w:type="spellEnd"/>
      <w:r w:rsidRPr="003710B2">
        <w:t xml:space="preserve"> classi</w:t>
      </w:r>
      <w:r w:rsidRPr="0053566E">
        <w:t xml:space="preserve">fication, </w:t>
      </w:r>
      <w:r>
        <w:t xml:space="preserve">the </w:t>
      </w:r>
      <w:r w:rsidRPr="0053566E">
        <w:t>providers of most interest</w:t>
      </w:r>
      <w:r>
        <w:t xml:space="preserve"> were those that fell into the mixed-sector</w:t>
      </w:r>
      <w:r w:rsidRPr="0053566E">
        <w:t xml:space="preserve"> institutions category, and in the subgroup of VET institutions with some offerings in the </w:t>
      </w:r>
      <w:r>
        <w:t>higher education</w:t>
      </w:r>
      <w:r w:rsidRPr="0053566E">
        <w:t xml:space="preserve"> sector. This subgroup has not received much research attention to date (an exception is in regard to </w:t>
      </w:r>
      <w:r>
        <w:t>higher education</w:t>
      </w:r>
      <w:r w:rsidRPr="0053566E">
        <w:t xml:space="preserve"> in TAFEs and </w:t>
      </w:r>
      <w:r>
        <w:t xml:space="preserve">by </w:t>
      </w:r>
      <w:proofErr w:type="spellStart"/>
      <w:r>
        <w:t>Wheelahan</w:t>
      </w:r>
      <w:proofErr w:type="spellEnd"/>
      <w:r>
        <w:t xml:space="preserve"> et al. 2009). Dual-</w:t>
      </w:r>
      <w:r w:rsidRPr="0053566E">
        <w:t xml:space="preserve">sector tertiary institutions that provide </w:t>
      </w:r>
      <w:r>
        <w:t xml:space="preserve">higher education </w:t>
      </w:r>
      <w:r w:rsidRPr="0053566E">
        <w:t xml:space="preserve">in their VET division were not our major focus as they have the required </w:t>
      </w:r>
      <w:r>
        <w:t>higher education</w:t>
      </w:r>
      <w:r w:rsidRPr="0053566E">
        <w:t xml:space="preserve"> arrangements in place in their </w:t>
      </w:r>
      <w:r w:rsidRPr="0053566E">
        <w:lastRenderedPageBreak/>
        <w:t>institutions. Rather</w:t>
      </w:r>
      <w:r>
        <w:t>,</w:t>
      </w:r>
      <w:r w:rsidRPr="0053566E">
        <w:t xml:space="preserve"> we investigated organisations that</w:t>
      </w:r>
      <w:r>
        <w:t>,</w:t>
      </w:r>
      <w:r w:rsidRPr="0053566E">
        <w:t xml:space="preserve"> over a long period of time</w:t>
      </w:r>
      <w:r>
        <w:t>,</w:t>
      </w:r>
      <w:r w:rsidRPr="0053566E">
        <w:t xml:space="preserve"> have been VET providers and have transitioned to the delivery of </w:t>
      </w:r>
      <w:r>
        <w:t>higher education</w:t>
      </w:r>
      <w:r w:rsidRPr="0053566E">
        <w:t xml:space="preserve"> qualifications.</w:t>
      </w:r>
    </w:p>
    <w:p w:rsidR="0075281A" w:rsidRPr="00BC0361" w:rsidRDefault="0075281A" w:rsidP="00094819">
      <w:pPr>
        <w:pStyle w:val="tabletitle"/>
      </w:pPr>
      <w:bookmarkStart w:id="85" w:name="_Toc419791094"/>
      <w:r>
        <w:t>Table 1</w:t>
      </w:r>
      <w:r>
        <w:tab/>
      </w:r>
      <w:r w:rsidRPr="00BC0361">
        <w:t>Categories of tertiary education institutions in Australia</w:t>
      </w:r>
      <w:bookmarkEnd w:id="85"/>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678"/>
      </w:tblGrid>
      <w:tr w:rsidR="0075281A" w:rsidRPr="003710B2" w:rsidTr="00094819">
        <w:tc>
          <w:tcPr>
            <w:tcW w:w="4111" w:type="dxa"/>
            <w:tcBorders>
              <w:top w:val="single" w:sz="4" w:space="0" w:color="auto"/>
              <w:bottom w:val="single" w:sz="4" w:space="0" w:color="auto"/>
            </w:tcBorders>
          </w:tcPr>
          <w:p w:rsidR="0075281A" w:rsidRPr="003710B2" w:rsidRDefault="0075281A" w:rsidP="00094819">
            <w:pPr>
              <w:pStyle w:val="Tablehead1"/>
            </w:pPr>
            <w:r w:rsidRPr="003710B2">
              <w:t>Category and definition</w:t>
            </w:r>
          </w:p>
        </w:tc>
        <w:tc>
          <w:tcPr>
            <w:tcW w:w="4678" w:type="dxa"/>
            <w:tcBorders>
              <w:top w:val="single" w:sz="4" w:space="0" w:color="auto"/>
              <w:bottom w:val="single" w:sz="4" w:space="0" w:color="auto"/>
            </w:tcBorders>
          </w:tcPr>
          <w:p w:rsidR="0075281A" w:rsidRPr="003710B2" w:rsidRDefault="0075281A" w:rsidP="00094819">
            <w:pPr>
              <w:pStyle w:val="Tablehead1"/>
            </w:pPr>
            <w:r w:rsidRPr="003710B2">
              <w:t>Subgroups</w:t>
            </w:r>
          </w:p>
        </w:tc>
      </w:tr>
      <w:tr w:rsidR="0075281A" w:rsidRPr="003710B2" w:rsidTr="00094819">
        <w:tc>
          <w:tcPr>
            <w:tcW w:w="4111" w:type="dxa"/>
            <w:tcBorders>
              <w:top w:val="single" w:sz="4" w:space="0" w:color="auto"/>
            </w:tcBorders>
          </w:tcPr>
          <w:p w:rsidR="0075281A" w:rsidRPr="003710B2" w:rsidRDefault="0075281A" w:rsidP="00094819">
            <w:pPr>
              <w:pStyle w:val="Tabletext"/>
            </w:pPr>
            <w:r w:rsidRPr="003710B2">
              <w:t>Single-sector institutions (with 97% or more of student load enrolled in one sector)</w:t>
            </w:r>
          </w:p>
        </w:tc>
        <w:tc>
          <w:tcPr>
            <w:tcW w:w="4678" w:type="dxa"/>
            <w:tcBorders>
              <w:top w:val="single" w:sz="4" w:space="0" w:color="auto"/>
            </w:tcBorders>
          </w:tcPr>
          <w:p w:rsidR="0075281A" w:rsidRPr="003710B2" w:rsidRDefault="0075281A" w:rsidP="00094819">
            <w:pPr>
              <w:pStyle w:val="Tabletext"/>
            </w:pPr>
            <w:r w:rsidRPr="003710B2">
              <w:t xml:space="preserve">VET providers </w:t>
            </w:r>
            <w:r>
              <w:br/>
            </w:r>
            <w:r w:rsidRPr="003710B2">
              <w:t>or</w:t>
            </w:r>
            <w:r>
              <w:br/>
            </w:r>
            <w:r w:rsidRPr="003710B2">
              <w:t xml:space="preserve">higher education providers </w:t>
            </w:r>
          </w:p>
        </w:tc>
      </w:tr>
      <w:tr w:rsidR="0075281A" w:rsidRPr="003710B2" w:rsidTr="00094819">
        <w:tc>
          <w:tcPr>
            <w:tcW w:w="4111" w:type="dxa"/>
          </w:tcPr>
          <w:p w:rsidR="0075281A" w:rsidRPr="003710B2" w:rsidRDefault="0075281A" w:rsidP="00094819">
            <w:pPr>
              <w:pStyle w:val="Tabletext"/>
            </w:pPr>
            <w:r w:rsidRPr="003710B2">
              <w:t xml:space="preserve">Cross-sector institutions (have some load in both VET and higher education) </w:t>
            </w:r>
          </w:p>
        </w:tc>
        <w:tc>
          <w:tcPr>
            <w:tcW w:w="4678" w:type="dxa"/>
          </w:tcPr>
          <w:p w:rsidR="0075281A" w:rsidRPr="003710B2" w:rsidRDefault="0075281A" w:rsidP="00094819">
            <w:pPr>
              <w:pStyle w:val="Tabletext"/>
            </w:pPr>
            <w:r w:rsidRPr="003710B2">
              <w:t>Institutions which may be single or mixed-sector but cannot be distinguished because of limitations in the current data</w:t>
            </w:r>
          </w:p>
        </w:tc>
      </w:tr>
      <w:tr w:rsidR="0075281A" w:rsidRPr="003710B2" w:rsidTr="00094819">
        <w:tc>
          <w:tcPr>
            <w:tcW w:w="4111" w:type="dxa"/>
          </w:tcPr>
          <w:p w:rsidR="0075281A" w:rsidRPr="003710B2" w:rsidRDefault="0075281A" w:rsidP="00094819">
            <w:pPr>
              <w:pStyle w:val="Tabletext"/>
            </w:pPr>
            <w:r w:rsidRPr="003710B2">
              <w:t>Mixed-sector institutions (with at least 3% but no more than 20% of their load enrolled in the minority sector)</w:t>
            </w:r>
          </w:p>
        </w:tc>
        <w:tc>
          <w:tcPr>
            <w:tcW w:w="4678" w:type="dxa"/>
          </w:tcPr>
          <w:p w:rsidR="0075281A" w:rsidRPr="003710B2" w:rsidRDefault="0075281A" w:rsidP="00094819">
            <w:pPr>
              <w:pStyle w:val="Tabletext"/>
            </w:pPr>
            <w:r w:rsidRPr="003710B2">
              <w:t xml:space="preserve">VET providers with some offerings in higher education </w:t>
            </w:r>
            <w:r>
              <w:rPr>
                <w:rFonts w:cs="Arial"/>
              </w:rPr>
              <w:t>–</w:t>
            </w:r>
            <w:r>
              <w:br/>
            </w:r>
            <w:r w:rsidRPr="003710B2">
              <w:t>and</w:t>
            </w:r>
            <w:r>
              <w:br/>
            </w:r>
            <w:r w:rsidRPr="003710B2">
              <w:t xml:space="preserve">higher education providers with some offerings in VET </w:t>
            </w:r>
          </w:p>
        </w:tc>
      </w:tr>
      <w:tr w:rsidR="0075281A" w:rsidRPr="003710B2" w:rsidTr="00094819">
        <w:tc>
          <w:tcPr>
            <w:tcW w:w="4111" w:type="dxa"/>
          </w:tcPr>
          <w:p w:rsidR="0075281A" w:rsidRPr="003710B2" w:rsidRDefault="0075281A" w:rsidP="00094819">
            <w:pPr>
              <w:pStyle w:val="Tabletext"/>
            </w:pPr>
            <w:r w:rsidRPr="003710B2">
              <w:t xml:space="preserve">Dual-sector institutions (offer a substantial proportion of their load in each sector and at least 20% but less than 80% in each sector) </w:t>
            </w:r>
          </w:p>
        </w:tc>
        <w:tc>
          <w:tcPr>
            <w:tcW w:w="4678" w:type="dxa"/>
          </w:tcPr>
          <w:p w:rsidR="0075281A" w:rsidRPr="003710B2" w:rsidRDefault="0075281A" w:rsidP="00094819">
            <w:pPr>
              <w:pStyle w:val="Tabletext"/>
            </w:pPr>
            <w:r w:rsidRPr="003710B2">
              <w:t>Provide higher education in the higher education division (most</w:t>
            </w:r>
            <w:r>
              <w:t> </w:t>
            </w:r>
            <w:r w:rsidRPr="003710B2">
              <w:t>common)</w:t>
            </w:r>
            <w:r>
              <w:br/>
            </w:r>
            <w:r w:rsidRPr="003710B2">
              <w:t>and</w:t>
            </w:r>
            <w:r>
              <w:br/>
            </w:r>
            <w:r w:rsidRPr="003710B2">
              <w:t xml:space="preserve">provide higher education within their VET division </w:t>
            </w:r>
          </w:p>
        </w:tc>
      </w:tr>
    </w:tbl>
    <w:p w:rsidR="0075281A" w:rsidRPr="007619D1" w:rsidRDefault="0075281A" w:rsidP="00094819">
      <w:pPr>
        <w:pStyle w:val="Source"/>
      </w:pPr>
      <w:bookmarkStart w:id="86" w:name="_Toc396117499"/>
      <w:r>
        <w:t xml:space="preserve">Source: </w:t>
      </w:r>
      <w:r>
        <w:tab/>
        <w:t xml:space="preserve">Adapted from </w:t>
      </w:r>
      <w:proofErr w:type="spellStart"/>
      <w:r>
        <w:t>Moodie</w:t>
      </w:r>
      <w:proofErr w:type="spellEnd"/>
      <w:r>
        <w:t xml:space="preserve"> (2012).</w:t>
      </w:r>
    </w:p>
    <w:p w:rsidR="0075281A" w:rsidRDefault="0075281A" w:rsidP="00094819">
      <w:pPr>
        <w:pStyle w:val="Heading2"/>
      </w:pPr>
      <w:bookmarkStart w:id="87" w:name="_Toc419972086"/>
      <w:r w:rsidRPr="00BC0361">
        <w:t>Case study method</w:t>
      </w:r>
      <w:bookmarkEnd w:id="86"/>
      <w:bookmarkEnd w:id="87"/>
    </w:p>
    <w:p w:rsidR="0075281A" w:rsidRPr="00A829B5" w:rsidRDefault="0075281A" w:rsidP="00810793">
      <w:pPr>
        <w:pStyle w:val="Text"/>
        <w:ind w:right="-143"/>
      </w:pPr>
      <w:r>
        <w:t xml:space="preserve">We developed six case studies (see support document) of VET organisations that have made, and continue to make, the transition to offering higher education qualifications in their own right. The key factors in selecting these organisations were: differences in a mix of public and private VET providers; </w:t>
      </w:r>
      <w:r w:rsidR="00810793">
        <w:t xml:space="preserve">the </w:t>
      </w:r>
      <w:r>
        <w:t>different lengths of time the provider has delivered associate and bachelor degrees; a mix of fields of study in which the associate and bachelor degrees are being delivered; and a range of jurisdictions in</w:t>
      </w:r>
      <w:r w:rsidR="00810793">
        <w:t> </w:t>
      </w:r>
      <w:r>
        <w:t>which the VET provider operates. This diversity allowed us to determine what effect, if any, these and other features might have on the success of p</w:t>
      </w:r>
      <w:r w:rsidR="00810793">
        <w:t xml:space="preserve">roviders in the transition </w:t>
      </w:r>
      <w:r w:rsidRPr="00A829B5">
        <w:t xml:space="preserve">to offering higher education qualifications. The diversity of cases also enhanced the </w:t>
      </w:r>
      <w:proofErr w:type="spellStart"/>
      <w:r w:rsidRPr="00A829B5">
        <w:t>generalisability</w:t>
      </w:r>
      <w:proofErr w:type="spellEnd"/>
      <w:r w:rsidRPr="00A829B5">
        <w:t xml:space="preserve"> of our findings. </w:t>
      </w:r>
    </w:p>
    <w:p w:rsidR="0075281A" w:rsidRPr="00A829B5" w:rsidRDefault="0075281A" w:rsidP="00094819">
      <w:pPr>
        <w:pStyle w:val="Text"/>
        <w:ind w:right="-143"/>
      </w:pPr>
      <w:r w:rsidRPr="00A829B5">
        <w:t xml:space="preserve">However, we accept that this small sample of cases is not fully representative of such providers, and as such our findings and best practice guidelines are open to future research. More detail on the sampling strategy to determine the choice of the six organisations is provided in the support document. </w:t>
      </w:r>
    </w:p>
    <w:p w:rsidR="0075281A" w:rsidRPr="00A829B5" w:rsidRDefault="0075281A" w:rsidP="00094819">
      <w:pPr>
        <w:pStyle w:val="Text"/>
      </w:pPr>
      <w:r w:rsidRPr="00A829B5">
        <w:t>Each case study involved the completion of interviews with key staff, with an examination of organisational data, reports, web materials and other archival data. Interviewees included senior leaders in the organisations responsible for setting strategy and direction, managers of the higher education curriculum development and accreditation process and teachers delivering the various associate and bachelor degree qualifications. Interviews were conducted face to face or by telephone. These 23 semi-structured interviews (including discussions about validation of the cases) ranged in length from 45 to 60 minutes. The interview guide is provided in appendix A.</w:t>
      </w:r>
    </w:p>
    <w:p w:rsidR="0075281A" w:rsidRDefault="0075281A" w:rsidP="00094819">
      <w:pPr>
        <w:pStyle w:val="Text"/>
      </w:pPr>
      <w:r w:rsidRPr="00A829B5">
        <w:t xml:space="preserve">The six organisations for case study were: Canberra Institute of Technology, Holmesglen Institute, Polytechnic West, Tabor Adelaide, TAFE SA and </w:t>
      </w:r>
      <w:r>
        <w:t>Think Education Group. Overall, we achieved a good level of diversity in the sample of organisations, especially by size, public and private, jurisdiction and diversity of qualifications (see table 2).</w:t>
      </w:r>
      <w:r w:rsidRPr="0063681B">
        <w:t xml:space="preserve"> </w:t>
      </w:r>
    </w:p>
    <w:p w:rsidR="0075281A" w:rsidRDefault="0075281A" w:rsidP="00094819">
      <w:pPr>
        <w:pStyle w:val="Text"/>
      </w:pPr>
      <w:bookmarkStart w:id="88" w:name="_Toc383076067"/>
      <w:r>
        <w:t>However, there are two points of note about the six cases with respect to the scale of higher education activity and the fields of study of their higher education. While we sought to find mixed-sector category institutions</w:t>
      </w:r>
      <w:r w:rsidR="00810793">
        <w:t>,</w:t>
      </w:r>
      <w:r>
        <w:t xml:space="preserve"> following </w:t>
      </w:r>
      <w:proofErr w:type="spellStart"/>
      <w:r>
        <w:t>Moodie's</w:t>
      </w:r>
      <w:proofErr w:type="spellEnd"/>
      <w:r>
        <w:t xml:space="preserve"> (2012) classification framework, there was some divergence in the final sample. Indeed, Holmesglen Institute is the only provider that fits into the mixed-sector category, with at least 3% but no more than 20% of its total student load enrolled in the </w:t>
      </w:r>
      <w:r>
        <w:lastRenderedPageBreak/>
        <w:t>minority sector of higher education. The other three public providers have less than 3% of their total student load enrolled in higher education, while the two private providers have more than 20% of their total student load in higher education. That said</w:t>
      </w:r>
      <w:proofErr w:type="gramStart"/>
      <w:r>
        <w:t>,</w:t>
      </w:r>
      <w:proofErr w:type="gramEnd"/>
      <w:r>
        <w:t xml:space="preserve"> the case study providers are all subject to similar market pressures, policy environments and operational issues, </w:t>
      </w:r>
      <w:r w:rsidR="008465B9">
        <w:t>meaning that</w:t>
      </w:r>
      <w:r>
        <w:t xml:space="preserve"> the applicability of our research questions remained. Indeed, the greater diversity in the scale of higher education activity enhanced the study by allowing greater insights into the VET—higher education balancing </w:t>
      </w:r>
      <w:proofErr w:type="gramStart"/>
      <w:r>
        <w:t>act</w:t>
      </w:r>
      <w:proofErr w:type="gramEnd"/>
      <w:r>
        <w:t xml:space="preserve">. </w:t>
      </w:r>
      <w:r w:rsidRPr="00092F31">
        <w:t xml:space="preserve">Regarding the fields of study in which the sample providers deliver </w:t>
      </w:r>
      <w:r>
        <w:t>higher education</w:t>
      </w:r>
      <w:r w:rsidRPr="00092F31">
        <w:t xml:space="preserve">, they are mixed but not as varied as expected. This is </w:t>
      </w:r>
      <w:r>
        <w:t xml:space="preserve">in part </w:t>
      </w:r>
      <w:r w:rsidRPr="00092F31">
        <w:t>because of the niche</w:t>
      </w:r>
      <w:r>
        <w:t xml:space="preserve"> market approach they each adopt</w:t>
      </w:r>
      <w:r w:rsidRPr="00092F31">
        <w:t>.</w:t>
      </w:r>
    </w:p>
    <w:p w:rsidR="0075281A" w:rsidRPr="009275A2" w:rsidRDefault="0075281A" w:rsidP="00094819">
      <w:pPr>
        <w:pStyle w:val="tabletitle"/>
        <w:rPr>
          <w:rFonts w:eastAsiaTheme="majorEastAsia"/>
        </w:rPr>
      </w:pPr>
      <w:bookmarkStart w:id="89" w:name="_Toc419791095"/>
      <w:r w:rsidRPr="009275A2">
        <w:rPr>
          <w:rFonts w:eastAsiaTheme="majorEastAsia"/>
        </w:rPr>
        <w:t>Table 2</w:t>
      </w:r>
      <w:r>
        <w:rPr>
          <w:rFonts w:eastAsiaTheme="majorEastAsia"/>
        </w:rPr>
        <w:tab/>
      </w:r>
      <w:r w:rsidRPr="009275A2">
        <w:rPr>
          <w:rFonts w:eastAsiaTheme="majorEastAsia"/>
        </w:rPr>
        <w:t>Case study providers</w:t>
      </w:r>
      <w:bookmarkEnd w:id="88"/>
      <w:r w:rsidRPr="009275A2">
        <w:rPr>
          <w:rFonts w:eastAsiaTheme="majorEastAsia"/>
        </w:rPr>
        <w:t xml:space="preserve"> and the selection criteria</w:t>
      </w:r>
      <w:bookmarkEnd w:id="89"/>
      <w:r w:rsidRPr="009275A2">
        <w:rPr>
          <w:rFonts w:eastAsiaTheme="majorEastAsia"/>
        </w:rPr>
        <w:t xml:space="preserve"> </w:t>
      </w:r>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4"/>
        <w:gridCol w:w="1358"/>
        <w:gridCol w:w="4819"/>
        <w:gridCol w:w="709"/>
        <w:gridCol w:w="709"/>
      </w:tblGrid>
      <w:tr w:rsidR="0075281A" w:rsidRPr="00A829B5" w:rsidTr="00094819">
        <w:tc>
          <w:tcPr>
            <w:tcW w:w="1194" w:type="dxa"/>
            <w:tcBorders>
              <w:top w:val="single" w:sz="4" w:space="0" w:color="auto"/>
              <w:bottom w:val="single" w:sz="4" w:space="0" w:color="auto"/>
            </w:tcBorders>
          </w:tcPr>
          <w:p w:rsidR="0075281A" w:rsidRPr="00A829B5" w:rsidRDefault="0075281A" w:rsidP="00094819">
            <w:pPr>
              <w:pStyle w:val="Tablehead1"/>
            </w:pPr>
            <w:r w:rsidRPr="00A829B5">
              <w:t>VET provider</w:t>
            </w:r>
          </w:p>
        </w:tc>
        <w:tc>
          <w:tcPr>
            <w:tcW w:w="1358" w:type="dxa"/>
            <w:tcBorders>
              <w:top w:val="single" w:sz="4" w:space="0" w:color="auto"/>
              <w:bottom w:val="single" w:sz="4" w:space="0" w:color="auto"/>
            </w:tcBorders>
            <w:tcMar>
              <w:right w:w="28" w:type="dxa"/>
            </w:tcMar>
          </w:tcPr>
          <w:p w:rsidR="0075281A" w:rsidRPr="00A829B5" w:rsidRDefault="0075281A" w:rsidP="00094819">
            <w:pPr>
              <w:pStyle w:val="Tablehead1"/>
            </w:pPr>
            <w:r w:rsidRPr="00A829B5">
              <w:t>Registered higher education provider since</w:t>
            </w:r>
          </w:p>
        </w:tc>
        <w:tc>
          <w:tcPr>
            <w:tcW w:w="4819" w:type="dxa"/>
            <w:tcBorders>
              <w:top w:val="single" w:sz="4" w:space="0" w:color="auto"/>
              <w:bottom w:val="single" w:sz="4" w:space="0" w:color="auto"/>
            </w:tcBorders>
          </w:tcPr>
          <w:p w:rsidR="0075281A" w:rsidRPr="00A829B5" w:rsidRDefault="0075281A" w:rsidP="00094819">
            <w:pPr>
              <w:pStyle w:val="Tablehead1"/>
            </w:pPr>
            <w:r w:rsidRPr="00A829B5">
              <w:t xml:space="preserve">Own right higher education focus: </w:t>
            </w:r>
            <w:r>
              <w:br/>
              <w:t>q</w:t>
            </w:r>
            <w:r w:rsidRPr="00A829B5">
              <w:t xml:space="preserve">ualifications, fields of study and scale </w:t>
            </w:r>
          </w:p>
        </w:tc>
        <w:tc>
          <w:tcPr>
            <w:tcW w:w="709" w:type="dxa"/>
            <w:tcBorders>
              <w:top w:val="single" w:sz="4" w:space="0" w:color="auto"/>
              <w:bottom w:val="single" w:sz="4" w:space="0" w:color="auto"/>
            </w:tcBorders>
          </w:tcPr>
          <w:p w:rsidR="0075281A" w:rsidRPr="00A829B5" w:rsidRDefault="0075281A" w:rsidP="00094819">
            <w:pPr>
              <w:pStyle w:val="Tablehead1"/>
            </w:pPr>
            <w:r w:rsidRPr="00A829B5">
              <w:t>Type</w:t>
            </w:r>
          </w:p>
        </w:tc>
        <w:tc>
          <w:tcPr>
            <w:tcW w:w="709" w:type="dxa"/>
            <w:tcBorders>
              <w:top w:val="single" w:sz="4" w:space="0" w:color="auto"/>
              <w:bottom w:val="single" w:sz="4" w:space="0" w:color="auto"/>
            </w:tcBorders>
          </w:tcPr>
          <w:p w:rsidR="0075281A" w:rsidRPr="00A829B5" w:rsidRDefault="0075281A" w:rsidP="00094819">
            <w:pPr>
              <w:pStyle w:val="Tablehead1"/>
            </w:pPr>
            <w:r w:rsidRPr="00A829B5">
              <w:t>State</w:t>
            </w:r>
          </w:p>
        </w:tc>
      </w:tr>
      <w:tr w:rsidR="0075281A" w:rsidRPr="0001003F" w:rsidTr="00094819">
        <w:tc>
          <w:tcPr>
            <w:tcW w:w="1194" w:type="dxa"/>
            <w:tcBorders>
              <w:top w:val="single" w:sz="4" w:space="0" w:color="auto"/>
            </w:tcBorders>
          </w:tcPr>
          <w:p w:rsidR="0075281A" w:rsidRPr="0001003F" w:rsidRDefault="0075281A" w:rsidP="00094819">
            <w:pPr>
              <w:pStyle w:val="Tabletext"/>
            </w:pPr>
            <w:r w:rsidRPr="0001003F">
              <w:rPr>
                <w:lang w:eastAsia="en-AU"/>
              </w:rPr>
              <w:t>Canberra Institute of Technology</w:t>
            </w:r>
          </w:p>
        </w:tc>
        <w:tc>
          <w:tcPr>
            <w:tcW w:w="1358" w:type="dxa"/>
            <w:tcBorders>
              <w:top w:val="single" w:sz="4" w:space="0" w:color="auto"/>
            </w:tcBorders>
            <w:tcMar>
              <w:right w:w="28" w:type="dxa"/>
            </w:tcMar>
          </w:tcPr>
          <w:p w:rsidR="0075281A" w:rsidRPr="0001003F" w:rsidRDefault="0075281A" w:rsidP="00094819">
            <w:pPr>
              <w:pStyle w:val="Tabletext"/>
              <w:rPr>
                <w:rFonts w:cs="Arial"/>
                <w:bCs/>
              </w:rPr>
            </w:pPr>
            <w:r w:rsidRPr="0001003F">
              <w:rPr>
                <w:rFonts w:cs="Arial"/>
                <w:bCs/>
              </w:rPr>
              <w:t>1998</w:t>
            </w:r>
          </w:p>
        </w:tc>
        <w:tc>
          <w:tcPr>
            <w:tcW w:w="4819" w:type="dxa"/>
            <w:tcBorders>
              <w:top w:val="single" w:sz="4" w:space="0" w:color="auto"/>
            </w:tcBorders>
          </w:tcPr>
          <w:p w:rsidR="0075281A" w:rsidRPr="0001003F" w:rsidRDefault="0075281A" w:rsidP="00094819">
            <w:pPr>
              <w:pStyle w:val="Tabletext"/>
              <w:rPr>
                <w:rFonts w:cs="Arial"/>
                <w:bCs/>
              </w:rPr>
            </w:pPr>
            <w:r w:rsidRPr="0001003F">
              <w:rPr>
                <w:rFonts w:cs="Arial"/>
                <w:bCs/>
              </w:rPr>
              <w:t>Bachelor d</w:t>
            </w:r>
            <w:r>
              <w:rPr>
                <w:rFonts w:cs="Arial"/>
                <w:bCs/>
              </w:rPr>
              <w:t xml:space="preserve">egrees in </w:t>
            </w:r>
            <w:r w:rsidRPr="0001003F">
              <w:rPr>
                <w:rFonts w:cs="Arial"/>
                <w:bCs/>
              </w:rPr>
              <w:t>forensic science; games and virtua</w:t>
            </w:r>
            <w:r>
              <w:rPr>
                <w:rFonts w:cs="Arial"/>
                <w:bCs/>
              </w:rPr>
              <w:t xml:space="preserve">l worlds; </w:t>
            </w:r>
            <w:r w:rsidRPr="0001003F">
              <w:rPr>
                <w:rFonts w:cs="Arial"/>
                <w:bCs/>
              </w:rPr>
              <w:t>fash</w:t>
            </w:r>
            <w:r>
              <w:rPr>
                <w:rFonts w:cs="Arial"/>
                <w:bCs/>
              </w:rPr>
              <w:t xml:space="preserve">ion design; and photography. </w:t>
            </w:r>
            <w:r w:rsidRPr="0001003F">
              <w:rPr>
                <w:rFonts w:cs="Arial"/>
                <w:bCs/>
              </w:rPr>
              <w:t>Associate degrees</w:t>
            </w:r>
            <w:r w:rsidRPr="003E34F8">
              <w:t xml:space="preserve"> in</w:t>
            </w:r>
            <w:r>
              <w:t xml:space="preserve"> s</w:t>
            </w:r>
            <w:r w:rsidRPr="003E34F8">
              <w:t>cience</w:t>
            </w:r>
            <w:r>
              <w:t xml:space="preserve"> and engineering</w:t>
            </w:r>
            <w:r>
              <w:rPr>
                <w:rFonts w:cs="Arial"/>
                <w:bCs/>
              </w:rPr>
              <w:t xml:space="preserve"> are </w:t>
            </w:r>
            <w:r w:rsidRPr="0001003F">
              <w:rPr>
                <w:rFonts w:cs="Arial"/>
                <w:bCs/>
              </w:rPr>
              <w:t>not to be continued</w:t>
            </w:r>
            <w:r>
              <w:rPr>
                <w:rFonts w:cs="Arial"/>
                <w:bCs/>
              </w:rPr>
              <w:t>. Less than 3</w:t>
            </w:r>
            <w:r w:rsidRPr="0001003F">
              <w:rPr>
                <w:rFonts w:cs="Arial"/>
                <w:bCs/>
              </w:rPr>
              <w:t>% of total student load</w:t>
            </w:r>
            <w:r>
              <w:rPr>
                <w:rFonts w:cs="Arial"/>
                <w:bCs/>
              </w:rPr>
              <w:t xml:space="preserve"> of almost 23 000 students in 2013.</w:t>
            </w:r>
          </w:p>
        </w:tc>
        <w:tc>
          <w:tcPr>
            <w:tcW w:w="709" w:type="dxa"/>
            <w:tcBorders>
              <w:top w:val="single" w:sz="4" w:space="0" w:color="auto"/>
            </w:tcBorders>
          </w:tcPr>
          <w:p w:rsidR="0075281A" w:rsidRPr="0001003F" w:rsidRDefault="0075281A" w:rsidP="00094819">
            <w:pPr>
              <w:pStyle w:val="Tabletext"/>
              <w:rPr>
                <w:rFonts w:cs="Arial"/>
                <w:bCs/>
              </w:rPr>
            </w:pPr>
            <w:r w:rsidRPr="0001003F">
              <w:rPr>
                <w:rFonts w:cs="Arial"/>
                <w:bCs/>
              </w:rPr>
              <w:t>Public</w:t>
            </w:r>
          </w:p>
        </w:tc>
        <w:tc>
          <w:tcPr>
            <w:tcW w:w="709" w:type="dxa"/>
            <w:tcBorders>
              <w:top w:val="single" w:sz="4" w:space="0" w:color="auto"/>
            </w:tcBorders>
          </w:tcPr>
          <w:p w:rsidR="0075281A" w:rsidRPr="0001003F" w:rsidRDefault="0075281A" w:rsidP="00094819">
            <w:pPr>
              <w:pStyle w:val="Tabletext"/>
              <w:rPr>
                <w:rFonts w:cs="Arial"/>
                <w:bCs/>
              </w:rPr>
            </w:pPr>
            <w:r w:rsidRPr="0001003F">
              <w:rPr>
                <w:rFonts w:cs="Arial"/>
                <w:bCs/>
              </w:rPr>
              <w:t>ACT</w:t>
            </w:r>
          </w:p>
        </w:tc>
      </w:tr>
      <w:tr w:rsidR="0075281A" w:rsidRPr="0001003F" w:rsidTr="00094819">
        <w:tc>
          <w:tcPr>
            <w:tcW w:w="1194" w:type="dxa"/>
          </w:tcPr>
          <w:p w:rsidR="0075281A" w:rsidRPr="0001003F" w:rsidRDefault="0075281A" w:rsidP="00094819">
            <w:pPr>
              <w:pStyle w:val="Tabletext"/>
              <w:spacing w:before="80"/>
              <w:rPr>
                <w:color w:val="000000"/>
              </w:rPr>
            </w:pPr>
            <w:r w:rsidRPr="0001003F">
              <w:rPr>
                <w:rFonts w:cs="ITC Franklin Gothic Book"/>
                <w:color w:val="000000"/>
              </w:rPr>
              <w:t>Holmesglen Institute</w:t>
            </w:r>
          </w:p>
        </w:tc>
        <w:tc>
          <w:tcPr>
            <w:tcW w:w="1358" w:type="dxa"/>
            <w:tcMar>
              <w:right w:w="28" w:type="dxa"/>
            </w:tcMar>
          </w:tcPr>
          <w:p w:rsidR="0075281A" w:rsidRPr="0001003F" w:rsidRDefault="0075281A" w:rsidP="00094819">
            <w:pPr>
              <w:pStyle w:val="Tabletext"/>
              <w:spacing w:before="80"/>
              <w:rPr>
                <w:rFonts w:cs="Arial"/>
                <w:bCs/>
                <w:szCs w:val="16"/>
              </w:rPr>
            </w:pPr>
            <w:r w:rsidRPr="0001003F">
              <w:rPr>
                <w:rFonts w:cs="Arial"/>
                <w:bCs/>
              </w:rPr>
              <w:t>2005</w:t>
            </w:r>
          </w:p>
        </w:tc>
        <w:tc>
          <w:tcPr>
            <w:tcW w:w="4819" w:type="dxa"/>
          </w:tcPr>
          <w:p w:rsidR="0075281A" w:rsidRPr="0001003F" w:rsidRDefault="0075281A" w:rsidP="00094819">
            <w:pPr>
              <w:pStyle w:val="Tabletext"/>
              <w:spacing w:before="80"/>
              <w:rPr>
                <w:rFonts w:cs="Arial"/>
                <w:bCs/>
              </w:rPr>
            </w:pPr>
            <w:r>
              <w:rPr>
                <w:rFonts w:cs="Arial"/>
                <w:bCs/>
              </w:rPr>
              <w:t xml:space="preserve">Bachelor degrees in </w:t>
            </w:r>
            <w:r w:rsidRPr="0001003F">
              <w:rPr>
                <w:rFonts w:cs="Arial"/>
                <w:bCs/>
              </w:rPr>
              <w:t>art and design; building and construction; business and finance; education and languages; fitness and wellbeing; information technology; health and social science</w:t>
            </w:r>
            <w:r>
              <w:rPr>
                <w:rFonts w:cs="Arial"/>
                <w:bCs/>
              </w:rPr>
              <w:t>,</w:t>
            </w:r>
            <w:r w:rsidRPr="0001003F">
              <w:rPr>
                <w:rFonts w:cs="Arial"/>
                <w:bCs/>
              </w:rPr>
              <w:t xml:space="preserve"> tourism and hospitality.</w:t>
            </w:r>
            <w:r>
              <w:rPr>
                <w:rFonts w:cs="Arial"/>
                <w:bCs/>
              </w:rPr>
              <w:t xml:space="preserve"> </w:t>
            </w:r>
            <w:r w:rsidRPr="0001003F">
              <w:rPr>
                <w:rFonts w:cs="Arial"/>
                <w:bCs/>
              </w:rPr>
              <w:t xml:space="preserve">About 4% of total student </w:t>
            </w:r>
            <w:proofErr w:type="gramStart"/>
            <w:r w:rsidRPr="0001003F">
              <w:rPr>
                <w:rFonts w:cs="Arial"/>
                <w:bCs/>
              </w:rPr>
              <w:t>load</w:t>
            </w:r>
            <w:r>
              <w:rPr>
                <w:rFonts w:cs="Arial"/>
                <w:bCs/>
              </w:rPr>
              <w:t>,</w:t>
            </w:r>
            <w:proofErr w:type="gramEnd"/>
            <w:r>
              <w:rPr>
                <w:rFonts w:cs="Arial"/>
                <w:bCs/>
              </w:rPr>
              <w:t xml:space="preserve"> and its 50 000 student course enrolments in 2011.</w:t>
            </w:r>
          </w:p>
        </w:tc>
        <w:tc>
          <w:tcPr>
            <w:tcW w:w="709" w:type="dxa"/>
          </w:tcPr>
          <w:p w:rsidR="0075281A" w:rsidRPr="0001003F" w:rsidRDefault="0075281A" w:rsidP="00094819">
            <w:pPr>
              <w:pStyle w:val="Tabletext"/>
              <w:spacing w:before="80"/>
              <w:rPr>
                <w:rFonts w:cs="Arial"/>
                <w:bCs/>
              </w:rPr>
            </w:pPr>
            <w:r w:rsidRPr="0001003F">
              <w:rPr>
                <w:rFonts w:cs="Arial"/>
                <w:bCs/>
              </w:rPr>
              <w:t>Public</w:t>
            </w:r>
          </w:p>
        </w:tc>
        <w:tc>
          <w:tcPr>
            <w:tcW w:w="709" w:type="dxa"/>
          </w:tcPr>
          <w:p w:rsidR="0075281A" w:rsidRPr="0001003F" w:rsidRDefault="0075281A" w:rsidP="00094819">
            <w:pPr>
              <w:pStyle w:val="Tabletext"/>
              <w:spacing w:before="80"/>
              <w:rPr>
                <w:rFonts w:cs="Arial"/>
                <w:bCs/>
              </w:rPr>
            </w:pPr>
            <w:r w:rsidRPr="0001003F">
              <w:rPr>
                <w:rFonts w:cs="Arial"/>
                <w:bCs/>
              </w:rPr>
              <w:t>V</w:t>
            </w:r>
            <w:r>
              <w:rPr>
                <w:rFonts w:cs="Arial"/>
                <w:bCs/>
              </w:rPr>
              <w:t>ic.</w:t>
            </w:r>
          </w:p>
        </w:tc>
      </w:tr>
      <w:tr w:rsidR="0075281A" w:rsidRPr="0001003F" w:rsidTr="00094819">
        <w:tc>
          <w:tcPr>
            <w:tcW w:w="1194" w:type="dxa"/>
          </w:tcPr>
          <w:p w:rsidR="0075281A" w:rsidRPr="0001003F" w:rsidRDefault="0075281A" w:rsidP="00094819">
            <w:pPr>
              <w:pStyle w:val="Tabletext"/>
              <w:spacing w:before="80"/>
              <w:rPr>
                <w:bCs/>
                <w:lang w:val="en-GB"/>
              </w:rPr>
            </w:pPr>
            <w:r w:rsidRPr="0001003F">
              <w:t>Polytechnic West</w:t>
            </w:r>
          </w:p>
        </w:tc>
        <w:tc>
          <w:tcPr>
            <w:tcW w:w="1358" w:type="dxa"/>
            <w:tcMar>
              <w:right w:w="28" w:type="dxa"/>
            </w:tcMar>
          </w:tcPr>
          <w:p w:rsidR="0075281A" w:rsidRPr="0001003F" w:rsidRDefault="0075281A" w:rsidP="00094819">
            <w:pPr>
              <w:pStyle w:val="Tabletext"/>
              <w:spacing w:before="80"/>
              <w:rPr>
                <w:rFonts w:cs="Arial"/>
                <w:bCs/>
              </w:rPr>
            </w:pPr>
            <w:r w:rsidRPr="0001003F">
              <w:rPr>
                <w:rFonts w:cs="Arial"/>
                <w:bCs/>
              </w:rPr>
              <w:t>2007</w:t>
            </w:r>
          </w:p>
        </w:tc>
        <w:tc>
          <w:tcPr>
            <w:tcW w:w="4819" w:type="dxa"/>
          </w:tcPr>
          <w:p w:rsidR="0075281A" w:rsidRPr="0001003F" w:rsidRDefault="0075281A" w:rsidP="00094819">
            <w:pPr>
              <w:pStyle w:val="Tabletext"/>
              <w:spacing w:before="80"/>
              <w:rPr>
                <w:rFonts w:cs="Arial"/>
                <w:bCs/>
              </w:rPr>
            </w:pPr>
            <w:r w:rsidRPr="0008776B">
              <w:rPr>
                <w:rFonts w:cs="Arial"/>
                <w:bCs/>
              </w:rPr>
              <w:t>Associate degrees in aviation; hospitality management; fashion business management; business management; and</w:t>
            </w:r>
            <w:r w:rsidRPr="0001003F">
              <w:rPr>
                <w:rFonts w:cs="Arial"/>
                <w:bCs/>
              </w:rPr>
              <w:t xml:space="preserve"> information technology</w:t>
            </w:r>
            <w:r>
              <w:rPr>
                <w:rFonts w:cs="Arial"/>
                <w:bCs/>
              </w:rPr>
              <w:t>.</w:t>
            </w:r>
            <w:r w:rsidRPr="0001003F">
              <w:rPr>
                <w:rFonts w:cs="Arial"/>
                <w:bCs/>
              </w:rPr>
              <w:t xml:space="preserve"> (Also </w:t>
            </w:r>
            <w:r>
              <w:rPr>
                <w:rFonts w:cs="Arial"/>
                <w:bCs/>
              </w:rPr>
              <w:t>two</w:t>
            </w:r>
            <w:r w:rsidRPr="0001003F">
              <w:rPr>
                <w:rFonts w:cs="Arial"/>
                <w:bCs/>
              </w:rPr>
              <w:t xml:space="preserve"> </w:t>
            </w:r>
            <w:r>
              <w:rPr>
                <w:rFonts w:cs="Arial"/>
                <w:bCs/>
              </w:rPr>
              <w:t>higher education</w:t>
            </w:r>
            <w:r w:rsidRPr="0001003F">
              <w:rPr>
                <w:rFonts w:cs="Arial"/>
                <w:bCs/>
              </w:rPr>
              <w:t xml:space="preserve"> diplomas in information technology)</w:t>
            </w:r>
            <w:r>
              <w:rPr>
                <w:rFonts w:cs="Arial"/>
                <w:bCs/>
              </w:rPr>
              <w:t>. Less than 3</w:t>
            </w:r>
            <w:r w:rsidRPr="0001003F">
              <w:rPr>
                <w:rFonts w:cs="Arial"/>
                <w:bCs/>
              </w:rPr>
              <w:t>% of total student load</w:t>
            </w:r>
            <w:r>
              <w:rPr>
                <w:rFonts w:cs="Arial"/>
                <w:bCs/>
              </w:rPr>
              <w:t xml:space="preserve"> of 30 000 students and 326 higher education students in 2013. </w:t>
            </w:r>
          </w:p>
        </w:tc>
        <w:tc>
          <w:tcPr>
            <w:tcW w:w="709" w:type="dxa"/>
          </w:tcPr>
          <w:p w:rsidR="0075281A" w:rsidRPr="0001003F" w:rsidRDefault="0075281A" w:rsidP="00094819">
            <w:pPr>
              <w:pStyle w:val="Tabletext"/>
              <w:spacing w:before="80"/>
              <w:rPr>
                <w:rFonts w:cs="Arial"/>
                <w:bCs/>
              </w:rPr>
            </w:pPr>
            <w:r w:rsidRPr="0001003F">
              <w:rPr>
                <w:rFonts w:cs="Arial"/>
                <w:bCs/>
              </w:rPr>
              <w:t>Public</w:t>
            </w:r>
          </w:p>
        </w:tc>
        <w:tc>
          <w:tcPr>
            <w:tcW w:w="709" w:type="dxa"/>
          </w:tcPr>
          <w:p w:rsidR="0075281A" w:rsidRPr="0001003F" w:rsidRDefault="0075281A" w:rsidP="00094819">
            <w:pPr>
              <w:pStyle w:val="Tabletext"/>
              <w:spacing w:before="80"/>
              <w:rPr>
                <w:rFonts w:cs="Arial"/>
                <w:bCs/>
              </w:rPr>
            </w:pPr>
            <w:r w:rsidRPr="0001003F">
              <w:rPr>
                <w:rFonts w:cs="Arial"/>
                <w:bCs/>
              </w:rPr>
              <w:t>WA</w:t>
            </w:r>
          </w:p>
        </w:tc>
      </w:tr>
      <w:tr w:rsidR="0075281A" w:rsidRPr="0001003F" w:rsidTr="00094819">
        <w:tc>
          <w:tcPr>
            <w:tcW w:w="1194" w:type="dxa"/>
          </w:tcPr>
          <w:p w:rsidR="0075281A" w:rsidRPr="0001003F" w:rsidRDefault="0075281A" w:rsidP="00094819">
            <w:pPr>
              <w:pStyle w:val="Tabletext"/>
              <w:spacing w:before="80"/>
              <w:rPr>
                <w:bCs/>
                <w:lang w:val="en-GB"/>
              </w:rPr>
            </w:pPr>
            <w:r w:rsidRPr="0001003F">
              <w:rPr>
                <w:bCs/>
                <w:lang w:val="en-GB" w:eastAsia="en-AU"/>
              </w:rPr>
              <w:t>Tabor Adelaide</w:t>
            </w:r>
          </w:p>
        </w:tc>
        <w:tc>
          <w:tcPr>
            <w:tcW w:w="1358" w:type="dxa"/>
            <w:tcMar>
              <w:right w:w="28" w:type="dxa"/>
            </w:tcMar>
          </w:tcPr>
          <w:p w:rsidR="0075281A" w:rsidRPr="0001003F" w:rsidRDefault="0075281A" w:rsidP="00094819">
            <w:pPr>
              <w:pStyle w:val="Tabletext"/>
              <w:spacing w:before="80"/>
              <w:rPr>
                <w:rFonts w:cs="Arial"/>
                <w:bCs/>
              </w:rPr>
            </w:pPr>
            <w:r>
              <w:rPr>
                <w:rFonts w:cs="Arial"/>
                <w:bCs/>
              </w:rPr>
              <w:t>1992</w:t>
            </w:r>
          </w:p>
        </w:tc>
        <w:tc>
          <w:tcPr>
            <w:tcW w:w="4819" w:type="dxa"/>
          </w:tcPr>
          <w:p w:rsidR="0075281A" w:rsidRPr="0001003F" w:rsidRDefault="0075281A" w:rsidP="008465B9">
            <w:pPr>
              <w:pStyle w:val="Tabletext"/>
              <w:spacing w:before="80"/>
              <w:rPr>
                <w:rFonts w:cs="Arial"/>
                <w:bCs/>
              </w:rPr>
            </w:pPr>
            <w:r w:rsidRPr="0001003F">
              <w:rPr>
                <w:rFonts w:cs="Arial"/>
                <w:bCs/>
              </w:rPr>
              <w:t>Bachelor degre</w:t>
            </w:r>
            <w:r>
              <w:rPr>
                <w:rFonts w:cs="Arial"/>
                <w:bCs/>
              </w:rPr>
              <w:t xml:space="preserve">es in arts (creative writing, English, history, music, TESOL, </w:t>
            </w:r>
            <w:r w:rsidRPr="0001003F">
              <w:rPr>
                <w:rFonts w:cs="Arial"/>
                <w:bCs/>
              </w:rPr>
              <w:t>education); social sciences (counselling and youth work) and theology</w:t>
            </w:r>
            <w:r>
              <w:rPr>
                <w:rFonts w:cs="Arial"/>
                <w:bCs/>
              </w:rPr>
              <w:t>. Also graduate certificates, m</w:t>
            </w:r>
            <w:r w:rsidRPr="0001003F">
              <w:rPr>
                <w:rFonts w:cs="Arial"/>
                <w:bCs/>
              </w:rPr>
              <w:t>asters and PhDs. Ha</w:t>
            </w:r>
            <w:r>
              <w:rPr>
                <w:rFonts w:cs="Arial"/>
                <w:bCs/>
              </w:rPr>
              <w:t xml:space="preserve">s </w:t>
            </w:r>
            <w:r w:rsidRPr="0001003F">
              <w:rPr>
                <w:rFonts w:cs="Arial"/>
                <w:bCs/>
              </w:rPr>
              <w:t>s</w:t>
            </w:r>
            <w:r>
              <w:rPr>
                <w:rFonts w:cs="Arial"/>
                <w:color w:val="000000"/>
              </w:rPr>
              <w:t xml:space="preserve">ubstantial proportions of both higher education </w:t>
            </w:r>
            <w:r w:rsidR="008465B9">
              <w:rPr>
                <w:rFonts w:cs="Arial"/>
                <w:color w:val="000000"/>
              </w:rPr>
              <w:t>and</w:t>
            </w:r>
            <w:r>
              <w:rPr>
                <w:rFonts w:cs="Arial"/>
                <w:color w:val="000000"/>
              </w:rPr>
              <w:t xml:space="preserve"> VET among its approximately 1000 students in total. </w:t>
            </w:r>
          </w:p>
        </w:tc>
        <w:tc>
          <w:tcPr>
            <w:tcW w:w="709" w:type="dxa"/>
            <w:tcMar>
              <w:right w:w="0" w:type="dxa"/>
            </w:tcMar>
          </w:tcPr>
          <w:p w:rsidR="0075281A" w:rsidRPr="0001003F" w:rsidRDefault="0075281A" w:rsidP="00094819">
            <w:pPr>
              <w:pStyle w:val="Tabletext"/>
              <w:spacing w:before="80"/>
              <w:rPr>
                <w:rFonts w:cs="Arial"/>
                <w:bCs/>
              </w:rPr>
            </w:pPr>
            <w:r w:rsidRPr="0001003F">
              <w:rPr>
                <w:rFonts w:cs="Arial"/>
                <w:bCs/>
              </w:rPr>
              <w:t xml:space="preserve">Private </w:t>
            </w:r>
          </w:p>
        </w:tc>
        <w:tc>
          <w:tcPr>
            <w:tcW w:w="709" w:type="dxa"/>
          </w:tcPr>
          <w:p w:rsidR="0075281A" w:rsidRPr="0001003F" w:rsidRDefault="0075281A" w:rsidP="00094819">
            <w:pPr>
              <w:pStyle w:val="Tabletext"/>
              <w:spacing w:before="80"/>
              <w:rPr>
                <w:rFonts w:cs="Arial"/>
                <w:bCs/>
              </w:rPr>
            </w:pPr>
            <w:r w:rsidRPr="0001003F">
              <w:rPr>
                <w:rFonts w:cs="Arial"/>
                <w:bCs/>
              </w:rPr>
              <w:t>SA</w:t>
            </w:r>
          </w:p>
        </w:tc>
      </w:tr>
      <w:tr w:rsidR="0075281A" w:rsidRPr="0001003F" w:rsidTr="008465B9">
        <w:tc>
          <w:tcPr>
            <w:tcW w:w="1194" w:type="dxa"/>
          </w:tcPr>
          <w:p w:rsidR="0075281A" w:rsidRPr="0001003F" w:rsidRDefault="0075281A" w:rsidP="00094819">
            <w:pPr>
              <w:pStyle w:val="Tabletext"/>
              <w:spacing w:before="80"/>
              <w:rPr>
                <w:bCs/>
                <w:lang w:val="en-GB"/>
              </w:rPr>
            </w:pPr>
            <w:r w:rsidRPr="0001003F">
              <w:rPr>
                <w:bCs/>
                <w:lang w:val="en-GB" w:eastAsia="en-AU"/>
              </w:rPr>
              <w:t>TAFESA</w:t>
            </w:r>
          </w:p>
        </w:tc>
        <w:tc>
          <w:tcPr>
            <w:tcW w:w="1358" w:type="dxa"/>
            <w:tcMar>
              <w:right w:w="28" w:type="dxa"/>
            </w:tcMar>
          </w:tcPr>
          <w:p w:rsidR="0075281A" w:rsidRPr="0001003F" w:rsidRDefault="0075281A" w:rsidP="00094819">
            <w:pPr>
              <w:pStyle w:val="Tabletext"/>
              <w:spacing w:before="80"/>
              <w:rPr>
                <w:rFonts w:cs="Arial"/>
                <w:bCs/>
              </w:rPr>
            </w:pPr>
            <w:r w:rsidRPr="0001003F">
              <w:rPr>
                <w:rFonts w:cs="Arial"/>
                <w:bCs/>
              </w:rPr>
              <w:t>1997</w:t>
            </w:r>
          </w:p>
        </w:tc>
        <w:tc>
          <w:tcPr>
            <w:tcW w:w="4819" w:type="dxa"/>
            <w:tcMar>
              <w:right w:w="0" w:type="dxa"/>
            </w:tcMar>
          </w:tcPr>
          <w:p w:rsidR="0075281A" w:rsidRPr="0001003F" w:rsidRDefault="0075281A" w:rsidP="008465B9">
            <w:pPr>
              <w:pStyle w:val="Tabletext"/>
              <w:spacing w:before="80"/>
              <w:rPr>
                <w:rFonts w:cs="Arial"/>
                <w:bCs/>
              </w:rPr>
            </w:pPr>
            <w:r w:rsidRPr="0001003F">
              <w:rPr>
                <w:rFonts w:cs="Arial"/>
                <w:bCs/>
              </w:rPr>
              <w:t>Associate degree in electronic en</w:t>
            </w:r>
            <w:r>
              <w:rPr>
                <w:rFonts w:cs="Arial"/>
                <w:bCs/>
              </w:rPr>
              <w:t>gineering</w:t>
            </w:r>
            <w:r w:rsidR="008465B9">
              <w:rPr>
                <w:rFonts w:cs="Arial"/>
                <w:bCs/>
              </w:rPr>
              <w:t>;</w:t>
            </w:r>
            <w:r>
              <w:rPr>
                <w:rFonts w:cs="Arial"/>
                <w:bCs/>
              </w:rPr>
              <w:t xml:space="preserve"> bachelor degrees in </w:t>
            </w:r>
            <w:r w:rsidRPr="0001003F">
              <w:rPr>
                <w:rFonts w:cs="Arial"/>
                <w:bCs/>
              </w:rPr>
              <w:t>performing arts</w:t>
            </w:r>
            <w:r w:rsidR="008465B9">
              <w:rPr>
                <w:rFonts w:cs="Arial"/>
                <w:bCs/>
              </w:rPr>
              <w:t>,</w:t>
            </w:r>
            <w:r w:rsidRPr="0001003F">
              <w:rPr>
                <w:rFonts w:cs="Arial"/>
                <w:bCs/>
              </w:rPr>
              <w:t xml:space="preserve"> dance and business management (hospitality, tourism and re</w:t>
            </w:r>
            <w:r>
              <w:rPr>
                <w:rFonts w:cs="Arial"/>
                <w:bCs/>
              </w:rPr>
              <w:t xml:space="preserve">creation) are moving to contracted </w:t>
            </w:r>
            <w:r w:rsidRPr="0001003F">
              <w:rPr>
                <w:rFonts w:cs="Arial"/>
                <w:bCs/>
              </w:rPr>
              <w:t>delivery arrangements</w:t>
            </w:r>
            <w:r>
              <w:rPr>
                <w:rFonts w:cs="Arial"/>
                <w:bCs/>
              </w:rPr>
              <w:t>. Less than 3</w:t>
            </w:r>
            <w:r w:rsidRPr="0001003F">
              <w:rPr>
                <w:rFonts w:cs="Arial"/>
                <w:bCs/>
              </w:rPr>
              <w:t>% of total student load</w:t>
            </w:r>
            <w:r>
              <w:rPr>
                <w:rFonts w:cs="Arial"/>
                <w:bCs/>
              </w:rPr>
              <w:t>, with 384 students receiving higher education in their own right in 2012–13.</w:t>
            </w:r>
          </w:p>
        </w:tc>
        <w:tc>
          <w:tcPr>
            <w:tcW w:w="709" w:type="dxa"/>
          </w:tcPr>
          <w:p w:rsidR="0075281A" w:rsidRPr="0001003F" w:rsidRDefault="0075281A" w:rsidP="00094819">
            <w:pPr>
              <w:pStyle w:val="Tabletext"/>
              <w:spacing w:before="80"/>
              <w:rPr>
                <w:rFonts w:cs="Arial"/>
                <w:bCs/>
              </w:rPr>
            </w:pPr>
            <w:r w:rsidRPr="0001003F">
              <w:rPr>
                <w:rFonts w:cs="Arial"/>
                <w:bCs/>
              </w:rPr>
              <w:t>Public</w:t>
            </w:r>
          </w:p>
        </w:tc>
        <w:tc>
          <w:tcPr>
            <w:tcW w:w="709" w:type="dxa"/>
          </w:tcPr>
          <w:p w:rsidR="0075281A" w:rsidRPr="0001003F" w:rsidRDefault="0075281A" w:rsidP="00094819">
            <w:pPr>
              <w:pStyle w:val="Tabletext"/>
              <w:spacing w:before="80"/>
              <w:rPr>
                <w:rFonts w:cs="Arial"/>
                <w:bCs/>
              </w:rPr>
            </w:pPr>
            <w:r w:rsidRPr="0001003F">
              <w:rPr>
                <w:rFonts w:cs="Arial"/>
                <w:bCs/>
              </w:rPr>
              <w:t>SA</w:t>
            </w:r>
          </w:p>
        </w:tc>
      </w:tr>
      <w:tr w:rsidR="0075281A" w:rsidRPr="0001003F" w:rsidTr="00094819">
        <w:tc>
          <w:tcPr>
            <w:tcW w:w="1194" w:type="dxa"/>
          </w:tcPr>
          <w:p w:rsidR="0075281A" w:rsidRPr="0001003F" w:rsidRDefault="0075281A" w:rsidP="00094819">
            <w:pPr>
              <w:pStyle w:val="Tabletext"/>
              <w:spacing w:before="80"/>
              <w:rPr>
                <w:bCs/>
                <w:lang w:val="en-GB" w:eastAsia="en-AU"/>
              </w:rPr>
            </w:pPr>
            <w:r w:rsidRPr="0001003F">
              <w:rPr>
                <w:bCs/>
                <w:lang w:val="en-GB" w:eastAsia="en-AU"/>
              </w:rPr>
              <w:t>Think</w:t>
            </w:r>
            <w:r>
              <w:rPr>
                <w:bCs/>
                <w:lang w:val="en-GB" w:eastAsia="en-AU"/>
              </w:rPr>
              <w:t>:</w:t>
            </w:r>
            <w:r w:rsidRPr="0001003F">
              <w:rPr>
                <w:bCs/>
                <w:lang w:val="en-GB" w:eastAsia="en-AU"/>
              </w:rPr>
              <w:t xml:space="preserve"> Education Group</w:t>
            </w:r>
          </w:p>
        </w:tc>
        <w:tc>
          <w:tcPr>
            <w:tcW w:w="1358" w:type="dxa"/>
            <w:tcMar>
              <w:right w:w="28" w:type="dxa"/>
            </w:tcMar>
          </w:tcPr>
          <w:p w:rsidR="0075281A" w:rsidRPr="00AB0517" w:rsidRDefault="0075281A" w:rsidP="00094819">
            <w:pPr>
              <w:pStyle w:val="Tabletext"/>
              <w:spacing w:before="80"/>
              <w:rPr>
                <w:rFonts w:cs="Arial"/>
                <w:bCs/>
              </w:rPr>
            </w:pPr>
            <w:r>
              <w:rPr>
                <w:rFonts w:cs="Arial"/>
                <w:bCs/>
              </w:rPr>
              <w:t>2005–06 (w</w:t>
            </w:r>
            <w:r w:rsidRPr="00AB0517">
              <w:rPr>
                <w:rFonts w:cs="Arial"/>
                <w:bCs/>
              </w:rPr>
              <w:t>ith some component colleges</w:t>
            </w:r>
            <w:r>
              <w:rPr>
                <w:rFonts w:cs="Arial"/>
                <w:bCs/>
              </w:rPr>
              <w:t xml:space="preserve"> having a longer </w:t>
            </w:r>
            <w:r w:rsidRPr="00AB0517">
              <w:rPr>
                <w:rFonts w:cs="Arial"/>
                <w:bCs/>
              </w:rPr>
              <w:t>history</w:t>
            </w:r>
            <w:r>
              <w:rPr>
                <w:rFonts w:cs="Arial"/>
                <w:bCs/>
              </w:rPr>
              <w:t>)</w:t>
            </w:r>
            <w:r w:rsidRPr="00AB0517">
              <w:rPr>
                <w:rFonts w:cs="Arial"/>
                <w:bCs/>
              </w:rPr>
              <w:t xml:space="preserve"> </w:t>
            </w:r>
          </w:p>
        </w:tc>
        <w:tc>
          <w:tcPr>
            <w:tcW w:w="4819" w:type="dxa"/>
          </w:tcPr>
          <w:p w:rsidR="0075281A" w:rsidRPr="00974074" w:rsidRDefault="0075281A" w:rsidP="00094819">
            <w:pPr>
              <w:pStyle w:val="Tabletext"/>
              <w:spacing w:before="80"/>
              <w:rPr>
                <w:rFonts w:cs="Arial"/>
                <w:bCs/>
              </w:rPr>
            </w:pPr>
            <w:r w:rsidRPr="0001003F">
              <w:rPr>
                <w:rFonts w:cs="Arial"/>
                <w:bCs/>
              </w:rPr>
              <w:t xml:space="preserve">Associate </w:t>
            </w:r>
            <w:r>
              <w:rPr>
                <w:rFonts w:cs="Arial"/>
                <w:bCs/>
              </w:rPr>
              <w:t xml:space="preserve">and bachelor degrees in </w:t>
            </w:r>
            <w:r w:rsidRPr="0001003F">
              <w:rPr>
                <w:rFonts w:cs="Arial"/>
                <w:bCs/>
              </w:rPr>
              <w:t xml:space="preserve">business </w:t>
            </w:r>
            <w:r>
              <w:rPr>
                <w:rFonts w:cs="Arial"/>
                <w:bCs/>
              </w:rPr>
              <w:t>and</w:t>
            </w:r>
            <w:r w:rsidRPr="0001003F">
              <w:rPr>
                <w:rFonts w:cs="Arial"/>
                <w:bCs/>
              </w:rPr>
              <w:t xml:space="preserve"> hospitality; and design, health and wellbeing. Also graduate certificates, masters and PhDs. Ha</w:t>
            </w:r>
            <w:r>
              <w:rPr>
                <w:rFonts w:cs="Arial"/>
                <w:bCs/>
              </w:rPr>
              <w:t xml:space="preserve">s </w:t>
            </w:r>
            <w:r w:rsidRPr="0001003F">
              <w:rPr>
                <w:rFonts w:cs="Arial"/>
                <w:bCs/>
              </w:rPr>
              <w:t>s</w:t>
            </w:r>
            <w:r>
              <w:rPr>
                <w:rFonts w:cs="Arial"/>
                <w:color w:val="000000"/>
              </w:rPr>
              <w:t>ubstantial proportions of both higher education and VET within its total student load of 10 000 students approximately in 2013.</w:t>
            </w:r>
          </w:p>
        </w:tc>
        <w:tc>
          <w:tcPr>
            <w:tcW w:w="709" w:type="dxa"/>
            <w:tcMar>
              <w:right w:w="0" w:type="dxa"/>
            </w:tcMar>
          </w:tcPr>
          <w:p w:rsidR="0075281A" w:rsidRPr="0001003F" w:rsidRDefault="0075281A" w:rsidP="00094819">
            <w:pPr>
              <w:pStyle w:val="Tabletext"/>
              <w:spacing w:before="80"/>
              <w:rPr>
                <w:rFonts w:cs="Arial"/>
                <w:bCs/>
              </w:rPr>
            </w:pPr>
            <w:r w:rsidRPr="0001003F">
              <w:rPr>
                <w:rFonts w:cs="Arial"/>
                <w:bCs/>
              </w:rPr>
              <w:t>Private</w:t>
            </w:r>
          </w:p>
        </w:tc>
        <w:tc>
          <w:tcPr>
            <w:tcW w:w="709" w:type="dxa"/>
          </w:tcPr>
          <w:p w:rsidR="0075281A" w:rsidRPr="0001003F" w:rsidRDefault="0075281A" w:rsidP="00094819">
            <w:pPr>
              <w:pStyle w:val="Tabletext"/>
              <w:spacing w:before="80"/>
              <w:rPr>
                <w:rFonts w:cs="Arial"/>
                <w:bCs/>
              </w:rPr>
            </w:pPr>
            <w:r w:rsidRPr="0001003F">
              <w:rPr>
                <w:rFonts w:cs="Arial"/>
                <w:bCs/>
              </w:rPr>
              <w:t>NSW</w:t>
            </w:r>
            <w:r>
              <w:rPr>
                <w:rFonts w:cs="Arial"/>
                <w:bCs/>
              </w:rPr>
              <w:br/>
            </w:r>
            <w:r w:rsidRPr="0001003F">
              <w:rPr>
                <w:rFonts w:cs="Arial"/>
                <w:bCs/>
              </w:rPr>
              <w:t>V</w:t>
            </w:r>
            <w:r>
              <w:rPr>
                <w:rFonts w:cs="Arial"/>
                <w:bCs/>
              </w:rPr>
              <w:t>ic.</w:t>
            </w:r>
            <w:r>
              <w:rPr>
                <w:rFonts w:cs="Arial"/>
                <w:bCs/>
              </w:rPr>
              <w:br/>
            </w:r>
            <w:r w:rsidRPr="0001003F">
              <w:rPr>
                <w:rFonts w:cs="Arial"/>
                <w:bCs/>
              </w:rPr>
              <w:t>Q</w:t>
            </w:r>
            <w:r>
              <w:rPr>
                <w:rFonts w:cs="Arial"/>
                <w:bCs/>
              </w:rPr>
              <w:t>ld</w:t>
            </w:r>
          </w:p>
        </w:tc>
      </w:tr>
    </w:tbl>
    <w:p w:rsidR="0075281A" w:rsidRDefault="0075281A" w:rsidP="00FD2A35">
      <w:pPr>
        <w:pStyle w:val="Heading2"/>
        <w:spacing w:before="300"/>
        <w:ind w:right="0"/>
      </w:pPr>
      <w:bookmarkStart w:id="90" w:name="_Toc396117500"/>
      <w:bookmarkStart w:id="91" w:name="_Toc419972087"/>
      <w:r>
        <w:t>Report structure</w:t>
      </w:r>
      <w:bookmarkEnd w:id="90"/>
      <w:bookmarkEnd w:id="91"/>
      <w:r>
        <w:t xml:space="preserve"> </w:t>
      </w:r>
    </w:p>
    <w:p w:rsidR="0075281A" w:rsidRPr="00A829B5" w:rsidRDefault="0075281A" w:rsidP="00FD2A35">
      <w:pPr>
        <w:pStyle w:val="Text"/>
        <w:spacing w:line="280" w:lineRule="exact"/>
      </w:pPr>
      <w:r>
        <w:t>A brief summary of the major findings from the literature review are presented in the next chapter (see also Callan &amp; Bowman 2013 for a longer review of the literature published by the National Centre for Vocational Education</w:t>
      </w:r>
      <w:r w:rsidR="008465B9">
        <w:t xml:space="preserve"> Research</w:t>
      </w:r>
      <w:r>
        <w:t xml:space="preserve"> [NCVER] as an o</w:t>
      </w:r>
      <w:r w:rsidRPr="00A829B5">
        <w:t xml:space="preserve">ccasional paper). </w:t>
      </w:r>
    </w:p>
    <w:p w:rsidR="0075281A" w:rsidRDefault="0075281A" w:rsidP="00FD2A35">
      <w:pPr>
        <w:pStyle w:val="Text"/>
        <w:spacing w:line="280" w:lineRule="exact"/>
      </w:pPr>
      <w:r w:rsidRPr="00A829B5">
        <w:t>The third chapter provides a short summa</w:t>
      </w:r>
      <w:r>
        <w:t>ry of the findings for each case study</w:t>
      </w:r>
      <w:r w:rsidR="008465B9">
        <w:t>,</w:t>
      </w:r>
      <w:r>
        <w:t xml:space="preserve"> organised according to the three research questions (for a detailed report on each case,</w:t>
      </w:r>
      <w:r w:rsidRPr="00D84679">
        <w:t xml:space="preserve"> </w:t>
      </w:r>
      <w:r>
        <w:t xml:space="preserve">see the support document). </w:t>
      </w:r>
    </w:p>
    <w:p w:rsidR="0075281A" w:rsidRDefault="0075281A" w:rsidP="008465B9">
      <w:pPr>
        <w:pStyle w:val="Text"/>
        <w:spacing w:line="280" w:lineRule="exact"/>
        <w:ind w:right="-284"/>
      </w:pPr>
      <w:r>
        <w:t xml:space="preserve">In the final chapter we present the identified </w:t>
      </w:r>
      <w:r w:rsidRPr="00FD4B1D">
        <w:t xml:space="preserve">best practices for VET providers that are </w:t>
      </w:r>
      <w:r>
        <w:t xml:space="preserve">currently delivering </w:t>
      </w:r>
      <w:r w:rsidRPr="00FD4B1D">
        <w:t xml:space="preserve">or </w:t>
      </w:r>
      <w:r>
        <w:t xml:space="preserve">are intending to </w:t>
      </w:r>
      <w:r w:rsidRPr="00FD4B1D">
        <w:t>deliver associate and bachelor degrees in their own right</w:t>
      </w:r>
      <w:r>
        <w:t>. We also offer some final comments in this chapter</w:t>
      </w:r>
      <w:r w:rsidRPr="00FD4B1D">
        <w:t xml:space="preserve">, including our views </w:t>
      </w:r>
      <w:r w:rsidR="008465B9">
        <w:t>on</w:t>
      </w:r>
      <w:r w:rsidRPr="00FD4B1D">
        <w:t xml:space="preserve"> future developments and </w:t>
      </w:r>
      <w:r>
        <w:t xml:space="preserve">their </w:t>
      </w:r>
      <w:r w:rsidRPr="00FD4B1D">
        <w:t>implications</w:t>
      </w:r>
      <w:r>
        <w:t xml:space="preserve">. </w:t>
      </w:r>
    </w:p>
    <w:p w:rsidR="0075281A" w:rsidRDefault="00E602C7" w:rsidP="00A503CC">
      <w:pPr>
        <w:pStyle w:val="Heading1"/>
        <w:tabs>
          <w:tab w:val="left" w:pos="709"/>
        </w:tabs>
        <w:ind w:left="709" w:hanging="709"/>
      </w:pPr>
      <w:bookmarkStart w:id="92" w:name="_Toc396117501"/>
      <w:bookmarkStart w:id="93" w:name="_Toc419972088"/>
      <w:r>
        <w:rPr>
          <w:noProof/>
          <w:lang w:eastAsia="en-AU"/>
        </w:rPr>
        <w:lastRenderedPageBreak/>
        <w:drawing>
          <wp:anchor distT="0" distB="0" distL="114300" distR="114300" simplePos="0" relativeHeight="251998208" behindDoc="0" locked="0" layoutInCell="1" allowOverlap="1" wp14:anchorId="1ADEA4C4" wp14:editId="6A63C28D">
            <wp:simplePos x="0" y="0"/>
            <wp:positionH relativeFrom="column">
              <wp:posOffset>-3175</wp:posOffset>
            </wp:positionH>
            <wp:positionV relativeFrom="paragraph">
              <wp:posOffset>-61966</wp:posOffset>
            </wp:positionV>
            <wp:extent cx="414020" cy="448310"/>
            <wp:effectExtent l="0" t="0" r="5080" b="8890"/>
            <wp:wrapNone/>
            <wp:docPr id="57" name="Picture 57" descr="P:\PublicationComponents\Icons\ExclamationMark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ExclamationMarkPurpl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A35">
        <w:tab/>
      </w:r>
      <w:r w:rsidR="0075281A">
        <w:t>Issues for VET providers delivering associate and bachelor degrees</w:t>
      </w:r>
      <w:bookmarkEnd w:id="92"/>
      <w:bookmarkEnd w:id="93"/>
      <w:r w:rsidR="0075281A">
        <w:t xml:space="preserve"> </w:t>
      </w:r>
    </w:p>
    <w:p w:rsidR="0075281A" w:rsidRDefault="0075281A" w:rsidP="004E7D51">
      <w:pPr>
        <w:pStyle w:val="Text"/>
        <w:ind w:right="141"/>
      </w:pPr>
      <w:r>
        <w:t xml:space="preserve">In this section we </w:t>
      </w:r>
      <w:r w:rsidR="004E7D51">
        <w:t>give</w:t>
      </w:r>
      <w:r>
        <w:t xml:space="preserve"> a </w:t>
      </w:r>
      <w:r w:rsidRPr="002354D5">
        <w:t xml:space="preserve">brief review of </w:t>
      </w:r>
      <w:r>
        <w:t>some of the key reforms that have led to the diversification of provider types in tertiary education, and in doing so we provide the broad context for the six case studies (also see Callan &amp; Bowman 2013). We then discuss briefly some</w:t>
      </w:r>
      <w:r w:rsidR="004E7D51">
        <w:t xml:space="preserve"> of the</w:t>
      </w:r>
      <w:r>
        <w:t xml:space="preserve"> key issues</w:t>
      </w:r>
      <w:r w:rsidRPr="006E2328">
        <w:t xml:space="preserve"> </w:t>
      </w:r>
      <w:r>
        <w:t xml:space="preserve">influencing the decisions by public and private VET providers to deliver associate and bachelor degrees in their own right. </w:t>
      </w:r>
    </w:p>
    <w:p w:rsidR="0075281A" w:rsidRDefault="0075281A" w:rsidP="00094819">
      <w:pPr>
        <w:pStyle w:val="Heading2"/>
      </w:pPr>
      <w:bookmarkStart w:id="94" w:name="_Toc396117502"/>
      <w:bookmarkStart w:id="95" w:name="_Toc419972089"/>
      <w:r>
        <w:t>Reforms and diversification of provider types in tertiary education</w:t>
      </w:r>
      <w:bookmarkEnd w:id="94"/>
      <w:bookmarkEnd w:id="95"/>
      <w:r>
        <w:t xml:space="preserve"> </w:t>
      </w:r>
    </w:p>
    <w:p w:rsidR="0075281A" w:rsidRDefault="0075281A" w:rsidP="00094819">
      <w:pPr>
        <w:pStyle w:val="Heading3"/>
        <w:spacing w:before="120"/>
      </w:pPr>
      <w:bookmarkStart w:id="96" w:name="_Toc396117503"/>
      <w:r>
        <w:t>Reforms in VET</w:t>
      </w:r>
      <w:bookmarkEnd w:id="96"/>
    </w:p>
    <w:p w:rsidR="0075281A" w:rsidRPr="00E263E3" w:rsidRDefault="0075281A" w:rsidP="00094819">
      <w:pPr>
        <w:pStyle w:val="Textlessbefore"/>
      </w:pPr>
      <w:r>
        <w:t xml:space="preserve">The case providers approached to be involved in this NCVER project have in most instances been delivering VET for decades. They have been subject to a series of reforms from the late 1980s aimed at creating a national VET system, but VET remains under the control of each state and territory. As explained by Noonan (2013), the national ‘VET settlement’ was created by increasing the role of the Commonwealth Government in education, which secured agreement by the states and territories to national reform in exchange for additional Commonwealth funding. The VET settlement has involved the overlay of a national training framework via the ‘the training reform agenda’, which commenced in the late 1980s. This agenda has continued until the present, as reflected in a series of decisions by </w:t>
      </w:r>
      <w:r w:rsidR="004E7D51">
        <w:t xml:space="preserve">the </w:t>
      </w:r>
      <w:r>
        <w:t>Ministerial Councils responsible for vocati</w:t>
      </w:r>
      <w:r w:rsidRPr="00E263E3">
        <w:t>onal education and training and by the Council of Australian Governments (COAG).</w:t>
      </w:r>
    </w:p>
    <w:p w:rsidR="0075281A" w:rsidRDefault="0075281A" w:rsidP="00094819">
      <w:pPr>
        <w:pStyle w:val="Text"/>
      </w:pPr>
      <w:r w:rsidRPr="00E263E3">
        <w:t>In brief, the national training reform agen</w:t>
      </w:r>
      <w:r>
        <w:t xml:space="preserve">da has involved the introduction of a national training framework made up of: </w:t>
      </w:r>
    </w:p>
    <w:p w:rsidR="0075281A" w:rsidRDefault="0075281A" w:rsidP="0075281A">
      <w:pPr>
        <w:pStyle w:val="Dotpoint1"/>
        <w:spacing w:before="80"/>
      </w:pPr>
      <w:proofErr w:type="gramStart"/>
      <w:r>
        <w:t>national</w:t>
      </w:r>
      <w:proofErr w:type="gramEnd"/>
      <w:r>
        <w:t xml:space="preserve"> standards for recognised VET qualifications and courses, which are developed by industry skills councils on behalf of industry. The focus is on the competencies required by industry in their workforces and </w:t>
      </w:r>
      <w:r w:rsidR="004E7D51">
        <w:t xml:space="preserve">which are </w:t>
      </w:r>
      <w:r>
        <w:t xml:space="preserve">articulated in the performance standards in national training packages </w:t>
      </w:r>
    </w:p>
    <w:p w:rsidR="0075281A" w:rsidRDefault="0075281A" w:rsidP="0075281A">
      <w:pPr>
        <w:pStyle w:val="Dotpoint1"/>
        <w:spacing w:before="80"/>
      </w:pPr>
      <w:proofErr w:type="gramStart"/>
      <w:r>
        <w:t>national</w:t>
      </w:r>
      <w:proofErr w:type="gramEnd"/>
      <w:r>
        <w:t xml:space="preserve"> standards for provider registration to maintain consistent quality in VET provision. Until recently these were state-regulated. In 2011 a national regulator was created to improve provider registration and provider compliance with Australian Quality Training Framework (AQTF) standards. This regulator, the Australian Skills Quality Authority </w:t>
      </w:r>
      <w:r w:rsidR="004E7D51">
        <w:t xml:space="preserve">(ASQA), </w:t>
      </w:r>
      <w:r>
        <w:t>is using new standards for registering VET providers and accrediting courses.</w:t>
      </w:r>
    </w:p>
    <w:p w:rsidR="0075281A" w:rsidRDefault="0075281A" w:rsidP="00094819">
      <w:pPr>
        <w:pStyle w:val="Text"/>
      </w:pPr>
      <w:r>
        <w:t>The national training reform agenda has also involved a continuous move towards a more competitive national training market</w:t>
      </w:r>
      <w:r w:rsidR="004E7D51">
        <w:t>,</w:t>
      </w:r>
      <w:r>
        <w:t xml:space="preserve"> with greater contestability for funding and greater choice by users of the system. These developments have led to strong growth in VET provider numbers, to the point where there are over 4000 registered VET providers, which are all competing for the available VET funds and looking for additional market opportunities, such as the delivery of higher education qualifications. </w:t>
      </w:r>
    </w:p>
    <w:p w:rsidR="0075281A" w:rsidRPr="008428EB" w:rsidRDefault="0075281A" w:rsidP="00094819">
      <w:pPr>
        <w:pStyle w:val="Heading3"/>
      </w:pPr>
      <w:bookmarkStart w:id="97" w:name="_Toc396117504"/>
      <w:r w:rsidRPr="008428EB">
        <w:t xml:space="preserve">Reforms in </w:t>
      </w:r>
      <w:r>
        <w:t xml:space="preserve">higher education </w:t>
      </w:r>
      <w:r w:rsidRPr="008428EB">
        <w:t>and towards an integrated tertiary education sector</w:t>
      </w:r>
      <w:bookmarkEnd w:id="97"/>
      <w:r>
        <w:t xml:space="preserve"> </w:t>
      </w:r>
      <w:r w:rsidRPr="008428EB">
        <w:t xml:space="preserve"> </w:t>
      </w:r>
    </w:p>
    <w:p w:rsidR="0075281A" w:rsidRDefault="0075281A" w:rsidP="00094819">
      <w:pPr>
        <w:pStyle w:val="Textlessbefore"/>
      </w:pPr>
      <w:r>
        <w:t>In</w:t>
      </w:r>
      <w:r w:rsidRPr="00CA5E3F">
        <w:t xml:space="preserve"> 2008</w:t>
      </w:r>
      <w:r>
        <w:t xml:space="preserve"> the Commonwealth Government established a review panel to examine and report on the future direction of the higher education sector and its fitness for purpose in meeting the needs of the Australian community and Australian economy. While its focus was on the future directions of the higher education sector, the Review of Australian Higher Education, commonly referred to as the </w:t>
      </w:r>
      <w:r>
        <w:lastRenderedPageBreak/>
        <w:t>Bradley Review (2008),</w:t>
      </w:r>
      <w:r w:rsidRPr="00A36955">
        <w:t xml:space="preserve"> </w:t>
      </w:r>
      <w:r>
        <w:t>like others before it</w:t>
      </w:r>
      <w:r w:rsidR="00A65479">
        <w:t>,</w:t>
      </w:r>
      <w:r>
        <w:t xml:space="preserve"> also investigated the relationship between the higher education and VET sectors. </w:t>
      </w:r>
    </w:p>
    <w:p w:rsidR="0075281A" w:rsidRPr="00E263E3" w:rsidRDefault="0075281A" w:rsidP="00094819">
      <w:pPr>
        <w:pStyle w:val="Text"/>
      </w:pPr>
      <w:r>
        <w:t>The Bradley Review was, and remains, a watershed in policy regarding the nature of Australia’s tertiary sector. It concluded that, while the higher education system has great strengths, it faces significant emerging threats, which require decisive action. The actions recommended were driven by the common vision held by all those consulted: we must create an outstanding, internationally competitive tertiary education system to meet Australia’s future needs. Further, we must act now if we are to remain competitive with those countries that have already undertaken significant reform and invest</w:t>
      </w:r>
      <w:r w:rsidRPr="00E263E3">
        <w:t xml:space="preserve">ment (Bradley et al. 2008, </w:t>
      </w:r>
      <w:proofErr w:type="spellStart"/>
      <w:r w:rsidRPr="00E263E3">
        <w:t>p</w:t>
      </w:r>
      <w:r w:rsidR="004E7D51">
        <w:t>.</w:t>
      </w:r>
      <w:r w:rsidRPr="00E263E3">
        <w:t>ix</w:t>
      </w:r>
      <w:proofErr w:type="spellEnd"/>
      <w:r w:rsidRPr="00E263E3">
        <w:t xml:space="preserve">). </w:t>
      </w:r>
    </w:p>
    <w:p w:rsidR="0075281A" w:rsidRDefault="0075281A" w:rsidP="00094819">
      <w:pPr>
        <w:pStyle w:val="Text"/>
        <w:ind w:right="141"/>
      </w:pPr>
      <w:r w:rsidRPr="00E263E3">
        <w:t>The Bradle</w:t>
      </w:r>
      <w:r>
        <w:t>y Review made 46 recommendations directed towards the development of higher education and a more integrated tertiary education sector</w:t>
      </w:r>
      <w:r w:rsidR="004E7D51">
        <w:t>, the aim being</w:t>
      </w:r>
      <w:r>
        <w:t xml:space="preserve"> to ensure the growth required for a more qualified workforce. The recommendations in the Bradley Review particularly relevant to the present study include:</w:t>
      </w:r>
    </w:p>
    <w:p w:rsidR="0075281A" w:rsidRDefault="0075281A" w:rsidP="0075281A">
      <w:pPr>
        <w:pStyle w:val="Dotpoint1"/>
        <w:spacing w:before="80"/>
      </w:pPr>
      <w:r>
        <w:t>the setting of national targets to reach agreement on where we need to be</w:t>
      </w:r>
    </w:p>
    <w:p w:rsidR="0075281A" w:rsidRDefault="0075281A" w:rsidP="0075281A">
      <w:pPr>
        <w:pStyle w:val="Dotpoint1"/>
        <w:spacing w:before="80"/>
      </w:pPr>
      <w:r>
        <w:t>the strengthening of the links between VET and higher education</w:t>
      </w:r>
    </w:p>
    <w:p w:rsidR="0075281A" w:rsidRDefault="0075281A" w:rsidP="0075281A">
      <w:pPr>
        <w:pStyle w:val="Dotpoint1"/>
        <w:spacing w:before="80"/>
      </w:pPr>
      <w:r>
        <w:t>funding reform and incentives towards increasing competition</w:t>
      </w:r>
    </w:p>
    <w:p w:rsidR="0075281A" w:rsidRDefault="0075281A" w:rsidP="0075281A">
      <w:pPr>
        <w:pStyle w:val="Dotpoint1"/>
        <w:spacing w:before="80"/>
      </w:pPr>
      <w:proofErr w:type="gramStart"/>
      <w:r>
        <w:t>the</w:t>
      </w:r>
      <w:proofErr w:type="gramEnd"/>
      <w:r>
        <w:t xml:space="preserve"> development of a new regulatory paradigm to assure quality in a demand-driven funding regime.</w:t>
      </w:r>
    </w:p>
    <w:p w:rsidR="0075281A" w:rsidRPr="005D33B7" w:rsidRDefault="0075281A" w:rsidP="00094819">
      <w:pPr>
        <w:pStyle w:val="Heading4"/>
      </w:pPr>
      <w:r w:rsidRPr="005D33B7">
        <w:t xml:space="preserve">Targets for a more skilled Australian workforce </w:t>
      </w:r>
    </w:p>
    <w:p w:rsidR="0075281A" w:rsidRDefault="0075281A" w:rsidP="00094819">
      <w:pPr>
        <w:pStyle w:val="Textlessbefore"/>
      </w:pPr>
      <w:r>
        <w:t>The Bradley Review made two recommendations regarding targets:</w:t>
      </w:r>
    </w:p>
    <w:p w:rsidR="0075281A" w:rsidRDefault="0075281A" w:rsidP="0075281A">
      <w:pPr>
        <w:pStyle w:val="Dotpoint1"/>
        <w:spacing w:before="80"/>
      </w:pPr>
      <w:r>
        <w:t>Recommendation 2: That the Australian Government set a</w:t>
      </w:r>
      <w:r w:rsidR="004E7D51">
        <w:t xml:space="preserve"> national target of at least 40% </w:t>
      </w:r>
      <w:r>
        <w:t xml:space="preserve">of </w:t>
      </w:r>
      <w:r w:rsidR="004E7D51">
        <w:br/>
      </w:r>
      <w:r>
        <w:t>25 to 34-year-olds having attained a qualification at bachelor level or above by 2020.</w:t>
      </w:r>
    </w:p>
    <w:p w:rsidR="0075281A" w:rsidRDefault="0075281A" w:rsidP="0075281A">
      <w:pPr>
        <w:pStyle w:val="Dotpoint1"/>
        <w:spacing w:before="80"/>
      </w:pPr>
      <w:r>
        <w:t>Recommendation 4: That the Australian Government set a national target that, by 2020, 20</w:t>
      </w:r>
      <w:r w:rsidR="004E7D51">
        <w:t>%</w:t>
      </w:r>
      <w:r w:rsidR="00D23988">
        <w:t xml:space="preserve"> </w:t>
      </w:r>
      <w:r>
        <w:t>of higher education enrolments at undergraduate level are people from low socioeconomic status background.</w:t>
      </w:r>
    </w:p>
    <w:p w:rsidR="0075281A" w:rsidRPr="00E263E3" w:rsidRDefault="0075281A" w:rsidP="00094819">
      <w:pPr>
        <w:pStyle w:val="Text"/>
      </w:pPr>
      <w:r>
        <w:t xml:space="preserve">Australian </w:t>
      </w:r>
      <w:r w:rsidR="004E7D51">
        <w:t>g</w:t>
      </w:r>
      <w:r>
        <w:t>overnments have since set targets at the diploma to bachelor degree levels to drive entry into paraprofessional and professional jobs. In 2008 the Co</w:t>
      </w:r>
      <w:r w:rsidR="004E7D51">
        <w:t>uncil of Australian Governments</w:t>
      </w:r>
      <w:r>
        <w:t xml:space="preserve"> set a target for vocational education and training: by 2020, the number of people holding diploma and advanced diploma qualifications should double (Council of Australian Governments 2008). The Australian Government set targets for higher education: by 2025, the percentage of Australians 25 to 34 years of age with a degree will be 40%, up from 32%; and by 2020</w:t>
      </w:r>
      <w:r w:rsidR="004E7D51">
        <w:t>,</w:t>
      </w:r>
      <w:r>
        <w:t xml:space="preserve"> 20% of students in universities will be from low socioeconomic backgrounds, up from 15% in 2007 (Department of Education, Employment and Workplace Relations 201</w:t>
      </w:r>
      <w:r w:rsidRPr="00E263E3">
        <w:t xml:space="preserve">0). </w:t>
      </w:r>
    </w:p>
    <w:p w:rsidR="0075281A" w:rsidRDefault="0075281A" w:rsidP="00094819">
      <w:pPr>
        <w:pStyle w:val="Text"/>
      </w:pPr>
      <w:r w:rsidRPr="00E263E3">
        <w:t>Policy-makers argue that meeting the VE</w:t>
      </w:r>
      <w:r>
        <w:t>T targets will aid the achievement of the higher education target, holding the view that some people will use VET diplomas as a stepping stone into higher education bachelor degrees, as has been the case in the past.</w:t>
      </w:r>
    </w:p>
    <w:p w:rsidR="0075281A" w:rsidRDefault="0075281A" w:rsidP="00094819">
      <w:pPr>
        <w:pStyle w:val="Heading4"/>
      </w:pPr>
      <w:r>
        <w:t xml:space="preserve">Strategies for strengthening the links between VET and higher education </w:t>
      </w:r>
    </w:p>
    <w:p w:rsidR="0075281A" w:rsidRDefault="0075281A" w:rsidP="00094819">
      <w:pPr>
        <w:pStyle w:val="Textlessbefore"/>
      </w:pPr>
      <w:r>
        <w:t xml:space="preserve">As additional measures to assist the development of a more integrated tertiary education sector, the Bradley Review suggested strengthening the Australian Qualifications Framework (AQF) and establishing a single ministerial council with responsibility for all tertiary education and training. The Australian Qualifications Framework has since been strengthened and, notably, when it was published </w:t>
      </w:r>
      <w:r>
        <w:lastRenderedPageBreak/>
        <w:t xml:space="preserve">(July 2011) the AQF Council referred to it as the </w:t>
      </w:r>
      <w:r w:rsidR="004E7D51">
        <w:t>‘</w:t>
      </w:r>
      <w:r>
        <w:t>Australian Qualifications Framework First Edition</w:t>
      </w:r>
      <w:r w:rsidR="004E7D51">
        <w:t>’</w:t>
      </w:r>
      <w:r>
        <w:t xml:space="preserve"> rather than the fifth edition of the AQF Handbook, which m</w:t>
      </w:r>
      <w:r w:rsidR="004E7D51">
        <w:t xml:space="preserve">ight </w:t>
      </w:r>
      <w:r>
        <w:t xml:space="preserve">have been expected. As aptly explained </w:t>
      </w:r>
      <w:r w:rsidRPr="00CE7C18">
        <w:t>by Smith (2013, p.26):</w:t>
      </w:r>
      <w:r>
        <w:t xml:space="preserve"> </w:t>
      </w:r>
    </w:p>
    <w:p w:rsidR="0075281A" w:rsidRPr="00BE157F" w:rsidRDefault="0075281A" w:rsidP="00094819">
      <w:pPr>
        <w:pStyle w:val="Quote"/>
      </w:pPr>
      <w:r>
        <w:t>T</w:t>
      </w:r>
      <w:r w:rsidRPr="00BE157F">
        <w:t>he naming of the AQF 2011 as a first edition signalled an ontological break from the previous versions of the AQF, as did the visual presentation of the ten-level AQF taxonomy in a circular diagram in which no distinction is made between educational sectors in comparison to the representation of the AQF as three sector specific components as before.</w:t>
      </w:r>
      <w:r>
        <w:t xml:space="preserve"> </w:t>
      </w:r>
      <w:r w:rsidRPr="00BE157F">
        <w:t>In this way the AQF is presented as an integrated qualifications policy, in line with the Bradley Review recommendations for the creation of a ‘broader tertiary education sector’, and an integrated relationship between higher education and vocational education and training.</w:t>
      </w:r>
    </w:p>
    <w:p w:rsidR="0075281A" w:rsidRPr="00E263E3" w:rsidRDefault="0075281A" w:rsidP="00094819">
      <w:pPr>
        <w:pStyle w:val="Text"/>
      </w:pPr>
      <w:r>
        <w:t xml:space="preserve">However, in the new strategic Australian Qualifications Framework, there are still VET-accredited and delivered diplomas and advanced diplomas, and higher education-accredited diplomas and advanced diplomas. The diploma and advanced diploma are crossover or dual-sector qualifications </w:t>
      </w:r>
      <w:r w:rsidR="00535F5A">
        <w:t>that</w:t>
      </w:r>
      <w:r>
        <w:t xml:space="preserve"> sit respectively at level 5 and level 6 of the AQF (Australian Qualifications Framework Council 2013). Both VET providers and universities can offer their diplo</w:t>
      </w:r>
      <w:r w:rsidRPr="00E263E3">
        <w:t>mas as a stepping stone into higher education bachelor degree qualifications.</w:t>
      </w:r>
    </w:p>
    <w:p w:rsidR="0075281A" w:rsidRPr="00E263E3" w:rsidRDefault="0075281A" w:rsidP="00094819">
      <w:pPr>
        <w:pStyle w:val="Text"/>
      </w:pPr>
      <w:r w:rsidRPr="00E263E3">
        <w:t xml:space="preserve">In addition, at AQF level 6 is the associate degree, endorsed by the Ministerial Council on Education, Employment, Training and Youth Affairs (MCEETYA) in 2003 as a new higher education qualification and strategy towards achieving the targets at the bachelor degree level (AQF level 7). Many observers have suggested that the associate degree is in competition with the diplomas and advanced diplomas of both sectors. </w:t>
      </w:r>
      <w:proofErr w:type="spellStart"/>
      <w:r w:rsidRPr="00E263E3">
        <w:t>Karmel</w:t>
      </w:r>
      <w:proofErr w:type="spellEnd"/>
      <w:r w:rsidRPr="00E263E3">
        <w:t xml:space="preserve"> and Lu (2012) have shown that associate degrees are actually the better proposition for students wanting to articulate into a bachelor degree. They are given more credit in a degree program than is the</w:t>
      </w:r>
      <w:r w:rsidR="00535F5A">
        <w:t xml:space="preserve"> case for the</w:t>
      </w:r>
      <w:r w:rsidRPr="00E263E3">
        <w:t xml:space="preserve"> VET advanced diploma, while the advanced diploma is attractive for a student seeking a two-year qualification for immediate entry into the labour market and is a substantially cheaper option than an associate degree.</w:t>
      </w:r>
    </w:p>
    <w:p w:rsidR="0075281A" w:rsidRDefault="0075281A" w:rsidP="00094819">
      <w:pPr>
        <w:pStyle w:val="Text"/>
      </w:pPr>
      <w:r w:rsidRPr="00E263E3">
        <w:t>The overall point is that there are still qualifications at the di</w:t>
      </w:r>
      <w:r>
        <w:t>ploma to bachelor degree levels that are bound by sectoral constraints at the level of governance that requires VET institutions to become registered higher education providers</w:t>
      </w:r>
      <w:r w:rsidR="00535F5A">
        <w:t xml:space="preserve"> in order</w:t>
      </w:r>
      <w:r>
        <w:t xml:space="preserve"> to provide associate and other degrees.</w:t>
      </w:r>
      <w:r w:rsidRPr="008428EB">
        <w:t xml:space="preserve"> </w:t>
      </w:r>
      <w:r>
        <w:t xml:space="preserve">The Bradley Review recommendation to establish a single ministerial council with responsibility for all tertiary education and training has not been implemented. </w:t>
      </w:r>
    </w:p>
    <w:p w:rsidR="0075281A" w:rsidRDefault="0075281A" w:rsidP="00094819">
      <w:pPr>
        <w:pStyle w:val="Heading4"/>
      </w:pPr>
      <w:r>
        <w:t>Funding reform and incentives towards increasing competition</w:t>
      </w:r>
    </w:p>
    <w:p w:rsidR="0075281A" w:rsidRDefault="0075281A" w:rsidP="00094819">
      <w:pPr>
        <w:pStyle w:val="Textlessbefore"/>
      </w:pPr>
      <w:r>
        <w:t xml:space="preserve">The Bradley Review recommended funding reforms in higher education. These included a package of reforms to the student income support system; the introduction of a demand-driven entitlement system for domestic higher education students, in which recognised providers are free to enrol as many eligible students as they wish in eligible higher education courses and receive the corresponding government subsidies for those students; and this demand-driven entitlement system for domestic students ‘apply initially only to public universities’ (Table A providers under the </w:t>
      </w:r>
      <w:r w:rsidRPr="00DD2065">
        <w:rPr>
          <w:i/>
        </w:rPr>
        <w:t>Higher Education Support Act 2003</w:t>
      </w:r>
      <w:r>
        <w:t>), but be extended to other approved providers when new regulatory arrangements are in place.</w:t>
      </w:r>
    </w:p>
    <w:p w:rsidR="0075281A" w:rsidRDefault="0075281A" w:rsidP="00094819">
      <w:pPr>
        <w:pStyle w:val="Text"/>
      </w:pPr>
      <w:r>
        <w:t xml:space="preserve">Reforms to the higher education student income support system had in fact already commenced. In 2005, the Australian Government passed the </w:t>
      </w:r>
      <w:r w:rsidRPr="00DD2065">
        <w:rPr>
          <w:i/>
        </w:rPr>
        <w:t>Higher Education Support Act</w:t>
      </w:r>
      <w:r>
        <w:t xml:space="preserve">, which extended loan support to the non-university higher education sector. The government-sponsored income-contingent loans (FEE-HELP) for students acted as a stimulus for growth in non-university providers by providing a means for their students to defer payment to these providers for full fee-for-service higher education </w:t>
      </w:r>
      <w:r>
        <w:lastRenderedPageBreak/>
        <w:t xml:space="preserve">courses. This initiative led to considerable change in the size and composition of the Australian non-university higher education sector after two decades of relatively little change (Ryan &amp; Associates 2012). From 2005 to 2011, 54 of the total 132 currently registered non-university higher education providers (41%) were approved. The majority of these new entrants to the higher education sector were private entities (78%). The second largest group </w:t>
      </w:r>
      <w:r w:rsidR="00535F5A">
        <w:t>comprised</w:t>
      </w:r>
      <w:r>
        <w:t xml:space="preserve"> government instrumentalities (15%), predominantly government-owned TAFE colleges, especially in Victoria, </w:t>
      </w:r>
      <w:r w:rsidR="00535F5A">
        <w:t>which</w:t>
      </w:r>
      <w:r>
        <w:t xml:space="preserve"> have transitioned to the higher education sector. In the same period, 58 previously approved institutions left the sector, mostly through failing to achieve re-registration or through amalgamation. </w:t>
      </w:r>
    </w:p>
    <w:p w:rsidR="0075281A" w:rsidRDefault="0075281A" w:rsidP="00094819">
      <w:pPr>
        <w:pStyle w:val="Text"/>
      </w:pPr>
      <w:r>
        <w:t>It was not until 2012 that the Australian Government introduced the demand-driven entitlement system for domestic higher education students, recommended by the Bradley Review to promote greater student choice and more institutional flexibility. However, only public universities and a few non-university higher education providers were able to compete for Commonwealth-funded places on the basis of student numbers. The extension of Commonwealth Supported Places (CSPs) to all non-university higher education providers, as recommended by the Bradley Review, had yet to occur at the end of 2013</w:t>
      </w:r>
      <w:r w:rsidR="00535F5A">
        <w:t>,</w:t>
      </w:r>
      <w:r>
        <w:t xml:space="preserve"> when these six case studies were undertaken.</w:t>
      </w:r>
    </w:p>
    <w:p w:rsidR="0075281A" w:rsidRDefault="0075281A" w:rsidP="00094819">
      <w:pPr>
        <w:pStyle w:val="Heading4"/>
      </w:pPr>
      <w:r>
        <w:t xml:space="preserve">New paradigm to assure quality in a demand driven funding regime </w:t>
      </w:r>
    </w:p>
    <w:p w:rsidR="0075281A" w:rsidRDefault="0075281A" w:rsidP="00094819">
      <w:pPr>
        <w:pStyle w:val="Textlessbefore"/>
        <w:ind w:right="-1"/>
      </w:pPr>
      <w:r>
        <w:t xml:space="preserve">The Bradley Review made two notable recommendations regarding higher education regulation. First, the Australian Government should establish by 2010, after consultation with the states and territories, a national regulatory body to be responsible for accrediting and re-accrediting all providers of higher education and accrediting their courses where the provider is not authorised to do so. The body was also tasked with conducting regular quality audits of higher education providers; providing advice on quality, effectiveness and efficiency; and registering and auditing providers for the purposes of the </w:t>
      </w:r>
      <w:r w:rsidRPr="00596FBA">
        <w:rPr>
          <w:i/>
        </w:rPr>
        <w:t>Education Services for Overseas Students (ESOS) Act 2000</w:t>
      </w:r>
      <w:r>
        <w:t>. Second, it was recommended that the Australian Government adopt a framework for higher education accreditation, quality assurance and regulation.</w:t>
      </w:r>
    </w:p>
    <w:p w:rsidR="0075281A" w:rsidRDefault="0075281A" w:rsidP="00094819">
      <w:pPr>
        <w:pStyle w:val="Text"/>
      </w:pPr>
      <w:r>
        <w:t>The Tertiary Education Quality Standards Agency took over as the independent national regulatory authority for higher education from the end of January 2012, and is using new standards and approaches. The agency works alongside the VET national regulator, the Australian Skills Quality Authority, which is also using new standards for registering VET providers and accrediting courses. As mentioned before, an independent national regulatory body responsible for regulating all types of tertiary education has not been formed.</w:t>
      </w:r>
    </w:p>
    <w:p w:rsidR="0075281A" w:rsidRDefault="0075281A" w:rsidP="00094819">
      <w:pPr>
        <w:pStyle w:val="Heading2"/>
      </w:pPr>
      <w:bookmarkStart w:id="98" w:name="_Toc396117505"/>
      <w:bookmarkStart w:id="99" w:name="_Toc419972090"/>
      <w:r>
        <w:t xml:space="preserve">Issues arising for </w:t>
      </w:r>
      <w:r w:rsidRPr="006E2328">
        <w:t>VET providers deliver</w:t>
      </w:r>
      <w:r>
        <w:t>ing degrees i</w:t>
      </w:r>
      <w:r w:rsidRPr="006E2328">
        <w:t>n their own right</w:t>
      </w:r>
      <w:bookmarkEnd w:id="98"/>
      <w:bookmarkEnd w:id="99"/>
      <w:r w:rsidRPr="006E2328">
        <w:t xml:space="preserve"> </w:t>
      </w:r>
    </w:p>
    <w:p w:rsidR="0075281A" w:rsidRDefault="0075281A" w:rsidP="00094819">
      <w:pPr>
        <w:pStyle w:val="Text"/>
      </w:pPr>
      <w:r>
        <w:t>These have been categorised as strategic, capability and operational issues (see Callan &amp; Bowman 2013 for a more detailed review of what follows).</w:t>
      </w:r>
    </w:p>
    <w:p w:rsidR="0075281A" w:rsidRDefault="0075281A" w:rsidP="00535F5A">
      <w:pPr>
        <w:pStyle w:val="Heading3"/>
      </w:pPr>
      <w:bookmarkStart w:id="100" w:name="_Toc396117506"/>
      <w:bookmarkStart w:id="101" w:name="_Toc419972091"/>
      <w:r>
        <w:t>Strategic issues</w:t>
      </w:r>
      <w:bookmarkEnd w:id="100"/>
      <w:bookmarkEnd w:id="101"/>
      <w:r>
        <w:t xml:space="preserve"> </w:t>
      </w:r>
    </w:p>
    <w:p w:rsidR="0075281A" w:rsidRPr="00286B64" w:rsidRDefault="0075281A" w:rsidP="00535F5A">
      <w:pPr>
        <w:pStyle w:val="Textlessbefore"/>
      </w:pPr>
      <w:r>
        <w:t xml:space="preserve">We identified five possible reasons why VET providers have transitioned into higher education in their own right. </w:t>
      </w:r>
    </w:p>
    <w:p w:rsidR="0075281A" w:rsidRDefault="0075281A">
      <w:pPr>
        <w:spacing w:before="0" w:line="240" w:lineRule="auto"/>
        <w:rPr>
          <w:rFonts w:ascii="Tahoma" w:hAnsi="Tahoma" w:cs="Tahoma"/>
          <w:color w:val="000000"/>
          <w:sz w:val="24"/>
        </w:rPr>
      </w:pPr>
      <w:bookmarkStart w:id="102" w:name="_Toc396117507"/>
      <w:r>
        <w:br w:type="page"/>
      </w:r>
    </w:p>
    <w:p w:rsidR="0075281A" w:rsidRDefault="0075281A" w:rsidP="00535F5A">
      <w:pPr>
        <w:pStyle w:val="Heading4"/>
      </w:pPr>
      <w:r>
        <w:lastRenderedPageBreak/>
        <w:t>To maintain or expand provision given greater competition</w:t>
      </w:r>
      <w:bookmarkEnd w:id="102"/>
      <w:r>
        <w:t xml:space="preserve"> </w:t>
      </w:r>
    </w:p>
    <w:p w:rsidR="0075281A" w:rsidRDefault="0075281A" w:rsidP="00094819">
      <w:pPr>
        <w:pStyle w:val="Textlessbefore"/>
      </w:pPr>
      <w:r>
        <w:t>As already explained, competition in the tertiary education sector is growing. The position of VET providers is being challenged from above and also from below. There is evidence that some universities are encroaching from above on the position of VET institutions. Some have extended into VET provision in their own right as registered training organisations (</w:t>
      </w:r>
      <w:proofErr w:type="spellStart"/>
      <w:r>
        <w:t>Wheelahan</w:t>
      </w:r>
      <w:proofErr w:type="spellEnd"/>
      <w:r>
        <w:t xml:space="preserve"> et al. 2012). Others have started to increase delivery of their higher education diplomas and advanced diplomas after decades of </w:t>
      </w:r>
      <w:r w:rsidR="00535F5A">
        <w:t>diminishing</w:t>
      </w:r>
      <w:r>
        <w:t xml:space="preserve"> enrolments in these qualifications (</w:t>
      </w:r>
      <w:proofErr w:type="spellStart"/>
      <w:r>
        <w:t>Moodie</w:t>
      </w:r>
      <w:proofErr w:type="spellEnd"/>
      <w:r>
        <w:t xml:space="preserve"> &amp; </w:t>
      </w:r>
      <w:proofErr w:type="spellStart"/>
      <w:r>
        <w:t>Fredman</w:t>
      </w:r>
      <w:proofErr w:type="spellEnd"/>
      <w:r>
        <w:t xml:space="preserve"> 2013). The latter may be linked to the apparent hollowing-out of labour market opportunities for VET diplomas and advanced diplomas (</w:t>
      </w:r>
      <w:proofErr w:type="spellStart"/>
      <w:r>
        <w:t>Wheelahan</w:t>
      </w:r>
      <w:proofErr w:type="spellEnd"/>
      <w:r>
        <w:t xml:space="preserve"> et al. 2012). This development may be motivating some VET providers into the delivery of higher education associate degrees and for the credit advantages of these degrees into bachelor degrees over VET diplomas. </w:t>
      </w:r>
    </w:p>
    <w:p w:rsidR="0075281A" w:rsidRDefault="0075281A" w:rsidP="00094819">
      <w:pPr>
        <w:pStyle w:val="Text"/>
      </w:pPr>
      <w:r>
        <w:t xml:space="preserve">In addition, the position of many VET </w:t>
      </w:r>
      <w:proofErr w:type="gramStart"/>
      <w:r>
        <w:t>institutes</w:t>
      </w:r>
      <w:r w:rsidR="00535F5A">
        <w:t>,</w:t>
      </w:r>
      <w:proofErr w:type="gramEnd"/>
      <w:r>
        <w:t xml:space="preserve"> and TAFEs in particular</w:t>
      </w:r>
      <w:r w:rsidR="00535F5A">
        <w:t>,</w:t>
      </w:r>
      <w:r>
        <w:t xml:space="preserve"> is being challenged from below by the expansion of VET in Schools, much of which can be offered by schools rather than VET institutes. For example, in Queensland and New South Wales most schools deliver VET in Schools directly as registered training organisations, whereas in Western Australia, VET in Schools is offered mainly by traditional VET providers. Partnerships are also common across jurisdictions where schools work with providers such as TAFE institutes to deliver training programs (Nguyen 2010). </w:t>
      </w:r>
    </w:p>
    <w:p w:rsidR="0075281A" w:rsidRDefault="0075281A" w:rsidP="00535F5A">
      <w:pPr>
        <w:pStyle w:val="Heading4"/>
      </w:pPr>
      <w:bookmarkStart w:id="103" w:name="_Toc396117508"/>
      <w:r>
        <w:t>To build on the special strengths of the institution</w:t>
      </w:r>
      <w:bookmarkEnd w:id="103"/>
      <w:r>
        <w:t xml:space="preserve"> </w:t>
      </w:r>
    </w:p>
    <w:p w:rsidR="0075281A" w:rsidRDefault="0075281A" w:rsidP="00094819">
      <w:pPr>
        <w:pStyle w:val="Textlessbefore"/>
      </w:pPr>
      <w:r>
        <w:t>For some VET providers, moving into higher education is a natural extension of the special strengths of individual institutes (see Canberra Institute of Technology 2008). Higher education programs that combine professionally recognised qualifications with real-work skills provide graduates who are work-ready and in demand by employers. The provision of higher education by these VET providers is a cost-effective means of leveraging off their VET resources (people, equipment, existing pathways) and existing strong industry partnerships to develop niche markets that are aligned with existing strengths and reputations (for example, fashion, forensics, computer gaming,</w:t>
      </w:r>
      <w:r w:rsidRPr="008E2EF4">
        <w:rPr>
          <w:rFonts w:cs="Arial"/>
          <w:bCs/>
          <w:szCs w:val="19"/>
        </w:rPr>
        <w:t xml:space="preserve"> </w:t>
      </w:r>
      <w:r>
        <w:rPr>
          <w:rFonts w:cs="Arial"/>
          <w:bCs/>
          <w:szCs w:val="19"/>
        </w:rPr>
        <w:t>b</w:t>
      </w:r>
      <w:r w:rsidRPr="0001003F">
        <w:rPr>
          <w:rFonts w:cs="Arial"/>
          <w:bCs/>
          <w:szCs w:val="19"/>
        </w:rPr>
        <w:t xml:space="preserve">uilding and </w:t>
      </w:r>
      <w:r>
        <w:rPr>
          <w:rFonts w:cs="Arial"/>
          <w:bCs/>
          <w:szCs w:val="19"/>
        </w:rPr>
        <w:t>c</w:t>
      </w:r>
      <w:r w:rsidRPr="0001003F">
        <w:rPr>
          <w:rFonts w:cs="Arial"/>
          <w:bCs/>
          <w:szCs w:val="19"/>
        </w:rPr>
        <w:t>onstruction</w:t>
      </w:r>
      <w:r>
        <w:t xml:space="preserve">). </w:t>
      </w:r>
    </w:p>
    <w:p w:rsidR="0075281A" w:rsidRDefault="0075281A" w:rsidP="00535F5A">
      <w:pPr>
        <w:pStyle w:val="Heading4"/>
      </w:pPr>
      <w:bookmarkStart w:id="104" w:name="_Toc396117509"/>
      <w:r>
        <w:t>To encourage more people to take up higher education</w:t>
      </w:r>
      <w:bookmarkEnd w:id="104"/>
    </w:p>
    <w:p w:rsidR="0075281A" w:rsidRDefault="0075281A" w:rsidP="00094819">
      <w:pPr>
        <w:pStyle w:val="Textlessbefore"/>
        <w:ind w:right="-143"/>
      </w:pPr>
      <w:r w:rsidRPr="00514172">
        <w:t>Another key motive</w:t>
      </w:r>
      <w:r>
        <w:t xml:space="preserve"> for VET providers transitioning into higher education in their own right is to increase the numbers of higher-level VET graduates who take up higher education. They point to their student-focused and applied pedagogies, which suit these learners, and to their considerable </w:t>
      </w:r>
      <w:r w:rsidR="00535F5A">
        <w:t>reputation for</w:t>
      </w:r>
      <w:r>
        <w:t xml:space="preserve"> access and equity. These organisations argue that they can contribute to meeting the higher education access and equity target, even though the Australian Government currently has only charged universities with this task. However, the current reality is that few students from </w:t>
      </w:r>
      <w:r w:rsidRPr="00CE7C18">
        <w:t>disadvantaged backgrounds are enrolled in higher</w:t>
      </w:r>
      <w:r w:rsidR="00535F5A">
        <w:t>-</w:t>
      </w:r>
      <w:r w:rsidRPr="00CE7C18">
        <w:t>level VET (</w:t>
      </w:r>
      <w:proofErr w:type="spellStart"/>
      <w:r w:rsidRPr="00CE7C18">
        <w:t>Wheelahan</w:t>
      </w:r>
      <w:proofErr w:type="spellEnd"/>
      <w:r w:rsidRPr="00CE7C18">
        <w:t xml:space="preserve"> 2009; see also Gale et al.</w:t>
      </w:r>
      <w:r>
        <w:t xml:space="preserve"> 2013). </w:t>
      </w:r>
    </w:p>
    <w:p w:rsidR="0075281A" w:rsidRDefault="0075281A" w:rsidP="00535F5A">
      <w:pPr>
        <w:pStyle w:val="Heading4"/>
      </w:pPr>
      <w:bookmarkStart w:id="105" w:name="_Toc396117510"/>
      <w:r>
        <w:t>To take advantage of government funding</w:t>
      </w:r>
      <w:bookmarkEnd w:id="105"/>
      <w:r>
        <w:t xml:space="preserve"> </w:t>
      </w:r>
    </w:p>
    <w:p w:rsidR="0075281A" w:rsidRDefault="0075281A" w:rsidP="00094819">
      <w:pPr>
        <w:pStyle w:val="Textlessbefore"/>
      </w:pPr>
      <w:r>
        <w:t xml:space="preserve">Some reports suggest that VET providers are moving into higher education in their own right to take advantage of government funding opportunities. Certainly, non-university providers have benefited considerably since the introduction in 2005 of Commonwealth Government-sponsored income-contingent loans (FEE-HELP) for all students in higher education, where the provider is registered for FEE-HELP, as outlined earlier. However, higher education students in VET organisations pay more for their courses as generally they are full-fee courses. </w:t>
      </w:r>
      <w:r w:rsidRPr="00286B64">
        <w:t>Under the Australian Government</w:t>
      </w:r>
      <w:r w:rsidRPr="00835DD3">
        <w:t>’s</w:t>
      </w:r>
      <w:r w:rsidRPr="00286B64">
        <w:t xml:space="preserve"> </w:t>
      </w:r>
      <w:r w:rsidRPr="00472F82">
        <w:rPr>
          <w:i/>
        </w:rPr>
        <w:t>Higher Education Support Act 2003</w:t>
      </w:r>
      <w:r w:rsidRPr="00286B64">
        <w:t xml:space="preserve">, only Australian public universities have access to </w:t>
      </w:r>
      <w:r>
        <w:t xml:space="preserve">Commonwealth Supported Places </w:t>
      </w:r>
      <w:r w:rsidRPr="00286B64">
        <w:t>and in some circumstances</w:t>
      </w:r>
      <w:r>
        <w:t>,</w:t>
      </w:r>
      <w:r w:rsidRPr="00286B64">
        <w:t xml:space="preserve"> some Australian private universities. Other private providers (OPPs), </w:t>
      </w:r>
      <w:r>
        <w:t>which include</w:t>
      </w:r>
      <w:r w:rsidRPr="00286B64">
        <w:t xml:space="preserve"> both public and private VET providers of </w:t>
      </w:r>
      <w:r>
        <w:t>higher education</w:t>
      </w:r>
      <w:r w:rsidRPr="00286B64">
        <w:t xml:space="preserve">, do not </w:t>
      </w:r>
      <w:r w:rsidRPr="00286B64">
        <w:lastRenderedPageBreak/>
        <w:t xml:space="preserve">have access to </w:t>
      </w:r>
      <w:r>
        <w:t>Commonwealth Supported Places</w:t>
      </w:r>
      <w:r w:rsidRPr="00286B64">
        <w:t>. Exceptions can be where the course of an OPP is linked directly to current national priorities</w:t>
      </w:r>
      <w:r w:rsidR="00535F5A">
        <w:t>,</w:t>
      </w:r>
      <w:r w:rsidRPr="00286B64">
        <w:t xml:space="preserve"> or where the institution has research grants linked to national priorities. Two cases where this has occurred are Tabor Adelaide for some of its bachelors in education; and Holmesglen Institute for some of its bachelors in education and nursing.</w:t>
      </w:r>
      <w:r>
        <w:t xml:space="preserve"> </w:t>
      </w:r>
    </w:p>
    <w:p w:rsidR="0075281A" w:rsidRDefault="0075281A" w:rsidP="00535F5A">
      <w:pPr>
        <w:pStyle w:val="Heading4"/>
      </w:pPr>
      <w:bookmarkStart w:id="106" w:name="_Toc396117511"/>
      <w:r>
        <w:t>To achieve better public profile and status</w:t>
      </w:r>
      <w:bookmarkEnd w:id="106"/>
      <w:r>
        <w:t xml:space="preserve"> </w:t>
      </w:r>
    </w:p>
    <w:p w:rsidR="0075281A" w:rsidRDefault="0075281A" w:rsidP="00094819">
      <w:pPr>
        <w:pStyle w:val="Textlessbefore"/>
      </w:pPr>
      <w:r>
        <w:t>Any educa</w:t>
      </w:r>
      <w:r w:rsidR="00535F5A">
        <w:t xml:space="preserve">tional institution is focused </w:t>
      </w:r>
      <w:r>
        <w:t>on its points of difference or competitive advantage. They can achieve this in many ways, including</w:t>
      </w:r>
      <w:r w:rsidR="00535F5A">
        <w:t xml:space="preserve"> by</w:t>
      </w:r>
      <w:r>
        <w:t xml:space="preserve"> the development of specific strategies associated with their branding, marketing and related promotions </w:t>
      </w:r>
      <w:r w:rsidR="00535F5A">
        <w:t>that</w:t>
      </w:r>
      <w:r>
        <w:t xml:space="preserve"> highlight quality, flexibility, status and other factors. Marron (2013) mentions the issue of status in his reflections on the stalled merger between the University of Canberra and the Canberra Institute of Technology. While not a major motivation for the proposed merger in that instance, it is possible that some TAFE institutions and private VET providers move into the delivery of associate and degree qualifications due to status factors and to develop further distinctiveness. Indeed, the implicit assumption itself needs to be explored: that being associated with higher-level qualifications brings more status and public recognition to a VET organisation and its employees.</w:t>
      </w:r>
    </w:p>
    <w:p w:rsidR="0075281A" w:rsidRDefault="0075281A" w:rsidP="00535F5A">
      <w:pPr>
        <w:pStyle w:val="Heading3"/>
      </w:pPr>
      <w:bookmarkStart w:id="107" w:name="_Toc396117512"/>
      <w:bookmarkStart w:id="108" w:name="_Toc419972092"/>
      <w:r>
        <w:t>Capability issues</w:t>
      </w:r>
      <w:bookmarkEnd w:id="107"/>
      <w:bookmarkEnd w:id="108"/>
    </w:p>
    <w:p w:rsidR="0075281A" w:rsidRDefault="0075281A" w:rsidP="00535F5A">
      <w:pPr>
        <w:pStyle w:val="Heading4"/>
        <w:spacing w:before="120"/>
      </w:pPr>
      <w:bookmarkStart w:id="109" w:name="_Toc396117513"/>
      <w:r>
        <w:t>Teacher capability</w:t>
      </w:r>
      <w:bookmarkEnd w:id="109"/>
      <w:r>
        <w:t xml:space="preserve"> </w:t>
      </w:r>
    </w:p>
    <w:p w:rsidR="0075281A" w:rsidRDefault="0075281A" w:rsidP="00094819">
      <w:pPr>
        <w:pStyle w:val="Textlessbefore"/>
      </w:pPr>
      <w:r>
        <w:t xml:space="preserve">Higher education teaching </w:t>
      </w:r>
      <w:proofErr w:type="gramStart"/>
      <w:r>
        <w:t>staff have</w:t>
      </w:r>
      <w:proofErr w:type="gramEnd"/>
      <w:r>
        <w:t xml:space="preserve"> different criteria from those required by VET sector staff. To teach in higher education, staff must have a degree one above the level being taught and keep abreast of scholarly activity in their discipline. In VET, teaching staff are required to have a Certificate IV in Teaching and Assessment as a minimum and to be abreast of trends in workplace practices in </w:t>
      </w:r>
      <w:r w:rsidR="00535F5A">
        <w:t xml:space="preserve">the </w:t>
      </w:r>
      <w:r>
        <w:t xml:space="preserve">relevant industries. These different criteria are related to differences in pedagogy. The pedagogy of VET training is more focused on the development of practical skills, while the focus for higher education is more on the development of critical thinking, independent study and skills in critical analysis (Hammer &amp; Green 2011; Gunn, Hearne &amp; </w:t>
      </w:r>
      <w:proofErr w:type="spellStart"/>
      <w:r>
        <w:t>Sibthorpe</w:t>
      </w:r>
      <w:proofErr w:type="spellEnd"/>
      <w:r>
        <w:t xml:space="preserve"> 2011). Also</w:t>
      </w:r>
      <w:r w:rsidR="00535F5A">
        <w:t>,</w:t>
      </w:r>
      <w:r>
        <w:t xml:space="preserve"> VET organisations are accustomed to competency-based non-graded assessment, while higher education is knowledge-focused and assessments are graded. These and related issues have led to concerns over whether VET staff can deliver higher education successfully. </w:t>
      </w:r>
    </w:p>
    <w:p w:rsidR="0075281A" w:rsidRDefault="0075281A" w:rsidP="00535F5A">
      <w:pPr>
        <w:pStyle w:val="Heading4"/>
      </w:pPr>
      <w:bookmarkStart w:id="110" w:name="_Toc396117514"/>
      <w:r>
        <w:t>Student capability</w:t>
      </w:r>
      <w:bookmarkEnd w:id="110"/>
      <w:r>
        <w:t xml:space="preserve"> </w:t>
      </w:r>
    </w:p>
    <w:p w:rsidR="0075281A" w:rsidRDefault="0075281A" w:rsidP="00094819">
      <w:pPr>
        <w:pStyle w:val="Textlessbefore"/>
      </w:pPr>
      <w:r>
        <w:t xml:space="preserve">The differences between VET and higher education in teaching and learning approaches and assessment similarly need to be taken into account from the student perspective (Gunn, Hearne &amp; </w:t>
      </w:r>
      <w:proofErr w:type="spellStart"/>
      <w:r>
        <w:t>Sibthorpe</w:t>
      </w:r>
      <w:proofErr w:type="spellEnd"/>
      <w:r>
        <w:t xml:space="preserve"> 2011). In White’s (2014) NCVER report, information literacy was a frequently cited reason for attrition from university among VET students. VET students transitioning to higher education identified the challenges associated with understanding assessment, bringing information together to prepare the assessment assignment, and adhering to the writing style and referencing required. Students reported higher expectations in the university sector about these issues. </w:t>
      </w:r>
    </w:p>
    <w:p w:rsidR="0075281A" w:rsidRDefault="0075281A" w:rsidP="00094819">
      <w:pPr>
        <w:pStyle w:val="Text"/>
      </w:pPr>
      <w:r>
        <w:t>Significantly, in analyses undertaken in their case studies of successful credit transfer and cross-institutional partnerships, Phillips KPA (2006) found that institutions with more effective credit transfer arrangements had specific strategies in place to ensure that students were adequately supported during their transition from VET</w:t>
      </w:r>
      <w:r w:rsidR="00535F5A">
        <w:t>-</w:t>
      </w:r>
      <w:r>
        <w:t>to</w:t>
      </w:r>
      <w:r w:rsidR="00535F5A">
        <w:t>-</w:t>
      </w:r>
      <w:r>
        <w:t>higher education studies.</w:t>
      </w:r>
    </w:p>
    <w:p w:rsidR="00535F5A" w:rsidRDefault="00535F5A">
      <w:pPr>
        <w:spacing w:before="0" w:line="240" w:lineRule="auto"/>
        <w:rPr>
          <w:rFonts w:ascii="Arial" w:hAnsi="Arial" w:cs="Tahoma"/>
          <w:color w:val="000000"/>
          <w:sz w:val="24"/>
        </w:rPr>
      </w:pPr>
      <w:bookmarkStart w:id="111" w:name="_Toc396117515"/>
      <w:bookmarkStart w:id="112" w:name="_Toc419972093"/>
      <w:r>
        <w:br w:type="page"/>
      </w:r>
    </w:p>
    <w:p w:rsidR="0075281A" w:rsidRDefault="0075281A" w:rsidP="00535F5A">
      <w:pPr>
        <w:pStyle w:val="Heading3"/>
      </w:pPr>
      <w:r>
        <w:lastRenderedPageBreak/>
        <w:t>Operational issues</w:t>
      </w:r>
      <w:bookmarkEnd w:id="111"/>
      <w:bookmarkEnd w:id="112"/>
      <w:r>
        <w:t xml:space="preserve"> </w:t>
      </w:r>
    </w:p>
    <w:p w:rsidR="0075281A" w:rsidRDefault="0075281A" w:rsidP="00535F5A">
      <w:pPr>
        <w:pStyle w:val="Heading4"/>
        <w:spacing w:before="120"/>
      </w:pPr>
      <w:bookmarkStart w:id="113" w:name="_Toc396117516"/>
      <w:r>
        <w:t>Regulatory processes and arrangements</w:t>
      </w:r>
      <w:bookmarkEnd w:id="113"/>
      <w:r>
        <w:t xml:space="preserve"> </w:t>
      </w:r>
    </w:p>
    <w:p w:rsidR="0075281A" w:rsidRDefault="0075281A" w:rsidP="00094819">
      <w:pPr>
        <w:pStyle w:val="Textlessbefore"/>
      </w:pPr>
      <w:r>
        <w:t>VET providers must be a registered training organisation (RTO) to compete for public and mostly state funds for VET provision. Also VET providers who operate in the higher education sector in their own right must be registered higher education providers (HEP) if they want access to FEE-HELP for their students and have their higher education courses accredited by the higher education regulatory agency. In recent times, changes have occurred</w:t>
      </w:r>
      <w:r w:rsidR="00427DB6">
        <w:t>,</w:t>
      </w:r>
      <w:r>
        <w:t xml:space="preserve"> from a state-based to a national approach</w:t>
      </w:r>
      <w:r w:rsidR="00427DB6">
        <w:t>,</w:t>
      </w:r>
      <w:r>
        <w:t xml:space="preserve"> in both VET and higher education regulatory arrangements. In </w:t>
      </w:r>
      <w:r w:rsidR="00427DB6">
        <w:t>vocational education</w:t>
      </w:r>
      <w:r>
        <w:t xml:space="preserve"> this occurred in 2011 with the creation of the Australian Skills Quality Authority, which is using new standards for registering VET providers and accrediting courses. In higher education, as mentioned earlier, the Tertiary Education Quality Standards Agency took over as the independent national regulatory authority from the end of January 2012, and also is using new standards and approaches. </w:t>
      </w:r>
    </w:p>
    <w:p w:rsidR="0075281A" w:rsidRDefault="0075281A" w:rsidP="00094819">
      <w:pPr>
        <w:pStyle w:val="Text"/>
      </w:pPr>
      <w:r>
        <w:t>The burden associated with the demands of responding to two substantially different but overlapping regulatory systems for those providers that operate in both the VET and higher education sectors is now being recognised. For instance, TEQSA and ASQA signed a memorandum of understanding</w:t>
      </w:r>
      <w:r w:rsidR="00427DB6">
        <w:t xml:space="preserve"> (MOU)</w:t>
      </w:r>
      <w:r>
        <w:t xml:space="preserve"> in December 2011 with the goal of establishing a streamlined and coordinated whole-of-provider approach to the regulation of multi-sector providers. However, Dow and Braithwaite (2013) note that the MOU appears to have had little practical impact for these providers. Further, they conclude that higher education regulation as performed by the Tertiary Education Quality Standards Agency during its early existence has incurred unnecessarily high negative impacts, especially for small-scale higher education providers. </w:t>
      </w:r>
    </w:p>
    <w:p w:rsidR="0075281A" w:rsidRDefault="0075281A" w:rsidP="00427DB6">
      <w:pPr>
        <w:pStyle w:val="Heading4"/>
      </w:pPr>
      <w:bookmarkStart w:id="114" w:name="_Toc396117517"/>
      <w:r>
        <w:t>Administrative arrangements</w:t>
      </w:r>
      <w:bookmarkEnd w:id="114"/>
      <w:r>
        <w:t xml:space="preserve"> </w:t>
      </w:r>
    </w:p>
    <w:p w:rsidR="0075281A" w:rsidRDefault="0075281A" w:rsidP="00094819">
      <w:pPr>
        <w:pStyle w:val="Textlessbefore"/>
      </w:pPr>
      <w:r>
        <w:t>There are numerous administrative issues that need to be considered in offering VET as opposed to higher education qualifications (Phillips KPA 2006). These include the different practices associated with timetabling, reporting requirements, length and structures of study periods and study modules, course approval processes, student categories, methods of calculating student load, and the timing of assessment and reporting. In one analysis (University of Ballarat</w:t>
      </w:r>
      <w:r w:rsidRPr="00B827FA">
        <w:rPr>
          <w:szCs w:val="19"/>
        </w:rPr>
        <w:t xml:space="preserve"> </w:t>
      </w:r>
      <w:r>
        <w:rPr>
          <w:szCs w:val="19"/>
        </w:rPr>
        <w:t>&amp;</w:t>
      </w:r>
      <w:r w:rsidRPr="00320907">
        <w:rPr>
          <w:szCs w:val="19"/>
        </w:rPr>
        <w:t xml:space="preserve"> Swinburne University of Technology</w:t>
      </w:r>
      <w:r>
        <w:t xml:space="preserve"> 2010), a major barrier noted was the language and terminology used by VET and higher education teachers to describe themselves and their programs. Importantly, these differences could be a key source of misunderstanding with regulators, especially when they are not familiar with the different environments that influence how a VET organisation is structured and operates.</w:t>
      </w:r>
    </w:p>
    <w:p w:rsidR="0075281A" w:rsidRDefault="0075281A" w:rsidP="00427DB6">
      <w:pPr>
        <w:pStyle w:val="Heading4"/>
      </w:pPr>
      <w:bookmarkStart w:id="115" w:name="_Toc396117518"/>
      <w:r>
        <w:t>Industrial issues</w:t>
      </w:r>
      <w:bookmarkEnd w:id="115"/>
      <w:r>
        <w:t xml:space="preserve"> </w:t>
      </w:r>
    </w:p>
    <w:p w:rsidR="0075281A" w:rsidRDefault="0075281A" w:rsidP="00094819">
      <w:pPr>
        <w:pStyle w:val="Textlessbefore"/>
      </w:pPr>
      <w:r>
        <w:t xml:space="preserve">There are different industrial relations agreements in place in universities, TAFE institutes and private training organisations, which can influence their ability to secure appropriate teaching staff. Oliver (2013) notes that the university and TAFE sectors do share many similarities: both are relatively highly unionised, with growing levels of </w:t>
      </w:r>
      <w:proofErr w:type="spellStart"/>
      <w:r w:rsidRPr="000C5D91">
        <w:t>casualisation</w:t>
      </w:r>
      <w:proofErr w:type="spellEnd"/>
      <w:r>
        <w:t xml:space="preserve"> of staff, and well-developed workforce structures and practices embedded into various awards and enterprise agreements. However, the flexibility that universities currently have to employ teaching-focused academics is a potential source of competitive advantage over TAFE institutes in attracting degree-level students on a cost basis. </w:t>
      </w:r>
    </w:p>
    <w:p w:rsidR="0075281A" w:rsidRDefault="0075281A" w:rsidP="00094819">
      <w:pPr>
        <w:pStyle w:val="Text"/>
      </w:pPr>
      <w:r>
        <w:t xml:space="preserve">Oliver also notes that private training organisations are advantaged in having low levels of unionisation, less regulation and more flexibility in how they can employ their staff to take up new opportunities in a changing training market. On this issue, Simons (2013) suggests that, rather than compete, the preferred strategy is a model of workforce development that improves the capabilities </w:t>
      </w:r>
      <w:r>
        <w:lastRenderedPageBreak/>
        <w:t>of the teaching workforces in both the VET and higher education sectors to achieve a more effective and high-performing tertiary sector.</w:t>
      </w:r>
    </w:p>
    <w:p w:rsidR="0075281A" w:rsidRDefault="0075281A" w:rsidP="00427DB6">
      <w:pPr>
        <w:pStyle w:val="Heading4"/>
      </w:pPr>
      <w:bookmarkStart w:id="116" w:name="_Toc396117519"/>
      <w:r>
        <w:t>Costs of delivery</w:t>
      </w:r>
      <w:bookmarkEnd w:id="116"/>
    </w:p>
    <w:p w:rsidR="0075281A" w:rsidRDefault="0075281A" w:rsidP="00094819">
      <w:pPr>
        <w:pStyle w:val="Textlessbefore"/>
      </w:pPr>
      <w:proofErr w:type="spellStart"/>
      <w:r>
        <w:t>Wheelahan</w:t>
      </w:r>
      <w:proofErr w:type="spellEnd"/>
      <w:r>
        <w:t xml:space="preserve"> et al. (2012) provide an interesting examination of the 90 institutions delivering various combinations of VET and higher education qualifications. They conclude that it is difficult to understand how institutions can increase the richness of their teaching and learning in a small and minority sector without spending a very large amount of money. The key challenge is to build economies of scale to ensure that provision is large enough to be </w:t>
      </w:r>
      <w:r w:rsidRPr="00C54652">
        <w:t>profitable, but</w:t>
      </w:r>
      <w:r>
        <w:t xml:space="preserve"> this strategy takes time and good execution. </w:t>
      </w:r>
    </w:p>
    <w:p w:rsidR="0075281A" w:rsidRDefault="0075281A" w:rsidP="00094819">
      <w:pPr>
        <w:pStyle w:val="Text"/>
        <w:ind w:right="-143"/>
      </w:pPr>
      <w:r>
        <w:t xml:space="preserve">Moreover, as Brown (2013) warns, a fully market-driven model may further reduce the ability of current VET providers to deliver a full range of education services. She points to the high costs of delivering specialty programs. In addition, the unrestrained entry of new players into the tertiary sector might further fragment a system already under pressure, whereas restricting the selection of new entrants to highly regulated and well-managed operators might enhance the system in significant ways. </w:t>
      </w:r>
    </w:p>
    <w:p w:rsidR="0075281A" w:rsidRDefault="0075281A" w:rsidP="00094819">
      <w:pPr>
        <w:pStyle w:val="Heading2"/>
      </w:pPr>
      <w:bookmarkStart w:id="117" w:name="_Toc396117520"/>
      <w:bookmarkStart w:id="118" w:name="_Toc419972094"/>
      <w:r>
        <w:t>Summary</w:t>
      </w:r>
      <w:bookmarkEnd w:id="117"/>
      <w:bookmarkEnd w:id="118"/>
      <w:r>
        <w:t xml:space="preserve"> </w:t>
      </w:r>
    </w:p>
    <w:p w:rsidR="0075281A" w:rsidRDefault="0075281A" w:rsidP="00094819">
      <w:pPr>
        <w:pStyle w:val="Text"/>
        <w:ind w:right="141"/>
      </w:pPr>
      <w:r>
        <w:t>The transition by VET providers to the delivery of higher education associate and bachelor degrees raises a number of strategic and operational issues, as well as questions relating to their capability to deliver these higher education qualifications</w:t>
      </w:r>
      <w:r w:rsidRPr="00FF3E87">
        <w:t xml:space="preserve"> </w:t>
      </w:r>
      <w:r>
        <w:t>successfully. The case studies that follow allowed a more detailed investigation of the role of</w:t>
      </w:r>
      <w:r w:rsidR="00427DB6">
        <w:t xml:space="preserve"> the</w:t>
      </w:r>
      <w:r>
        <w:t xml:space="preserve"> three broad sets of factors — strategic, support and operational — and in doing so the project aims to fill gaps in the existing research base. Furthermore, as practical examples of how institutions are making the transition, the cases allow the identification of best practices. </w:t>
      </w:r>
    </w:p>
    <w:p w:rsidR="0075281A" w:rsidRDefault="0075281A">
      <w:pPr>
        <w:spacing w:before="0" w:line="240" w:lineRule="auto"/>
      </w:pPr>
      <w:r>
        <w:br w:type="page"/>
      </w:r>
    </w:p>
    <w:p w:rsidR="0075281A" w:rsidRDefault="00A503CC" w:rsidP="00A503CC">
      <w:pPr>
        <w:pStyle w:val="Heading1"/>
        <w:tabs>
          <w:tab w:val="left" w:pos="709"/>
        </w:tabs>
      </w:pPr>
      <w:bookmarkStart w:id="119" w:name="_Toc396117521"/>
      <w:bookmarkStart w:id="120" w:name="_Toc419972095"/>
      <w:r>
        <w:rPr>
          <w:noProof/>
          <w:lang w:eastAsia="en-AU"/>
        </w:rPr>
        <w:lastRenderedPageBreak/>
        <w:drawing>
          <wp:anchor distT="0" distB="0" distL="114300" distR="114300" simplePos="0" relativeHeight="252000256" behindDoc="0" locked="0" layoutInCell="1" allowOverlap="1" wp14:anchorId="102B82C7" wp14:editId="7044C0D1">
            <wp:simplePos x="0" y="0"/>
            <wp:positionH relativeFrom="column">
              <wp:posOffset>-3175</wp:posOffset>
            </wp:positionH>
            <wp:positionV relativeFrom="paragraph">
              <wp:posOffset>-49901</wp:posOffset>
            </wp:positionV>
            <wp:extent cx="414020" cy="414020"/>
            <wp:effectExtent l="0" t="0" r="5080" b="5080"/>
            <wp:wrapNone/>
            <wp:docPr id="62" name="Picture 62" descr="P:\PublicationComponents\Icons\TargetWithArrow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TargetWithArrow_LightBlu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75281A" w:rsidRPr="0063681B">
        <w:t>Findings from the case studies</w:t>
      </w:r>
      <w:bookmarkEnd w:id="119"/>
      <w:bookmarkEnd w:id="120"/>
    </w:p>
    <w:p w:rsidR="0075281A" w:rsidRDefault="0075281A" w:rsidP="00094819">
      <w:pPr>
        <w:pStyle w:val="Heading2"/>
      </w:pPr>
      <w:bookmarkStart w:id="121" w:name="_Toc396117522"/>
      <w:bookmarkStart w:id="122" w:name="_Toc419972096"/>
      <w:r>
        <w:t>Strategic drivers for VET providers</w:t>
      </w:r>
      <w:bookmarkEnd w:id="121"/>
      <w:bookmarkEnd w:id="122"/>
      <w:r>
        <w:t xml:space="preserve"> </w:t>
      </w:r>
    </w:p>
    <w:p w:rsidR="0075281A" w:rsidRDefault="0075281A" w:rsidP="00094819">
      <w:pPr>
        <w:pStyle w:val="Text"/>
      </w:pPr>
      <w:r>
        <w:t>Research question 1 was: Why are VET providers moving to deliver associate and bachelor degrees in their own right when traditionally these qualifications are higher education sector qualifications? The case studies provide a mix of reasons. We also examine the current issues impacting upon their continued positioning as higher education providers in their own right.</w:t>
      </w:r>
    </w:p>
    <w:p w:rsidR="0075281A" w:rsidRDefault="0075281A" w:rsidP="00094819">
      <w:pPr>
        <w:pStyle w:val="Heading3"/>
      </w:pPr>
      <w:bookmarkStart w:id="123" w:name="_Toc396117523"/>
      <w:r>
        <w:t>Canberra Institute of Technology</w:t>
      </w:r>
      <w:bookmarkEnd w:id="123"/>
      <w:r>
        <w:t xml:space="preserve"> </w:t>
      </w:r>
    </w:p>
    <w:p w:rsidR="0075281A" w:rsidRDefault="0075281A" w:rsidP="00094819">
      <w:pPr>
        <w:pStyle w:val="Textlessbefore"/>
      </w:pPr>
      <w:r>
        <w:t xml:space="preserve">Strategically, this institution has positioned itself as the premier provider of vocational education in the ACT. The Canberra Institute of Technology (CIT) commenced offering higher education qualifications in its own right between 1998 and 1999. </w:t>
      </w:r>
      <w:r w:rsidRPr="00286B64">
        <w:t>The focus then and</w:t>
      </w:r>
      <w:r>
        <w:t xml:space="preserve"> now has been</w:t>
      </w:r>
      <w:r w:rsidRPr="00286B64">
        <w:t xml:space="preserve"> on niche markets aligned to core capabilities and where there are no dominating competing institutions. Linked</w:t>
      </w:r>
      <w:r>
        <w:t xml:space="preserve"> to this positioning is that CIT builds upon its ability to develop applied programs and</w:t>
      </w:r>
      <w:r w:rsidR="00344228">
        <w:t xml:space="preserve"> on</w:t>
      </w:r>
      <w:r>
        <w:t xml:space="preserve"> its existing industry partnerships. It offers practical industry-relevant higher education qualifications, where more professionally qualified staff </w:t>
      </w:r>
      <w:proofErr w:type="gramStart"/>
      <w:r>
        <w:t>are</w:t>
      </w:r>
      <w:proofErr w:type="gramEnd"/>
      <w:r>
        <w:t xml:space="preserve"> required to develop the capacity of the industry. CIT’s higher education programs are designed to offer field-based degrees that involve a strong exposure to industry practitioners as teachers alongside CIT staff. In addition, it is believed by senior management that CIT’s positioning in degree programs, and at the prestige end of the VET market, has provided ripple effects for other qualifications. For example, higher education degrees have attracted more master’s</w:t>
      </w:r>
      <w:r w:rsidR="00344228">
        <w:t>-</w:t>
      </w:r>
      <w:r>
        <w:t xml:space="preserve"> and PhD-qualified staff as teachers to CIT, and raised the institution’s profile in relation to scholarship and research. </w:t>
      </w:r>
    </w:p>
    <w:p w:rsidR="0075281A" w:rsidRPr="00E263E3" w:rsidRDefault="0075281A" w:rsidP="00094819">
      <w:pPr>
        <w:pStyle w:val="Text"/>
        <w:ind w:right="-143"/>
      </w:pPr>
      <w:r>
        <w:t>There has been strong support from CIT senior management for this approach: they see little value in replicating degrees offered by local universities. In addition, at the time of seeking approval for their degree qualifications, the then higher education accreditation agency for the CIT, the ACT Registration Council, only permitted the institute to provide higher education qualifications in areas not already dominated by competing institutions, especially ACT-based universities. Photography was the initial bachelor degree offered by CIT, foll</w:t>
      </w:r>
      <w:r w:rsidRPr="00E263E3">
        <w:t>owed by forensic science, games and virtual worlds</w:t>
      </w:r>
      <w:r w:rsidR="00344228">
        <w:t>,</w:t>
      </w:r>
      <w:r w:rsidRPr="00E263E3">
        <w:t xml:space="preserve"> and fashion. </w:t>
      </w:r>
    </w:p>
    <w:p w:rsidR="0075281A" w:rsidRDefault="0075281A" w:rsidP="00094819">
      <w:pPr>
        <w:pStyle w:val="Text"/>
      </w:pPr>
      <w:r w:rsidRPr="00E263E3">
        <w:t>VET advanced diploma qualifications have rema</w:t>
      </w:r>
      <w:r>
        <w:t>ined a major focus of CIT’s strategy, to keep costs to the students as low as possible. Fees have been set to achieve cost recovery. The degrees have been structured such that advanced diploma qualifications are nested in the first two years of most degree qualifications. For example, until recently in forensic science (crime scene examination), bachelor students initially enrolled in the advanced diploma were paying VET fees. They moved in their final year to the bachelor degree, which was subject to higher tuition fees</w:t>
      </w:r>
      <w:r w:rsidR="00344228">
        <w:t>,</w:t>
      </w:r>
      <w:r>
        <w:t xml:space="preserve"> outside the VET fee schedule, but for which FEE-HELP was available for the final year in the degree. The nested strategy has worked well, enabling students to access lower fee structures. This design also means that students for personal (for example, fee costs) or employment reasons (for example, offered a full</w:t>
      </w:r>
      <w:r w:rsidR="00344228">
        <w:t>-</w:t>
      </w:r>
      <w:r>
        <w:t xml:space="preserve">time job in their chosen industry) can choose to exit a degree early with an advanced diploma qualification. </w:t>
      </w:r>
    </w:p>
    <w:p w:rsidR="0075281A" w:rsidRDefault="0075281A" w:rsidP="00094819">
      <w:pPr>
        <w:pStyle w:val="Text"/>
      </w:pPr>
      <w:r>
        <w:t>Notwithstanding, Canberra Institute of Technology is currently reducing its level of engagement in the higher education sector in its own right. CIT is seeking re-accreditation</w:t>
      </w:r>
      <w:r w:rsidR="00344228">
        <w:t>,</w:t>
      </w:r>
      <w:r>
        <w:t xml:space="preserve"> post 2013</w:t>
      </w:r>
      <w:r w:rsidR="00344228">
        <w:t>,</w:t>
      </w:r>
      <w:r>
        <w:t xml:space="preserve"> for only two of its degree programs, in forensic science and games and virtual worlds. As to be detailed later under operational issues, the costs of accreditation, the financial viability of running small classes and articulation issues feature in the decisions by CIT to discontinue delivery in its own right of some of its higher education programs.</w:t>
      </w:r>
    </w:p>
    <w:p w:rsidR="0075281A" w:rsidRDefault="0075281A" w:rsidP="00094819">
      <w:pPr>
        <w:pStyle w:val="Heading3"/>
      </w:pPr>
      <w:bookmarkStart w:id="124" w:name="_Toc396117524"/>
      <w:r>
        <w:lastRenderedPageBreak/>
        <w:t>TAFE SA</w:t>
      </w:r>
      <w:bookmarkEnd w:id="124"/>
    </w:p>
    <w:p w:rsidR="0075281A" w:rsidRDefault="0075281A" w:rsidP="00094819">
      <w:pPr>
        <w:pStyle w:val="Textlessbefore"/>
      </w:pPr>
      <w:r>
        <w:t xml:space="preserve">TAFE SA is the premier provider of VET in its home jurisdiction, South Australia. It has a long history of higher education provision in its own right, in small amounts. TAFE SA offers higher education qualifications in highly targeted and niche markets in instances where the organisation has expertise, existing infrastructure and industry support for more applied higher education qualifications. The move by TAFE SA to deliver higher education qualifications initially emerged in relation to performing arts, where an applied bachelor degree met industry needs. There was no competitor delivering this qualification in South Australia. As TAFE SA had the expertise and state-of-the-art facilities, it decided to fill the gap </w:t>
      </w:r>
      <w:r w:rsidRPr="00286B64">
        <w:t xml:space="preserve">and create pathways to </w:t>
      </w:r>
      <w:r>
        <w:t>higher education</w:t>
      </w:r>
      <w:r w:rsidRPr="00286B64">
        <w:t xml:space="preserve"> for VET performing arts students. Its first </w:t>
      </w:r>
      <w:r>
        <w:t>higher education</w:t>
      </w:r>
      <w:r w:rsidRPr="00286B64">
        <w:t xml:space="preserve"> qualification was the Bachel</w:t>
      </w:r>
      <w:r>
        <w:t>or in Dance Performance in 1998—</w:t>
      </w:r>
      <w:r w:rsidR="00F9187F">
        <w:t>9</w:t>
      </w:r>
      <w:r w:rsidRPr="00286B64">
        <w:t xml:space="preserve">9. Other qualifications in areas where its VET record was strong were added to the scope of TAFE SA’s </w:t>
      </w:r>
      <w:r>
        <w:t xml:space="preserve">higher education registration. They included the Bachelor of Business, Hospitality Management, Tourism Management and Recreation Management in 2000; Bachelor of Visual Arts and Design in 2001; and an Associate Degree in Electronic Engineering in 2010. </w:t>
      </w:r>
    </w:p>
    <w:p w:rsidR="0075281A" w:rsidRDefault="0075281A" w:rsidP="00094819">
      <w:pPr>
        <w:pStyle w:val="Text"/>
      </w:pPr>
      <w:r>
        <w:t>TAFE SA pursues the following set of interrelated VET</w:t>
      </w:r>
      <w:r w:rsidR="00344228">
        <w:t>-</w:t>
      </w:r>
      <w:r>
        <w:t>to</w:t>
      </w:r>
      <w:r w:rsidR="00344228">
        <w:t>-</w:t>
      </w:r>
      <w:r>
        <w:t>higher education strategies:</w:t>
      </w:r>
    </w:p>
    <w:p w:rsidR="0075281A" w:rsidRDefault="0075281A" w:rsidP="0075281A">
      <w:pPr>
        <w:pStyle w:val="Dotpoint1"/>
        <w:spacing w:before="80"/>
      </w:pPr>
      <w:proofErr w:type="gramStart"/>
      <w:r>
        <w:t>articulation</w:t>
      </w:r>
      <w:proofErr w:type="gramEnd"/>
      <w:r>
        <w:t xml:space="preserve"> and credit transfer arrangements between TAFE SA diplomas and university bachelor degrees. The aim is to increase the numbers of higher education offers for TAFE SA diploma graduates, while the negotiation of these arrangement in some cases leads to the development of dual VET and higher education qualifications</w:t>
      </w:r>
    </w:p>
    <w:p w:rsidR="0075281A" w:rsidRDefault="0075281A" w:rsidP="0075281A">
      <w:pPr>
        <w:pStyle w:val="Dotpoint1"/>
        <w:spacing w:before="80"/>
      </w:pPr>
      <w:r>
        <w:t xml:space="preserve">contracted higher education delivery for universities, which enhances the higher education knowledge and expertise of TAFE SA staff to deliver in their own right </w:t>
      </w:r>
    </w:p>
    <w:p w:rsidR="0075281A" w:rsidRDefault="0075281A" w:rsidP="0075281A">
      <w:pPr>
        <w:pStyle w:val="Dotpoint1"/>
        <w:spacing w:before="80"/>
      </w:pPr>
      <w:proofErr w:type="gramStart"/>
      <w:r>
        <w:t>provision</w:t>
      </w:r>
      <w:proofErr w:type="gramEnd"/>
      <w:r>
        <w:t xml:space="preserve"> of higher education delivery in </w:t>
      </w:r>
      <w:r w:rsidR="00344228">
        <w:t xml:space="preserve">their </w:t>
      </w:r>
      <w:r>
        <w:t>own right in niche markets where TAFE SA has a competitive edge.</w:t>
      </w:r>
    </w:p>
    <w:p w:rsidR="0075281A" w:rsidRPr="003B2DD5" w:rsidRDefault="0075281A" w:rsidP="00094819">
      <w:pPr>
        <w:pStyle w:val="Text"/>
      </w:pPr>
      <w:r>
        <w:t>However, like Canberra Institute of Technology, recent developments have led to a re-think by TAFE SA about the viability of its higher education provision in its own right in all cases. Higher education delivery has come under pressure, due in large part to funding changes and the loss of the historical state government funding to subsidise its higher education qualifications with the introduction of the SA VET policy Skills for All. The only alternative funding option currently available is a full fee-for-service arrangement, as already applies for all other VET providers that deliver higher education in their own right. TAFE SA has been approved to offer FEE-HELP from 2013 to enable its higher education students to defer their fee</w:t>
      </w:r>
      <w:r w:rsidRPr="003B2DD5">
        <w:t xml:space="preserve">s using this income-contingent loan. </w:t>
      </w:r>
    </w:p>
    <w:p w:rsidR="0075281A" w:rsidRDefault="0075281A" w:rsidP="00094819">
      <w:pPr>
        <w:pStyle w:val="Text"/>
      </w:pPr>
      <w:r w:rsidRPr="003B2DD5">
        <w:t>Notwithstanding, the cost to TAFE SA</w:t>
      </w:r>
      <w:r>
        <w:t xml:space="preserve"> students of a full-fee cost</w:t>
      </w:r>
      <w:r w:rsidR="00344228">
        <w:t>-</w:t>
      </w:r>
      <w:r>
        <w:t xml:space="preserve">recovery higher education qualification is considered to be too high to attract students in the arts areas, when compared with the student contribution rate that universities can offer students through receiving Commonwealth Supported Places. Due to this situation, TAFE SA is moving to deliver these qualifications or parts thereof through contracted delivery arrangements with universities and/or new dual VET and higher education study pathways with universities. TAFE SA plans to continue with one higher education offering in its own right, the Associate Degree in Electronic Engineering, in the near future, but with some uncertainty about whether engineering students will embrace the full fee-for-service funding arrangement from 2015. </w:t>
      </w:r>
    </w:p>
    <w:p w:rsidR="0075281A" w:rsidRDefault="0075281A" w:rsidP="00094819">
      <w:pPr>
        <w:pStyle w:val="Heading3"/>
      </w:pPr>
      <w:bookmarkStart w:id="125" w:name="_Toc396117525"/>
      <w:r>
        <w:t>Holmesglen Institute</w:t>
      </w:r>
      <w:bookmarkEnd w:id="125"/>
    </w:p>
    <w:p w:rsidR="0075281A" w:rsidRDefault="0075281A" w:rsidP="00094819">
      <w:pPr>
        <w:pStyle w:val="Textlessbefore"/>
      </w:pPr>
      <w:r>
        <w:t xml:space="preserve">Holmesglen Institute, in Victoria, is another major public provider of vocational education that has moved into higher education in its own </w:t>
      </w:r>
      <w:r w:rsidRPr="00286B64">
        <w:t xml:space="preserve">right. Its drivers are to provide </w:t>
      </w:r>
      <w:r>
        <w:t>higher education</w:t>
      </w:r>
      <w:r w:rsidRPr="00286B64">
        <w:t xml:space="preserve"> qualifications </w:t>
      </w:r>
      <w:r w:rsidRPr="00286B64">
        <w:lastRenderedPageBreak/>
        <w:t xml:space="preserve">that benefit students and their industries and </w:t>
      </w:r>
      <w:r>
        <w:t>which</w:t>
      </w:r>
      <w:r w:rsidRPr="00286B64">
        <w:t xml:space="preserve"> provide access to </w:t>
      </w:r>
      <w:r>
        <w:t>higher education</w:t>
      </w:r>
      <w:r w:rsidRPr="00286B64">
        <w:t xml:space="preserve"> for students who may not otherwise have entered a university degree program. Again,</w:t>
      </w:r>
      <w:r>
        <w:t xml:space="preserve"> it has identified areas of strengths in its VET programs and created innovative higher education bachelor and postgraduate degrees (as well as VET diplomas and certificates). Similar to other cases, it aims to combine theory with industry experience and practical skills in its higher education qualifications. </w:t>
      </w:r>
    </w:p>
    <w:p w:rsidR="0075281A" w:rsidRDefault="0075281A" w:rsidP="00094819">
      <w:pPr>
        <w:pStyle w:val="Text"/>
        <w:ind w:right="141"/>
      </w:pPr>
      <w:r>
        <w:t xml:space="preserve">Holmesglen began to offer applied higher education bachelor and postgraduate degree programs in its own right from 2005, but has considerably more experience in higher education than this period implies. The institute had been a contracted deliverer of components of higher education courses for Charles Sturt and Deakin universities for about two decades. The major trigger for Holmesglen becoming a higher education provider in its own right was a change in Victorian legislation in 2003 which enabled TAFE institutes to develop and deliver higher education programs. Holmesglen took this opportunity with the strategic intention </w:t>
      </w:r>
      <w:r w:rsidR="00344228">
        <w:t>of positioning</w:t>
      </w:r>
      <w:r>
        <w:t xml:space="preserve"> the organisation in a highly competitive marketplace as an applied tertiary education provider. The institute was rebranded with the new logo of ‘vocational and higher education’ in 2008. The higher education programs currently include over 25 bachelor programs, </w:t>
      </w:r>
      <w:r w:rsidR="00344228">
        <w:t>with</w:t>
      </w:r>
      <w:r>
        <w:t xml:space="preserve"> the scale of bachelor degree provision by Holmesglen reach</w:t>
      </w:r>
      <w:r w:rsidR="00344228">
        <w:t>ing</w:t>
      </w:r>
      <w:r>
        <w:t xml:space="preserve"> </w:t>
      </w:r>
      <w:r w:rsidR="00344228">
        <w:t>4%</w:t>
      </w:r>
      <w:r>
        <w:t xml:space="preserve"> of its total 50 000 course enrolments in 2011. Holmesglen has not entered into higher education associate degrees. Its current strategy is to focus on VET advanced diplomas to provide pathways to higher education bachelor degrees for </w:t>
      </w:r>
      <w:r w:rsidRPr="00286B64">
        <w:t>graduates from</w:t>
      </w:r>
      <w:r>
        <w:t xml:space="preserve"> higher-</w:t>
      </w:r>
      <w:r w:rsidRPr="00286B64">
        <w:t>level VET qualifications.</w:t>
      </w:r>
      <w:r>
        <w:t xml:space="preserve"> </w:t>
      </w:r>
    </w:p>
    <w:p w:rsidR="0075281A" w:rsidRDefault="0075281A" w:rsidP="00094819">
      <w:pPr>
        <w:pStyle w:val="Heading3"/>
      </w:pPr>
      <w:bookmarkStart w:id="126" w:name="_Toc396117526"/>
      <w:r>
        <w:t>Polytechnic West</w:t>
      </w:r>
      <w:bookmarkEnd w:id="126"/>
      <w:r>
        <w:t xml:space="preserve"> </w:t>
      </w:r>
    </w:p>
    <w:p w:rsidR="0075281A" w:rsidRDefault="0075281A" w:rsidP="00094819">
      <w:pPr>
        <w:pStyle w:val="Textlessbefore"/>
      </w:pPr>
      <w:r>
        <w:t xml:space="preserve">Polytechnic West, formerly Swan TAFE, is a major provider of VET courses in its home jurisdiction of Western Australia. In the early 2000s, the then Managing Director of Swan TAFE observed developments in TAFE institutes in eastern states. Looking especially at Victoria, the Managing Director noted that Swan TAFE was facing a similar set of circumstances to TAFEs elsewhere. Swan TAFE was under pressure in the training sector, and funding arrangements were becoming increasingly competitive. The WA Government was encouraging TAFE colleges to increase the percentage of their revenues gained from commercial and fee-for-service activities. Also, the feedback from the marketplace was that the higher-level VET courses provided by TAFEs at the diploma level in some areas were not producing graduates with the mix of knowledge and skills required by industry and paraprofessional occupations. </w:t>
      </w:r>
    </w:p>
    <w:p w:rsidR="0075281A" w:rsidRPr="003B2DD5" w:rsidRDefault="0075281A" w:rsidP="00094819">
      <w:pPr>
        <w:pStyle w:val="Text"/>
      </w:pPr>
      <w:r>
        <w:t xml:space="preserve">Responding to these drivers, Swan TAFE investigated the higher education sector as a way to broaden its product and market base. The then higher education and VET regulatory body for Western Australia was supportive of the business case for associate degrees but with certain caveats. These included that the associate degrees: were to be positioned in areas of institute specialisation and strength; provided applied qualifications with a mix of practical skills and knowledge developed with and valued by employers who offer paraprofessional jobs; were not in competition with existing VET offerings; and provided strong articulation arrangements from VET diploma products and into higher education bachelor degrees </w:t>
      </w:r>
      <w:r w:rsidRPr="003B2DD5">
        <w:t>of specific universities.</w:t>
      </w:r>
    </w:p>
    <w:p w:rsidR="0075281A" w:rsidRDefault="0075281A" w:rsidP="00094819">
      <w:pPr>
        <w:pStyle w:val="Text"/>
      </w:pPr>
      <w:r w:rsidRPr="003B2DD5">
        <w:t>Swan TAFE became a registered higher education provider in 20</w:t>
      </w:r>
      <w:r>
        <w:t xml:space="preserve">07 and instigated a name change to Polytechnic West in 2009. By 2013, Polytechnic West was offering ten associate degrees (and two higher education diplomas), based on its institutional strengths. However, there has been a recent shift to a consolidation strategy in relation to Polytechnic West’s associate degrees, at least in the short term. Western Australia is introducing a new VET entitlement model in 2014 and in it many diploma level courses are not categorised as priority programs. Consequently, their associated student fees are to be increased significantly, but with enrolled students having access to income-contingent </w:t>
      </w:r>
      <w:r>
        <w:lastRenderedPageBreak/>
        <w:t xml:space="preserve">loans through VET FEE-HELP. A number of VET diploma courses have been feeder courses into Polytechnic West’s associate degree courses, with students gaining credit for their VET diplomas. The institute is currently investigating the potential impact of these higher VET diploma fees on future enrolments in associate degrees. </w:t>
      </w:r>
    </w:p>
    <w:p w:rsidR="0075281A" w:rsidRDefault="0075281A" w:rsidP="00094819">
      <w:pPr>
        <w:pStyle w:val="Heading3"/>
      </w:pPr>
      <w:bookmarkStart w:id="127" w:name="_Toc396117527"/>
      <w:r>
        <w:t>Think: Education Group</w:t>
      </w:r>
      <w:bookmarkEnd w:id="127"/>
    </w:p>
    <w:p w:rsidR="0075281A" w:rsidRDefault="0075281A" w:rsidP="00094819">
      <w:pPr>
        <w:pStyle w:val="Textlessbefore"/>
      </w:pPr>
      <w:r>
        <w:t>Think: Education Group provides over 45 industry-leading qualifications from diploma to degree level to more than 10 000 students across campuses in New South Wales, Victoria and Queensland. It has grown rapidly through acquisition, with established businesses with different histories, cultures and systems</w:t>
      </w:r>
      <w:r w:rsidR="00344228">
        <w:t xml:space="preserve"> being</w:t>
      </w:r>
      <w:r>
        <w:t xml:space="preserve"> successfully brought together, and represent</w:t>
      </w:r>
      <w:r w:rsidR="00344228">
        <w:t>s</w:t>
      </w:r>
      <w:r>
        <w:t xml:space="preserve"> a combined history of over 180 years. Many of its colleges have a common heritage in the VET sector, </w:t>
      </w:r>
      <w:r w:rsidR="00344228">
        <w:t xml:space="preserve">having </w:t>
      </w:r>
      <w:r>
        <w:t>assist</w:t>
      </w:r>
      <w:r w:rsidR="00344228">
        <w:t>ed</w:t>
      </w:r>
      <w:r>
        <w:t xml:space="preserve"> industries to create higher levels of skills and qualifications as the world of work has changed. Think’s higher education focus emerged from about 2005—06</w:t>
      </w:r>
      <w:r w:rsidR="00344228">
        <w:t>,</w:t>
      </w:r>
      <w:r>
        <w:t xml:space="preserve"> with higher education seen as a further opportunity to improve student employability, increase the qualification level within traditionally vocationally qualified industries and develop new student markets. </w:t>
      </w:r>
    </w:p>
    <w:p w:rsidR="0075281A" w:rsidRPr="003B2DD5" w:rsidRDefault="0075281A" w:rsidP="00094819">
      <w:pPr>
        <w:pStyle w:val="Text"/>
      </w:pPr>
      <w:r>
        <w:t>In terms of strategy, Think makes strong use of internships, industry placements, on</w:t>
      </w:r>
      <w:r w:rsidR="008F2532">
        <w:t>-</w:t>
      </w:r>
      <w:r>
        <w:t xml:space="preserve">campus clinics and incubator pods to develop graduates who are technically skilled in their discipline area, socially aware and, in turn, highly employable. </w:t>
      </w:r>
      <w:r w:rsidR="008F2532">
        <w:t>Furthermore,</w:t>
      </w:r>
      <w:r>
        <w:t xml:space="preserve"> it has points of difference</w:t>
      </w:r>
      <w:r w:rsidR="008F2532">
        <w:t>,</w:t>
      </w:r>
      <w:r>
        <w:t xml:space="preserve"> with small flexible classes, online delivery and the use of a three-semester system to accelerate program completion. As well, the delivery of VET diploma and advanced diploma qualifications at its various colleges offers major pathway opportunities for students to progress from VET to higher education qualifications in the same field. There is a nesting of qualifications where appropriate, including across various higher education diplomas and associate degrees. Think: Education supports the associate degree qualification as part of a strateg</w:t>
      </w:r>
      <w:r w:rsidRPr="003B2DD5">
        <w:t>y to provide clearly defined pathways for students.</w:t>
      </w:r>
    </w:p>
    <w:p w:rsidR="0075281A" w:rsidRDefault="008F2532" w:rsidP="00094819">
      <w:pPr>
        <w:pStyle w:val="Text"/>
      </w:pPr>
      <w:r>
        <w:t xml:space="preserve">As </w:t>
      </w:r>
      <w:r w:rsidR="0075281A">
        <w:t>a private provider operating in highly competitive training and education markets</w:t>
      </w:r>
      <w:r>
        <w:t xml:space="preserve"> </w:t>
      </w:r>
      <w:r w:rsidRPr="003B2DD5">
        <w:t>the growth in both VET and hig</w:t>
      </w:r>
      <w:r>
        <w:t>her education programs is concerned with building revenue</w:t>
      </w:r>
      <w:r w:rsidR="0075281A">
        <w:t xml:space="preserve">. The organisation believes the education and training markets need more diversity to meet employer needs. Think owners and its senior leadership assert that they will continue to take up new opportunities as they arise, responding to changes in student markets, greater calls for more flexible forms of study, the breakdown of geographical boundaries, and changes to government policy and visa requirements. More recently, as evidence of the success of Think’s strategic planning and execution to date, Think was awarded higher education Provider of the Year by the Australian Council </w:t>
      </w:r>
      <w:r>
        <w:t>for</w:t>
      </w:r>
      <w:r w:rsidR="0075281A">
        <w:t xml:space="preserve"> Private Education </w:t>
      </w:r>
      <w:r>
        <w:t>and Training</w:t>
      </w:r>
      <w:r w:rsidR="0075281A">
        <w:t xml:space="preserve"> (ACPET) from its 2012 Awards for Excellence. Think has achieved this accolade after navigating a challenging period of reinvestment, change management and turnaround after the Global Financial Crisis, with a return to profit in 2013. </w:t>
      </w:r>
    </w:p>
    <w:p w:rsidR="0075281A" w:rsidRDefault="0075281A" w:rsidP="00094819">
      <w:pPr>
        <w:pStyle w:val="Heading3"/>
      </w:pPr>
      <w:bookmarkStart w:id="128" w:name="_Toc396117528"/>
      <w:r>
        <w:t>Tabor Adelaide</w:t>
      </w:r>
      <w:bookmarkEnd w:id="128"/>
    </w:p>
    <w:p w:rsidR="0075281A" w:rsidRDefault="0075281A" w:rsidP="00094819">
      <w:pPr>
        <w:pStyle w:val="Textlessbefore"/>
      </w:pPr>
      <w:r>
        <w:t>Tabor Adelaide, the other private provider in the case study sample, delivers both VET and higher education programs to a community of approximately 1000 students. Tabor Adelaide commenced operations in 1979 as a small Pentecostal Bible and ministry training centre, and has broadened its profile</w:t>
      </w:r>
      <w:r w:rsidRPr="008B1AB5">
        <w:t xml:space="preserve"> </w:t>
      </w:r>
      <w:r>
        <w:t xml:space="preserve">over time. Today, Tabor Adelaide offers government-accredited qualifications, from vocational certificates, to a research doctorate in a range of disciplines that include theology, ministry, intercultural studies, education, counselling and youth work. The college is constantly rebalancing its higher education offerings with its VET offerings in response to the challenges of working in a highly competitive and changing VET and higher education environment. Currently, Tabor Adelaide describes and positions itself as a multi-denominational, dual-sector Christian tertiary institution. Like the other </w:t>
      </w:r>
      <w:r>
        <w:lastRenderedPageBreak/>
        <w:t xml:space="preserve">case study providers, Tabor Adelaide offers full fee-for-service higher education, with the exception of its Bachelor of Education students, for which it has some Commonwealth Supported Places, along with a FEE-HELP option for students. </w:t>
      </w:r>
    </w:p>
    <w:p w:rsidR="0075281A" w:rsidRPr="003B2DD5" w:rsidRDefault="0075281A" w:rsidP="008F2532">
      <w:pPr>
        <w:pStyle w:val="Text"/>
        <w:ind w:right="-143"/>
      </w:pPr>
      <w:r>
        <w:t>As the majority of students pay to complete VET and higher education courses at Tabor Adelaide, the college relies on a number of points of difference to attract its students. A core point of difference is its Christian perspective, which has a definite appeal to a specific target group of students. Its teaching</w:t>
      </w:r>
      <w:r w:rsidR="008F2532">
        <w:t> </w:t>
      </w:r>
      <w:r>
        <w:t xml:space="preserve">is underpinned by Christian beliefs, while the explicit multi-denominational focus of Tabor Adelaide promotes a strong focus upon community and faith and </w:t>
      </w:r>
      <w:r w:rsidR="008F2532">
        <w:t>their</w:t>
      </w:r>
      <w:r>
        <w:t xml:space="preserve"> implications for practice. Another</w:t>
      </w:r>
      <w:r w:rsidR="008F2532">
        <w:t> </w:t>
      </w:r>
      <w:r>
        <w:t xml:space="preserve">point of difference is that </w:t>
      </w:r>
      <w:r w:rsidR="008F2532">
        <w:t xml:space="preserve">the </w:t>
      </w:r>
      <w:r>
        <w:t>VET and higher education programs can be studied on campus or</w:t>
      </w:r>
      <w:r w:rsidR="008F2532">
        <w:t> </w:t>
      </w:r>
      <w:r>
        <w:t xml:space="preserve">online. As most of its higher education students need to fund their study, part-time work is encouraged to assist with the funding of their programs. The flexibility of the college’s program, by </w:t>
      </w:r>
      <w:r w:rsidR="008F2532">
        <w:t>offer</w:t>
      </w:r>
      <w:r>
        <w:t>ing on-campus, online, evening and intensive deliveries, supports the students’ work requirements.</w:t>
      </w:r>
      <w:r w:rsidR="008F2532">
        <w:t xml:space="preserve"> </w:t>
      </w:r>
      <w:r>
        <w:t xml:space="preserve">Many of the VET programs provide credit into various VET and degree programs at Tabor </w:t>
      </w:r>
      <w:proofErr w:type="gramStart"/>
      <w:r>
        <w:t>Adelaide,</w:t>
      </w:r>
      <w:proofErr w:type="gramEnd"/>
      <w:r>
        <w:t xml:space="preserve"> other registered training or</w:t>
      </w:r>
      <w:r w:rsidRPr="003B2DD5">
        <w:t xml:space="preserve">ganisations, universities or other higher education providers. </w:t>
      </w:r>
    </w:p>
    <w:p w:rsidR="0075281A" w:rsidRDefault="0075281A" w:rsidP="00094819">
      <w:pPr>
        <w:pStyle w:val="Text"/>
      </w:pPr>
      <w:r w:rsidRPr="003B2DD5">
        <w:t>In common with many organ</w:t>
      </w:r>
      <w:r>
        <w:t xml:space="preserve">isations, Tabor Adelaide suffered financially during the Global Financial Crisis, and the period of recovery has resulted in some key strategic decisions. These decisions aim to set the foundations for creating more diversity in its student body, and more diversity in revenue. </w:t>
      </w:r>
      <w:r w:rsidR="008F2532">
        <w:t xml:space="preserve">Its </w:t>
      </w:r>
      <w:r>
        <w:t xml:space="preserve">VET programs are gaining renewed attention, even though higher education programs are currently the dominant source of revenue. </w:t>
      </w:r>
    </w:p>
    <w:p w:rsidR="0075281A" w:rsidRDefault="0075281A" w:rsidP="00094819">
      <w:pPr>
        <w:pStyle w:val="Heading2"/>
      </w:pPr>
      <w:bookmarkStart w:id="129" w:name="_Toc396117529"/>
      <w:bookmarkStart w:id="130" w:name="_Toc419972097"/>
      <w:r>
        <w:t>Summary: Research question 1</w:t>
      </w:r>
      <w:bookmarkEnd w:id="129"/>
      <w:bookmarkEnd w:id="130"/>
    </w:p>
    <w:p w:rsidR="0075281A" w:rsidRPr="003B2DD5" w:rsidRDefault="0075281A" w:rsidP="00094819">
      <w:pPr>
        <w:pStyle w:val="Text"/>
      </w:pPr>
      <w:r>
        <w:t xml:space="preserve">To varying degrees, these cases reveal support for all of the drivers identified earlier to explain why some VET providers are moving to deliver higher education qualifications in their own right. Across </w:t>
      </w:r>
      <w:r w:rsidR="008F2532">
        <w:t xml:space="preserve">the </w:t>
      </w:r>
      <w:r>
        <w:t xml:space="preserve">cases, the core point of difference or distinctiveness was to deliver applied degrees that fill gaps in the current market, where there is a labour demand for extended vocational development to the professional level, </w:t>
      </w:r>
      <w:r w:rsidRPr="00286B64">
        <w:t xml:space="preserve">and </w:t>
      </w:r>
      <w:r>
        <w:t xml:space="preserve">to </w:t>
      </w:r>
      <w:r w:rsidRPr="00286B64">
        <w:t>provide effective pathways for graduates from higher</w:t>
      </w:r>
      <w:r>
        <w:t>-</w:t>
      </w:r>
      <w:r w:rsidRPr="00286B64">
        <w:t xml:space="preserve">level VET qualifications. Other points of competitive advantage included providing </w:t>
      </w:r>
      <w:r>
        <w:t>higher education</w:t>
      </w:r>
      <w:r w:rsidRPr="00286B64">
        <w:t xml:space="preserve"> qualifications with great flexibility (</w:t>
      </w:r>
      <w:r>
        <w:t xml:space="preserve">for example, </w:t>
      </w:r>
      <w:r w:rsidRPr="00286B64">
        <w:t>Tabor Adelaide), access to student placements with potential employers (</w:t>
      </w:r>
      <w:r>
        <w:t>for example, CIT and</w:t>
      </w:r>
      <w:r w:rsidRPr="00286B64">
        <w:t xml:space="preserve"> Think), and small classes with often personalised support for students (</w:t>
      </w:r>
      <w:r>
        <w:t xml:space="preserve">for example, </w:t>
      </w:r>
      <w:r w:rsidRPr="00286B64">
        <w:t>Holmesglen).</w:t>
      </w:r>
      <w:r>
        <w:t xml:space="preserve"> </w:t>
      </w:r>
      <w:r w:rsidRPr="00286B64">
        <w:t xml:space="preserve">To varying degrees, these institutions provide access to </w:t>
      </w:r>
      <w:r>
        <w:t>higher education</w:t>
      </w:r>
      <w:r w:rsidRPr="00286B64">
        <w:t xml:space="preserve"> for VET students who may not otherwise have entered a university degree program, but who may not fall into an equity gr</w:t>
      </w:r>
      <w:r w:rsidRPr="003B2DD5">
        <w:t xml:space="preserve">oup. </w:t>
      </w:r>
    </w:p>
    <w:p w:rsidR="0075281A" w:rsidRDefault="0075281A" w:rsidP="00094819">
      <w:pPr>
        <w:pStyle w:val="Text"/>
      </w:pPr>
      <w:r w:rsidRPr="003B2DD5">
        <w:t>There was no evidence that the organ</w:t>
      </w:r>
      <w:r w:rsidRPr="00286B64">
        <w:t xml:space="preserve">isations were passive or accidental players in the </w:t>
      </w:r>
      <w:r>
        <w:t>higher education</w:t>
      </w:r>
      <w:r w:rsidRPr="00286B64">
        <w:t xml:space="preserve"> market. Rather they generally look to complem</w:t>
      </w:r>
      <w:r>
        <w:t>ent rather than compete with other higher education providers, especially universities, and rely on special points of difference to attract higher education students who pay full fee</w:t>
      </w:r>
      <w:r w:rsidR="008F2532">
        <w:t>s</w:t>
      </w:r>
      <w:r>
        <w:t xml:space="preserve"> (except in a few cases). Furthermore, some governments or agencies in their jurisdictions have been active players in shaping some of these strategies. For example, higher education qualifications would only be supported where they were not in competition with local universities (for example, CIT) or with existing VET offerings in the organisation (for example, Polytechnic West).</w:t>
      </w:r>
    </w:p>
    <w:p w:rsidR="008F2532" w:rsidRDefault="008F2532">
      <w:pPr>
        <w:spacing w:before="0" w:line="240" w:lineRule="auto"/>
        <w:rPr>
          <w:rFonts w:ascii="Arial" w:hAnsi="Arial" w:cs="Tahoma"/>
          <w:sz w:val="28"/>
        </w:rPr>
      </w:pPr>
      <w:bookmarkStart w:id="131" w:name="_Toc396117530"/>
      <w:bookmarkStart w:id="132" w:name="_Toc419972098"/>
      <w:r>
        <w:br w:type="page"/>
      </w:r>
    </w:p>
    <w:p w:rsidR="0075281A" w:rsidRDefault="0075281A" w:rsidP="00094819">
      <w:pPr>
        <w:pStyle w:val="Heading2"/>
      </w:pPr>
      <w:r>
        <w:lastRenderedPageBreak/>
        <w:t>Building capability in staff and students</w:t>
      </w:r>
      <w:bookmarkEnd w:id="131"/>
      <w:bookmarkEnd w:id="132"/>
    </w:p>
    <w:p w:rsidR="0075281A" w:rsidRDefault="0075281A" w:rsidP="00094819">
      <w:pPr>
        <w:pStyle w:val="Heading3"/>
        <w:spacing w:before="120"/>
      </w:pPr>
      <w:bookmarkStart w:id="133" w:name="_Toc396117531"/>
      <w:r>
        <w:t>Canberra Institute of Technology</w:t>
      </w:r>
      <w:bookmarkEnd w:id="133"/>
      <w:r>
        <w:t xml:space="preserve"> </w:t>
      </w:r>
    </w:p>
    <w:p w:rsidR="0075281A" w:rsidRDefault="0075281A" w:rsidP="00094819">
      <w:pPr>
        <w:pStyle w:val="Textlessbefore"/>
      </w:pPr>
      <w:r>
        <w:t xml:space="preserve">CIT has been very active in building staff capability to a position where today there </w:t>
      </w:r>
      <w:proofErr w:type="gramStart"/>
      <w:r>
        <w:t>are</w:t>
      </w:r>
      <w:proofErr w:type="gramEnd"/>
      <w:r>
        <w:t xml:space="preserve"> numerous master’s</w:t>
      </w:r>
      <w:r w:rsidR="008F2532">
        <w:t>-</w:t>
      </w:r>
      <w:r>
        <w:t xml:space="preserve"> and PhD-qualified staff who deliver their higher education programs. For CIT teachers delivering higher education programs, the</w:t>
      </w:r>
      <w:r w:rsidR="008F2532">
        <w:t xml:space="preserve"> enterprise a</w:t>
      </w:r>
      <w:r>
        <w:t xml:space="preserve">greement provides full- and part-time staff with a reduction in teaching of 15% per annum where a teacher agrees to undertake appropriate scholarly activities and/or participate with university partners in scholarship programs. Higher education teaching </w:t>
      </w:r>
      <w:proofErr w:type="gramStart"/>
      <w:r>
        <w:t>staff at CIT are</w:t>
      </w:r>
      <w:proofErr w:type="gramEnd"/>
      <w:r>
        <w:t xml:space="preserve"> also encouraged to undertake consulting to build upon their skills and expertise. </w:t>
      </w:r>
    </w:p>
    <w:p w:rsidR="0075281A" w:rsidRDefault="0075281A" w:rsidP="00094819">
      <w:pPr>
        <w:pStyle w:val="Text"/>
      </w:pPr>
      <w:r>
        <w:t>Regarding the building of student capability, CIT emphasises to potential and current students that its higher education programs are challenging. In the forensic science degree there is a high level of pure science, while the games and virtual worlds</w:t>
      </w:r>
      <w:r w:rsidR="008F2532">
        <w:t>’</w:t>
      </w:r>
      <w:r>
        <w:t xml:space="preserve"> degree has at its core an advanced computing and programming qualification. In response to supporting its higher education students, CIT provides small classes, learner support through the library, extra tutorial support in chemistry, mathematics and related areas, and provides literacy and numeracy programs across all of its programs. CIT teachers have </w:t>
      </w:r>
      <w:r w:rsidR="008F2532">
        <w:t xml:space="preserve">also </w:t>
      </w:r>
      <w:r>
        <w:t xml:space="preserve">redesigned some of the higher education qualifications to promote the applied orientation of the qualifications, as a balance to the academic rigour. </w:t>
      </w:r>
    </w:p>
    <w:p w:rsidR="0075281A" w:rsidRDefault="0075281A" w:rsidP="00094819">
      <w:pPr>
        <w:pStyle w:val="Heading3"/>
      </w:pPr>
      <w:bookmarkStart w:id="134" w:name="_Toc396117532"/>
      <w:r>
        <w:t>TAFE SA</w:t>
      </w:r>
      <w:bookmarkEnd w:id="134"/>
      <w:r>
        <w:t xml:space="preserve"> </w:t>
      </w:r>
    </w:p>
    <w:p w:rsidR="0075281A" w:rsidRDefault="0075281A" w:rsidP="00094819">
      <w:pPr>
        <w:pStyle w:val="Textlessbefore"/>
        <w:ind w:right="141"/>
      </w:pPr>
      <w:r>
        <w:t xml:space="preserve">At TAFE SA, as with </w:t>
      </w:r>
      <w:r w:rsidR="008F2532">
        <w:t xml:space="preserve">the </w:t>
      </w:r>
      <w:r>
        <w:t xml:space="preserve">other cases, the issues associated with the development of higher education teacher capability have evolved over time. It has now modified the TAFE-oriented conditions for these higher education teachers, providing more time for assessment than VET teachers. Higher education teachers are required to maintain scholarship or engage with the latest discipline knowledge and practices. TAFE SA has set up sufficiently strong relationships with the three local universities to be admitted to the Higher Education Research Group of Adelaide (HERGA), which offers TAFE SA staff attendance at seminars, the ability to publish and to complete other ongoing academic learning opportunities. </w:t>
      </w:r>
    </w:p>
    <w:p w:rsidR="0075281A" w:rsidRDefault="0075281A" w:rsidP="00094819">
      <w:pPr>
        <w:pStyle w:val="Text"/>
      </w:pPr>
      <w:r>
        <w:t>In relation to building student capability, higher education students in TAFE SA experience small class sizes and good access to teachers, while additional learning services allow students to feel more connected and better supported than in a university setting. In 2012, the overall satisfaction rates for TAFE SA higher education graduates were better than the result for all Australian higher education providers participating in the Australasian Survey of Student Engagement (AUSSE) (</w:t>
      </w:r>
      <w:proofErr w:type="spellStart"/>
      <w:r>
        <w:t>Guscott</w:t>
      </w:r>
      <w:proofErr w:type="spellEnd"/>
      <w:r>
        <w:t xml:space="preserve"> 2012, 2013). Its retention rates are higher than those of the universities in foundation studies, with the good results for students </w:t>
      </w:r>
      <w:r w:rsidR="008F2532">
        <w:t>undertak</w:t>
      </w:r>
      <w:r>
        <w:t xml:space="preserve">ing higher education attributed to the support provided by TAFE SA. </w:t>
      </w:r>
    </w:p>
    <w:p w:rsidR="0075281A" w:rsidRDefault="0075281A" w:rsidP="00094819">
      <w:pPr>
        <w:pStyle w:val="Heading3"/>
      </w:pPr>
      <w:bookmarkStart w:id="135" w:name="_Toc396117533"/>
      <w:r>
        <w:t>Holmesglen Institute</w:t>
      </w:r>
      <w:bookmarkEnd w:id="135"/>
    </w:p>
    <w:p w:rsidR="0075281A" w:rsidRDefault="0075281A" w:rsidP="00094819">
      <w:pPr>
        <w:pStyle w:val="Textlessbefore"/>
      </w:pPr>
      <w:r>
        <w:t xml:space="preserve">Holmesglen higher education staff are integrated with VET staff in the operations of the faculties, and supported by staff located in a Higher Education Support Unit (HESU). This unit has been instrumental in progressively educating staff across the </w:t>
      </w:r>
      <w:r w:rsidR="008F2532">
        <w:t>i</w:t>
      </w:r>
      <w:r>
        <w:t xml:space="preserve">nstitute about higher education at Holmesglen, especially issues of quality assurance, the expectations relating to scholarship and the dissemination of good practice. Staff involved in the institute’s higher education activities have wide access to professional development opportunities, including conference attendance, and are able to access financial support and study leave for higher degree studies, including master’s and doctoral degree study. This access to professional development extends to sessional staff. </w:t>
      </w:r>
    </w:p>
    <w:p w:rsidR="0075281A" w:rsidRPr="003B2DD5" w:rsidRDefault="0075281A" w:rsidP="00094819">
      <w:pPr>
        <w:pStyle w:val="Text"/>
      </w:pPr>
      <w:r>
        <w:lastRenderedPageBreak/>
        <w:t xml:space="preserve">Regarding scholarship, Holmesglen is seeking to develop a scholarly culture, one that values the critical role that research activity plays in the formation of knowledge. Examples of good practice in the more applied approaches to teaching and learning </w:t>
      </w:r>
      <w:r w:rsidR="00AB27E1">
        <w:t xml:space="preserve">that have been </w:t>
      </w:r>
      <w:r>
        <w:t>developed include the simulated learning approaches in the nursing and early childhood education degrees</w:t>
      </w:r>
      <w:r w:rsidR="00AB27E1">
        <w:t>,</w:t>
      </w:r>
      <w:r>
        <w:t xml:space="preserve"> </w:t>
      </w:r>
      <w:r w:rsidR="00AB27E1">
        <w:t>while</w:t>
      </w:r>
      <w:r>
        <w:t xml:space="preserve"> the problem-based learning approaches and </w:t>
      </w:r>
      <w:r w:rsidR="00AB27E1">
        <w:t xml:space="preserve">the </w:t>
      </w:r>
      <w:r>
        <w:t>use of industry connections provide authentic learning in the Faculty of Building Construction a</w:t>
      </w:r>
      <w:r w:rsidRPr="003B2DD5">
        <w:t xml:space="preserve">nd Architectural Design. </w:t>
      </w:r>
    </w:p>
    <w:p w:rsidR="0075281A" w:rsidRDefault="0075281A" w:rsidP="00094819">
      <w:pPr>
        <w:pStyle w:val="Text"/>
      </w:pPr>
      <w:r w:rsidRPr="003B2DD5">
        <w:t>The institute’s goal is to</w:t>
      </w:r>
      <w:r>
        <w:t xml:space="preserve"> provide access and widen participation in higher education for non-traditional or under-represented students who may not have the opportunity for bachelor degree study. Higher education transition support programs include: the Academic Skills Unit, which assists vocational and higher education students with academic and study skills; the Social Inclusion Program, which assists local and international students to integrate effectively into the Holmesglen and local Melbourne community; and Student Support Services, which provides various kinds of services to maintain the general health and wellbeing of the Holmesglen community and aid reduction of student attrition rates and staff absenteeism. </w:t>
      </w:r>
    </w:p>
    <w:p w:rsidR="0075281A" w:rsidRDefault="0075281A" w:rsidP="00094819">
      <w:pPr>
        <w:pStyle w:val="Heading3"/>
      </w:pPr>
      <w:bookmarkStart w:id="136" w:name="_Toc396117534"/>
      <w:r>
        <w:t>Polytechnic West</w:t>
      </w:r>
      <w:bookmarkEnd w:id="136"/>
      <w:r>
        <w:t xml:space="preserve"> </w:t>
      </w:r>
    </w:p>
    <w:p w:rsidR="0075281A" w:rsidRDefault="0075281A" w:rsidP="00094819">
      <w:pPr>
        <w:pStyle w:val="Textlessbefore"/>
      </w:pPr>
      <w:r>
        <w:t xml:space="preserve">There has been a positive response among VET lecturers to delivering higher education, with many of them already holding the requisite higher education qualifications in their field of study to teach in higher education. Higher education </w:t>
      </w:r>
      <w:proofErr w:type="gramStart"/>
      <w:r>
        <w:t>staff are</w:t>
      </w:r>
      <w:proofErr w:type="gramEnd"/>
      <w:r>
        <w:t xml:space="preserve"> employed under the same industrial award as VET staff, with accommodation made for their different patterns of time usage. Most of the casual lecturers are also employed at universities. As with </w:t>
      </w:r>
      <w:r w:rsidR="00AB27E1">
        <w:t xml:space="preserve">the </w:t>
      </w:r>
      <w:r>
        <w:t xml:space="preserve">other institutions, employing staff with a university background has had positive benefits with respect to scholarship and higher education acculturation, especially as not all of the VET lecturers have higher education experience. A particular early focus of the institution’s professional development activities was the higher education regulatory environment and framework. The aim was to ensure that staff delivering higher education were aware of the AQF level 6 requirements and did not take a competency-based approach to their higher education provision. As with the other case studies, Polytechnic West’s approach to scholarship in the light of its mixed-sector experience is to build a culture of scholarship rather than </w:t>
      </w:r>
      <w:r w:rsidR="00AB27E1">
        <w:t xml:space="preserve">one of </w:t>
      </w:r>
      <w:r>
        <w:t xml:space="preserve">research across all of its areas of higher education teaching. </w:t>
      </w:r>
    </w:p>
    <w:p w:rsidR="0075281A" w:rsidRDefault="0075281A" w:rsidP="00094819">
      <w:pPr>
        <w:pStyle w:val="Text"/>
      </w:pPr>
      <w:r>
        <w:t>Polytechnic West’s associate degrees are aimed at students who require or prefer to develop their education through a stepping stone or advanced standing approach to the higher education level. In response, it provides pastoral care to its higher education students, who are mostly first</w:t>
      </w:r>
      <w:r w:rsidR="00AB27E1">
        <w:t>-</w:t>
      </w:r>
      <w:r>
        <w:t xml:space="preserve">time university domestic and international students. </w:t>
      </w:r>
      <w:r w:rsidR="00AB27E1">
        <w:t>The e</w:t>
      </w:r>
      <w:r>
        <w:t>xisting VET student support services, such as Customer Service</w:t>
      </w:r>
      <w:r w:rsidR="00AB27E1">
        <w:t>s</w:t>
      </w:r>
      <w:r>
        <w:t>, Disability Services, International Services Centre and Library Services, contribute to the ongoing care of the higher education students. Current improvements, as part of Polytechnic West’s continuous improvement strategy, are focused on ensuring individual learning plans for at-risk students, who are closely monitored.</w:t>
      </w:r>
    </w:p>
    <w:p w:rsidR="0075281A" w:rsidRDefault="0075281A" w:rsidP="00094819">
      <w:pPr>
        <w:pStyle w:val="Heading3"/>
      </w:pPr>
      <w:bookmarkStart w:id="137" w:name="_Toc396117535"/>
      <w:r>
        <w:t>Think: Education Group</w:t>
      </w:r>
      <w:bookmarkEnd w:id="137"/>
      <w:r>
        <w:t xml:space="preserve"> </w:t>
      </w:r>
    </w:p>
    <w:p w:rsidR="0075281A" w:rsidRDefault="0075281A" w:rsidP="00094819">
      <w:pPr>
        <w:pStyle w:val="Textlessbefore"/>
      </w:pPr>
      <w:r>
        <w:t xml:space="preserve">The key </w:t>
      </w:r>
      <w:proofErr w:type="gramStart"/>
      <w:r>
        <w:t>staff are</w:t>
      </w:r>
      <w:proofErr w:type="gramEnd"/>
      <w:r>
        <w:t xml:space="preserve"> permanent full-time appointments. As in the other case studies, there is a major use of industry professionals as part-time teachers and sessional staff in both the VET and higher education programs. Many staff </w:t>
      </w:r>
      <w:proofErr w:type="gramStart"/>
      <w:r>
        <w:t>have</w:t>
      </w:r>
      <w:proofErr w:type="gramEnd"/>
      <w:r>
        <w:t xml:space="preserve"> master’s</w:t>
      </w:r>
      <w:r w:rsidR="00AB27E1">
        <w:t>-</w:t>
      </w:r>
      <w:r>
        <w:t>level qualifications, and some hold PhDs. While teaching positions are being readily filled in the current market, the requirement for master’s</w:t>
      </w:r>
      <w:r w:rsidR="00AB27E1">
        <w:t>-</w:t>
      </w:r>
      <w:r>
        <w:t xml:space="preserve">qualified teachers to deliver a bachelor’s degree has been challenging in </w:t>
      </w:r>
      <w:r w:rsidR="00AB27E1">
        <w:t>those</w:t>
      </w:r>
      <w:r>
        <w:t xml:space="preserve"> qualifications where there is a shortage of suitably qualified people (for example, people holding a master’s in iridology). </w:t>
      </w:r>
      <w:r>
        <w:lastRenderedPageBreak/>
        <w:t xml:space="preserve">Think encourages all staff to focus upon scholarship, and similar to the other case studies (for example, Polytechnic West) there is a broader definition of scholarship than adopted by universities. </w:t>
      </w:r>
    </w:p>
    <w:p w:rsidR="0075281A" w:rsidRDefault="0075281A" w:rsidP="00094819">
      <w:pPr>
        <w:pStyle w:val="Text"/>
      </w:pPr>
      <w:r>
        <w:t xml:space="preserve">The Think workforce has been spilt according to their experiences with </w:t>
      </w:r>
      <w:proofErr w:type="gramStart"/>
      <w:r>
        <w:t>either VET or higher education programs and</w:t>
      </w:r>
      <w:proofErr w:type="gramEnd"/>
      <w:r>
        <w:t xml:space="preserve"> delivery. Only a few staff at present </w:t>
      </w:r>
      <w:proofErr w:type="gramStart"/>
      <w:r>
        <w:t>teach</w:t>
      </w:r>
      <w:proofErr w:type="gramEnd"/>
      <w:r>
        <w:t xml:space="preserve"> in both the VET and higher education programs. However, from 2014 Think plans to remove this separation, with all staff having to understand more fully both sectors, whether as a teacher, course manager, in support services or in other roles. Think reports that creating these stronger links between VET and higher education will require a shift in the mind</w:t>
      </w:r>
      <w:r w:rsidR="00AB27E1">
        <w:t>-</w:t>
      </w:r>
      <w:r>
        <w:t>sets of many staff. While there are similarities across VET and higher education in many areas (for example, delivery methodologies), there are notable and understandable differences across the sectors in policies, procedures, quality frameworks, assessment, accreditation, timetabling</w:t>
      </w:r>
      <w:r w:rsidR="00AB27E1">
        <w:t xml:space="preserve"> and</w:t>
      </w:r>
      <w:r>
        <w:t xml:space="preserve"> preparation time and </w:t>
      </w:r>
      <w:r w:rsidR="00AB27E1">
        <w:t xml:space="preserve">in </w:t>
      </w:r>
      <w:r>
        <w:t xml:space="preserve">concepts such as scholarship. </w:t>
      </w:r>
    </w:p>
    <w:p w:rsidR="0075281A" w:rsidRDefault="0075281A" w:rsidP="00094819">
      <w:pPr>
        <w:pStyle w:val="Text"/>
      </w:pPr>
      <w:r>
        <w:t>In relation to student support, Think’s student body includes approximately half who are Australian. Its international students come from over 40 countries. The student body includes young people direct from high school, through to older students across all qualifications. Student support at Think is provided through the Centre for Learning and Academic Skills Support (CLASS). Student support includes dedicated tutors for face-to-face support and a student intervention strategy, with, for example, additional literacy, numeracy and computer skills/online computer skills, English classes and academic writing for higher education assessments. More gifted students are also supported through this program: they are monitored in instances where they choose a more accelerated path of study. In addition, the maximum class size is 30 students to enable close student</w:t>
      </w:r>
      <w:r w:rsidR="00AB27E1">
        <w:t>—</w:t>
      </w:r>
      <w:r>
        <w:t xml:space="preserve">teacher interactions. </w:t>
      </w:r>
    </w:p>
    <w:p w:rsidR="0075281A" w:rsidRDefault="0075281A" w:rsidP="00094819">
      <w:pPr>
        <w:pStyle w:val="Heading3"/>
      </w:pPr>
      <w:bookmarkStart w:id="138" w:name="_Toc396117536"/>
      <w:r>
        <w:t>Tabor Adelaide</w:t>
      </w:r>
      <w:bookmarkEnd w:id="138"/>
      <w:r>
        <w:t xml:space="preserve"> </w:t>
      </w:r>
    </w:p>
    <w:p w:rsidR="0075281A" w:rsidRDefault="0075281A" w:rsidP="00094819">
      <w:pPr>
        <w:pStyle w:val="Textlessbefore"/>
      </w:pPr>
      <w:r>
        <w:t xml:space="preserve">At Tabor Adelaide, no teacher in VET courses teaches in higher education programs, while no higher education teacher delivers VET qualifications. The current organisational structure puts VET programs into a separate department, although VET </w:t>
      </w:r>
      <w:proofErr w:type="gramStart"/>
      <w:r>
        <w:t>staff are</w:t>
      </w:r>
      <w:proofErr w:type="gramEnd"/>
      <w:r>
        <w:t xml:space="preserve"> under the same award as higher education lecturers. The majority of full-time higher education teaching staff are in the schools of education or ministry and theology, and are PhD-qualified or enrolled in PhD programs. There is a strong use of part-time faculty and adjuncts to deliver the higher education courses. Tabor Adelaide supports the teaching and research development of its higher education staff. Seminars are conducted and awards in learning and teaching are given. </w:t>
      </w:r>
    </w:p>
    <w:p w:rsidR="0075281A" w:rsidRPr="003B2DD5" w:rsidRDefault="0075281A" w:rsidP="00094819">
      <w:pPr>
        <w:pStyle w:val="Text"/>
        <w:ind w:right="141"/>
      </w:pPr>
      <w:r>
        <w:t>Teaching is the core focus of higher education staff, not research. However, in many cases this higher education teaching is supported by scholarship, with the research interests of full-time higher education staff listed as topics in religion, theology and history. There is a workload model for higher education staff for research activity, which allocates</w:t>
      </w:r>
      <w:r w:rsidR="00AB27E1">
        <w:t xml:space="preserve"> annual</w:t>
      </w:r>
      <w:r>
        <w:t xml:space="preserve"> hours for research and</w:t>
      </w:r>
      <w:r w:rsidR="00AB27E1">
        <w:t xml:space="preserve"> annual</w:t>
      </w:r>
      <w:r>
        <w:t xml:space="preserve"> hours for scholarship. A number of staff </w:t>
      </w:r>
      <w:proofErr w:type="gramStart"/>
      <w:r>
        <w:t>publish</w:t>
      </w:r>
      <w:proofErr w:type="gramEnd"/>
      <w:r>
        <w:t xml:space="preserve"> in scholarly publications</w:t>
      </w:r>
      <w:r w:rsidR="00AB27E1">
        <w:t>,</w:t>
      </w:r>
      <w:r>
        <w:t xml:space="preserve"> including monographs, peer-reviewed journal articles and occasional papers. Some are engaged in national and international collaborative research programs, w</w:t>
      </w:r>
      <w:r w:rsidRPr="003B2DD5">
        <w:t xml:space="preserve">hile there is a good level of support for attendance at short courses and conferences. </w:t>
      </w:r>
    </w:p>
    <w:p w:rsidR="0075281A" w:rsidRDefault="0075281A" w:rsidP="00094819">
      <w:pPr>
        <w:pStyle w:val="Text"/>
      </w:pPr>
      <w:r w:rsidRPr="003B2DD5">
        <w:t xml:space="preserve">As with </w:t>
      </w:r>
      <w:r w:rsidR="00AB27E1">
        <w:t xml:space="preserve">the </w:t>
      </w:r>
      <w:r w:rsidRPr="003B2DD5">
        <w:t xml:space="preserve">other cases (for </w:t>
      </w:r>
      <w:r>
        <w:t>example, Think, Polytechnic West, TAFE SA), the college seeks a point of difference, with</w:t>
      </w:r>
      <w:r w:rsidR="00AB27E1">
        <w:t xml:space="preserve"> this being</w:t>
      </w:r>
      <w:r>
        <w:t xml:space="preserve"> its consistently high levels of student satisfaction. At Tabor Adelaide, the flexibility of study arrangements, the small sizes of its classes and the ability of teaching staff to take a more personal interest in students are attributed as the key factors behind the high levels of overall student satisfaction. The college has a strong culture of community and student support, with various strategies to improve attrition rates. </w:t>
      </w:r>
      <w:proofErr w:type="gramStart"/>
      <w:r>
        <w:t>Its</w:t>
      </w:r>
      <w:proofErr w:type="gramEnd"/>
      <w:r>
        <w:t xml:space="preserve"> Life Design Counselling </w:t>
      </w:r>
      <w:r w:rsidRPr="00CA35CF">
        <w:t xml:space="preserve">and Education Centre </w:t>
      </w:r>
      <w:r>
        <w:t>provides professional counselling services for students.</w:t>
      </w:r>
    </w:p>
    <w:p w:rsidR="0075281A" w:rsidRDefault="0075281A" w:rsidP="00094819">
      <w:pPr>
        <w:pStyle w:val="Heading2"/>
      </w:pPr>
      <w:bookmarkStart w:id="139" w:name="_Toc396117537"/>
      <w:bookmarkStart w:id="140" w:name="_Toc419972099"/>
      <w:r>
        <w:lastRenderedPageBreak/>
        <w:t>Summary: Research question 2</w:t>
      </w:r>
      <w:bookmarkEnd w:id="139"/>
      <w:bookmarkEnd w:id="140"/>
    </w:p>
    <w:p w:rsidR="0075281A" w:rsidRPr="003B2DD5" w:rsidRDefault="0075281A" w:rsidP="00094819">
      <w:pPr>
        <w:pStyle w:val="Text"/>
      </w:pPr>
      <w:r>
        <w:t xml:space="preserve">All six of the case study providers, except in a few specialist areas, do not report great difficulty in accessing trained and qualified staff to deliver their higher education programs. All make use of a large pool of qualified sessional and casual staff. None of the case study providers has concerns about their capability to design and deliver successful higher education programs. However, they do accept that capability in higher education requires ongoing attention and effort. Each highlighted the challenges associated with defining and providing access to ongoing scholarship, noting that their current interest in scholarship is still emerging and understandably is more related to its </w:t>
      </w:r>
      <w:r w:rsidR="00AB27E1">
        <w:t>usefulness in</w:t>
      </w:r>
      <w:r>
        <w:t xml:space="preserve"> support</w:t>
      </w:r>
      <w:r w:rsidR="00AB27E1">
        <w:t>ing</w:t>
      </w:r>
      <w:r>
        <w:t xml:space="preserve"> applied teaching and learning. Their position on scholarship is aligned with the applied and professional nature of their higher edu</w:t>
      </w:r>
      <w:r w:rsidRPr="003B2DD5">
        <w:t>cation programs.</w:t>
      </w:r>
    </w:p>
    <w:p w:rsidR="0075281A" w:rsidRDefault="0075281A" w:rsidP="00094819">
      <w:pPr>
        <w:pStyle w:val="Text"/>
      </w:pPr>
      <w:r w:rsidRPr="003B2DD5">
        <w:t>All have significant student support serv</w:t>
      </w:r>
      <w:r>
        <w:t>ices in place and indeed are proud of their student-centred approaches and the high levels of satisfaction reported by their students. Across the organisations</w:t>
      </w:r>
      <w:r w:rsidR="00AB27E1">
        <w:t>,</w:t>
      </w:r>
      <w:r>
        <w:t xml:space="preserve"> student engagement and attrition are issues requiring constant attention, with special actions in place to promote access, participation, completion and employment support (for example, Holmesglen, Polytechnic West). They employ a range of strategies, including the use of their strong partnerships with industry to access student placements and assignments early in the higher education qualifications, </w:t>
      </w:r>
      <w:r w:rsidR="00AB27E1">
        <w:t>to</w:t>
      </w:r>
      <w:r>
        <w:t xml:space="preserve"> promot</w:t>
      </w:r>
      <w:r w:rsidR="00AB27E1">
        <w:t>e</w:t>
      </w:r>
      <w:r>
        <w:t xml:space="preserve"> the applied value to students of their in-class or online learning. In short, in these institutions there is a culture of capability building for staff and students alike, with ongoing and continuous review and improvements being critical. Linked to this are targets in some instances to outperform the larger universities in placing their higher education graduates in successful employment. </w:t>
      </w:r>
    </w:p>
    <w:p w:rsidR="0075281A" w:rsidRDefault="0075281A" w:rsidP="00094819">
      <w:pPr>
        <w:pStyle w:val="Heading2"/>
      </w:pPr>
      <w:bookmarkStart w:id="141" w:name="_Toc396117538"/>
      <w:bookmarkStart w:id="142" w:name="_Toc419972100"/>
      <w:r>
        <w:t>Operational issues</w:t>
      </w:r>
      <w:bookmarkEnd w:id="141"/>
      <w:bookmarkEnd w:id="142"/>
    </w:p>
    <w:p w:rsidR="0075281A" w:rsidRDefault="0075281A" w:rsidP="00094819">
      <w:pPr>
        <w:pStyle w:val="Heading3"/>
        <w:spacing w:before="120"/>
      </w:pPr>
      <w:bookmarkStart w:id="143" w:name="_Toc396117539"/>
      <w:r>
        <w:t>Canberra Institute of Technology</w:t>
      </w:r>
      <w:bookmarkEnd w:id="143"/>
      <w:r>
        <w:t xml:space="preserve"> </w:t>
      </w:r>
    </w:p>
    <w:p w:rsidR="0075281A" w:rsidRDefault="0075281A" w:rsidP="00094819">
      <w:pPr>
        <w:pStyle w:val="Textlessbefore"/>
      </w:pPr>
      <w:r>
        <w:t>Until recently, CIT was subject to the ACT Registration Council, and under the regulatory guidance of this authority its four degree programs were designed and accredited. However, recent changes in the higher education regulatory environment have moved the responsibility for accreditation of courses to the Tertiary Education Quality Standards Agency. As with other VET institutions offering higher education courses, CIT has had to review its structures and processes to ensure that the institution meets the new higher education standards and regulation of TEQSA. However, some key issues have emerged at CIT under th</w:t>
      </w:r>
      <w:r w:rsidR="00AB27E1">
        <w:t>is</w:t>
      </w:r>
      <w:r>
        <w:t xml:space="preserve"> new </w:t>
      </w:r>
      <w:r w:rsidR="00AB27E1">
        <w:t>regime, including</w:t>
      </w:r>
      <w:r>
        <w:t xml:space="preserve">: increased workloads in preparing for and completing the five-year review cycle; shorter timelines for submission; increased requirements associated with data collection and submission; increased fees for renewal of both higher education registration and higher education course accreditation </w:t>
      </w:r>
      <w:r w:rsidR="00AB27E1">
        <w:t>(</w:t>
      </w:r>
      <w:r>
        <w:t>the costs of re-accreditation of one CIT degree are estimated at about $100 000, equivalent to nine months of commitment by a senior manager</w:t>
      </w:r>
      <w:r w:rsidR="00AB27E1">
        <w:t>)</w:t>
      </w:r>
      <w:r>
        <w:t xml:space="preserve">; and slower accreditation and re-accreditation processes. </w:t>
      </w:r>
    </w:p>
    <w:p w:rsidR="0075281A" w:rsidRPr="003B2DD5" w:rsidRDefault="0075281A" w:rsidP="00094819">
      <w:pPr>
        <w:pStyle w:val="Text"/>
      </w:pPr>
      <w:r>
        <w:t xml:space="preserve">The costs of resourcing, staffing, delivering, marketing and now re-accrediting have led to a recent decision by CIT to discontinue its two degrees in photography and fashion. These are currently small enrolments, and a number of other institutions now offer similar qualifications. In addition, CIT has not sought re-accreditation of its associate degrees. CIT’s associate degrees in science and in engineering articulated directly into ANU degree </w:t>
      </w:r>
      <w:r w:rsidRPr="003B2DD5">
        <w:t xml:space="preserve">programs through a partnership arrangement. </w:t>
      </w:r>
    </w:p>
    <w:p w:rsidR="0075281A" w:rsidRDefault="0075281A" w:rsidP="00094819">
      <w:pPr>
        <w:pStyle w:val="Text"/>
      </w:pPr>
      <w:r w:rsidRPr="003B2DD5">
        <w:t>However, due to decisions by ANU to alter this pa</w:t>
      </w:r>
      <w:r>
        <w:t xml:space="preserve">rtnership, CIT </w:t>
      </w:r>
      <w:r w:rsidR="00DF4FB2">
        <w:t>will graduate the existing cohort of students and delay future enrolments</w:t>
      </w:r>
      <w:r>
        <w:t xml:space="preserve">. CIT’s new positioning in these fields will be with vocational graduate certificates, as they are judged to be easier for accreditation in CIT. Currently CIT is seeking </w:t>
      </w:r>
      <w:r>
        <w:lastRenderedPageBreak/>
        <w:t>re-accreditation for only two of its degree programs, in forensic science</w:t>
      </w:r>
      <w:r w:rsidR="00121DCF">
        <w:t>,</w:t>
      </w:r>
      <w:r>
        <w:t xml:space="preserve"> and games and virtual worlds. It plans to grow the competitiveness of these higher education programs through cross-sectoral linkages with ACT universities and private providers, and in particular through the strong industry relationships associated with each degree. </w:t>
      </w:r>
    </w:p>
    <w:p w:rsidR="0075281A" w:rsidRDefault="0075281A" w:rsidP="00094819">
      <w:pPr>
        <w:pStyle w:val="Heading3"/>
      </w:pPr>
      <w:bookmarkStart w:id="144" w:name="_Toc396117540"/>
      <w:r>
        <w:t>TAFE SA</w:t>
      </w:r>
      <w:bookmarkEnd w:id="144"/>
    </w:p>
    <w:p w:rsidR="0075281A" w:rsidRDefault="00121DCF" w:rsidP="00094819">
      <w:pPr>
        <w:pStyle w:val="Textlessbefore"/>
      </w:pPr>
      <w:r>
        <w:t xml:space="preserve">Since 2008 </w:t>
      </w:r>
      <w:r w:rsidR="0075281A">
        <w:t xml:space="preserve">TAFE SA has had a comprehensive higher education governance structure which continues to support its delivery of higher education qualifications. The development and embedding of this higher education governance structure and approach was in part undertaken </w:t>
      </w:r>
      <w:r>
        <w:t>to enable</w:t>
      </w:r>
      <w:r w:rsidR="0075281A">
        <w:t xml:space="preserve"> TAFE SA to prepare for the implementation of the National Protocols and National Guidelines for Higher Education Approval Processes (as approved by Ministerial Council on Education, Employment, Training and Youth Affairs in October 2007) in South Australia. Then, further changes in the higher education regulatory environment were announced with the Tertiary Education Quality Standards Agency at the end of January 2012. The key differences under TEQSA include: a greater reliance on submitted policy documentation and evidence for approval assessment; increased time and cost in data collection/submission requirements; and increased fees for renewal of both higher education registration and higher education course accreditation. Despite these developments, TAFE SA has decided to maintain its higher education registration, given its investment to date. However, it plans to meet only the minimum requirement of one accredited higher education course to maintain its higher education provider status. </w:t>
      </w:r>
    </w:p>
    <w:p w:rsidR="0075281A" w:rsidRDefault="0075281A" w:rsidP="00094819">
      <w:pPr>
        <w:pStyle w:val="Heading3"/>
      </w:pPr>
      <w:bookmarkStart w:id="145" w:name="_Toc396117541"/>
      <w:r>
        <w:t>Holmesglen Institute</w:t>
      </w:r>
      <w:bookmarkEnd w:id="145"/>
      <w:r>
        <w:t xml:space="preserve"> </w:t>
      </w:r>
    </w:p>
    <w:p w:rsidR="0075281A" w:rsidRDefault="0075281A" w:rsidP="00094819">
      <w:pPr>
        <w:pStyle w:val="Textlessbefore"/>
      </w:pPr>
      <w:r>
        <w:t xml:space="preserve">Holmesglen’s previous experience as a contracted deliverer of components of higher education courses for universities meant that its staff had a clear idea of what was involved in establishing a higher education portfolio in its own right. As of 2012, Holmesglen’s higher education governance arrangements </w:t>
      </w:r>
      <w:r w:rsidR="00121DCF">
        <w:t>have</w:t>
      </w:r>
      <w:r>
        <w:t xml:space="preserve"> involve</w:t>
      </w:r>
      <w:r w:rsidR="00121DCF">
        <w:t>d</w:t>
      </w:r>
      <w:r>
        <w:t xml:space="preserve"> the Holmesglen Board, which provides the strategic direction and resources for the development and delivery of higher education programs at Holmesglen; the Higher Education Academic Committee, which provides guidance on governance and quality assurance and monitors the provision of higher education programs; and the Higher Education Support Unit, which provides the staff and skills to guide the faculties and their teams through the various stages of higher education course development and course accreditation. Under its new Chief Executive, Holmesglen is restructuring its higher education governance arrangements </w:t>
      </w:r>
      <w:r w:rsidR="00121DCF">
        <w:t>and will</w:t>
      </w:r>
      <w:r>
        <w:t xml:space="preserve"> include the establishment of a Dean of Higher Education and Strategic Partnership, among whose duties will be responsibility for identifying new opportunities for Holmesglen in the higher education sector. </w:t>
      </w:r>
    </w:p>
    <w:p w:rsidR="0075281A" w:rsidRPr="004122D5" w:rsidRDefault="0075281A" w:rsidP="00094819">
      <w:pPr>
        <w:pStyle w:val="Text"/>
      </w:pPr>
      <w:r>
        <w:t xml:space="preserve">As with </w:t>
      </w:r>
      <w:r w:rsidR="00121DCF">
        <w:t xml:space="preserve">the </w:t>
      </w:r>
      <w:r>
        <w:t>other cases (for example, CIT, TAFE SA, Polytechnic West), higher education programs are appropriately researched to ensure congruence with the institute’s strategic direction. The key steps include a feasibility study undertaken to determine course outcomes, including the pedagogical framework to achieve the outcomes, professional and/or industry recognition</w:t>
      </w:r>
      <w:r w:rsidR="00121DCF">
        <w:t>,</w:t>
      </w:r>
      <w:r>
        <w:t xml:space="preserve"> and a rationale against the Australian Qualifications Framework. To further maximise opportunities for students, graduate pathways and articulation arrangements are incorporated into the design process. As with </w:t>
      </w:r>
      <w:r w:rsidR="00121DCF">
        <w:t xml:space="preserve">the </w:t>
      </w:r>
      <w:r>
        <w:t xml:space="preserve">other cases, there has been a considerable extra cost under TEQSA. Holmesglen has detailed these financial and related costs to the Review of Higher Education Regulation (Dow &amp; Braithwaite 2013). Holmesglen is proactive in advocating for the extension of Commonwealth Supported Places for domestic higher education students and their advocacy has been </w:t>
      </w:r>
      <w:r w:rsidRPr="005523F0">
        <w:rPr>
          <w:szCs w:val="19"/>
        </w:rPr>
        <w:t xml:space="preserve">facilitated by TAFE Directors </w:t>
      </w:r>
      <w:r w:rsidR="00A65479">
        <w:rPr>
          <w:szCs w:val="19"/>
        </w:rPr>
        <w:t>Australia</w:t>
      </w:r>
      <w:r w:rsidRPr="005523F0">
        <w:rPr>
          <w:szCs w:val="19"/>
        </w:rPr>
        <w:t xml:space="preserve"> </w:t>
      </w:r>
      <w:r>
        <w:rPr>
          <w:szCs w:val="19"/>
        </w:rPr>
        <w:t>(2013a, 2013b, 2013c)</w:t>
      </w:r>
      <w:r w:rsidR="00121DCF">
        <w:rPr>
          <w:szCs w:val="19"/>
        </w:rPr>
        <w:t>,</w:t>
      </w:r>
      <w:r>
        <w:rPr>
          <w:szCs w:val="19"/>
        </w:rPr>
        <w:t xml:space="preserve"> including</w:t>
      </w:r>
      <w:r w:rsidR="00121DCF">
        <w:rPr>
          <w:szCs w:val="19"/>
        </w:rPr>
        <w:t xml:space="preserve"> with</w:t>
      </w:r>
      <w:r>
        <w:rPr>
          <w:szCs w:val="19"/>
        </w:rPr>
        <w:t xml:space="preserve"> policy and position papers. </w:t>
      </w:r>
    </w:p>
    <w:p w:rsidR="00121DCF" w:rsidRDefault="00121DCF">
      <w:pPr>
        <w:spacing w:before="0" w:line="240" w:lineRule="auto"/>
        <w:rPr>
          <w:rFonts w:ascii="Arial" w:hAnsi="Arial" w:cs="Tahoma"/>
          <w:color w:val="000000"/>
          <w:sz w:val="24"/>
        </w:rPr>
      </w:pPr>
      <w:bookmarkStart w:id="146" w:name="_Toc396117542"/>
      <w:r>
        <w:br w:type="page"/>
      </w:r>
    </w:p>
    <w:p w:rsidR="0075281A" w:rsidRDefault="0075281A" w:rsidP="00094819">
      <w:pPr>
        <w:pStyle w:val="Heading3"/>
      </w:pPr>
      <w:r>
        <w:lastRenderedPageBreak/>
        <w:t>Polytechnic West</w:t>
      </w:r>
      <w:bookmarkEnd w:id="146"/>
    </w:p>
    <w:p w:rsidR="0075281A" w:rsidRDefault="0075281A" w:rsidP="00094819">
      <w:pPr>
        <w:pStyle w:val="Textlessbefore"/>
      </w:pPr>
      <w:r>
        <w:t>When Polytechnic West entered higher education in 2007, the regulator was the WA State Department of Education Services (DES). Five years later</w:t>
      </w:r>
      <w:r w:rsidR="00121DCF">
        <w:t>,</w:t>
      </w:r>
      <w:r>
        <w:t xml:space="preserve"> with the move to TEQSA, a prolonged accreditation period of up to 18 months arose for Polytechnic West. TEQSA inherited some 65 outstanding registration and accreditation matters to finalise in accord with </w:t>
      </w:r>
      <w:r w:rsidR="00121DCF">
        <w:t xml:space="preserve">the </w:t>
      </w:r>
      <w:r>
        <w:t>new higher education Threshold Standards set out in the TEQSA Act (Dow &amp; Braithwaite 2013). By the time TEQSA came to consider Polytechnic West’s outstanding course renewal accreditation documents, some were out of date and consequently required renewal activity. In addition</w:t>
      </w:r>
      <w:r w:rsidR="00121DCF">
        <w:t>,</w:t>
      </w:r>
      <w:r>
        <w:t xml:space="preserve"> some information was not presented in the way TEQSA required. Consequently, the costs of higher education course development and accreditation were higher, and in some cases no delivery occurred</w:t>
      </w:r>
      <w:r w:rsidR="00121DCF">
        <w:t>,</w:t>
      </w:r>
      <w:r>
        <w:t xml:space="preserve"> as alternative VET courses had become available in the meantime. As these alternative VET programs provided similar graduate outcomes to some associate degree courses, Polytechnic West decided to withdraw from the re-accreditation process for some</w:t>
      </w:r>
      <w:r w:rsidR="00121DCF">
        <w:t xml:space="preserve"> of the</w:t>
      </w:r>
      <w:r>
        <w:t xml:space="preserve"> higher education courses. </w:t>
      </w:r>
    </w:p>
    <w:p w:rsidR="0075281A" w:rsidRDefault="0075281A" w:rsidP="00094819">
      <w:pPr>
        <w:pStyle w:val="Text"/>
        <w:ind w:right="-143"/>
      </w:pPr>
      <w:r>
        <w:t>This experience has led Polytechnic West to focus on review and consolidation of the business case for all of its existing associate degrees. All higher education courses are run as fee</w:t>
      </w:r>
      <w:r w:rsidR="00121DCF">
        <w:t>-</w:t>
      </w:r>
      <w:r>
        <w:t>for</w:t>
      </w:r>
      <w:r w:rsidR="00121DCF">
        <w:t>-</w:t>
      </w:r>
      <w:r>
        <w:t>service, so all costs in developing, accrediting, marketing, delivering and reporting on the courses, as well as in maintaining higher education registration</w:t>
      </w:r>
      <w:r w:rsidR="00121DCF">
        <w:t>,</w:t>
      </w:r>
      <w:r>
        <w:t xml:space="preserve"> have to be recouped through fees. Maintaining a critical mass of student enrolments is </w:t>
      </w:r>
      <w:proofErr w:type="gramStart"/>
      <w:r>
        <w:t>key</w:t>
      </w:r>
      <w:proofErr w:type="gramEnd"/>
      <w:r>
        <w:t xml:space="preserve"> to any higher education qualification remaining financially viable. While the institution believes that current tuition fees for its associate degree courses are competitive, any future growth in associate degrees will only occur where a sound business case is established.</w:t>
      </w:r>
    </w:p>
    <w:p w:rsidR="0075281A" w:rsidRDefault="0075281A" w:rsidP="00094819">
      <w:pPr>
        <w:pStyle w:val="Heading3"/>
      </w:pPr>
      <w:bookmarkStart w:id="147" w:name="_Toc396117543"/>
      <w:r>
        <w:t>Think: Education Group</w:t>
      </w:r>
      <w:bookmarkEnd w:id="147"/>
      <w:r>
        <w:t xml:space="preserve"> </w:t>
      </w:r>
    </w:p>
    <w:p w:rsidR="0075281A" w:rsidRDefault="0075281A" w:rsidP="00121DCF">
      <w:pPr>
        <w:pStyle w:val="Textlessbefore"/>
        <w:ind w:right="141"/>
      </w:pPr>
      <w:r>
        <w:t xml:space="preserve">As with the other providers, governance issues are paramount to </w:t>
      </w:r>
      <w:proofErr w:type="gramStart"/>
      <w:r>
        <w:t>Think</w:t>
      </w:r>
      <w:proofErr w:type="gramEnd"/>
      <w:r>
        <w:t xml:space="preserve"> to enable the organisation to operate successfully in the highly regulated VET and higher education sectors. Think has an independent academic board, and quality assurance and continuous improvement of </w:t>
      </w:r>
      <w:r w:rsidR="00121DCF">
        <w:t xml:space="preserve">the </w:t>
      </w:r>
      <w:r>
        <w:t xml:space="preserve">courses are ‘top of the mind’ at Think. At the same time, due to its growth through various amalgamations, Think is still developing the best alignment across its colleges for its learning and teaching policies and functions. </w:t>
      </w:r>
    </w:p>
    <w:p w:rsidR="0075281A" w:rsidRDefault="0075281A" w:rsidP="00094819">
      <w:pPr>
        <w:pStyle w:val="Text"/>
      </w:pPr>
      <w:r>
        <w:t xml:space="preserve">As reported in </w:t>
      </w:r>
      <w:r w:rsidR="00121DCF">
        <w:t xml:space="preserve">the </w:t>
      </w:r>
      <w:r>
        <w:t xml:space="preserve">other case studies, maintaining accreditation across both the VET and higher education sectors is a major cost. Some 35 qualifications have been successfully accredited in the last 18 months with TEQSA. In common with the other cases, Think manages this costly, complex and time-consuming process by developing curricula in house, undertaking curricula/assessment mapping exercises against student learning outcomes, benchmarking against competitors and other institutions, using working parties with internal and some external members and consultants (for example, course adviser committees), and allowing six to 12 months for preparation of the submissions to TEQSA. One TEQSA submission for the re-accreditation of five degrees was a document of over 5000 pages. In response, Think has decided not to renew some higher education qualifications. </w:t>
      </w:r>
    </w:p>
    <w:p w:rsidR="0075281A" w:rsidRDefault="0075281A" w:rsidP="00094819">
      <w:pPr>
        <w:pStyle w:val="Heading3"/>
      </w:pPr>
      <w:bookmarkStart w:id="148" w:name="_Toc396117544"/>
      <w:r>
        <w:t>Tabor Adelaide</w:t>
      </w:r>
      <w:bookmarkEnd w:id="148"/>
    </w:p>
    <w:p w:rsidR="0075281A" w:rsidRDefault="0075281A" w:rsidP="00094819">
      <w:pPr>
        <w:pStyle w:val="Textlessbefore"/>
      </w:pPr>
      <w:r>
        <w:t xml:space="preserve">As with the other cases, Tabor has a well-established governance structure. </w:t>
      </w:r>
      <w:r w:rsidR="00D23988">
        <w:t>The</w:t>
      </w:r>
      <w:r>
        <w:t xml:space="preserve"> Coursework Quality Assurance Committee and Research Quality Assurance Committee provide internal oversight and monitor academic standards, and they report to academic staff and to the Academic Board on such matters. Despite these existing arrangements, the college is moving to adopt a more formal framework of processes and quality assurance as it transitions to the next phase of its development. </w:t>
      </w:r>
    </w:p>
    <w:p w:rsidR="0075281A" w:rsidRDefault="0075281A" w:rsidP="00094819">
      <w:pPr>
        <w:pStyle w:val="Text"/>
      </w:pPr>
      <w:r>
        <w:lastRenderedPageBreak/>
        <w:t>As a small non-self-accrediting</w:t>
      </w:r>
      <w:r w:rsidRPr="008C05F0">
        <w:t xml:space="preserve"> </w:t>
      </w:r>
      <w:r>
        <w:t>institution, the costs are high for higher education accreditation. Tabor reports an internal estimate of some 12—18 months of staff time working on the recent TEQSA submission, and a cash amount estimated at about $250 000. Their past experience with the Australian Universities Quality Agency was that it provided a quality-improvement approach</w:t>
      </w:r>
      <w:r w:rsidR="00121DCF">
        <w:t>,</w:t>
      </w:r>
      <w:r>
        <w:t xml:space="preserve"> whereby the institute was seen to be a partner in the process. However, in the recent TEQSA experience Tabor Adelaide found that many questions were unclear, and </w:t>
      </w:r>
      <w:r w:rsidR="00121DCF">
        <w:t xml:space="preserve">that </w:t>
      </w:r>
      <w:r>
        <w:t xml:space="preserve">TEQSA was not very helpful in trying to understand the contextual and operational demands on Tabor. At the centre of these issues was a set of reporting requirements written for a large public university rather than for a small higher education provider. </w:t>
      </w:r>
    </w:p>
    <w:p w:rsidR="0075281A" w:rsidRDefault="0075281A" w:rsidP="00094819">
      <w:pPr>
        <w:pStyle w:val="Heading2"/>
      </w:pPr>
      <w:bookmarkStart w:id="149" w:name="_Toc396117545"/>
      <w:bookmarkStart w:id="150" w:name="_Toc419972101"/>
      <w:r>
        <w:t>Summary: Research question 3</w:t>
      </w:r>
      <w:bookmarkEnd w:id="149"/>
      <w:bookmarkEnd w:id="150"/>
    </w:p>
    <w:p w:rsidR="0075281A" w:rsidRPr="003B2DD5" w:rsidRDefault="0075281A" w:rsidP="00094819">
      <w:pPr>
        <w:pStyle w:val="Text"/>
        <w:ind w:right="-143"/>
      </w:pPr>
      <w:r>
        <w:t xml:space="preserve">There are similar operational challenges across these organisations that have transitioned to offering higher education qualifications. The challenges include the costs of accreditation of their higher education degree courses and for higher education provider registration, balanced against the revenue and continued viability of higher education courses </w:t>
      </w:r>
      <w:r w:rsidR="00121DCF">
        <w:t>in which</w:t>
      </w:r>
      <w:r>
        <w:t xml:space="preserve"> the vast majority of students pay full fees. As VET providers of higher education in their own right, these organisations do not receive Commonwealth funding for their hi</w:t>
      </w:r>
      <w:r w:rsidRPr="003B2DD5">
        <w:t xml:space="preserve">gher education students, although students often receive FEE-HELP. </w:t>
      </w:r>
    </w:p>
    <w:p w:rsidR="0075281A" w:rsidRDefault="0075281A" w:rsidP="00094819">
      <w:pPr>
        <w:pStyle w:val="Text"/>
      </w:pPr>
      <w:r w:rsidRPr="003B2DD5">
        <w:t>Our cases reveal strong and evolvin</w:t>
      </w:r>
      <w:r>
        <w:t>g governance structures that support the development and delivery of their higher education qualifications. Initially, different operational arrangements for higher education were often managed as exceptions to VET arrangements. Supporting units, governance structures, policies and procedures have become more differentiated over time, with the formation of a higher education support leader and unit being a key development for this differentiation. While these organisations are fully aware of the requirements and demands for higher education course development and accreditation, the governance and regulatory environment has changed considerably with the arrival of</w:t>
      </w:r>
      <w:r w:rsidR="00121DCF">
        <w:t xml:space="preserve"> the</w:t>
      </w:r>
      <w:r>
        <w:t xml:space="preserve"> Tertiary Education Quality Standards Agency. Reporting to TEQSA in relation to its current expectations has been costly. In response to this and other factors (for example, viability of small classes, changes in state VET funding policy), some organisations have reduced the delivery of higher education qualifications in their own right (for example, TAFE SA, Polytechnic West), while others will</w:t>
      </w:r>
      <w:r w:rsidR="00121DCF">
        <w:t xml:space="preserve"> continue to</w:t>
      </w:r>
      <w:r>
        <w:t xml:space="preserve"> deliver these qualifications but in partnerships with universities or other providers (for example, CIT). </w:t>
      </w:r>
    </w:p>
    <w:p w:rsidR="0075281A" w:rsidRDefault="0075281A">
      <w:pPr>
        <w:spacing w:before="0" w:line="240" w:lineRule="auto"/>
        <w:rPr>
          <w:rFonts w:ascii="Tahoma" w:hAnsi="Tahoma" w:cs="Tahoma"/>
          <w:color w:val="000000"/>
          <w:kern w:val="28"/>
          <w:sz w:val="56"/>
          <w:szCs w:val="56"/>
        </w:rPr>
      </w:pPr>
    </w:p>
    <w:p w:rsidR="0075281A" w:rsidRDefault="0075281A">
      <w:pPr>
        <w:spacing w:before="0" w:line="240" w:lineRule="auto"/>
        <w:rPr>
          <w:rFonts w:ascii="Tahoma" w:hAnsi="Tahoma" w:cs="Tahoma"/>
          <w:color w:val="000000"/>
          <w:kern w:val="28"/>
          <w:sz w:val="56"/>
          <w:szCs w:val="56"/>
        </w:rPr>
      </w:pPr>
      <w:bookmarkStart w:id="151" w:name="_Toc396117546"/>
      <w:r>
        <w:br w:type="page"/>
      </w:r>
    </w:p>
    <w:p w:rsidR="0075281A" w:rsidRDefault="00AA64F3" w:rsidP="00AA64F3">
      <w:pPr>
        <w:pStyle w:val="Heading1"/>
        <w:tabs>
          <w:tab w:val="left" w:pos="709"/>
        </w:tabs>
      </w:pPr>
      <w:bookmarkStart w:id="152" w:name="_Toc419972102"/>
      <w:r>
        <w:rPr>
          <w:noProof/>
          <w:lang w:eastAsia="en-AU"/>
        </w:rPr>
        <w:lastRenderedPageBreak/>
        <w:drawing>
          <wp:anchor distT="0" distB="0" distL="114300" distR="114300" simplePos="0" relativeHeight="252002304" behindDoc="0" locked="0" layoutInCell="1" allowOverlap="1" wp14:anchorId="36E2454A" wp14:editId="2188E8B3">
            <wp:simplePos x="0" y="0"/>
            <wp:positionH relativeFrom="column">
              <wp:posOffset>-4445</wp:posOffset>
            </wp:positionH>
            <wp:positionV relativeFrom="paragraph">
              <wp:posOffset>-76835</wp:posOffset>
            </wp:positionV>
            <wp:extent cx="414020" cy="414020"/>
            <wp:effectExtent l="0" t="0" r="5080" b="5080"/>
            <wp:wrapNone/>
            <wp:docPr id="5" name="Picture 5"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Conclusio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75281A">
        <w:t>Conclusions</w:t>
      </w:r>
      <w:bookmarkEnd w:id="151"/>
      <w:bookmarkEnd w:id="152"/>
      <w:r w:rsidR="0075281A">
        <w:t xml:space="preserve"> </w:t>
      </w:r>
    </w:p>
    <w:p w:rsidR="0075281A" w:rsidRDefault="0075281A" w:rsidP="00094819">
      <w:pPr>
        <w:pStyle w:val="Heading2"/>
      </w:pPr>
      <w:bookmarkStart w:id="153" w:name="_Toc396117547"/>
      <w:bookmarkStart w:id="154" w:name="_Toc419972103"/>
      <w:r>
        <w:t>Best practice guides</w:t>
      </w:r>
      <w:bookmarkEnd w:id="153"/>
      <w:bookmarkEnd w:id="154"/>
    </w:p>
    <w:p w:rsidR="0075281A" w:rsidRDefault="0075281A" w:rsidP="00094819">
      <w:pPr>
        <w:pStyle w:val="Text"/>
      </w:pPr>
      <w:r>
        <w:t>One purpose in preparing the six case studies was to formulate some ideas on best practice as a potential guide to VET providers that have made or are considering making similar transitions into higher education.</w:t>
      </w:r>
      <w:r w:rsidRPr="00FE058E">
        <w:t xml:space="preserve"> </w:t>
      </w:r>
      <w:r>
        <w:t>Some of these ideas follow</w:t>
      </w:r>
      <w:r w:rsidRPr="00C27A6D">
        <w:t>. Readers will find more details and perhaps further ideas by reading the case studies in full (</w:t>
      </w:r>
      <w:r>
        <w:t xml:space="preserve">see the support document). </w:t>
      </w:r>
    </w:p>
    <w:p w:rsidR="0075281A" w:rsidRDefault="0075281A" w:rsidP="00094819">
      <w:pPr>
        <w:pStyle w:val="Heading3"/>
      </w:pPr>
      <w:bookmarkStart w:id="155" w:name="_Toc396117548"/>
      <w:r>
        <w:t>Be strategic</w:t>
      </w:r>
      <w:bookmarkEnd w:id="155"/>
      <w:r>
        <w:t xml:space="preserve"> </w:t>
      </w:r>
    </w:p>
    <w:p w:rsidR="0075281A" w:rsidRDefault="0075281A" w:rsidP="00094819">
      <w:pPr>
        <w:pStyle w:val="Textlessbefore"/>
      </w:pPr>
      <w:r>
        <w:t>Success will be linked to the supply of higher education degrees to</w:t>
      </w:r>
      <w:r w:rsidR="009322C7">
        <w:t xml:space="preserve"> the</w:t>
      </w:r>
      <w:r>
        <w:t xml:space="preserve"> niche markets </w:t>
      </w:r>
      <w:r w:rsidR="009322C7">
        <w:t>in which</w:t>
      </w:r>
      <w:r>
        <w:t xml:space="preserve"> VET providers have existing and special strengths. In particular, these successful VET </w:t>
      </w:r>
      <w:r w:rsidR="009322C7">
        <w:t xml:space="preserve">and </w:t>
      </w:r>
      <w:r>
        <w:t xml:space="preserve">higher education providers are delivering the applied field-based qualifications required by industries that wish to raise professional standards. The cases confirm that industry needs to be involved from the beginning in the strategic planning and implementation: from the development of the business plan, to offering industry experts the opportunity to assist in the design and delivery of higher education courses, to providing student placements and industry projects, </w:t>
      </w:r>
      <w:r w:rsidR="009322C7">
        <w:t xml:space="preserve">the latter </w:t>
      </w:r>
      <w:r>
        <w:t>which enhance the employability of graduating students. Importantly, as these cases reveal, strategic choices and positioning are constantly reviewed, with organisations being active agents in revising and seeking new strategies as markets and policy frameworks change.</w:t>
      </w:r>
    </w:p>
    <w:p w:rsidR="0075281A" w:rsidRDefault="0075281A" w:rsidP="00094819">
      <w:pPr>
        <w:pStyle w:val="Text"/>
      </w:pPr>
      <w:r>
        <w:t xml:space="preserve">A core feature of any good strategy is identifying points of difference and existing capability. Traditional VET organisations come into higher education with considerable experience in designing flexibility into delivery and assessment (for example, work-based assessment, e-assessment, e-portfolios); in establishing effective articulation and credit transfer arrangements; in the use of industry experts and student placements with industry (for example, to complete work-based projects and to seek jobs upon completion); and in how to engage and support students from more disadvantaged backgrounds. As </w:t>
      </w:r>
      <w:r w:rsidR="009322C7">
        <w:t>a</w:t>
      </w:r>
      <w:r>
        <w:t xml:space="preserve"> guide, table 3 presents the good practice characteristics identified in the Holmesglen Institute’s higher education courses. </w:t>
      </w:r>
    </w:p>
    <w:p w:rsidR="0075281A" w:rsidRDefault="0075281A" w:rsidP="00094819">
      <w:pPr>
        <w:pStyle w:val="tabletitle"/>
        <w:rPr>
          <w:rFonts w:eastAsiaTheme="minorHAnsi"/>
        </w:rPr>
      </w:pPr>
      <w:bookmarkStart w:id="156" w:name="_Toc419791096"/>
      <w:r w:rsidRPr="009C1840">
        <w:rPr>
          <w:rFonts w:cs="ITC Franklin Gothic Book"/>
          <w:color w:val="000000"/>
          <w:szCs w:val="19"/>
        </w:rPr>
        <w:t>T</w:t>
      </w:r>
      <w:r w:rsidRPr="009C1840">
        <w:rPr>
          <w:rFonts w:eastAsiaTheme="minorHAnsi"/>
        </w:rPr>
        <w:t>a</w:t>
      </w:r>
      <w:r w:rsidRPr="00FE2910">
        <w:rPr>
          <w:rFonts w:eastAsiaTheme="minorHAnsi"/>
        </w:rPr>
        <w:t xml:space="preserve">ble </w:t>
      </w:r>
      <w:r>
        <w:rPr>
          <w:rFonts w:eastAsiaTheme="minorHAnsi"/>
        </w:rPr>
        <w:t>3</w:t>
      </w:r>
      <w:r>
        <w:rPr>
          <w:rFonts w:eastAsiaTheme="minorHAnsi"/>
        </w:rPr>
        <w:tab/>
      </w:r>
      <w:r w:rsidRPr="00FE2910">
        <w:rPr>
          <w:rFonts w:eastAsiaTheme="minorHAnsi"/>
        </w:rPr>
        <w:t xml:space="preserve">Characteristics of a Holmesglen </w:t>
      </w:r>
      <w:r>
        <w:rPr>
          <w:rFonts w:eastAsiaTheme="minorHAnsi"/>
        </w:rPr>
        <w:t>higher education</w:t>
      </w:r>
      <w:r w:rsidRPr="00FE2910">
        <w:rPr>
          <w:rFonts w:eastAsiaTheme="minorHAnsi"/>
        </w:rPr>
        <w:t xml:space="preserve"> course</w:t>
      </w:r>
      <w:bookmarkEnd w:id="156"/>
      <w:r>
        <w:rPr>
          <w:rFonts w:eastAsiaTheme="minorHAnsi"/>
        </w:rPr>
        <w:t xml:space="preserve"> </w:t>
      </w:r>
    </w:p>
    <w:tbl>
      <w:tblPr>
        <w:tblStyle w:val="TableGrid"/>
        <w:tblW w:w="8789" w:type="dxa"/>
        <w:tblInd w:w="227" w:type="dxa"/>
        <w:tblBorders>
          <w:left w:val="none" w:sz="0" w:space="0" w:color="auto"/>
          <w:right w:val="none" w:sz="0" w:space="0" w:color="auto"/>
          <w:insideH w:val="none" w:sz="0" w:space="0" w:color="auto"/>
          <w:insideV w:val="none" w:sz="0" w:space="0" w:color="auto"/>
        </w:tblBorders>
        <w:tblLayout w:type="fixed"/>
        <w:tblCellMar>
          <w:left w:w="227" w:type="dxa"/>
          <w:right w:w="227" w:type="dxa"/>
        </w:tblCellMar>
        <w:tblLook w:val="04A0" w:firstRow="1" w:lastRow="0" w:firstColumn="1" w:lastColumn="0" w:noHBand="0" w:noVBand="1"/>
      </w:tblPr>
      <w:tblGrid>
        <w:gridCol w:w="8789"/>
      </w:tblGrid>
      <w:tr w:rsidR="0075281A" w:rsidTr="00094819">
        <w:tc>
          <w:tcPr>
            <w:tcW w:w="9004" w:type="dxa"/>
          </w:tcPr>
          <w:p w:rsidR="0075281A" w:rsidRPr="00B83E03" w:rsidRDefault="0075281A" w:rsidP="00094819">
            <w:pPr>
              <w:pStyle w:val="Tabletext"/>
              <w:spacing w:before="240"/>
              <w:ind w:left="227" w:hanging="227"/>
              <w:rPr>
                <w:lang w:eastAsia="en-AU"/>
              </w:rPr>
            </w:pPr>
            <w:r>
              <w:rPr>
                <w:lang w:eastAsia="en-AU"/>
              </w:rPr>
              <w:sym w:font="Wingdings" w:char="F0A7"/>
            </w:r>
            <w:r>
              <w:rPr>
                <w:lang w:eastAsia="en-AU"/>
              </w:rPr>
              <w:tab/>
              <w:t>designed</w:t>
            </w:r>
            <w:r w:rsidRPr="00B83E03">
              <w:rPr>
                <w:lang w:eastAsia="en-AU"/>
              </w:rPr>
              <w:t xml:space="preserve"> and delivered usi</w:t>
            </w:r>
            <w:r>
              <w:rPr>
                <w:lang w:eastAsia="en-AU"/>
              </w:rPr>
              <w:t>ng applied learning and student-</w:t>
            </w:r>
            <w:r w:rsidRPr="00B83E03">
              <w:rPr>
                <w:lang w:eastAsia="en-AU"/>
              </w:rPr>
              <w:t>centred principles</w:t>
            </w:r>
            <w:r>
              <w:rPr>
                <w:lang w:eastAsia="en-AU"/>
              </w:rPr>
              <w:t>,</w:t>
            </w:r>
            <w:r w:rsidRPr="00B83E03">
              <w:rPr>
                <w:lang w:eastAsia="en-AU"/>
              </w:rPr>
              <w:t xml:space="preserve"> including project-based learning, case-based learning or problem-based learning approaches</w:t>
            </w:r>
          </w:p>
          <w:p w:rsidR="0075281A" w:rsidRPr="00B83E03" w:rsidRDefault="0075281A" w:rsidP="00094819">
            <w:pPr>
              <w:pStyle w:val="Tabletext"/>
              <w:ind w:left="227" w:hanging="227"/>
            </w:pPr>
            <w:r>
              <w:rPr>
                <w:lang w:eastAsia="en-AU"/>
              </w:rPr>
              <w:sym w:font="Wingdings" w:char="F0A7"/>
            </w:r>
            <w:r>
              <w:rPr>
                <w:lang w:eastAsia="en-AU"/>
              </w:rPr>
              <w:tab/>
              <w:t>i</w:t>
            </w:r>
            <w:r w:rsidRPr="00B83E03">
              <w:rPr>
                <w:lang w:eastAsia="en-AU"/>
              </w:rPr>
              <w:t>dentif</w:t>
            </w:r>
            <w:r>
              <w:rPr>
                <w:lang w:eastAsia="en-AU"/>
              </w:rPr>
              <w:t>ies</w:t>
            </w:r>
            <w:r w:rsidRPr="00B83E03">
              <w:rPr>
                <w:lang w:eastAsia="en-AU"/>
              </w:rPr>
              <w:t xml:space="preserve"> </w:t>
            </w:r>
            <w:r>
              <w:rPr>
                <w:lang w:eastAsia="en-AU"/>
              </w:rPr>
              <w:t xml:space="preserve">clear professional outcomes, </w:t>
            </w:r>
            <w:r w:rsidRPr="00B83E03">
              <w:rPr>
                <w:lang w:eastAsia="en-AU"/>
              </w:rPr>
              <w:t>delivers career alignment</w:t>
            </w:r>
            <w:r>
              <w:t>, d</w:t>
            </w:r>
            <w:r w:rsidRPr="00B83E03">
              <w:rPr>
                <w:lang w:eastAsia="en-AU"/>
              </w:rPr>
              <w:t>evelop</w:t>
            </w:r>
            <w:r>
              <w:rPr>
                <w:lang w:eastAsia="en-AU"/>
              </w:rPr>
              <w:t>s</w:t>
            </w:r>
            <w:r w:rsidRPr="00B83E03">
              <w:rPr>
                <w:lang w:eastAsia="en-AU"/>
              </w:rPr>
              <w:t xml:space="preserve"> work-ready graduates</w:t>
            </w:r>
          </w:p>
          <w:p w:rsidR="0075281A" w:rsidRPr="00B83E03" w:rsidRDefault="0075281A" w:rsidP="00094819">
            <w:pPr>
              <w:pStyle w:val="Tabletext"/>
              <w:ind w:left="227" w:hanging="227"/>
            </w:pPr>
            <w:r>
              <w:rPr>
                <w:lang w:eastAsia="en-AU"/>
              </w:rPr>
              <w:sym w:font="Wingdings" w:char="F0A7"/>
            </w:r>
            <w:r>
              <w:rPr>
                <w:lang w:eastAsia="en-AU"/>
              </w:rPr>
              <w:tab/>
              <w:t>i</w:t>
            </w:r>
            <w:r w:rsidRPr="00B83E03">
              <w:rPr>
                <w:lang w:eastAsia="en-AU"/>
              </w:rPr>
              <w:t>nclude</w:t>
            </w:r>
            <w:r>
              <w:rPr>
                <w:lang w:eastAsia="en-AU"/>
              </w:rPr>
              <w:t>s</w:t>
            </w:r>
            <w:r w:rsidRPr="00B83E03">
              <w:rPr>
                <w:lang w:eastAsia="en-AU"/>
              </w:rPr>
              <w:t xml:space="preserve"> industry-focused content to a breadth and depth appropriate for a </w:t>
            </w:r>
            <w:r>
              <w:rPr>
                <w:lang w:eastAsia="en-AU"/>
              </w:rPr>
              <w:t>higher education</w:t>
            </w:r>
            <w:r w:rsidRPr="00B83E03">
              <w:rPr>
                <w:lang w:eastAsia="en-AU"/>
              </w:rPr>
              <w:t xml:space="preserve"> qualification</w:t>
            </w:r>
          </w:p>
          <w:p w:rsidR="0075281A" w:rsidRPr="00B83E03" w:rsidRDefault="0075281A" w:rsidP="00094819">
            <w:pPr>
              <w:pStyle w:val="Tabletext"/>
              <w:ind w:left="227" w:hanging="227"/>
            </w:pPr>
            <w:r>
              <w:rPr>
                <w:lang w:eastAsia="en-AU"/>
              </w:rPr>
              <w:sym w:font="Wingdings" w:char="F0A7"/>
            </w:r>
            <w:r>
              <w:rPr>
                <w:lang w:eastAsia="en-AU"/>
              </w:rPr>
              <w:tab/>
              <w:t>b</w:t>
            </w:r>
            <w:r w:rsidRPr="00B83E03">
              <w:rPr>
                <w:lang w:eastAsia="en-AU"/>
              </w:rPr>
              <w:t xml:space="preserve">enchmarked against similar courses in </w:t>
            </w:r>
            <w:r>
              <w:rPr>
                <w:lang w:eastAsia="en-AU"/>
              </w:rPr>
              <w:t>higher education</w:t>
            </w:r>
          </w:p>
          <w:p w:rsidR="0075281A" w:rsidRPr="00B83E03" w:rsidRDefault="0075281A" w:rsidP="00094819">
            <w:pPr>
              <w:pStyle w:val="Tabletext"/>
              <w:ind w:left="227" w:hanging="227"/>
            </w:pPr>
            <w:r>
              <w:rPr>
                <w:lang w:eastAsia="en-AU"/>
              </w:rPr>
              <w:sym w:font="Wingdings" w:char="F0A7"/>
            </w:r>
            <w:r>
              <w:rPr>
                <w:lang w:eastAsia="en-AU"/>
              </w:rPr>
              <w:tab/>
              <w:t>e</w:t>
            </w:r>
            <w:r w:rsidRPr="00B83E03">
              <w:rPr>
                <w:lang w:eastAsia="en-AU"/>
              </w:rPr>
              <w:t>xpose</w:t>
            </w:r>
            <w:r>
              <w:rPr>
                <w:lang w:eastAsia="en-AU"/>
              </w:rPr>
              <w:t>s</w:t>
            </w:r>
            <w:r w:rsidRPr="00B83E03">
              <w:rPr>
                <w:lang w:eastAsia="en-AU"/>
              </w:rPr>
              <w:t xml:space="preserve"> students to current discipline, relevant scholarship and theoretical underpinning</w:t>
            </w:r>
          </w:p>
          <w:p w:rsidR="0075281A" w:rsidRPr="00B83E03" w:rsidRDefault="0075281A" w:rsidP="00094819">
            <w:pPr>
              <w:pStyle w:val="Tabletext"/>
              <w:ind w:left="227" w:hanging="227"/>
            </w:pPr>
            <w:r>
              <w:rPr>
                <w:lang w:eastAsia="en-AU"/>
              </w:rPr>
              <w:sym w:font="Wingdings" w:char="F0A7"/>
            </w:r>
            <w:r>
              <w:rPr>
                <w:lang w:eastAsia="en-AU"/>
              </w:rPr>
              <w:tab/>
              <w:t>e</w:t>
            </w:r>
            <w:r w:rsidRPr="00B83E03">
              <w:rPr>
                <w:lang w:eastAsia="en-AU"/>
              </w:rPr>
              <w:t>mbed</w:t>
            </w:r>
            <w:r>
              <w:rPr>
                <w:lang w:eastAsia="en-AU"/>
              </w:rPr>
              <w:t>s</w:t>
            </w:r>
            <w:r w:rsidRPr="00B83E03">
              <w:rPr>
                <w:lang w:eastAsia="en-AU"/>
              </w:rPr>
              <w:t xml:space="preserve"> scholarly activity</w:t>
            </w:r>
            <w:r>
              <w:t xml:space="preserve"> and e</w:t>
            </w:r>
            <w:r w:rsidRPr="00B83E03">
              <w:rPr>
                <w:lang w:eastAsia="en-AU"/>
              </w:rPr>
              <w:t>ncourage</w:t>
            </w:r>
            <w:r>
              <w:rPr>
                <w:lang w:eastAsia="en-AU"/>
              </w:rPr>
              <w:t>s</w:t>
            </w:r>
            <w:r w:rsidRPr="00B83E03">
              <w:rPr>
                <w:lang w:eastAsia="en-AU"/>
              </w:rPr>
              <w:t xml:space="preserve"> learner autonomy</w:t>
            </w:r>
          </w:p>
          <w:p w:rsidR="0075281A" w:rsidRPr="00B83E03" w:rsidRDefault="0075281A" w:rsidP="00094819">
            <w:pPr>
              <w:pStyle w:val="Tabletext"/>
              <w:ind w:left="227" w:hanging="227"/>
            </w:pPr>
            <w:r>
              <w:rPr>
                <w:lang w:eastAsia="en-AU"/>
              </w:rPr>
              <w:sym w:font="Wingdings" w:char="F0A7"/>
            </w:r>
            <w:r>
              <w:rPr>
                <w:lang w:eastAsia="en-AU"/>
              </w:rPr>
              <w:tab/>
              <w:t>d</w:t>
            </w:r>
            <w:r w:rsidRPr="00B83E03">
              <w:rPr>
                <w:lang w:eastAsia="en-AU"/>
              </w:rPr>
              <w:t>emonstrate</w:t>
            </w:r>
            <w:r>
              <w:rPr>
                <w:lang w:eastAsia="en-AU"/>
              </w:rPr>
              <w:t>s</w:t>
            </w:r>
            <w:r w:rsidRPr="00B83E03">
              <w:rPr>
                <w:lang w:eastAsia="en-AU"/>
              </w:rPr>
              <w:t xml:space="preserve"> progression of learning towards </w:t>
            </w:r>
            <w:r>
              <w:rPr>
                <w:lang w:eastAsia="en-AU"/>
              </w:rPr>
              <w:t>AQF</w:t>
            </w:r>
            <w:r w:rsidRPr="00B83E03">
              <w:rPr>
                <w:lang w:eastAsia="en-AU"/>
              </w:rPr>
              <w:t xml:space="preserve"> outcomes by the completion of the course</w:t>
            </w:r>
          </w:p>
          <w:p w:rsidR="0075281A" w:rsidRDefault="0075281A" w:rsidP="00094819">
            <w:pPr>
              <w:pStyle w:val="Tabletext"/>
              <w:ind w:left="227" w:hanging="227"/>
              <w:rPr>
                <w:lang w:eastAsia="en-AU"/>
              </w:rPr>
            </w:pPr>
            <w:r>
              <w:rPr>
                <w:lang w:eastAsia="en-AU"/>
              </w:rPr>
              <w:sym w:font="Wingdings" w:char="F0A7"/>
            </w:r>
            <w:r>
              <w:rPr>
                <w:lang w:eastAsia="en-AU"/>
              </w:rPr>
              <w:tab/>
              <w:t>p</w:t>
            </w:r>
            <w:r w:rsidRPr="00B83E03">
              <w:rPr>
                <w:lang w:eastAsia="en-AU"/>
              </w:rPr>
              <w:t>rovide</w:t>
            </w:r>
            <w:r>
              <w:rPr>
                <w:lang w:eastAsia="en-AU"/>
              </w:rPr>
              <w:t>s</w:t>
            </w:r>
            <w:r w:rsidRPr="00B83E03">
              <w:rPr>
                <w:lang w:eastAsia="en-AU"/>
              </w:rPr>
              <w:t xml:space="preserve"> articulation and credit for VET qualifications into </w:t>
            </w:r>
            <w:r>
              <w:rPr>
                <w:lang w:eastAsia="en-AU"/>
              </w:rPr>
              <w:t>higher education</w:t>
            </w:r>
            <w:r w:rsidRPr="00B83E03">
              <w:rPr>
                <w:lang w:eastAsia="en-AU"/>
              </w:rPr>
              <w:t xml:space="preserve"> programs</w:t>
            </w:r>
            <w:r>
              <w:t xml:space="preserve"> and </w:t>
            </w:r>
            <w:r>
              <w:rPr>
                <w:lang w:eastAsia="en-AU"/>
              </w:rPr>
              <w:t>articulation pathways to higher-</w:t>
            </w:r>
            <w:r w:rsidRPr="00B83E03">
              <w:rPr>
                <w:lang w:eastAsia="en-AU"/>
              </w:rPr>
              <w:t>level qualifications</w:t>
            </w:r>
          </w:p>
          <w:p w:rsidR="0075281A" w:rsidRPr="00372E0C" w:rsidRDefault="0075281A" w:rsidP="00094819">
            <w:pPr>
              <w:pStyle w:val="Tabletext"/>
              <w:spacing w:after="160"/>
              <w:ind w:left="227" w:hanging="227"/>
              <w:rPr>
                <w:lang w:eastAsia="en-AU"/>
              </w:rPr>
            </w:pPr>
            <w:r>
              <w:rPr>
                <w:lang w:eastAsia="en-AU"/>
              </w:rPr>
              <w:sym w:font="Wingdings" w:char="F0A7"/>
            </w:r>
            <w:r>
              <w:rPr>
                <w:lang w:eastAsia="en-AU"/>
              </w:rPr>
              <w:tab/>
            </w:r>
            <w:proofErr w:type="gramStart"/>
            <w:r>
              <w:rPr>
                <w:lang w:eastAsia="en-AU"/>
              </w:rPr>
              <w:t>open</w:t>
            </w:r>
            <w:proofErr w:type="gramEnd"/>
            <w:r>
              <w:rPr>
                <w:lang w:eastAsia="en-AU"/>
              </w:rPr>
              <w:t xml:space="preserve"> to</w:t>
            </w:r>
            <w:r w:rsidRPr="00B83E03">
              <w:rPr>
                <w:lang w:eastAsia="en-AU"/>
              </w:rPr>
              <w:t xml:space="preserve"> a rigorous review and maintenance process incorporating both internal and external moderation and review</w:t>
            </w:r>
            <w:r>
              <w:rPr>
                <w:lang w:eastAsia="en-AU"/>
              </w:rPr>
              <w:t>.</w:t>
            </w:r>
          </w:p>
        </w:tc>
      </w:tr>
    </w:tbl>
    <w:p w:rsidR="0075281A" w:rsidRPr="00DF6275" w:rsidRDefault="0075281A" w:rsidP="00094819">
      <w:pPr>
        <w:pStyle w:val="Heading3"/>
        <w:spacing w:before="360"/>
        <w:rPr>
          <w:rFonts w:ascii="Trebuchet MS" w:hAnsi="Trebuchet MS" w:cs="Times New Roman"/>
          <w:sz w:val="19"/>
          <w:szCs w:val="19"/>
          <w:lang w:eastAsia="en-AU"/>
        </w:rPr>
      </w:pPr>
      <w:bookmarkStart w:id="157" w:name="_Toc383013094"/>
      <w:bookmarkStart w:id="158" w:name="_Toc396117549"/>
      <w:r>
        <w:t>Develop</w:t>
      </w:r>
      <w:r w:rsidRPr="00DF6275">
        <w:t xml:space="preserve"> </w:t>
      </w:r>
      <w:r>
        <w:t>the</w:t>
      </w:r>
      <w:r w:rsidRPr="00DF6275">
        <w:t xml:space="preserve"> business case</w:t>
      </w:r>
      <w:bookmarkEnd w:id="157"/>
      <w:bookmarkEnd w:id="158"/>
      <w:r w:rsidRPr="00DF6275">
        <w:rPr>
          <w:rFonts w:ascii="Trebuchet MS" w:hAnsi="Trebuchet MS" w:cs="Times New Roman"/>
          <w:sz w:val="19"/>
          <w:szCs w:val="19"/>
          <w:lang w:eastAsia="en-AU"/>
        </w:rPr>
        <w:t xml:space="preserve"> </w:t>
      </w:r>
    </w:p>
    <w:p w:rsidR="0075281A" w:rsidRDefault="0075281A" w:rsidP="00094819">
      <w:pPr>
        <w:pStyle w:val="Textlessbefore"/>
      </w:pPr>
      <w:bookmarkStart w:id="159" w:name="_Toc383076113"/>
      <w:r w:rsidRPr="009275A2">
        <w:t xml:space="preserve">The case studies emphasise that a strong business case must exist for any new </w:t>
      </w:r>
      <w:r>
        <w:t>higher education</w:t>
      </w:r>
      <w:r w:rsidRPr="009275A2">
        <w:t xml:space="preserve"> qualification. Evidence from these cases points to the benefits </w:t>
      </w:r>
      <w:r>
        <w:t>of</w:t>
      </w:r>
      <w:r w:rsidRPr="009275A2">
        <w:t xml:space="preserve">: the potential to increase revenue; leveraging off the organisational experience and capability from delivering VET programs for the same </w:t>
      </w:r>
      <w:r w:rsidRPr="009275A2">
        <w:lastRenderedPageBreak/>
        <w:t xml:space="preserve">or similar industries; and roll-on effects to other qualifications and the brand through the inclusion of </w:t>
      </w:r>
      <w:r>
        <w:t>higher education</w:t>
      </w:r>
      <w:r w:rsidRPr="009275A2">
        <w:t>, to name a few. However,</w:t>
      </w:r>
      <w:r w:rsidR="009322C7">
        <w:t xml:space="preserve"> in establishing a new higher education qualification</w:t>
      </w:r>
      <w:r w:rsidRPr="009275A2">
        <w:t xml:space="preserve"> there are costs and risks: in setting up governance structures; </w:t>
      </w:r>
      <w:r w:rsidR="009322C7">
        <w:t xml:space="preserve">in </w:t>
      </w:r>
      <w:r w:rsidRPr="009275A2">
        <w:t>accreditation and re-accredit</w:t>
      </w:r>
      <w:r>
        <w:t xml:space="preserve">ation processes; </w:t>
      </w:r>
      <w:r w:rsidR="009322C7">
        <w:t xml:space="preserve">in </w:t>
      </w:r>
      <w:r>
        <w:t>managing a fee-for-</w:t>
      </w:r>
      <w:r w:rsidRPr="009275A2">
        <w:t xml:space="preserve">service regime; and in providing </w:t>
      </w:r>
      <w:r>
        <w:t xml:space="preserve">the </w:t>
      </w:r>
      <w:r w:rsidRPr="009275A2">
        <w:t>additional supports (</w:t>
      </w:r>
      <w:r>
        <w:t xml:space="preserve">for example, </w:t>
      </w:r>
      <w:r w:rsidRPr="009275A2">
        <w:t>tutorials, one-on-one support, monitoring of student progress) that will be needed to assist students to maximise completion rates.</w:t>
      </w:r>
      <w:bookmarkStart w:id="160" w:name="_Toc383076114"/>
      <w:bookmarkEnd w:id="159"/>
      <w:r w:rsidRPr="009275A2">
        <w:t xml:space="preserve"> At present, </w:t>
      </w:r>
      <w:r>
        <w:t>any business case</w:t>
      </w:r>
      <w:r w:rsidRPr="009275A2">
        <w:t xml:space="preserve"> must assume that </w:t>
      </w:r>
      <w:r>
        <w:t>higher education</w:t>
      </w:r>
      <w:r w:rsidRPr="009275A2">
        <w:t xml:space="preserve"> courses will be run as fee</w:t>
      </w:r>
      <w:r w:rsidR="009322C7">
        <w:t>-</w:t>
      </w:r>
      <w:r w:rsidRPr="009275A2">
        <w:t>for</w:t>
      </w:r>
      <w:r w:rsidR="009322C7">
        <w:t>-</w:t>
      </w:r>
      <w:r w:rsidRPr="009275A2">
        <w:t xml:space="preserve">service, with costs in developing, accrediting, marketing, delivering, reporting and in maintaining </w:t>
      </w:r>
      <w:r>
        <w:t>higher education</w:t>
      </w:r>
      <w:r w:rsidRPr="009275A2">
        <w:t xml:space="preserve"> registration to be recouped through fees.</w:t>
      </w:r>
      <w:r>
        <w:t xml:space="preserve"> </w:t>
      </w:r>
    </w:p>
    <w:p w:rsidR="0075281A" w:rsidRPr="009275A2" w:rsidRDefault="0075281A" w:rsidP="00094819">
      <w:pPr>
        <w:pStyle w:val="Text"/>
      </w:pPr>
      <w:r w:rsidRPr="009275A2">
        <w:t>As a guide, Polytechnic West prescribes the following features in its business case</w:t>
      </w:r>
      <w:r>
        <w:t>. T</w:t>
      </w:r>
      <w:r w:rsidRPr="009275A2">
        <w:t xml:space="preserve">he </w:t>
      </w:r>
      <w:r>
        <w:t>higher education</w:t>
      </w:r>
      <w:r w:rsidRPr="009275A2">
        <w:t xml:space="preserve"> qualifications must be:</w:t>
      </w:r>
      <w:bookmarkEnd w:id="160"/>
      <w:r w:rsidRPr="009275A2">
        <w:t xml:space="preserve"> p</w:t>
      </w:r>
      <w:r>
        <w:t>ositioned in areas of i</w:t>
      </w:r>
      <w:r w:rsidRPr="009275A2">
        <w:t xml:space="preserve">nstitute specialisation and strength; provide applied qualifications that deliver practical skills and knowledge developed with and valued by those employers who offer paraprofessional jobs; the </w:t>
      </w:r>
      <w:r>
        <w:t>higher education</w:t>
      </w:r>
      <w:r w:rsidRPr="009275A2">
        <w:t xml:space="preserve"> qualification is not in competition with existing VET offerings; and the qualification provides articulation arrangements from VET diplomas and into </w:t>
      </w:r>
      <w:r>
        <w:t>higher education</w:t>
      </w:r>
      <w:r w:rsidRPr="009275A2">
        <w:t xml:space="preserve"> bachelor degrees of specific universities.</w:t>
      </w:r>
    </w:p>
    <w:p w:rsidR="0075281A" w:rsidRDefault="0075281A" w:rsidP="00094819">
      <w:pPr>
        <w:pStyle w:val="Heading3"/>
        <w:rPr>
          <w:lang w:eastAsia="en-AU"/>
        </w:rPr>
      </w:pPr>
      <w:bookmarkStart w:id="161" w:name="_Toc383013095"/>
      <w:bookmarkStart w:id="162" w:name="_Toc396117550"/>
      <w:r w:rsidRPr="00B957D7">
        <w:rPr>
          <w:lang w:eastAsia="en-AU"/>
        </w:rPr>
        <w:t xml:space="preserve">Work up to delivering </w:t>
      </w:r>
      <w:r>
        <w:rPr>
          <w:lang w:eastAsia="en-AU"/>
        </w:rPr>
        <w:t>higher education</w:t>
      </w:r>
      <w:r w:rsidRPr="00B957D7">
        <w:rPr>
          <w:lang w:eastAsia="en-AU"/>
        </w:rPr>
        <w:t xml:space="preserve"> </w:t>
      </w:r>
      <w:bookmarkEnd w:id="161"/>
      <w:r>
        <w:rPr>
          <w:lang w:eastAsia="en-AU"/>
        </w:rPr>
        <w:t>in your own right</w:t>
      </w:r>
      <w:bookmarkEnd w:id="162"/>
    </w:p>
    <w:p w:rsidR="0075281A" w:rsidRDefault="0075281A" w:rsidP="00094819">
      <w:pPr>
        <w:pStyle w:val="Textlessbefore"/>
      </w:pPr>
      <w:r>
        <w:rPr>
          <w:lang w:eastAsia="en-AU"/>
        </w:rPr>
        <w:t xml:space="preserve">Experiences through partnerships with universities or other arrangements develop </w:t>
      </w:r>
      <w:r w:rsidRPr="0036558E">
        <w:rPr>
          <w:rFonts w:eastAsia="SimSun"/>
          <w:lang w:eastAsia="zh-CN"/>
        </w:rPr>
        <w:t xml:space="preserve">the </w:t>
      </w:r>
      <w:r>
        <w:rPr>
          <w:rFonts w:eastAsia="SimSun"/>
          <w:lang w:eastAsia="zh-CN"/>
        </w:rPr>
        <w:t>higher education</w:t>
      </w:r>
      <w:r w:rsidRPr="0036558E">
        <w:rPr>
          <w:rFonts w:eastAsia="SimSun"/>
          <w:lang w:eastAsia="zh-CN"/>
        </w:rPr>
        <w:t xml:space="preserve"> knowledge and </w:t>
      </w:r>
      <w:r>
        <w:rPr>
          <w:rFonts w:eastAsia="SimSun"/>
          <w:lang w:eastAsia="zh-CN"/>
        </w:rPr>
        <w:t>capability</w:t>
      </w:r>
      <w:r w:rsidRPr="0036558E">
        <w:rPr>
          <w:rFonts w:eastAsia="SimSun"/>
          <w:lang w:eastAsia="zh-CN"/>
        </w:rPr>
        <w:t xml:space="preserve"> of staff</w:t>
      </w:r>
      <w:r>
        <w:rPr>
          <w:rFonts w:eastAsia="SimSun"/>
          <w:lang w:eastAsia="zh-CN"/>
        </w:rPr>
        <w:t>. A number of the cases (for example, Holmesglen; TAFE SA) demonstrate the value</w:t>
      </w:r>
      <w:r w:rsidRPr="0036558E">
        <w:rPr>
          <w:rFonts w:eastAsia="SimSun"/>
          <w:lang w:eastAsia="zh-CN"/>
        </w:rPr>
        <w:t xml:space="preserve"> </w:t>
      </w:r>
      <w:r>
        <w:rPr>
          <w:rFonts w:eastAsia="SimSun"/>
          <w:lang w:eastAsia="zh-CN"/>
        </w:rPr>
        <w:t xml:space="preserve">of adopting a step-by-step approach, building organisational and staff capability along the way in a number of important areas to support the final transition to higher education delivery. </w:t>
      </w:r>
      <w:r w:rsidRPr="00F9595C">
        <w:rPr>
          <w:rFonts w:eastAsia="Cambria" w:cs="Consolas"/>
        </w:rPr>
        <w:t xml:space="preserve">The cases </w:t>
      </w:r>
      <w:r>
        <w:rPr>
          <w:rFonts w:eastAsia="Cambria" w:cs="Consolas"/>
        </w:rPr>
        <w:t xml:space="preserve">also </w:t>
      </w:r>
      <w:r w:rsidRPr="00F9595C">
        <w:rPr>
          <w:rFonts w:eastAsia="Cambria" w:cs="Consolas"/>
        </w:rPr>
        <w:t>reveal strong but also evolving governance structures</w:t>
      </w:r>
      <w:r>
        <w:rPr>
          <w:rFonts w:eastAsia="Cambria" w:cs="Consolas"/>
        </w:rPr>
        <w:t>, which</w:t>
      </w:r>
      <w:r w:rsidRPr="00F9595C">
        <w:rPr>
          <w:rFonts w:eastAsia="Cambria" w:cs="Consolas"/>
        </w:rPr>
        <w:t xml:space="preserve"> support the development and delivery of </w:t>
      </w:r>
      <w:r>
        <w:rPr>
          <w:rFonts w:eastAsia="Cambria" w:cs="Consolas"/>
        </w:rPr>
        <w:t>higher education</w:t>
      </w:r>
      <w:r w:rsidRPr="00F9595C">
        <w:rPr>
          <w:rFonts w:eastAsia="Cambria" w:cs="Consolas"/>
        </w:rPr>
        <w:t xml:space="preserve"> qualifications. </w:t>
      </w:r>
      <w:r>
        <w:rPr>
          <w:rFonts w:eastAsia="Cambria" w:cs="Consolas"/>
        </w:rPr>
        <w:t>Best</w:t>
      </w:r>
      <w:r w:rsidRPr="00F9595C">
        <w:rPr>
          <w:rFonts w:eastAsia="Cambria" w:cs="Consolas"/>
        </w:rPr>
        <w:t xml:space="preserve"> practice involves the establishment of </w:t>
      </w:r>
      <w:r w:rsidRPr="00F9595C">
        <w:rPr>
          <w:rStyle w:val="Heading3Char"/>
          <w:rFonts w:ascii="Trebuchet MS" w:hAnsi="Trebuchet MS"/>
          <w:sz w:val="19"/>
          <w:szCs w:val="19"/>
        </w:rPr>
        <w:t xml:space="preserve">operational arrangements for </w:t>
      </w:r>
      <w:r>
        <w:rPr>
          <w:rStyle w:val="Heading3Char"/>
          <w:rFonts w:ascii="Trebuchet MS" w:hAnsi="Trebuchet MS"/>
          <w:sz w:val="19"/>
          <w:szCs w:val="19"/>
        </w:rPr>
        <w:t>higher education</w:t>
      </w:r>
      <w:r w:rsidR="009322C7">
        <w:rPr>
          <w:rStyle w:val="Heading3Char"/>
          <w:rFonts w:ascii="Trebuchet MS" w:hAnsi="Trebuchet MS"/>
          <w:sz w:val="19"/>
          <w:szCs w:val="19"/>
        </w:rPr>
        <w:t xml:space="preserve"> different from those for VET</w:t>
      </w:r>
      <w:r>
        <w:rPr>
          <w:rStyle w:val="Heading3Char"/>
          <w:rFonts w:ascii="Trebuchet MS" w:hAnsi="Trebuchet MS"/>
          <w:sz w:val="19"/>
          <w:szCs w:val="19"/>
        </w:rPr>
        <w:t>,</w:t>
      </w:r>
      <w:r w:rsidRPr="00F9595C">
        <w:rPr>
          <w:rStyle w:val="Heading3Char"/>
          <w:rFonts w:ascii="Trebuchet MS" w:hAnsi="Trebuchet MS"/>
          <w:sz w:val="19"/>
          <w:szCs w:val="19"/>
        </w:rPr>
        <w:t xml:space="preserve"> </w:t>
      </w:r>
      <w:r>
        <w:rPr>
          <w:rStyle w:val="Heading3Char"/>
          <w:rFonts w:ascii="Trebuchet MS" w:hAnsi="Trebuchet MS"/>
          <w:sz w:val="19"/>
          <w:szCs w:val="19"/>
        </w:rPr>
        <w:t xml:space="preserve">initially </w:t>
      </w:r>
      <w:r w:rsidRPr="00F9595C">
        <w:rPr>
          <w:rStyle w:val="Heading3Char"/>
          <w:rFonts w:ascii="Trebuchet MS" w:hAnsi="Trebuchet MS"/>
          <w:sz w:val="19"/>
          <w:szCs w:val="19"/>
        </w:rPr>
        <w:t xml:space="preserve">as exceptions to </w:t>
      </w:r>
      <w:r w:rsidR="009322C7">
        <w:rPr>
          <w:rStyle w:val="Heading3Char"/>
          <w:rFonts w:ascii="Trebuchet MS" w:hAnsi="Trebuchet MS"/>
          <w:sz w:val="19"/>
          <w:szCs w:val="19"/>
        </w:rPr>
        <w:t xml:space="preserve">the </w:t>
      </w:r>
      <w:r w:rsidRPr="00F9595C">
        <w:rPr>
          <w:rStyle w:val="Heading3Char"/>
          <w:rFonts w:ascii="Trebuchet MS" w:hAnsi="Trebuchet MS"/>
          <w:sz w:val="19"/>
          <w:szCs w:val="19"/>
        </w:rPr>
        <w:t>VET arrangements.</w:t>
      </w:r>
      <w:r>
        <w:rPr>
          <w:rStyle w:val="Heading3Char"/>
          <w:rFonts w:ascii="Trebuchet MS" w:hAnsi="Trebuchet MS"/>
          <w:sz w:val="19"/>
          <w:szCs w:val="19"/>
        </w:rPr>
        <w:t xml:space="preserve"> </w:t>
      </w:r>
      <w:r w:rsidRPr="00F9595C">
        <w:t xml:space="preserve">Supporting units, governance structures, policies and procedures </w:t>
      </w:r>
      <w:r w:rsidRPr="00F9595C">
        <w:rPr>
          <w:rStyle w:val="Heading3Char"/>
          <w:rFonts w:ascii="Trebuchet MS" w:hAnsi="Trebuchet MS"/>
          <w:sz w:val="19"/>
          <w:szCs w:val="19"/>
        </w:rPr>
        <w:t xml:space="preserve">become more differentiated over time, with evidence that the </w:t>
      </w:r>
      <w:r w:rsidRPr="00F9595C">
        <w:t xml:space="preserve">formation of a </w:t>
      </w:r>
      <w:r>
        <w:t>higher education</w:t>
      </w:r>
      <w:r w:rsidRPr="00F9595C">
        <w:t xml:space="preserve"> support leader and unit is a major milestone. </w:t>
      </w:r>
    </w:p>
    <w:p w:rsidR="0075281A" w:rsidRPr="00276216" w:rsidRDefault="0075281A" w:rsidP="00094819">
      <w:pPr>
        <w:pStyle w:val="Text"/>
      </w:pPr>
      <w:r>
        <w:rPr>
          <w:rFonts w:eastAsia="SimSun"/>
          <w:lang w:eastAsia="zh-CN"/>
        </w:rPr>
        <w:t xml:space="preserve">Figure 1 presents the pathway followed by TAFE SA to delivery in its own right. In particular, contracted higher education delivery develops staff </w:t>
      </w:r>
      <w:proofErr w:type="gramStart"/>
      <w:r>
        <w:rPr>
          <w:rFonts w:eastAsia="SimSun"/>
          <w:lang w:eastAsia="zh-CN"/>
        </w:rPr>
        <w:t>who</w:t>
      </w:r>
      <w:proofErr w:type="gramEnd"/>
      <w:r>
        <w:rPr>
          <w:rFonts w:eastAsia="SimSun"/>
          <w:lang w:eastAsia="zh-CN"/>
        </w:rPr>
        <w:t xml:space="preserve"> are better</w:t>
      </w:r>
      <w:r w:rsidRPr="005B4670">
        <w:rPr>
          <w:rFonts w:eastAsia="SimSun"/>
          <w:lang w:eastAsia="zh-CN"/>
        </w:rPr>
        <w:t xml:space="preserve"> prepared </w:t>
      </w:r>
      <w:r>
        <w:rPr>
          <w:rFonts w:eastAsia="SimSun"/>
          <w:lang w:eastAsia="zh-CN"/>
        </w:rPr>
        <w:t xml:space="preserve">for higher education programs. The cases reveal over time that staff can develop </w:t>
      </w:r>
      <w:r w:rsidRPr="005B4670">
        <w:rPr>
          <w:lang w:eastAsia="en-AU"/>
        </w:rPr>
        <w:t>idea</w:t>
      </w:r>
      <w:r>
        <w:rPr>
          <w:lang w:eastAsia="en-AU"/>
        </w:rPr>
        <w:t xml:space="preserve">s and strategies relating to the delivery of </w:t>
      </w:r>
      <w:r w:rsidRPr="005B4670">
        <w:t xml:space="preserve">a </w:t>
      </w:r>
      <w:r>
        <w:t>higher education</w:t>
      </w:r>
      <w:r w:rsidRPr="005B4670">
        <w:t xml:space="preserve"> portfolio in </w:t>
      </w:r>
      <w:r>
        <w:t>their institution, including the points of leverage that will support the transition (for example, Holmesglen)</w:t>
      </w:r>
      <w:r w:rsidRPr="005B4670">
        <w:t>.</w:t>
      </w:r>
      <w:r>
        <w:t xml:space="preserve"> </w:t>
      </w:r>
    </w:p>
    <w:p w:rsidR="0075281A" w:rsidRPr="00372E0C" w:rsidRDefault="0075281A" w:rsidP="00094819">
      <w:pPr>
        <w:pStyle w:val="Figuretitle"/>
        <w:rPr>
          <w:rFonts w:eastAsia="SimSun" w:cs="Arial"/>
          <w:i/>
          <w:lang w:eastAsia="zh-CN"/>
        </w:rPr>
      </w:pPr>
      <w:bookmarkStart w:id="163" w:name="_Toc419791102"/>
      <w:r w:rsidRPr="00B957D7">
        <w:rPr>
          <w:rFonts w:eastAsia="SimSun" w:cs="Arial"/>
          <w:noProof/>
          <w:szCs w:val="19"/>
          <w:lang w:eastAsia="en-AU"/>
        </w:rPr>
        <w:drawing>
          <wp:anchor distT="0" distB="0" distL="114300" distR="114300" simplePos="0" relativeHeight="251986944" behindDoc="0" locked="0" layoutInCell="1" allowOverlap="1" wp14:anchorId="1C53D314" wp14:editId="56D554A5">
            <wp:simplePos x="0" y="0"/>
            <wp:positionH relativeFrom="column">
              <wp:posOffset>15240</wp:posOffset>
            </wp:positionH>
            <wp:positionV relativeFrom="paragraph">
              <wp:posOffset>440690</wp:posOffset>
            </wp:positionV>
            <wp:extent cx="5438775" cy="885825"/>
            <wp:effectExtent l="19050" t="0" r="28575" b="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Pr>
          <w:rFonts w:eastAsia="SimSun"/>
          <w:lang w:eastAsia="zh-CN"/>
        </w:rPr>
        <w:t>Figure 1</w:t>
      </w:r>
      <w:r>
        <w:rPr>
          <w:rFonts w:eastAsia="SimSun"/>
          <w:lang w:eastAsia="zh-CN"/>
        </w:rPr>
        <w:tab/>
        <w:t>C</w:t>
      </w:r>
      <w:r w:rsidRPr="00320907">
        <w:rPr>
          <w:rFonts w:eastAsia="SimSun"/>
          <w:lang w:eastAsia="zh-CN"/>
        </w:rPr>
        <w:t xml:space="preserve">ontinuum of </w:t>
      </w:r>
      <w:r>
        <w:rPr>
          <w:rFonts w:eastAsia="SimSun"/>
          <w:lang w:eastAsia="zh-CN"/>
        </w:rPr>
        <w:t>higher education</w:t>
      </w:r>
      <w:r w:rsidRPr="00320907">
        <w:rPr>
          <w:rFonts w:eastAsia="SimSun"/>
          <w:lang w:eastAsia="zh-CN"/>
        </w:rPr>
        <w:t xml:space="preserve"> engagement strategies adopted by TAFE SA</w:t>
      </w:r>
      <w:bookmarkEnd w:id="163"/>
    </w:p>
    <w:p w:rsidR="0075281A" w:rsidRPr="000E4463" w:rsidRDefault="0075281A" w:rsidP="00094819">
      <w:pPr>
        <w:pStyle w:val="Heading3"/>
        <w:spacing w:before="360"/>
      </w:pPr>
      <w:bookmarkStart w:id="164" w:name="_Toc396117551"/>
      <w:bookmarkStart w:id="165" w:name="_Toc383013096"/>
      <w:r w:rsidRPr="000E4463">
        <w:t>Develop appropriate academic governance arrangements</w:t>
      </w:r>
      <w:bookmarkEnd w:id="164"/>
      <w:r w:rsidRPr="000E4463">
        <w:t xml:space="preserve"> </w:t>
      </w:r>
    </w:p>
    <w:p w:rsidR="0075281A" w:rsidRDefault="009322C7" w:rsidP="00094819">
      <w:pPr>
        <w:pStyle w:val="Textlessbefore"/>
        <w:ind w:right="-143"/>
      </w:pPr>
      <w:r>
        <w:t>As noted above, i</w:t>
      </w:r>
      <w:r w:rsidR="0075281A" w:rsidRPr="000E4463">
        <w:t xml:space="preserve">nitially, different operational arrangements for </w:t>
      </w:r>
      <w:r w:rsidR="0075281A">
        <w:t>higher education</w:t>
      </w:r>
      <w:r w:rsidR="0075281A" w:rsidRPr="000E4463">
        <w:t xml:space="preserve"> have often been managed as exceptions to VET arrangements.</w:t>
      </w:r>
      <w:r w:rsidR="0075281A">
        <w:t xml:space="preserve"> Early on, external higher education experts are often included in governance arrangements to add a depth of understanding on higher education issues. </w:t>
      </w:r>
    </w:p>
    <w:p w:rsidR="009322C7" w:rsidRDefault="009322C7">
      <w:pPr>
        <w:spacing w:before="0" w:line="240" w:lineRule="auto"/>
        <w:rPr>
          <w:rStyle w:val="Heading3Char"/>
        </w:rPr>
      </w:pPr>
      <w:bookmarkStart w:id="166" w:name="_Toc396117552"/>
      <w:r>
        <w:rPr>
          <w:rStyle w:val="Heading3Char"/>
        </w:rPr>
        <w:br w:type="page"/>
      </w:r>
    </w:p>
    <w:p w:rsidR="0075281A" w:rsidRDefault="0075281A" w:rsidP="00094819">
      <w:pPr>
        <w:spacing w:before="200" w:line="300" w:lineRule="exact"/>
        <w:rPr>
          <w:szCs w:val="19"/>
        </w:rPr>
      </w:pPr>
      <w:r w:rsidRPr="00C868F3">
        <w:rPr>
          <w:rStyle w:val="Heading3Char"/>
        </w:rPr>
        <w:lastRenderedPageBreak/>
        <w:t>Promote scholarship</w:t>
      </w:r>
      <w:bookmarkEnd w:id="166"/>
      <w:r w:rsidRPr="000E1D10">
        <w:rPr>
          <w:szCs w:val="19"/>
        </w:rPr>
        <w:t xml:space="preserve"> </w:t>
      </w:r>
    </w:p>
    <w:p w:rsidR="0075281A" w:rsidRPr="000E1D10" w:rsidRDefault="0075281A" w:rsidP="00094819">
      <w:pPr>
        <w:pStyle w:val="Textlessbefore"/>
      </w:pPr>
      <w:r w:rsidRPr="000E1D10">
        <w:t xml:space="preserve">VET providers need to develop an appropriate model for scholarship to underpin </w:t>
      </w:r>
      <w:r>
        <w:t>higher education</w:t>
      </w:r>
      <w:r w:rsidRPr="000E1D10">
        <w:t xml:space="preserve"> provision and add value more generally to teaching and learning in their institution. This can be done through leveraging off established partnerships with local universities and other VET organisations offering </w:t>
      </w:r>
      <w:r>
        <w:t>higher education</w:t>
      </w:r>
      <w:r w:rsidRPr="000E1D10">
        <w:t xml:space="preserve"> in their own right to provide access to opportunities for scholarship and professional development for their </w:t>
      </w:r>
      <w:r>
        <w:t>higher education</w:t>
      </w:r>
      <w:r w:rsidRPr="000E1D10">
        <w:t xml:space="preserve"> staff. Those in </w:t>
      </w:r>
      <w:r>
        <w:t>higher education</w:t>
      </w:r>
      <w:r w:rsidRPr="000E1D10">
        <w:t xml:space="preserve"> need access to ongoing scholarship, and accessing relationships and opportunities in existing partnerships is an obvious strategy. Strong relationships with local universities allow staff to access the professional development opportunities of universities (</w:t>
      </w:r>
      <w:r>
        <w:t xml:space="preserve">for example, </w:t>
      </w:r>
      <w:r w:rsidRPr="000E1D10">
        <w:t xml:space="preserve">CIT) or promote the establishment of innovative </w:t>
      </w:r>
      <w:r>
        <w:t>higher education</w:t>
      </w:r>
      <w:r w:rsidRPr="000E1D10">
        <w:t xml:space="preserve"> forums (</w:t>
      </w:r>
      <w:r>
        <w:t xml:space="preserve">for example, </w:t>
      </w:r>
      <w:r w:rsidRPr="000E1D10">
        <w:t>Higher Education Research Group</w:t>
      </w:r>
      <w:r>
        <w:t>,</w:t>
      </w:r>
      <w:r w:rsidRPr="000E1D10">
        <w:t xml:space="preserve"> which provides TAFE SA staff access to scholarship and development opportunities). In addition, there are opportuniti</w:t>
      </w:r>
      <w:r>
        <w:t>es to establish and use special-</w:t>
      </w:r>
      <w:r w:rsidRPr="000E1D10">
        <w:t>interest forums or collegiate groups with partners (</w:t>
      </w:r>
      <w:r>
        <w:t xml:space="preserve">for example, </w:t>
      </w:r>
      <w:r w:rsidRPr="000E1D10">
        <w:t>Holmesglen) and more broadly to work with bodies like TAFE Directors Australia and</w:t>
      </w:r>
      <w:r>
        <w:t xml:space="preserve"> the</w:t>
      </w:r>
      <w:r w:rsidRPr="000E1D10">
        <w:t xml:space="preserve"> Australian Council for Private Education and Training to establish such forums.</w:t>
      </w:r>
    </w:p>
    <w:p w:rsidR="0075281A" w:rsidRPr="006A5074" w:rsidRDefault="0075281A" w:rsidP="00094819">
      <w:pPr>
        <w:pStyle w:val="Heading3"/>
      </w:pPr>
      <w:bookmarkStart w:id="167" w:name="_Toc396117553"/>
      <w:r>
        <w:t>Provide a</w:t>
      </w:r>
      <w:r w:rsidRPr="006A5074">
        <w:t>dditional student support</w:t>
      </w:r>
      <w:bookmarkEnd w:id="165"/>
      <w:bookmarkEnd w:id="167"/>
      <w:r w:rsidRPr="006A5074">
        <w:t xml:space="preserve"> </w:t>
      </w:r>
    </w:p>
    <w:p w:rsidR="0075281A" w:rsidRDefault="0075281A" w:rsidP="00094819">
      <w:pPr>
        <w:pStyle w:val="Textlessbefore"/>
        <w:rPr>
          <w:rFonts w:cs="Tahoma"/>
          <w:bCs/>
          <w:color w:val="000000"/>
        </w:rPr>
      </w:pPr>
      <w:r w:rsidRPr="006A5074">
        <w:t xml:space="preserve">Across </w:t>
      </w:r>
      <w:r>
        <w:t>the cases,</w:t>
      </w:r>
      <w:r w:rsidRPr="006A5074">
        <w:t xml:space="preserve"> studen</w:t>
      </w:r>
      <w:r>
        <w:t>t engagement and attrition were</w:t>
      </w:r>
      <w:r w:rsidRPr="006A5074">
        <w:t xml:space="preserve"> issues </w:t>
      </w:r>
      <w:r>
        <w:t>that required</w:t>
      </w:r>
      <w:r w:rsidRPr="006A5074">
        <w:t xml:space="preserve"> constant </w:t>
      </w:r>
      <w:r>
        <w:t>management. Numerous support strategies were used to assist students to adapt to the different features of higher education courses. These support</w:t>
      </w:r>
      <w:r w:rsidRPr="006A5074">
        <w:t xml:space="preserve"> strategies </w:t>
      </w:r>
      <w:r>
        <w:t>are in addition to those already in place to support VET students. K</w:t>
      </w:r>
      <w:r>
        <w:rPr>
          <w:rFonts w:cs="Tahoma"/>
          <w:bCs/>
          <w:color w:val="000000"/>
        </w:rPr>
        <w:t xml:space="preserve">ey practices are the provision of smaller classes with </w:t>
      </w:r>
      <w:r w:rsidR="009322C7">
        <w:rPr>
          <w:rFonts w:cs="Tahoma"/>
          <w:bCs/>
          <w:color w:val="000000"/>
        </w:rPr>
        <w:t>easy</w:t>
      </w:r>
      <w:r>
        <w:rPr>
          <w:rFonts w:cs="Tahoma"/>
          <w:bCs/>
          <w:color w:val="000000"/>
        </w:rPr>
        <w:t xml:space="preserve"> access to their higher education lecturers, as well as </w:t>
      </w:r>
      <w:r w:rsidRPr="00C9777C">
        <w:rPr>
          <w:lang w:eastAsia="en-AU"/>
        </w:rPr>
        <w:t xml:space="preserve">extra tutorial </w:t>
      </w:r>
      <w:r>
        <w:rPr>
          <w:lang w:eastAsia="en-AU"/>
        </w:rPr>
        <w:t xml:space="preserve">support, and </w:t>
      </w:r>
      <w:r w:rsidRPr="00C9777C">
        <w:rPr>
          <w:lang w:eastAsia="en-AU"/>
        </w:rPr>
        <w:t xml:space="preserve">literacy and numeracy </w:t>
      </w:r>
      <w:r>
        <w:rPr>
          <w:lang w:eastAsia="en-AU"/>
        </w:rPr>
        <w:t xml:space="preserve">and computer skills support </w:t>
      </w:r>
      <w:r w:rsidRPr="00C9777C">
        <w:rPr>
          <w:lang w:eastAsia="en-AU"/>
        </w:rPr>
        <w:t xml:space="preserve">programs across </w:t>
      </w:r>
      <w:r>
        <w:rPr>
          <w:lang w:eastAsia="en-AU"/>
        </w:rPr>
        <w:t>various</w:t>
      </w:r>
      <w:r w:rsidRPr="00C9777C">
        <w:rPr>
          <w:lang w:eastAsia="en-AU"/>
        </w:rPr>
        <w:t xml:space="preserve"> </w:t>
      </w:r>
      <w:r>
        <w:rPr>
          <w:lang w:eastAsia="en-AU"/>
        </w:rPr>
        <w:t xml:space="preserve">higher education </w:t>
      </w:r>
      <w:r w:rsidRPr="00C9777C">
        <w:rPr>
          <w:lang w:eastAsia="en-AU"/>
        </w:rPr>
        <w:t>programs</w:t>
      </w:r>
      <w:r>
        <w:rPr>
          <w:lang w:eastAsia="en-AU"/>
        </w:rPr>
        <w:t>.</w:t>
      </w:r>
      <w:r>
        <w:rPr>
          <w:rFonts w:cs="Tahoma"/>
          <w:bCs/>
          <w:color w:val="000000"/>
        </w:rPr>
        <w:t xml:space="preserve"> </w:t>
      </w:r>
    </w:p>
    <w:p w:rsidR="0075281A" w:rsidRPr="00006B6F" w:rsidRDefault="0075281A" w:rsidP="00094819">
      <w:pPr>
        <w:pStyle w:val="Text"/>
      </w:pPr>
      <w:r>
        <w:t xml:space="preserve">In addition, </w:t>
      </w:r>
      <w:r w:rsidR="009322C7">
        <w:t xml:space="preserve">the </w:t>
      </w:r>
      <w:r>
        <w:t xml:space="preserve">case study organisations illustrate the value of </w:t>
      </w:r>
      <w:r w:rsidRPr="00C41391">
        <w:t xml:space="preserve">individual learning plans </w:t>
      </w:r>
      <w:r>
        <w:t>for at-</w:t>
      </w:r>
      <w:r w:rsidRPr="00C41391">
        <w:t>risk students</w:t>
      </w:r>
      <w:r>
        <w:t xml:space="preserve"> (for example, Polytechnic West); the redesign of </w:t>
      </w:r>
      <w:r w:rsidRPr="00C9777C">
        <w:rPr>
          <w:lang w:eastAsia="en-AU"/>
        </w:rPr>
        <w:t xml:space="preserve">some </w:t>
      </w:r>
      <w:r>
        <w:rPr>
          <w:lang w:eastAsia="en-AU"/>
        </w:rPr>
        <w:t>higher education</w:t>
      </w:r>
      <w:r w:rsidRPr="00C9777C">
        <w:rPr>
          <w:lang w:eastAsia="en-AU"/>
        </w:rPr>
        <w:t xml:space="preserve"> qualifications</w:t>
      </w:r>
      <w:r>
        <w:rPr>
          <w:lang w:eastAsia="en-AU"/>
        </w:rPr>
        <w:t xml:space="preserve"> to promote the more applied orientation of the qualifications as a balance to the academic focus (for example, CIT); the use of </w:t>
      </w:r>
      <w:r w:rsidRPr="00AA20B0">
        <w:rPr>
          <w:lang w:eastAsia="en-AU"/>
        </w:rPr>
        <w:t xml:space="preserve">multiple mechanisms to test </w:t>
      </w:r>
      <w:r>
        <w:rPr>
          <w:lang w:eastAsia="en-AU"/>
        </w:rPr>
        <w:t xml:space="preserve">student </w:t>
      </w:r>
      <w:r w:rsidRPr="00AA20B0">
        <w:rPr>
          <w:lang w:eastAsia="en-AU"/>
        </w:rPr>
        <w:t xml:space="preserve">readiness for </w:t>
      </w:r>
      <w:r>
        <w:rPr>
          <w:lang w:eastAsia="en-AU"/>
        </w:rPr>
        <w:t>higher education</w:t>
      </w:r>
      <w:r w:rsidRPr="00AA20B0">
        <w:rPr>
          <w:lang w:eastAsia="en-AU"/>
        </w:rPr>
        <w:t xml:space="preserve"> study </w:t>
      </w:r>
      <w:r>
        <w:rPr>
          <w:lang w:eastAsia="en-AU"/>
        </w:rPr>
        <w:t xml:space="preserve">(Holmesglen); and support for </w:t>
      </w:r>
      <w:r w:rsidRPr="009967B8">
        <w:rPr>
          <w:iCs/>
          <w:lang w:eastAsia="en-AU"/>
        </w:rPr>
        <w:t>more gifted students</w:t>
      </w:r>
      <w:r w:rsidR="009322C7">
        <w:rPr>
          <w:iCs/>
          <w:lang w:eastAsia="en-AU"/>
        </w:rPr>
        <w:t>,</w:t>
      </w:r>
      <w:r w:rsidRPr="009967B8">
        <w:rPr>
          <w:iCs/>
          <w:lang w:eastAsia="en-AU"/>
        </w:rPr>
        <w:t xml:space="preserve"> who are monitored </w:t>
      </w:r>
      <w:r>
        <w:rPr>
          <w:iCs/>
          <w:lang w:eastAsia="en-AU"/>
        </w:rPr>
        <w:t xml:space="preserve">in instances </w:t>
      </w:r>
      <w:r w:rsidRPr="009967B8">
        <w:rPr>
          <w:iCs/>
          <w:lang w:eastAsia="en-AU"/>
        </w:rPr>
        <w:t xml:space="preserve">where they choose a more accelerated path of </w:t>
      </w:r>
      <w:r>
        <w:rPr>
          <w:iCs/>
          <w:lang w:eastAsia="en-AU"/>
        </w:rPr>
        <w:t xml:space="preserve">higher education </w:t>
      </w:r>
      <w:r w:rsidRPr="009967B8">
        <w:rPr>
          <w:iCs/>
          <w:lang w:eastAsia="en-AU"/>
        </w:rPr>
        <w:t>study</w:t>
      </w:r>
      <w:r>
        <w:rPr>
          <w:iCs/>
          <w:lang w:eastAsia="en-AU"/>
        </w:rPr>
        <w:t xml:space="preserve"> (for example, Think)</w:t>
      </w:r>
      <w:r w:rsidRPr="009967B8">
        <w:rPr>
          <w:iCs/>
          <w:lang w:eastAsia="en-AU"/>
        </w:rPr>
        <w:t xml:space="preserve">. </w:t>
      </w:r>
      <w:r w:rsidRPr="006A5074">
        <w:t xml:space="preserve">In short, </w:t>
      </w:r>
      <w:r>
        <w:t>these best practices involve establishing distinctive student-centric cultures</w:t>
      </w:r>
      <w:r>
        <w:rPr>
          <w:rFonts w:eastAsia="Cambria" w:cs="Consolas"/>
        </w:rPr>
        <w:t xml:space="preserve">, which allow </w:t>
      </w:r>
      <w:r w:rsidRPr="006A5074">
        <w:rPr>
          <w:rFonts w:eastAsia="Cambria" w:cs="Consolas"/>
        </w:rPr>
        <w:t xml:space="preserve">providers to compete against much larger universities in these </w:t>
      </w:r>
      <w:r>
        <w:rPr>
          <w:rFonts w:eastAsia="Cambria" w:cs="Consolas"/>
        </w:rPr>
        <w:t xml:space="preserve">very </w:t>
      </w:r>
      <w:r w:rsidRPr="006A5074">
        <w:rPr>
          <w:rFonts w:eastAsia="Cambria" w:cs="Consolas"/>
        </w:rPr>
        <w:t xml:space="preserve">competitive </w:t>
      </w:r>
      <w:r>
        <w:rPr>
          <w:rFonts w:eastAsia="Cambria" w:cs="Consolas"/>
        </w:rPr>
        <w:t xml:space="preserve">higher education </w:t>
      </w:r>
      <w:r w:rsidRPr="006A5074">
        <w:rPr>
          <w:rFonts w:eastAsia="Cambria" w:cs="Consolas"/>
        </w:rPr>
        <w:t>markets.</w:t>
      </w:r>
      <w:r w:rsidRPr="006A5074">
        <w:t xml:space="preserve"> </w:t>
      </w:r>
    </w:p>
    <w:p w:rsidR="0075281A" w:rsidRPr="005B7FB7" w:rsidRDefault="0075281A" w:rsidP="00094819">
      <w:pPr>
        <w:pStyle w:val="Heading3"/>
      </w:pPr>
      <w:bookmarkStart w:id="168" w:name="_Toc396117554"/>
      <w:r w:rsidRPr="005B7FB7">
        <w:t>Adopt continuous improvement</w:t>
      </w:r>
      <w:bookmarkEnd w:id="168"/>
      <w:r w:rsidRPr="005B7FB7">
        <w:t xml:space="preserve"> </w:t>
      </w:r>
    </w:p>
    <w:p w:rsidR="0075281A" w:rsidRPr="005B7FB7" w:rsidRDefault="0075281A" w:rsidP="00094819">
      <w:pPr>
        <w:pStyle w:val="Textlessbefore"/>
      </w:pPr>
      <w:r>
        <w:t>VET providers need to e</w:t>
      </w:r>
      <w:r w:rsidRPr="005B7FB7">
        <w:t xml:space="preserve">xpect </w:t>
      </w:r>
      <w:r>
        <w:t>higher education</w:t>
      </w:r>
      <w:r w:rsidRPr="005B7FB7">
        <w:t xml:space="preserve"> operations to evolve over time with experience.</w:t>
      </w:r>
      <w:r>
        <w:t xml:space="preserve"> They also need to a</w:t>
      </w:r>
      <w:r w:rsidRPr="005B7FB7">
        <w:t xml:space="preserve">ccept that capability in </w:t>
      </w:r>
      <w:r>
        <w:t>higher education</w:t>
      </w:r>
      <w:r w:rsidRPr="005B7FB7">
        <w:t xml:space="preserve"> requires ongoing attention and effort and can only be built over time and by adopting a continuous improvement approach. </w:t>
      </w:r>
    </w:p>
    <w:p w:rsidR="0075281A" w:rsidRPr="00F17F1E" w:rsidRDefault="0075281A" w:rsidP="00094819">
      <w:pPr>
        <w:pStyle w:val="Heading2"/>
      </w:pPr>
      <w:bookmarkStart w:id="169" w:name="_Toc396117555"/>
      <w:bookmarkStart w:id="170" w:name="_Toc419972104"/>
      <w:r w:rsidRPr="00F17F1E">
        <w:t>Concluding remarks</w:t>
      </w:r>
      <w:bookmarkEnd w:id="169"/>
      <w:bookmarkEnd w:id="170"/>
      <w:r w:rsidRPr="00F17F1E">
        <w:t xml:space="preserve"> </w:t>
      </w:r>
    </w:p>
    <w:p w:rsidR="0075281A" w:rsidRPr="00372E0C" w:rsidRDefault="0075281A" w:rsidP="00094819">
      <w:pPr>
        <w:pStyle w:val="Text"/>
        <w:ind w:right="-143"/>
      </w:pPr>
      <w:r>
        <w:t>E</w:t>
      </w:r>
      <w:r w:rsidRPr="00F17F1E">
        <w:t>ducation and training markets are very susceptible to economic uncertainty, high levels of competition and changes in g</w:t>
      </w:r>
      <w:r>
        <w:t xml:space="preserve">overnment policy. </w:t>
      </w:r>
      <w:r w:rsidRPr="00F17F1E">
        <w:t xml:space="preserve">With continued economic uncertainty, </w:t>
      </w:r>
      <w:r>
        <w:t xml:space="preserve">rises and falls in international student numbers </w:t>
      </w:r>
      <w:r w:rsidRPr="00F17F1E">
        <w:t xml:space="preserve">and the demands of a new </w:t>
      </w:r>
      <w:r>
        <w:t>higher education</w:t>
      </w:r>
      <w:r w:rsidRPr="00F17F1E">
        <w:t xml:space="preserve"> regulator, </w:t>
      </w:r>
      <w:r>
        <w:t xml:space="preserve">the plans of </w:t>
      </w:r>
      <w:r w:rsidRPr="00F17F1E">
        <w:t xml:space="preserve">a number of </w:t>
      </w:r>
      <w:r w:rsidRPr="005B7FB7">
        <w:t>the case</w:t>
      </w:r>
      <w:r>
        <w:t xml:space="preserve"> </w:t>
      </w:r>
      <w:r w:rsidRPr="00F17F1E">
        <w:t xml:space="preserve">organisations </w:t>
      </w:r>
      <w:r w:rsidR="00AB2499" w:rsidRPr="00372E0C">
        <w:t>to increase their higher education programs</w:t>
      </w:r>
      <w:r w:rsidR="00AB2499" w:rsidRPr="00F17F1E">
        <w:t xml:space="preserve"> </w:t>
      </w:r>
      <w:r w:rsidRPr="00F17F1E">
        <w:t>have lost their mome</w:t>
      </w:r>
      <w:r w:rsidRPr="00372E0C">
        <w:t xml:space="preserve">ntum. </w:t>
      </w:r>
    </w:p>
    <w:p w:rsidR="0075281A" w:rsidRDefault="0075281A" w:rsidP="00094819">
      <w:pPr>
        <w:pStyle w:val="Text"/>
      </w:pPr>
      <w:r w:rsidRPr="00372E0C">
        <w:t>These providers have few concerns about their ability to</w:t>
      </w:r>
      <w:r w:rsidRPr="006A5074">
        <w:t xml:space="preserve"> design and deliver successful </w:t>
      </w:r>
      <w:r>
        <w:t>higher education</w:t>
      </w:r>
      <w:r w:rsidRPr="006A5074">
        <w:t xml:space="preserve"> programs. </w:t>
      </w:r>
      <w:r>
        <w:t>All</w:t>
      </w:r>
      <w:r w:rsidRPr="006A5074">
        <w:t xml:space="preserve"> accept that capability in </w:t>
      </w:r>
      <w:r>
        <w:t>higher education</w:t>
      </w:r>
      <w:r w:rsidRPr="006A5074">
        <w:t xml:space="preserve"> requires ongoing attention and effort</w:t>
      </w:r>
      <w:r>
        <w:t xml:space="preserve"> and, linked to this, professional development and access to ongoing scholarship</w:t>
      </w:r>
      <w:r w:rsidRPr="000352B6">
        <w:t xml:space="preserve"> </w:t>
      </w:r>
      <w:r w:rsidR="00AB2499">
        <w:t>are</w:t>
      </w:r>
      <w:r>
        <w:t xml:space="preserve"> required. </w:t>
      </w:r>
      <w:r>
        <w:lastRenderedPageBreak/>
        <w:t>However, t</w:t>
      </w:r>
      <w:r w:rsidRPr="00F17F1E">
        <w:t xml:space="preserve">hese cases reveal that the </w:t>
      </w:r>
      <w:r w:rsidRPr="00F17F1E">
        <w:rPr>
          <w:rStyle w:val="Heading3Char"/>
          <w:rFonts w:ascii="Trebuchet MS" w:hAnsi="Trebuchet MS"/>
          <w:sz w:val="19"/>
          <w:szCs w:val="19"/>
        </w:rPr>
        <w:t xml:space="preserve">governance and regulatory environment has changed considerably </w:t>
      </w:r>
      <w:r>
        <w:t xml:space="preserve">with the arrival of TEQSA, and has been </w:t>
      </w:r>
      <w:r w:rsidRPr="00F17F1E">
        <w:t>costly</w:t>
      </w:r>
      <w:r>
        <w:t>.</w:t>
      </w:r>
      <w:r w:rsidRPr="00F17F1E">
        <w:t xml:space="preserve"> </w:t>
      </w:r>
    </w:p>
    <w:p w:rsidR="0075281A" w:rsidRPr="00372E0C" w:rsidRDefault="0075281A" w:rsidP="00094819">
      <w:pPr>
        <w:pStyle w:val="Text"/>
      </w:pPr>
      <w:r>
        <w:t>It</w:t>
      </w:r>
      <w:r w:rsidRPr="00F17F1E">
        <w:t xml:space="preserve"> is hoped that TEQSA’s reform agenda to improve its regulatory framework will help</w:t>
      </w:r>
      <w:r>
        <w:t xml:space="preserve"> to</w:t>
      </w:r>
      <w:r w:rsidRPr="00F17F1E">
        <w:t xml:space="preserve"> restore </w:t>
      </w:r>
      <w:r>
        <w:t xml:space="preserve">some of this </w:t>
      </w:r>
      <w:r w:rsidRPr="00F17F1E">
        <w:t xml:space="preserve">momentum </w:t>
      </w:r>
      <w:r>
        <w:t>and encourage our case</w:t>
      </w:r>
      <w:r w:rsidR="00AB2499">
        <w:t xml:space="preserve"> study</w:t>
      </w:r>
      <w:r>
        <w:t xml:space="preserve"> VET providers to again increase the number of</w:t>
      </w:r>
      <w:r w:rsidRPr="00F17F1E">
        <w:t xml:space="preserve"> their </w:t>
      </w:r>
      <w:r>
        <w:t>higher education</w:t>
      </w:r>
      <w:r w:rsidRPr="00F17F1E">
        <w:t xml:space="preserve"> programs. Th</w:t>
      </w:r>
      <w:r w:rsidR="00AB2499">
        <w:t>is</w:t>
      </w:r>
      <w:r w:rsidRPr="00F17F1E">
        <w:t xml:space="preserve"> </w:t>
      </w:r>
      <w:r w:rsidR="00AB2499">
        <w:t>reform</w:t>
      </w:r>
      <w:r w:rsidRPr="00F17F1E">
        <w:t xml:space="preserve"> is in response </w:t>
      </w:r>
      <w:r>
        <w:t xml:space="preserve">to </w:t>
      </w:r>
      <w:r w:rsidRPr="00F17F1E">
        <w:t xml:space="preserve">the direction by the Minister for Education </w:t>
      </w:r>
      <w:r>
        <w:t>in October 2013 to apply ‘</w:t>
      </w:r>
      <w:r w:rsidRPr="00F17F1E">
        <w:t>a regulatory and quality enhancement philosophy and deliberate acti</w:t>
      </w:r>
      <w:r>
        <w:t>on to remove red tape’, which</w:t>
      </w:r>
      <w:r w:rsidRPr="00F17F1E">
        <w:t xml:space="preserve"> is an outcome of the Review of Higher Education Regulation by Dow and Braithwaite (2013). </w:t>
      </w:r>
      <w:r>
        <w:t>In addition, it</w:t>
      </w:r>
      <w:r w:rsidRPr="00F17F1E">
        <w:t xml:space="preserve"> would also be useful if TEQSA and ASQA acted on their memorandum of understanding of Decem</w:t>
      </w:r>
      <w:r w:rsidRPr="00372E0C">
        <w:t>ber 2011 to establish a streamlined and coordinated whole-of-provider approach to the regulation of multi-sector providers to further remove red tape.</w:t>
      </w:r>
    </w:p>
    <w:p w:rsidR="0075281A" w:rsidRPr="00372E0C" w:rsidRDefault="0075281A" w:rsidP="00094819">
      <w:pPr>
        <w:pStyle w:val="Text"/>
      </w:pPr>
      <w:r w:rsidRPr="00372E0C">
        <w:t xml:space="preserve">Another factor for sustained growth is the extension of Commonwealth Supported Places for domestic higher education students to all providers that meet higher education accreditation standards. Currently, providers like those in these case studies are operating in a full-fee-recovery model. While they have identified major points of difference to attract higher education students away from universities in particular, the cost of fees is a major barrier to growth for these VET providers of higher education </w:t>
      </w:r>
      <w:r w:rsidR="00AB2499">
        <w:t>who</w:t>
      </w:r>
      <w:r w:rsidRPr="00372E0C">
        <w:t xml:space="preserve"> </w:t>
      </w:r>
      <w:proofErr w:type="gramStart"/>
      <w:r w:rsidRPr="00372E0C">
        <w:t>do</w:t>
      </w:r>
      <w:proofErr w:type="gramEnd"/>
      <w:r w:rsidRPr="00372E0C">
        <w:t xml:space="preserve"> not receive Commonwealth funding for their higher education students. </w:t>
      </w:r>
    </w:p>
    <w:p w:rsidR="0075281A" w:rsidRDefault="0075281A" w:rsidP="00094819">
      <w:pPr>
        <w:pStyle w:val="Text"/>
        <w:rPr>
          <w:rFonts w:eastAsiaTheme="minorHAnsi" w:cs="Consolas"/>
        </w:rPr>
      </w:pPr>
      <w:r w:rsidRPr="00372E0C">
        <w:t xml:space="preserve">When access to Commonwealth Supported Places </w:t>
      </w:r>
      <w:r w:rsidR="00AB2499">
        <w:t>would be available</w:t>
      </w:r>
      <w:r w:rsidRPr="00372E0C">
        <w:t xml:space="preserve"> was still open to debate when we interviewed the case organisations. Howe</w:t>
      </w:r>
      <w:r>
        <w:t xml:space="preserve">ver, just as this </w:t>
      </w:r>
      <w:r w:rsidRPr="0011411A">
        <w:t xml:space="preserve">report was being </w:t>
      </w:r>
      <w:r>
        <w:t xml:space="preserve">finalised, a report on a review of the higher education demand-driven funding model was released, which </w:t>
      </w:r>
      <w:r w:rsidRPr="005B7FB7">
        <w:t xml:space="preserve">recommended extending the system to cover sub-bachelor qualifications, such as diplomas and associate degrees, and broadening it to encompass private universities and non-university higher education providers (Kemp </w:t>
      </w:r>
      <w:r>
        <w:t>&amp;</w:t>
      </w:r>
      <w:r w:rsidRPr="005B7FB7">
        <w:t xml:space="preserve"> Norton 2014). It may be sooner rather than later that </w:t>
      </w:r>
      <w:r>
        <w:rPr>
          <w:rFonts w:eastAsiaTheme="minorHAnsi" w:cs="Consolas"/>
        </w:rPr>
        <w:t>a</w:t>
      </w:r>
      <w:r w:rsidRPr="005B7FB7">
        <w:rPr>
          <w:rFonts w:eastAsiaTheme="minorHAnsi" w:cs="Consolas"/>
        </w:rPr>
        <w:t xml:space="preserve"> key barrier to VET providers delivering </w:t>
      </w:r>
      <w:r>
        <w:rPr>
          <w:rFonts w:eastAsiaTheme="minorHAnsi" w:cs="Consolas"/>
        </w:rPr>
        <w:t>higher education</w:t>
      </w:r>
      <w:r w:rsidRPr="005B7FB7">
        <w:rPr>
          <w:rFonts w:eastAsiaTheme="minorHAnsi" w:cs="Consolas"/>
        </w:rPr>
        <w:t xml:space="preserve"> qualifications in their own right is removed and funding conditions become more favourable.</w:t>
      </w:r>
    </w:p>
    <w:p w:rsidR="0075281A" w:rsidRDefault="0075281A">
      <w:pPr>
        <w:spacing w:before="0" w:line="240" w:lineRule="auto"/>
        <w:rPr>
          <w:rFonts w:ascii="Tahoma" w:hAnsi="Tahoma" w:cs="Tahoma"/>
          <w:color w:val="000000"/>
          <w:kern w:val="28"/>
          <w:sz w:val="56"/>
          <w:szCs w:val="56"/>
        </w:rPr>
      </w:pPr>
      <w:r>
        <w:br w:type="page"/>
      </w:r>
    </w:p>
    <w:p w:rsidR="0075281A" w:rsidRPr="00320907" w:rsidRDefault="00AD53B0" w:rsidP="00A503CC">
      <w:pPr>
        <w:pStyle w:val="Heading1"/>
        <w:tabs>
          <w:tab w:val="left" w:pos="709"/>
        </w:tabs>
      </w:pPr>
      <w:bookmarkStart w:id="171" w:name="_Toc396117556"/>
      <w:bookmarkStart w:id="172" w:name="_Toc419972105"/>
      <w:r>
        <w:rPr>
          <w:noProof/>
          <w:lang w:eastAsia="en-AU"/>
        </w:rPr>
        <w:lastRenderedPageBreak/>
        <w:drawing>
          <wp:anchor distT="0" distB="0" distL="114300" distR="114300" simplePos="0" relativeHeight="251748344" behindDoc="0" locked="0" layoutInCell="1" allowOverlap="1" wp14:anchorId="511D287D" wp14:editId="66A7287D">
            <wp:simplePos x="0" y="0"/>
            <wp:positionH relativeFrom="column">
              <wp:posOffset>-7285</wp:posOffset>
            </wp:positionH>
            <wp:positionV relativeFrom="paragraph">
              <wp:posOffset>-72150</wp:posOffset>
            </wp:positionV>
            <wp:extent cx="414020" cy="414020"/>
            <wp:effectExtent l="0" t="0" r="5080" b="5080"/>
            <wp:wrapNone/>
            <wp:docPr id="92" name="Picture 92"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Reference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3CC">
        <w:tab/>
      </w:r>
      <w:r w:rsidR="0075281A" w:rsidRPr="00320907">
        <w:t>References</w:t>
      </w:r>
      <w:bookmarkEnd w:id="171"/>
      <w:bookmarkEnd w:id="172"/>
    </w:p>
    <w:p w:rsidR="0075281A" w:rsidRPr="00B8781C" w:rsidRDefault="0075281A" w:rsidP="00094819">
      <w:pPr>
        <w:pStyle w:val="References"/>
      </w:pPr>
      <w:r w:rsidRPr="00B8781C">
        <w:t xml:space="preserve">Access Economics 2009, </w:t>
      </w:r>
      <w:r w:rsidRPr="00AB2499">
        <w:rPr>
          <w:i/>
        </w:rPr>
        <w:t>Economic modelling of skills demand</w:t>
      </w:r>
      <w:r w:rsidRPr="00B8781C">
        <w:t>, Skills Australia, Canberra.</w:t>
      </w:r>
    </w:p>
    <w:p w:rsidR="0075281A" w:rsidRPr="00B8781C" w:rsidRDefault="0075281A" w:rsidP="00094819">
      <w:pPr>
        <w:pStyle w:val="References"/>
      </w:pPr>
      <w:r w:rsidRPr="00B8781C">
        <w:t xml:space="preserve">Australian Qualifications Framework Council 2011, </w:t>
      </w:r>
      <w:r w:rsidRPr="00AB2499">
        <w:rPr>
          <w:i/>
        </w:rPr>
        <w:t>Australian Qualifications Framework</w:t>
      </w:r>
      <w:r w:rsidRPr="00B8781C">
        <w:t xml:space="preserve">, first </w:t>
      </w:r>
      <w:proofErr w:type="spellStart"/>
      <w:r w:rsidRPr="00B8781C">
        <w:t>edn</w:t>
      </w:r>
      <w:proofErr w:type="spellEnd"/>
      <w:r w:rsidRPr="00B8781C">
        <w:t xml:space="preserve">, </w:t>
      </w:r>
      <w:r w:rsidR="00AB2499">
        <w:t>Adelaide</w:t>
      </w:r>
      <w:r w:rsidRPr="00B8781C">
        <w:t>.</w:t>
      </w:r>
    </w:p>
    <w:p w:rsidR="0075281A" w:rsidRPr="00B8781C" w:rsidRDefault="0075281A" w:rsidP="00094819">
      <w:pPr>
        <w:pStyle w:val="References"/>
      </w:pPr>
      <w:proofErr w:type="gramStart"/>
      <w:r w:rsidRPr="00B8781C">
        <w:t xml:space="preserve">——2013, </w:t>
      </w:r>
      <w:r w:rsidRPr="00AB2499">
        <w:rPr>
          <w:i/>
        </w:rPr>
        <w:t>Australian Qualifications Framework</w:t>
      </w:r>
      <w:r w:rsidRPr="00B8781C">
        <w:t xml:space="preserve">, 2nd </w:t>
      </w:r>
      <w:proofErr w:type="spellStart"/>
      <w:r w:rsidRPr="00B8781C">
        <w:t>edn</w:t>
      </w:r>
      <w:proofErr w:type="spellEnd"/>
      <w:r w:rsidRPr="00B8781C">
        <w:t>, Australian Qualifications Framework Council</w:t>
      </w:r>
      <w:r w:rsidR="00AB2499">
        <w:t>, Adelaide</w:t>
      </w:r>
      <w:r w:rsidRPr="00B8781C">
        <w:t>.</w:t>
      </w:r>
      <w:proofErr w:type="gramEnd"/>
    </w:p>
    <w:p w:rsidR="0075281A" w:rsidRPr="00B8781C" w:rsidRDefault="0075281A" w:rsidP="00094819">
      <w:pPr>
        <w:pStyle w:val="References"/>
      </w:pPr>
      <w:r w:rsidRPr="00B8781C">
        <w:t xml:space="preserve">Bradley, D, Noonan, P, Nugent, H &amp; Scales, B 2008, </w:t>
      </w:r>
      <w:r w:rsidRPr="00AB2499">
        <w:rPr>
          <w:i/>
        </w:rPr>
        <w:t>Review of Australian higher education: final report</w:t>
      </w:r>
      <w:r w:rsidRPr="00B8781C">
        <w:t>, Department of Education, Employment and Workplace Relations, Canberra.</w:t>
      </w:r>
    </w:p>
    <w:p w:rsidR="0075281A" w:rsidRPr="00B8781C" w:rsidRDefault="0075281A" w:rsidP="00094819">
      <w:pPr>
        <w:pStyle w:val="References"/>
      </w:pPr>
      <w:r w:rsidRPr="00B8781C">
        <w:t xml:space="preserve">Brown, K 2013, </w:t>
      </w:r>
      <w:r w:rsidR="00AB2499">
        <w:t>‘</w:t>
      </w:r>
      <w:r w:rsidRPr="00B8781C">
        <w:t>How do providers respond to changes in structures in a period of reform?</w:t>
      </w:r>
      <w:proofErr w:type="gramStart"/>
      <w:r w:rsidR="00AB2499">
        <w:t>’,</w:t>
      </w:r>
      <w:proofErr w:type="gramEnd"/>
      <w:r w:rsidRPr="00B8781C">
        <w:t xml:space="preserve"> in F Beddie, L O’Connor &amp; P Curtin (</w:t>
      </w:r>
      <w:proofErr w:type="spellStart"/>
      <w:r w:rsidRPr="00B8781C">
        <w:t>eds</w:t>
      </w:r>
      <w:proofErr w:type="spellEnd"/>
      <w:r w:rsidRPr="00B8781C">
        <w:t xml:space="preserve">), </w:t>
      </w:r>
      <w:r w:rsidRPr="00B8781C">
        <w:rPr>
          <w:i/>
        </w:rPr>
        <w:t xml:space="preserve">Structures in tertiary education and training: a kaleidoscope or merely fragments? </w:t>
      </w:r>
      <w:proofErr w:type="gramStart"/>
      <w:r w:rsidRPr="00B8781C">
        <w:rPr>
          <w:i/>
        </w:rPr>
        <w:t>Research readings</w:t>
      </w:r>
      <w:r>
        <w:t xml:space="preserve">, </w:t>
      </w:r>
      <w:r w:rsidRPr="00B8781C">
        <w:t>NCVER, Adelaide, pp.98—107.</w:t>
      </w:r>
      <w:proofErr w:type="gramEnd"/>
    </w:p>
    <w:p w:rsidR="0075281A" w:rsidRPr="00B8781C" w:rsidRDefault="0075281A" w:rsidP="00094819">
      <w:pPr>
        <w:pStyle w:val="References"/>
      </w:pPr>
      <w:r w:rsidRPr="00B8781C">
        <w:t xml:space="preserve">Burke, G &amp; Shah, C 2006, </w:t>
      </w:r>
      <w:r w:rsidRPr="00AB2499">
        <w:rPr>
          <w:i/>
        </w:rPr>
        <w:t>Qualifications and future labour markets in Australia</w:t>
      </w:r>
      <w:r w:rsidRPr="00B8781C">
        <w:t>, CEET, Monash University, Melbourne.</w:t>
      </w:r>
    </w:p>
    <w:p w:rsidR="0075281A" w:rsidRPr="00B8781C" w:rsidRDefault="0075281A" w:rsidP="00094819">
      <w:pPr>
        <w:pStyle w:val="References"/>
      </w:pPr>
      <w:r w:rsidRPr="00B8781C">
        <w:t xml:space="preserve">Callan, VJ &amp; Bowman, K 2013, </w:t>
      </w:r>
      <w:r w:rsidRPr="00AB2499">
        <w:rPr>
          <w:i/>
        </w:rPr>
        <w:t>Issues for VET providers delivering associate and bachelor degrees: literature</w:t>
      </w:r>
      <w:r w:rsidR="00AB2499">
        <w:rPr>
          <w:i/>
        </w:rPr>
        <w:t xml:space="preserve"> review</w:t>
      </w:r>
      <w:r w:rsidRPr="00B8781C">
        <w:t>, NCVER occasional paper, NCVER, Adelaide.</w:t>
      </w:r>
    </w:p>
    <w:p w:rsidR="0075281A" w:rsidRPr="00B8781C" w:rsidRDefault="0075281A" w:rsidP="00094819">
      <w:pPr>
        <w:pStyle w:val="References"/>
      </w:pPr>
      <w:proofErr w:type="gramStart"/>
      <w:r w:rsidRPr="00B8781C">
        <w:t xml:space="preserve">Canberra Institute of Technology 2008, </w:t>
      </w:r>
      <w:r w:rsidRPr="00AB2499">
        <w:rPr>
          <w:i/>
        </w:rPr>
        <w:t>Submission to Review of Australian higher education</w:t>
      </w:r>
      <w:r w:rsidRPr="00B8781C">
        <w:t>, Canberra Institute of Technology.</w:t>
      </w:r>
      <w:proofErr w:type="gramEnd"/>
    </w:p>
    <w:p w:rsidR="0075281A" w:rsidRPr="00B8781C" w:rsidRDefault="0075281A" w:rsidP="00094819">
      <w:pPr>
        <w:pStyle w:val="References"/>
      </w:pPr>
      <w:proofErr w:type="gramStart"/>
      <w:r w:rsidRPr="00B8781C">
        <w:t xml:space="preserve">Council of Australian Governments (COAG) 2008, </w:t>
      </w:r>
      <w:r w:rsidRPr="00AB2499">
        <w:rPr>
          <w:i/>
        </w:rPr>
        <w:t>National agreement for skills and workforce development</w:t>
      </w:r>
      <w:r w:rsidRPr="00B8781C">
        <w:t>, COAG Reform Council, Sydney.</w:t>
      </w:r>
      <w:proofErr w:type="gramEnd"/>
    </w:p>
    <w:p w:rsidR="0075281A" w:rsidRPr="00B8781C" w:rsidRDefault="0075281A" w:rsidP="00094819">
      <w:pPr>
        <w:pStyle w:val="References"/>
      </w:pPr>
      <w:r w:rsidRPr="00B8781C">
        <w:t xml:space="preserve">Department of Education, Employment and Workplace Relations 2010, </w:t>
      </w:r>
      <w:proofErr w:type="gramStart"/>
      <w:r w:rsidRPr="00AB2499">
        <w:rPr>
          <w:i/>
        </w:rPr>
        <w:t>A</w:t>
      </w:r>
      <w:proofErr w:type="gramEnd"/>
      <w:r w:rsidRPr="00AB2499">
        <w:rPr>
          <w:i/>
        </w:rPr>
        <w:t xml:space="preserve"> national higher education participation and partnerships program</w:t>
      </w:r>
      <w:r w:rsidRPr="00B8781C">
        <w:t>, DEEWR, Canberra.</w:t>
      </w:r>
    </w:p>
    <w:p w:rsidR="0075281A" w:rsidRDefault="0075281A" w:rsidP="00094819">
      <w:pPr>
        <w:pStyle w:val="References"/>
      </w:pPr>
      <w:r w:rsidRPr="00B8781C">
        <w:t xml:space="preserve">Dow, KL &amp; Braithwaite, V 2013, </w:t>
      </w:r>
      <w:proofErr w:type="gramStart"/>
      <w:r w:rsidRPr="00AB2499">
        <w:rPr>
          <w:i/>
        </w:rPr>
        <w:t>The</w:t>
      </w:r>
      <w:proofErr w:type="gramEnd"/>
      <w:r w:rsidRPr="00AB2499">
        <w:rPr>
          <w:i/>
        </w:rPr>
        <w:t xml:space="preserve"> review of higher</w:t>
      </w:r>
      <w:r w:rsidRPr="00B8781C">
        <w:t xml:space="preserve"> e</w:t>
      </w:r>
      <w:r w:rsidRPr="00D215DF">
        <w:rPr>
          <w:i/>
        </w:rPr>
        <w:t>ducation regulation</w:t>
      </w:r>
      <w:r w:rsidRPr="00D215DF">
        <w:t>, Commonwealth of Australia, Canberra.</w:t>
      </w:r>
    </w:p>
    <w:p w:rsidR="0075281A" w:rsidRDefault="0075281A" w:rsidP="00094819">
      <w:pPr>
        <w:pStyle w:val="References"/>
      </w:pPr>
      <w:r w:rsidRPr="00320907">
        <w:t xml:space="preserve">Gale, T, Hodge, S, Parker, S, </w:t>
      </w:r>
      <w:proofErr w:type="spellStart"/>
      <w:r w:rsidRPr="00320907">
        <w:t>Rawolle</w:t>
      </w:r>
      <w:proofErr w:type="spellEnd"/>
      <w:r w:rsidRPr="00320907">
        <w:t xml:space="preserve">, S, Charlton, E, Rodd, P, </w:t>
      </w:r>
      <w:proofErr w:type="spellStart"/>
      <w:r w:rsidRPr="00320907">
        <w:t>Skourdoumbis</w:t>
      </w:r>
      <w:proofErr w:type="spellEnd"/>
      <w:r w:rsidRPr="00320907">
        <w:t>, A</w:t>
      </w:r>
      <w:r>
        <w:t xml:space="preserve"> &amp; </w:t>
      </w:r>
      <w:proofErr w:type="spellStart"/>
      <w:r>
        <w:t>Molla</w:t>
      </w:r>
      <w:proofErr w:type="spellEnd"/>
      <w:r>
        <w:t>, T 2013,</w:t>
      </w:r>
      <w:r w:rsidRPr="00320907">
        <w:t xml:space="preserve"> </w:t>
      </w:r>
      <w:r w:rsidRPr="008B5B15">
        <w:rPr>
          <w:i/>
        </w:rPr>
        <w:t>VET providers, associate and bachelor degrees, and disadvantaged learners</w:t>
      </w:r>
      <w:r w:rsidRPr="000E3221">
        <w:rPr>
          <w:i/>
        </w:rPr>
        <w:t>: report to the National VET Equity Advisory Council (NVEAC)</w:t>
      </w:r>
      <w:r>
        <w:t xml:space="preserve">, </w:t>
      </w:r>
      <w:r w:rsidRPr="00320907">
        <w:t>Centre for Research in Education Futures and Innovatio</w:t>
      </w:r>
      <w:r>
        <w:t>n, Deakin University, Melbourne</w:t>
      </w:r>
      <w:r w:rsidRPr="00320907">
        <w:t>.</w:t>
      </w:r>
    </w:p>
    <w:p w:rsidR="0075281A" w:rsidRDefault="0075281A" w:rsidP="00094819">
      <w:pPr>
        <w:pStyle w:val="References"/>
      </w:pPr>
      <w:r>
        <w:t>Gunn, C, Hearne, S</w:t>
      </w:r>
      <w:r w:rsidRPr="00320907">
        <w:t xml:space="preserve"> &amp; </w:t>
      </w:r>
      <w:proofErr w:type="spellStart"/>
      <w:r w:rsidRPr="00320907">
        <w:t>Sibthorpe</w:t>
      </w:r>
      <w:proofErr w:type="spellEnd"/>
      <w:r w:rsidRPr="00320907">
        <w:t xml:space="preserve">, J 2011, </w:t>
      </w:r>
      <w:r>
        <w:t>‘Right from the start: a</w:t>
      </w:r>
      <w:r w:rsidRPr="00E96FA6">
        <w:t xml:space="preserve"> rationale for embedding academic literacy</w:t>
      </w:r>
      <w:r>
        <w:t>’</w:t>
      </w:r>
      <w:r>
        <w:rPr>
          <w:i/>
        </w:rPr>
        <w:t>,</w:t>
      </w:r>
      <w:r w:rsidRPr="00320907">
        <w:t xml:space="preserve"> </w:t>
      </w:r>
      <w:r w:rsidRPr="00E96FA6">
        <w:rPr>
          <w:i/>
        </w:rPr>
        <w:t>Journal of University Teaching and Learning Practice</w:t>
      </w:r>
      <w:r w:rsidRPr="00320907">
        <w:t xml:space="preserve">, </w:t>
      </w:r>
      <w:r>
        <w:t>vol.8, no.1, pp.1—</w:t>
      </w:r>
      <w:r w:rsidRPr="00320907">
        <w:t>10.</w:t>
      </w:r>
    </w:p>
    <w:p w:rsidR="0075281A" w:rsidRDefault="0075281A" w:rsidP="00094819">
      <w:pPr>
        <w:pStyle w:val="References"/>
      </w:pPr>
      <w:proofErr w:type="spellStart"/>
      <w:r>
        <w:t>Guscott</w:t>
      </w:r>
      <w:proofErr w:type="spellEnd"/>
      <w:r>
        <w:t>, S</w:t>
      </w:r>
      <w:r w:rsidRPr="00320907">
        <w:t xml:space="preserve"> 2012, </w:t>
      </w:r>
      <w:r>
        <w:rPr>
          <w:i/>
        </w:rPr>
        <w:t>TAFE SA higher education: g</w:t>
      </w:r>
      <w:r w:rsidRPr="008B5B15">
        <w:rPr>
          <w:i/>
        </w:rPr>
        <w:t>overnance and positioning project final report/recommendations</w:t>
      </w:r>
      <w:r>
        <w:t>, Government of SA, Adelaide.</w:t>
      </w:r>
    </w:p>
    <w:p w:rsidR="0075281A" w:rsidRDefault="0075281A" w:rsidP="00094819">
      <w:pPr>
        <w:pStyle w:val="References"/>
      </w:pPr>
      <w:r>
        <w:t>——</w:t>
      </w:r>
      <w:r w:rsidRPr="00320907">
        <w:t xml:space="preserve">2013, </w:t>
      </w:r>
      <w:r>
        <w:rPr>
          <w:i/>
        </w:rPr>
        <w:t>Higher education: p</w:t>
      </w:r>
      <w:r w:rsidRPr="008B5B15">
        <w:rPr>
          <w:i/>
        </w:rPr>
        <w:t>ositioning 2013</w:t>
      </w:r>
      <w:r>
        <w:rPr>
          <w:i/>
        </w:rPr>
        <w:t>,</w:t>
      </w:r>
      <w:r>
        <w:t xml:space="preserve"> Government of SA, </w:t>
      </w:r>
      <w:r w:rsidRPr="00320907">
        <w:t xml:space="preserve">Adelaide. </w:t>
      </w:r>
    </w:p>
    <w:p w:rsidR="0075281A" w:rsidRDefault="0075281A" w:rsidP="00094819">
      <w:pPr>
        <w:pStyle w:val="References"/>
      </w:pPr>
      <w:r w:rsidRPr="00BC5932">
        <w:t xml:space="preserve">Hammer, SJ &amp; Green, W 2011, </w:t>
      </w:r>
      <w:r w:rsidR="00AB2499">
        <w:t>‘</w:t>
      </w:r>
      <w:r w:rsidRPr="00AB2499">
        <w:t>Critical thinking in a first year management unit: the relationship between disciplinary learning, academic literacy and learning progression</w:t>
      </w:r>
      <w:r w:rsidR="00AB2499">
        <w:t>’</w:t>
      </w:r>
      <w:r w:rsidRPr="00AB2499">
        <w:t>,</w:t>
      </w:r>
      <w:r w:rsidRPr="00BC5932">
        <w:t xml:space="preserve"> </w:t>
      </w:r>
      <w:r w:rsidRPr="00AB2499">
        <w:rPr>
          <w:i/>
        </w:rPr>
        <w:t>Higher Education Research and Development</w:t>
      </w:r>
      <w:r w:rsidRPr="00BC5932">
        <w:t>, vol.30</w:t>
      </w:r>
      <w:r>
        <w:t>, no.</w:t>
      </w:r>
      <w:r w:rsidRPr="00BC5932">
        <w:t>3, pp.303</w:t>
      </w:r>
      <w:r>
        <w:t>—</w:t>
      </w:r>
      <w:r w:rsidRPr="00BC5932">
        <w:t>15.</w:t>
      </w:r>
    </w:p>
    <w:p w:rsidR="0075281A" w:rsidRDefault="0075281A" w:rsidP="00094819">
      <w:pPr>
        <w:pStyle w:val="References"/>
      </w:pPr>
      <w:proofErr w:type="spellStart"/>
      <w:proofErr w:type="gramStart"/>
      <w:r>
        <w:t>Karmel</w:t>
      </w:r>
      <w:proofErr w:type="spellEnd"/>
      <w:r>
        <w:t>, T &amp; Lu, T</w:t>
      </w:r>
      <w:r w:rsidRPr="00320907">
        <w:t xml:space="preserve"> 2012, </w:t>
      </w:r>
      <w:r w:rsidRPr="008B5B15">
        <w:rPr>
          <w:i/>
        </w:rPr>
        <w:t>Associate degree or advanced diploma?</w:t>
      </w:r>
      <w:proofErr w:type="gramEnd"/>
      <w:r w:rsidRPr="008B5B15">
        <w:rPr>
          <w:i/>
        </w:rPr>
        <w:t xml:space="preserve"> </w:t>
      </w:r>
      <w:proofErr w:type="gramStart"/>
      <w:r w:rsidRPr="008B5B15">
        <w:rPr>
          <w:i/>
        </w:rPr>
        <w:t>A case study</w:t>
      </w:r>
      <w:r>
        <w:t xml:space="preserve">, </w:t>
      </w:r>
      <w:r w:rsidRPr="00320907">
        <w:t>NCVER occasional paper, NCVER</w:t>
      </w:r>
      <w:r>
        <w:t>,</w:t>
      </w:r>
      <w:r w:rsidRPr="00320907">
        <w:t xml:space="preserve"> Adelaide.</w:t>
      </w:r>
      <w:proofErr w:type="gramEnd"/>
    </w:p>
    <w:p w:rsidR="0075281A" w:rsidRDefault="0075281A" w:rsidP="00094819">
      <w:pPr>
        <w:pStyle w:val="References"/>
      </w:pPr>
      <w:r w:rsidRPr="002A55CE">
        <w:t>Kemp</w:t>
      </w:r>
      <w:r>
        <w:t>,</w:t>
      </w:r>
      <w:r w:rsidRPr="002A55CE">
        <w:t xml:space="preserve"> D &amp; Norton</w:t>
      </w:r>
      <w:r>
        <w:t xml:space="preserve">, A 2014, </w:t>
      </w:r>
      <w:r w:rsidRPr="001679A8">
        <w:rPr>
          <w:i/>
        </w:rPr>
        <w:t xml:space="preserve">Review of </w:t>
      </w:r>
      <w:r>
        <w:rPr>
          <w:i/>
        </w:rPr>
        <w:t>the demand driven funding s</w:t>
      </w:r>
      <w:r w:rsidRPr="001679A8">
        <w:rPr>
          <w:i/>
        </w:rPr>
        <w:t>ystem</w:t>
      </w:r>
      <w:r>
        <w:t xml:space="preserve">, Australian Government, Canberra. </w:t>
      </w:r>
    </w:p>
    <w:p w:rsidR="0075281A" w:rsidRPr="00320907" w:rsidRDefault="0075281A" w:rsidP="00094819">
      <w:pPr>
        <w:pStyle w:val="References"/>
      </w:pPr>
      <w:r w:rsidRPr="00320907">
        <w:t xml:space="preserve">Marron, A 2013, </w:t>
      </w:r>
      <w:r>
        <w:t>‘</w:t>
      </w:r>
      <w:r w:rsidRPr="00E96FA6">
        <w:t xml:space="preserve">A precipitate proposal </w:t>
      </w:r>
      <w:r>
        <w:t>—</w:t>
      </w:r>
      <w:r w:rsidRPr="00E96FA6">
        <w:t xml:space="preserve"> A participant’s view of structural discussions in post-secondary education</w:t>
      </w:r>
      <w:r>
        <w:t>’,</w:t>
      </w:r>
      <w:r w:rsidRPr="00E96FA6">
        <w:t xml:space="preserve"> </w:t>
      </w:r>
      <w:r>
        <w:t>i</w:t>
      </w:r>
      <w:r w:rsidRPr="00320907">
        <w:t>n</w:t>
      </w:r>
      <w:r>
        <w:t xml:space="preserve"> F </w:t>
      </w:r>
      <w:r w:rsidRPr="00320907">
        <w:t xml:space="preserve">Beddie, </w:t>
      </w:r>
      <w:r>
        <w:t xml:space="preserve">L </w:t>
      </w:r>
      <w:r w:rsidRPr="00320907">
        <w:t>O’Connor</w:t>
      </w:r>
      <w:r>
        <w:t xml:space="preserve"> </w:t>
      </w:r>
      <w:r w:rsidRPr="00320907">
        <w:t xml:space="preserve">&amp; </w:t>
      </w:r>
      <w:r>
        <w:t>P Curtin (</w:t>
      </w:r>
      <w:proofErr w:type="spellStart"/>
      <w:proofErr w:type="gramStart"/>
      <w:r>
        <w:t>eds</w:t>
      </w:r>
      <w:proofErr w:type="spellEnd"/>
      <w:proofErr w:type="gramEnd"/>
      <w:r>
        <w:t xml:space="preserve">), </w:t>
      </w:r>
      <w:r w:rsidRPr="00B8781C">
        <w:rPr>
          <w:i/>
        </w:rPr>
        <w:t xml:space="preserve">Structures in tertiary education and training: a kaleidoscope or merely fragments? </w:t>
      </w:r>
      <w:proofErr w:type="gramStart"/>
      <w:r w:rsidRPr="00B8781C">
        <w:rPr>
          <w:i/>
        </w:rPr>
        <w:t>Research readings</w:t>
      </w:r>
      <w:r w:rsidRPr="00B8781C">
        <w:t>,</w:t>
      </w:r>
      <w:r w:rsidRPr="00320907">
        <w:t xml:space="preserve"> NCVER, Adelaide.</w:t>
      </w:r>
      <w:proofErr w:type="gramEnd"/>
    </w:p>
    <w:p w:rsidR="0075281A" w:rsidRPr="00320907" w:rsidRDefault="0075281A" w:rsidP="00094819">
      <w:pPr>
        <w:pStyle w:val="References"/>
      </w:pPr>
      <w:proofErr w:type="spellStart"/>
      <w:r w:rsidRPr="00320907">
        <w:t>Moodie</w:t>
      </w:r>
      <w:proofErr w:type="spellEnd"/>
      <w:r w:rsidRPr="00320907">
        <w:t xml:space="preserve">, G 2012, </w:t>
      </w:r>
      <w:r>
        <w:rPr>
          <w:i/>
        </w:rPr>
        <w:t>Research overview: m</w:t>
      </w:r>
      <w:r w:rsidRPr="008B5B15">
        <w:rPr>
          <w:i/>
        </w:rPr>
        <w:t>ixed sector tertiary education</w:t>
      </w:r>
      <w:r w:rsidRPr="00320907">
        <w:t>, NCVER, Adelaide.</w:t>
      </w:r>
    </w:p>
    <w:p w:rsidR="0075281A" w:rsidRPr="00320907" w:rsidRDefault="0075281A" w:rsidP="00094819">
      <w:pPr>
        <w:pStyle w:val="References"/>
      </w:pPr>
      <w:proofErr w:type="spellStart"/>
      <w:r w:rsidRPr="00320907">
        <w:t>Moodie</w:t>
      </w:r>
      <w:proofErr w:type="spellEnd"/>
      <w:r w:rsidRPr="00320907">
        <w:t xml:space="preserve">, G &amp; </w:t>
      </w:r>
      <w:proofErr w:type="spellStart"/>
      <w:r w:rsidRPr="00320907">
        <w:t>Fredman</w:t>
      </w:r>
      <w:proofErr w:type="spellEnd"/>
      <w:r w:rsidRPr="00320907">
        <w:t xml:space="preserve">, N 2013, </w:t>
      </w:r>
      <w:r w:rsidRPr="008B5B15">
        <w:rPr>
          <w:i/>
        </w:rPr>
        <w:t>Student load and employment outcomes attached to mid-level qualifications,</w:t>
      </w:r>
      <w:r w:rsidRPr="00320907">
        <w:t xml:space="preserve"> tech</w:t>
      </w:r>
      <w:r>
        <w:t xml:space="preserve">nical paper, NCVER, Adelaide. </w:t>
      </w:r>
    </w:p>
    <w:p w:rsidR="0075281A" w:rsidRPr="00320907" w:rsidRDefault="0075281A" w:rsidP="00094819">
      <w:pPr>
        <w:pStyle w:val="References"/>
      </w:pPr>
      <w:proofErr w:type="gramStart"/>
      <w:r w:rsidRPr="00320907">
        <w:t xml:space="preserve">Nguyen, N 2010, </w:t>
      </w:r>
      <w:r>
        <w:t>‘</w:t>
      </w:r>
      <w:r w:rsidRPr="000E3221">
        <w:t>The impact of VET in schools on young people's intentions and achievements</w:t>
      </w:r>
      <w:r>
        <w:t>’</w:t>
      </w:r>
      <w:r w:rsidRPr="000E3221">
        <w:t>,</w:t>
      </w:r>
      <w:r w:rsidRPr="00320907">
        <w:t xml:space="preserve"> </w:t>
      </w:r>
      <w:r w:rsidRPr="000E3221">
        <w:rPr>
          <w:i/>
        </w:rPr>
        <w:t>VOCAL Journal</w:t>
      </w:r>
      <w:r w:rsidRPr="00320907">
        <w:t xml:space="preserve">, </w:t>
      </w:r>
      <w:r>
        <w:t>v</w:t>
      </w:r>
      <w:r w:rsidRPr="00320907">
        <w:t>ol.8, 2010</w:t>
      </w:r>
      <w:r>
        <w:t>—</w:t>
      </w:r>
      <w:r w:rsidRPr="00320907">
        <w:t>11.</w:t>
      </w:r>
      <w:proofErr w:type="gramEnd"/>
      <w:r w:rsidRPr="00320907">
        <w:t xml:space="preserve"> </w:t>
      </w:r>
    </w:p>
    <w:p w:rsidR="0075281A" w:rsidRPr="00220774" w:rsidRDefault="0075281A" w:rsidP="00094819">
      <w:pPr>
        <w:pStyle w:val="References"/>
      </w:pPr>
      <w:r w:rsidRPr="00220774">
        <w:t>Noo</w:t>
      </w:r>
      <w:r>
        <w:t>nan, P 2010, ‘</w:t>
      </w:r>
      <w:proofErr w:type="gramStart"/>
      <w:r w:rsidRPr="00E96FA6">
        <w:t>The</w:t>
      </w:r>
      <w:proofErr w:type="gramEnd"/>
      <w:r w:rsidRPr="00E96FA6">
        <w:t xml:space="preserve"> future of VET: the case for a new VET settlement</w:t>
      </w:r>
      <w:r>
        <w:t>’, i</w:t>
      </w:r>
      <w:r w:rsidRPr="00220774">
        <w:t>n</w:t>
      </w:r>
      <w:r>
        <w:t xml:space="preserve"> F </w:t>
      </w:r>
      <w:r w:rsidRPr="00220774">
        <w:t>Bedd</w:t>
      </w:r>
      <w:r>
        <w:t>ie</w:t>
      </w:r>
      <w:r w:rsidRPr="00220774">
        <w:t xml:space="preserve"> &amp; </w:t>
      </w:r>
      <w:r>
        <w:t>P Curtin (</w:t>
      </w:r>
      <w:proofErr w:type="spellStart"/>
      <w:r>
        <w:t>eds</w:t>
      </w:r>
      <w:proofErr w:type="spellEnd"/>
      <w:r>
        <w:t xml:space="preserve">), </w:t>
      </w:r>
      <w:r w:rsidRPr="00B8781C">
        <w:rPr>
          <w:i/>
        </w:rPr>
        <w:t>The future of VET: a medley of views</w:t>
      </w:r>
      <w:r w:rsidRPr="00B8781C">
        <w:t>,</w:t>
      </w:r>
      <w:r>
        <w:t xml:space="preserve"> </w:t>
      </w:r>
      <w:r w:rsidRPr="00220774">
        <w:t xml:space="preserve">NCVER, Adelaide. </w:t>
      </w:r>
    </w:p>
    <w:p w:rsidR="0075281A" w:rsidRPr="00320907" w:rsidRDefault="0075281A" w:rsidP="00094819">
      <w:pPr>
        <w:pStyle w:val="References"/>
      </w:pPr>
      <w:r w:rsidRPr="00320907">
        <w:t xml:space="preserve">Oliver, D 2013, </w:t>
      </w:r>
      <w:r>
        <w:t>‘</w:t>
      </w:r>
      <w:r w:rsidRPr="00E76D06">
        <w:t>The strategic impact of industrial relations among tertiary education providers</w:t>
      </w:r>
      <w:r>
        <w:t>’, in F Beddie, L O’Connor</w:t>
      </w:r>
      <w:r w:rsidRPr="00320907">
        <w:t xml:space="preserve"> &amp; </w:t>
      </w:r>
      <w:r>
        <w:t xml:space="preserve">P </w:t>
      </w:r>
      <w:r w:rsidRPr="00320907">
        <w:t>Curtin</w:t>
      </w:r>
      <w:r>
        <w:t xml:space="preserve"> (</w:t>
      </w:r>
      <w:proofErr w:type="spellStart"/>
      <w:r>
        <w:t>eds</w:t>
      </w:r>
      <w:proofErr w:type="spellEnd"/>
      <w:r>
        <w:t>)</w:t>
      </w:r>
      <w:r w:rsidRPr="000E3221">
        <w:t>,</w:t>
      </w:r>
      <w:r>
        <w:t xml:space="preserve"> </w:t>
      </w:r>
      <w:r w:rsidRPr="00B8781C">
        <w:rPr>
          <w:i/>
        </w:rPr>
        <w:t xml:space="preserve">Structures in tertiary education and training: a kaleidoscope or merely fragments? </w:t>
      </w:r>
      <w:proofErr w:type="gramStart"/>
      <w:r w:rsidRPr="00B8781C">
        <w:rPr>
          <w:i/>
        </w:rPr>
        <w:t>Research readings</w:t>
      </w:r>
      <w:r w:rsidRPr="00B8781C">
        <w:t xml:space="preserve">, </w:t>
      </w:r>
      <w:r>
        <w:t>NCVER, Adelaide, pp.132—</w:t>
      </w:r>
      <w:r w:rsidRPr="00320907">
        <w:t>42</w:t>
      </w:r>
      <w:r>
        <w:t>.</w:t>
      </w:r>
      <w:proofErr w:type="gramEnd"/>
      <w:r w:rsidRPr="00320907">
        <w:t xml:space="preserve"> </w:t>
      </w:r>
    </w:p>
    <w:p w:rsidR="0075281A" w:rsidRPr="00320907" w:rsidRDefault="0075281A" w:rsidP="00094819">
      <w:pPr>
        <w:pStyle w:val="References"/>
      </w:pPr>
      <w:proofErr w:type="gramStart"/>
      <w:r w:rsidRPr="00320907">
        <w:t xml:space="preserve">Phillips KPA 2006, </w:t>
      </w:r>
      <w:r w:rsidRPr="008B5B15">
        <w:rPr>
          <w:i/>
        </w:rPr>
        <w:t>Givin</w:t>
      </w:r>
      <w:r>
        <w:rPr>
          <w:i/>
        </w:rPr>
        <w:t xml:space="preserve">g credit where credit is due </w:t>
      </w:r>
      <w:r>
        <w:t>— a</w:t>
      </w:r>
      <w:r w:rsidRPr="008B5B15">
        <w:rPr>
          <w:i/>
        </w:rPr>
        <w:t xml:space="preserve"> national study to improve outcomes in credit transfer and articulation from vocational and technical education to higher education</w:t>
      </w:r>
      <w:r w:rsidRPr="00320907">
        <w:t>, Phillips KPA,</w:t>
      </w:r>
      <w:r>
        <w:t xml:space="preserve"> </w:t>
      </w:r>
      <w:r w:rsidRPr="00320907">
        <w:t>Melbourne.</w:t>
      </w:r>
      <w:proofErr w:type="gramEnd"/>
    </w:p>
    <w:p w:rsidR="0075281A" w:rsidRPr="00320907" w:rsidRDefault="0075281A" w:rsidP="00094819">
      <w:pPr>
        <w:pStyle w:val="References"/>
      </w:pPr>
      <w:proofErr w:type="gramStart"/>
      <w:r>
        <w:t>Ryan, P</w:t>
      </w:r>
      <w:r w:rsidRPr="00320907">
        <w:t xml:space="preserve">J </w:t>
      </w:r>
      <w:r>
        <w:t>&amp;</w:t>
      </w:r>
      <w:r w:rsidRPr="00320907">
        <w:t xml:space="preserve"> Associates 2012</w:t>
      </w:r>
      <w:r w:rsidRPr="008B5B15">
        <w:rPr>
          <w:i/>
        </w:rPr>
        <w:t xml:space="preserve">, </w:t>
      </w:r>
      <w:r>
        <w:rPr>
          <w:i/>
        </w:rPr>
        <w:t>‘</w:t>
      </w:r>
      <w:r w:rsidRPr="00E76D06">
        <w:t>Growth and consolidation of the Austr</w:t>
      </w:r>
      <w:r>
        <w:t>alian private higher education s</w:t>
      </w:r>
      <w:r w:rsidRPr="00E76D06">
        <w:t>ector</w:t>
      </w:r>
      <w:r>
        <w:rPr>
          <w:i/>
        </w:rPr>
        <w:t>’,</w:t>
      </w:r>
      <w:r w:rsidRPr="008B5B15">
        <w:rPr>
          <w:i/>
        </w:rPr>
        <w:t xml:space="preserve"> </w:t>
      </w:r>
      <w:r w:rsidRPr="00E76D06">
        <w:rPr>
          <w:i/>
        </w:rPr>
        <w:t>The ACPET Journal of Private Higher Education</w:t>
      </w:r>
      <w:r w:rsidRPr="00320907">
        <w:t xml:space="preserve">, </w:t>
      </w:r>
      <w:r>
        <w:t>vol.1, no.1, pp.7—</w:t>
      </w:r>
      <w:r w:rsidRPr="00320907">
        <w:t>11.</w:t>
      </w:r>
      <w:proofErr w:type="gramEnd"/>
    </w:p>
    <w:p w:rsidR="0075281A" w:rsidRDefault="0075281A" w:rsidP="00094819">
      <w:pPr>
        <w:pStyle w:val="References"/>
      </w:pPr>
      <w:r w:rsidRPr="00320907">
        <w:t xml:space="preserve">Simons, </w:t>
      </w:r>
      <w:r w:rsidRPr="00B827FA">
        <w:t xml:space="preserve">M 2013, </w:t>
      </w:r>
      <w:r>
        <w:t>‘</w:t>
      </w:r>
      <w:r w:rsidRPr="00E76D06">
        <w:t xml:space="preserve">The future of the tertiary sector workforce: </w:t>
      </w:r>
      <w:r w:rsidR="00AB2499">
        <w:t>a</w:t>
      </w:r>
      <w:r w:rsidRPr="00E76D06">
        <w:t xml:space="preserve"> kaleidoscope of possibilities?</w:t>
      </w:r>
      <w:proofErr w:type="gramStart"/>
      <w:r>
        <w:t>’,</w:t>
      </w:r>
      <w:proofErr w:type="gramEnd"/>
      <w:r>
        <w:t xml:space="preserve"> in F Beddie, L O’Connor</w:t>
      </w:r>
      <w:r w:rsidRPr="00320907">
        <w:t xml:space="preserve"> &amp; </w:t>
      </w:r>
      <w:r>
        <w:t xml:space="preserve">P </w:t>
      </w:r>
      <w:r w:rsidRPr="00320907">
        <w:t>Curtin</w:t>
      </w:r>
      <w:r>
        <w:t xml:space="preserve"> (</w:t>
      </w:r>
      <w:proofErr w:type="spellStart"/>
      <w:r>
        <w:t>eds</w:t>
      </w:r>
      <w:proofErr w:type="spellEnd"/>
      <w:r>
        <w:t>)</w:t>
      </w:r>
      <w:r w:rsidRPr="000E3221">
        <w:t>,</w:t>
      </w:r>
      <w:r>
        <w:t xml:space="preserve"> </w:t>
      </w:r>
      <w:r w:rsidRPr="00B8781C">
        <w:rPr>
          <w:i/>
        </w:rPr>
        <w:t xml:space="preserve">Structures in tertiary education and training: a kaleidoscope or merely fragments? </w:t>
      </w:r>
      <w:proofErr w:type="gramStart"/>
      <w:r w:rsidRPr="00B8781C">
        <w:rPr>
          <w:i/>
        </w:rPr>
        <w:t>Research readings</w:t>
      </w:r>
      <w:r w:rsidRPr="00B8781C">
        <w:t xml:space="preserve">, </w:t>
      </w:r>
      <w:r>
        <w:t>NCVER, Adelaide, pp.36—47</w:t>
      </w:r>
      <w:r w:rsidRPr="00320907">
        <w:t>.</w:t>
      </w:r>
      <w:proofErr w:type="gramEnd"/>
    </w:p>
    <w:p w:rsidR="0075281A" w:rsidRDefault="0075281A" w:rsidP="00094819">
      <w:pPr>
        <w:pStyle w:val="References"/>
      </w:pPr>
      <w:r>
        <w:lastRenderedPageBreak/>
        <w:t xml:space="preserve">Smith, H 2013, </w:t>
      </w:r>
      <w:r w:rsidRPr="00CE7C18">
        <w:rPr>
          <w:i/>
        </w:rPr>
        <w:t>Associate degrees in Australia: a work in progress</w:t>
      </w:r>
      <w:r>
        <w:t>, Office for Learning and Teaching, Sydney.</w:t>
      </w:r>
    </w:p>
    <w:p w:rsidR="0075281A" w:rsidRDefault="0075281A" w:rsidP="00094819">
      <w:pPr>
        <w:pStyle w:val="References"/>
      </w:pPr>
      <w:r>
        <w:t xml:space="preserve">TAFE Directors </w:t>
      </w:r>
      <w:r w:rsidR="00A65479">
        <w:t>Australia</w:t>
      </w:r>
      <w:r>
        <w:t xml:space="preserve"> 2013a, </w:t>
      </w:r>
      <w:r w:rsidRPr="004C1439">
        <w:rPr>
          <w:i/>
        </w:rPr>
        <w:t>Policy position paper</w:t>
      </w:r>
      <w:r w:rsidR="00AB2499">
        <w:rPr>
          <w:i/>
        </w:rPr>
        <w:t>:</w:t>
      </w:r>
      <w:r w:rsidRPr="004C1439">
        <w:rPr>
          <w:i/>
        </w:rPr>
        <w:t xml:space="preserve"> pathways in tertiary education and funding for wor</w:t>
      </w:r>
      <w:r>
        <w:rPr>
          <w:i/>
        </w:rPr>
        <w:t>k-</w:t>
      </w:r>
      <w:r w:rsidRPr="004C1439">
        <w:rPr>
          <w:i/>
        </w:rPr>
        <w:t xml:space="preserve">ready degrees: </w:t>
      </w:r>
      <w:r w:rsidR="00AB2499">
        <w:rPr>
          <w:i/>
        </w:rPr>
        <w:t>w</w:t>
      </w:r>
      <w:r w:rsidRPr="004C1439">
        <w:rPr>
          <w:i/>
        </w:rPr>
        <w:t>hy TAFE pathways are critical for students and industry</w:t>
      </w:r>
      <w:r>
        <w:t xml:space="preserve">, TDA, Sydney. </w:t>
      </w:r>
    </w:p>
    <w:p w:rsidR="0075281A" w:rsidRDefault="0075281A" w:rsidP="00094819">
      <w:pPr>
        <w:pStyle w:val="References"/>
      </w:pPr>
      <w:r>
        <w:t xml:space="preserve">——2013b, </w:t>
      </w:r>
      <w:r w:rsidRPr="004C1439">
        <w:rPr>
          <w:i/>
        </w:rPr>
        <w:t xml:space="preserve">Public </w:t>
      </w:r>
      <w:r>
        <w:rPr>
          <w:i/>
        </w:rPr>
        <w:t>t</w:t>
      </w:r>
      <w:r w:rsidRPr="004C1439">
        <w:rPr>
          <w:i/>
        </w:rPr>
        <w:t>echnical and further education providers in the tertiary educati</w:t>
      </w:r>
      <w:r>
        <w:rPr>
          <w:i/>
        </w:rPr>
        <w:t>o</w:t>
      </w:r>
      <w:r w:rsidRPr="004C1439">
        <w:rPr>
          <w:i/>
        </w:rPr>
        <w:t>n sector-unleashing the capability</w:t>
      </w:r>
      <w:r>
        <w:t>,</w:t>
      </w:r>
      <w:r w:rsidRPr="00E76D06">
        <w:t xml:space="preserve"> </w:t>
      </w:r>
      <w:r>
        <w:t>TDA, Sydney.</w:t>
      </w:r>
    </w:p>
    <w:p w:rsidR="0075281A" w:rsidRPr="00320907" w:rsidRDefault="0075281A" w:rsidP="00094819">
      <w:pPr>
        <w:pStyle w:val="References"/>
      </w:pPr>
      <w:r>
        <w:t>——2013c,</w:t>
      </w:r>
      <w:r w:rsidRPr="004C1439">
        <w:t xml:space="preserve"> </w:t>
      </w:r>
      <w:r w:rsidRPr="006D1F67">
        <w:rPr>
          <w:i/>
        </w:rPr>
        <w:t>Pathways to higher qualifications</w:t>
      </w:r>
      <w:r>
        <w:rPr>
          <w:i/>
        </w:rPr>
        <w:t>: w</w:t>
      </w:r>
      <w:r w:rsidRPr="006D1F67">
        <w:rPr>
          <w:i/>
        </w:rPr>
        <w:t xml:space="preserve">hen students choose </w:t>
      </w:r>
      <w:r>
        <w:rPr>
          <w:i/>
        </w:rPr>
        <w:t>TAFE to study higher education: c</w:t>
      </w:r>
      <w:r w:rsidRPr="006D1F67">
        <w:rPr>
          <w:i/>
        </w:rPr>
        <w:t>ase studies</w:t>
      </w:r>
      <w:r>
        <w:t>,</w:t>
      </w:r>
      <w:r w:rsidRPr="006D1F67">
        <w:t xml:space="preserve"> TDA</w:t>
      </w:r>
      <w:r>
        <w:t>,</w:t>
      </w:r>
      <w:r w:rsidRPr="006D1F67">
        <w:t xml:space="preserve"> Sydney</w:t>
      </w:r>
      <w:r>
        <w:t>.</w:t>
      </w:r>
    </w:p>
    <w:p w:rsidR="0075281A" w:rsidRPr="00320907" w:rsidRDefault="0075281A" w:rsidP="00094819">
      <w:pPr>
        <w:pStyle w:val="References"/>
      </w:pPr>
      <w:r w:rsidRPr="00320907">
        <w:t xml:space="preserve">University of Ballarat </w:t>
      </w:r>
      <w:r>
        <w:t>&amp;</w:t>
      </w:r>
      <w:r w:rsidRPr="00320907">
        <w:t xml:space="preserve"> Swinburne University of Technology 2010, </w:t>
      </w:r>
      <w:r w:rsidRPr="008B5B15">
        <w:rPr>
          <w:i/>
        </w:rPr>
        <w:t>Du</w:t>
      </w:r>
      <w:r>
        <w:rPr>
          <w:i/>
        </w:rPr>
        <w:t>al-sector university cohesion: a</w:t>
      </w:r>
      <w:r w:rsidRPr="008B5B15">
        <w:rPr>
          <w:i/>
        </w:rPr>
        <w:t xml:space="preserve"> discussion paper</w:t>
      </w:r>
      <w:r>
        <w:t xml:space="preserve">, University </w:t>
      </w:r>
      <w:r w:rsidRPr="00320907">
        <w:t>of Ballarat.</w:t>
      </w:r>
    </w:p>
    <w:p w:rsidR="0075281A" w:rsidRDefault="0075281A" w:rsidP="00094819">
      <w:pPr>
        <w:pStyle w:val="References"/>
      </w:pPr>
      <w:proofErr w:type="spellStart"/>
      <w:r w:rsidRPr="00320907">
        <w:t>Wheelahan</w:t>
      </w:r>
      <w:proofErr w:type="spellEnd"/>
      <w:r w:rsidRPr="00320907">
        <w:t xml:space="preserve">, J 2009, </w:t>
      </w:r>
      <w:r>
        <w:t>‘</w:t>
      </w:r>
      <w:r w:rsidRPr="00E76D06">
        <w:t xml:space="preserve">What kind of access does VET provide to higher education </w:t>
      </w:r>
      <w:r>
        <w:t>for low SES students? Not a lot’,</w:t>
      </w:r>
      <w:r w:rsidRPr="00E76D06">
        <w:t xml:space="preserve"> </w:t>
      </w:r>
      <w:r>
        <w:t xml:space="preserve">paper presented at the conference, </w:t>
      </w:r>
      <w:r w:rsidRPr="00E76D06">
        <w:rPr>
          <w:i/>
        </w:rPr>
        <w:t>Student equity in higher education: what we know, what we need to know,</w:t>
      </w:r>
      <w:r w:rsidRPr="00320907">
        <w:t xml:space="preserve"> National Centre for Student Equity in Higher Education Launch and Forum Un</w:t>
      </w:r>
      <w:r>
        <w:t>iversity of South Australia, 25—</w:t>
      </w:r>
      <w:r w:rsidRPr="00320907">
        <w:t xml:space="preserve">26 February. </w:t>
      </w:r>
    </w:p>
    <w:p w:rsidR="0075281A" w:rsidRDefault="0075281A" w:rsidP="00094819">
      <w:pPr>
        <w:pStyle w:val="References"/>
        <w:rPr>
          <w:rStyle w:val="st1"/>
          <w:rFonts w:cs="Arial"/>
        </w:rPr>
      </w:pPr>
      <w:proofErr w:type="spellStart"/>
      <w:r w:rsidRPr="002A55CE">
        <w:t>Wheel</w:t>
      </w:r>
      <w:r>
        <w:t>ahan</w:t>
      </w:r>
      <w:proofErr w:type="spellEnd"/>
      <w:r>
        <w:t>, L,</w:t>
      </w:r>
      <w:r w:rsidRPr="00D215DF">
        <w:t xml:space="preserve"> </w:t>
      </w:r>
      <w:proofErr w:type="spellStart"/>
      <w:r w:rsidRPr="00D215DF">
        <w:t>Moodie</w:t>
      </w:r>
      <w:proofErr w:type="spellEnd"/>
      <w:r>
        <w:t>,</w:t>
      </w:r>
      <w:r w:rsidRPr="00D215DF">
        <w:t xml:space="preserve"> G &amp; Buchanan</w:t>
      </w:r>
      <w:r>
        <w:t>,</w:t>
      </w:r>
      <w:r w:rsidRPr="00D215DF">
        <w:t xml:space="preserve"> J 2012, </w:t>
      </w:r>
      <w:proofErr w:type="gramStart"/>
      <w:r>
        <w:rPr>
          <w:rStyle w:val="st1"/>
          <w:rFonts w:cs="Arial"/>
          <w:i/>
        </w:rPr>
        <w:t>Revitalising</w:t>
      </w:r>
      <w:proofErr w:type="gramEnd"/>
      <w:r>
        <w:rPr>
          <w:rStyle w:val="st1"/>
          <w:rFonts w:cs="Arial"/>
          <w:i/>
        </w:rPr>
        <w:t xml:space="preserve"> the ‘vocational’</w:t>
      </w:r>
      <w:r w:rsidRPr="00D215DF">
        <w:rPr>
          <w:rStyle w:val="st1"/>
          <w:rFonts w:cs="Arial"/>
          <w:i/>
        </w:rPr>
        <w:t xml:space="preserve"> in flows of learning and labour</w:t>
      </w:r>
      <w:r w:rsidRPr="00D215DF">
        <w:rPr>
          <w:rStyle w:val="st1"/>
          <w:rFonts w:cs="Arial"/>
        </w:rPr>
        <w:t>, NCVER, Adelaide</w:t>
      </w:r>
      <w:r>
        <w:rPr>
          <w:rStyle w:val="st1"/>
          <w:rFonts w:cs="Arial"/>
        </w:rPr>
        <w:t>.</w:t>
      </w:r>
    </w:p>
    <w:p w:rsidR="0075281A" w:rsidRDefault="0075281A" w:rsidP="00094819">
      <w:pPr>
        <w:pStyle w:val="References"/>
      </w:pPr>
      <w:proofErr w:type="spellStart"/>
      <w:proofErr w:type="gramStart"/>
      <w:r w:rsidRPr="00320907">
        <w:t>Wheelahan</w:t>
      </w:r>
      <w:proofErr w:type="spellEnd"/>
      <w:r w:rsidRPr="00320907">
        <w:t xml:space="preserve">, L, </w:t>
      </w:r>
      <w:proofErr w:type="spellStart"/>
      <w:r w:rsidRPr="00320907">
        <w:t>Moodie</w:t>
      </w:r>
      <w:proofErr w:type="spellEnd"/>
      <w:r w:rsidRPr="00320907">
        <w:t xml:space="preserve">, G, </w:t>
      </w:r>
      <w:proofErr w:type="spellStart"/>
      <w:r w:rsidRPr="00320907">
        <w:t>Billett</w:t>
      </w:r>
      <w:proofErr w:type="spellEnd"/>
      <w:r w:rsidRPr="00320907">
        <w:t xml:space="preserve">, S &amp; Kelly, A 2009, </w:t>
      </w:r>
      <w:r w:rsidRPr="008B5B15">
        <w:rPr>
          <w:i/>
        </w:rPr>
        <w:t>Higher education in TAFE</w:t>
      </w:r>
      <w:r>
        <w:t>, NCVER, Adelaide.</w:t>
      </w:r>
      <w:proofErr w:type="gramEnd"/>
    </w:p>
    <w:p w:rsidR="0075281A" w:rsidRDefault="0075281A" w:rsidP="00094819">
      <w:pPr>
        <w:pStyle w:val="References"/>
      </w:pPr>
      <w:proofErr w:type="spellStart"/>
      <w:r w:rsidRPr="00320907">
        <w:t>Wheelahan</w:t>
      </w:r>
      <w:proofErr w:type="spellEnd"/>
      <w:r w:rsidRPr="00320907">
        <w:t xml:space="preserve">, L, </w:t>
      </w:r>
      <w:proofErr w:type="spellStart"/>
      <w:r w:rsidRPr="00320907">
        <w:t>Arkoudis</w:t>
      </w:r>
      <w:proofErr w:type="spellEnd"/>
      <w:r w:rsidRPr="00320907">
        <w:t xml:space="preserve">, S, </w:t>
      </w:r>
      <w:proofErr w:type="spellStart"/>
      <w:r w:rsidRPr="00320907">
        <w:t>Moodie</w:t>
      </w:r>
      <w:proofErr w:type="spellEnd"/>
      <w:r w:rsidRPr="00320907">
        <w:t xml:space="preserve">, G, </w:t>
      </w:r>
      <w:proofErr w:type="spellStart"/>
      <w:r w:rsidRPr="00320907">
        <w:t>Fredman</w:t>
      </w:r>
      <w:proofErr w:type="spellEnd"/>
      <w:r w:rsidRPr="00320907">
        <w:t xml:space="preserve">, N &amp; Bexley, E 2012, </w:t>
      </w:r>
      <w:r w:rsidRPr="008B5B15">
        <w:rPr>
          <w:i/>
        </w:rPr>
        <w:t xml:space="preserve">Shaken not stirred? </w:t>
      </w:r>
      <w:proofErr w:type="gramStart"/>
      <w:r w:rsidRPr="008B5B15">
        <w:rPr>
          <w:i/>
        </w:rPr>
        <w:t>The development of one tertiary education sector in Australia,</w:t>
      </w:r>
      <w:r w:rsidRPr="00320907">
        <w:t xml:space="preserve"> NCVER, Adelaide.</w:t>
      </w:r>
      <w:proofErr w:type="gramEnd"/>
    </w:p>
    <w:p w:rsidR="0075281A" w:rsidRDefault="0075281A" w:rsidP="00094819">
      <w:pPr>
        <w:pStyle w:val="References"/>
      </w:pPr>
      <w:r>
        <w:t>White, S 2014</w:t>
      </w:r>
      <w:r w:rsidRPr="00320907">
        <w:t xml:space="preserve">, </w:t>
      </w:r>
      <w:proofErr w:type="gramStart"/>
      <w:r w:rsidRPr="004A359F">
        <w:rPr>
          <w:i/>
        </w:rPr>
        <w:t>Transitioning</w:t>
      </w:r>
      <w:proofErr w:type="gramEnd"/>
      <w:r w:rsidRPr="004A359F">
        <w:rPr>
          <w:i/>
        </w:rPr>
        <w:t xml:space="preserve"> from VET to university</w:t>
      </w:r>
      <w:r w:rsidRPr="00320907">
        <w:t xml:space="preserve">: </w:t>
      </w:r>
      <w:r>
        <w:rPr>
          <w:i/>
        </w:rPr>
        <w:t>s</w:t>
      </w:r>
      <w:r w:rsidRPr="008B5B15">
        <w:rPr>
          <w:i/>
        </w:rPr>
        <w:t>trengthening information literacy through collaboration</w:t>
      </w:r>
      <w:r w:rsidRPr="00320907">
        <w:t>, NCVER, Adelaide.</w:t>
      </w:r>
    </w:p>
    <w:p w:rsidR="0075281A" w:rsidRDefault="0075281A" w:rsidP="00094819">
      <w:pPr>
        <w:pStyle w:val="References"/>
      </w:pPr>
      <w:r w:rsidRPr="00320907">
        <w:t xml:space="preserve">Williams, M, Goulding, F &amp; Seddon, T 2013, </w:t>
      </w:r>
      <w:proofErr w:type="gramStart"/>
      <w:r w:rsidRPr="00A31A59">
        <w:rPr>
          <w:i/>
        </w:rPr>
        <w:t>Towards</w:t>
      </w:r>
      <w:proofErr w:type="gramEnd"/>
      <w:r w:rsidRPr="00A31A59">
        <w:rPr>
          <w:i/>
        </w:rPr>
        <w:t xml:space="preserve"> a culture of scholarly practice in mixed sector institutions,</w:t>
      </w:r>
      <w:r w:rsidRPr="00320907">
        <w:t xml:space="preserve"> NCVER, Adelaide.</w:t>
      </w:r>
    </w:p>
    <w:p w:rsidR="0075281A" w:rsidRDefault="0075281A">
      <w:pPr>
        <w:spacing w:before="0" w:line="240" w:lineRule="auto"/>
        <w:rPr>
          <w:rFonts w:ascii="Tahoma" w:hAnsi="Tahoma" w:cs="Tahoma"/>
          <w:color w:val="000000"/>
          <w:kern w:val="28"/>
          <w:sz w:val="56"/>
          <w:szCs w:val="56"/>
        </w:rPr>
      </w:pPr>
      <w:bookmarkStart w:id="173" w:name="_Toc383013378"/>
      <w:r>
        <w:br w:type="page"/>
      </w:r>
    </w:p>
    <w:p w:rsidR="0075281A" w:rsidRPr="002B70B7" w:rsidRDefault="00AD53B0" w:rsidP="00AD53B0">
      <w:pPr>
        <w:pStyle w:val="Heading1"/>
        <w:tabs>
          <w:tab w:val="left" w:pos="709"/>
        </w:tabs>
        <w:ind w:left="709" w:hanging="709"/>
      </w:pPr>
      <w:bookmarkStart w:id="174" w:name="_Toc396117557"/>
      <w:bookmarkStart w:id="175" w:name="_Toc419972106"/>
      <w:r>
        <w:rPr>
          <w:noProof/>
          <w:lang w:eastAsia="en-AU"/>
        </w:rPr>
        <w:lastRenderedPageBreak/>
        <w:drawing>
          <wp:anchor distT="0" distB="0" distL="114300" distR="114300" simplePos="0" relativeHeight="251747319" behindDoc="0" locked="0" layoutInCell="1" allowOverlap="1" wp14:anchorId="35C91E86" wp14:editId="7FA4CFB8">
            <wp:simplePos x="0" y="0"/>
            <wp:positionH relativeFrom="column">
              <wp:posOffset>-7285</wp:posOffset>
            </wp:positionH>
            <wp:positionV relativeFrom="paragraph">
              <wp:posOffset>-54633</wp:posOffset>
            </wp:positionV>
            <wp:extent cx="414020" cy="414020"/>
            <wp:effectExtent l="0" t="0" r="5080" b="5080"/>
            <wp:wrapNone/>
            <wp:docPr id="93" name="Picture 93"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75281A">
        <w:t>Appendi</w:t>
      </w:r>
      <w:bookmarkStart w:id="176" w:name="_Toc188077641"/>
      <w:r w:rsidR="0075281A">
        <w:t>x A: I</w:t>
      </w:r>
      <w:r w:rsidR="0075281A" w:rsidRPr="002B70B7">
        <w:t xml:space="preserve">nterview guide </w:t>
      </w:r>
      <w:bookmarkEnd w:id="176"/>
      <w:r w:rsidR="0075281A">
        <w:t xml:space="preserve">for the </w:t>
      </w:r>
      <w:r w:rsidR="00094819">
        <w:br/>
      </w:r>
      <w:r w:rsidR="0075281A">
        <w:t>case studies</w:t>
      </w:r>
      <w:bookmarkEnd w:id="173"/>
      <w:bookmarkEnd w:id="174"/>
      <w:bookmarkEnd w:id="175"/>
    </w:p>
    <w:p w:rsidR="0075281A" w:rsidRPr="00F314D5" w:rsidRDefault="0075281A" w:rsidP="00094819">
      <w:pPr>
        <w:pStyle w:val="Text"/>
      </w:pPr>
      <w:r w:rsidRPr="003379B6">
        <w:t xml:space="preserve">This project is investigating the strategic, capability and operational issues that need to be considered in planning the uptake and successful delivery of </w:t>
      </w:r>
      <w:r>
        <w:t>higher education</w:t>
      </w:r>
      <w:r w:rsidRPr="003379B6">
        <w:t xml:space="preserve"> qualifications within VET providers.</w:t>
      </w:r>
      <w:r>
        <w:t xml:space="preserve"> </w:t>
      </w:r>
      <w:r w:rsidRPr="00F314D5">
        <w:t>Interviewees will have the opportunity to address all or some of the interview guide questions, according to their knowledge and experience base.</w:t>
      </w:r>
      <w:r>
        <w:t xml:space="preserve"> </w:t>
      </w:r>
    </w:p>
    <w:p w:rsidR="0075281A" w:rsidRPr="00F314D5" w:rsidRDefault="0075281A" w:rsidP="00094819">
      <w:pPr>
        <w:spacing w:before="0"/>
        <w:rPr>
          <w:rFonts w:cs="Arial"/>
          <w:i/>
          <w:szCs w:val="19"/>
        </w:rPr>
      </w:pPr>
    </w:p>
    <w:p w:rsidR="0075281A" w:rsidRPr="00F314D5" w:rsidRDefault="0075281A" w:rsidP="00094819">
      <w:pPr>
        <w:pBdr>
          <w:top w:val="single" w:sz="4" w:space="1" w:color="auto"/>
          <w:left w:val="single" w:sz="4" w:space="4" w:color="auto"/>
          <w:bottom w:val="single" w:sz="4" w:space="1" w:color="auto"/>
          <w:right w:val="single" w:sz="4" w:space="4" w:color="auto"/>
        </w:pBdr>
        <w:shd w:val="clear" w:color="auto" w:fill="EEECE1"/>
        <w:spacing w:before="0" w:line="320" w:lineRule="exact"/>
        <w:rPr>
          <w:rFonts w:cs="Arial"/>
          <w:szCs w:val="19"/>
        </w:rPr>
      </w:pPr>
      <w:r w:rsidRPr="00F314D5">
        <w:rPr>
          <w:rFonts w:cs="Arial"/>
          <w:i/>
          <w:szCs w:val="19"/>
        </w:rPr>
        <w:t xml:space="preserve">Section 1: Strategic Issues </w:t>
      </w:r>
    </w:p>
    <w:p w:rsidR="0075281A" w:rsidRPr="00F314D5" w:rsidRDefault="0075281A" w:rsidP="00094819">
      <w:pPr>
        <w:spacing w:before="0"/>
        <w:ind w:left="360"/>
        <w:contextualSpacing/>
        <w:rPr>
          <w:rFonts w:cs="Arial"/>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 xml:space="preserve">Why has your VET organisation become involved in delivering </w:t>
      </w:r>
      <w:r w:rsidRPr="00F314D5">
        <w:rPr>
          <w:rFonts w:eastAsia="Calibri" w:cs="Arial"/>
          <w:szCs w:val="19"/>
        </w:rPr>
        <w:t>associate degree and bachelor degree</w:t>
      </w:r>
      <w:r w:rsidRPr="00F314D5">
        <w:rPr>
          <w:rFonts w:cs="Arial"/>
          <w:szCs w:val="19"/>
        </w:rPr>
        <w:t xml:space="preserve"> qualifications that traditionally are </w:t>
      </w:r>
      <w:r>
        <w:rPr>
          <w:rFonts w:cs="Arial"/>
          <w:szCs w:val="19"/>
        </w:rPr>
        <w:t>higher education</w:t>
      </w:r>
      <w:r w:rsidRPr="00F314D5">
        <w:rPr>
          <w:rFonts w:cs="Arial"/>
          <w:szCs w:val="19"/>
        </w:rPr>
        <w:t xml:space="preserve"> qualifications </w:t>
      </w:r>
      <w:r>
        <w:rPr>
          <w:rFonts w:cs="Arial"/>
          <w:szCs w:val="19"/>
        </w:rPr>
        <w:t>—</w:t>
      </w:r>
      <w:r w:rsidRPr="00F314D5">
        <w:rPr>
          <w:rFonts w:cs="Arial"/>
          <w:szCs w:val="19"/>
        </w:rPr>
        <w:t xml:space="preserve"> </w:t>
      </w:r>
      <w:proofErr w:type="gramStart"/>
      <w:r w:rsidRPr="00F314D5">
        <w:rPr>
          <w:rFonts w:cs="Arial"/>
          <w:szCs w:val="19"/>
        </w:rPr>
        <w:t>Briefly</w:t>
      </w:r>
      <w:proofErr w:type="gramEnd"/>
      <w:r w:rsidRPr="00F314D5">
        <w:rPr>
          <w:rFonts w:cs="Arial"/>
          <w:szCs w:val="19"/>
        </w:rPr>
        <w:t xml:space="preserve"> tell us the history, the business case and time commenced and steps taken?</w:t>
      </w:r>
    </w:p>
    <w:p w:rsidR="0075281A" w:rsidRPr="00F314D5" w:rsidRDefault="0075281A" w:rsidP="00094819">
      <w:pPr>
        <w:spacing w:before="0"/>
        <w:rPr>
          <w:rFonts w:cs="Arial"/>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 xml:space="preserve">What are your views on recorded drivers of VET provider strategy around these qualifications including to: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Maintain/expand provision overall and given greater competition in lower level VET?</w:t>
      </w:r>
      <w:r>
        <w:rPr>
          <w:rFonts w:cs="Arial"/>
          <w:szCs w:val="19"/>
        </w:rPr>
        <w:t xml:space="preserve"> </w:t>
      </w:r>
      <w:r w:rsidRPr="00F314D5">
        <w:rPr>
          <w:rFonts w:cs="Arial"/>
          <w:szCs w:val="19"/>
        </w:rPr>
        <w:t xml:space="preserve"> </w:t>
      </w:r>
    </w:p>
    <w:p w:rsidR="0075281A" w:rsidRPr="00F314D5" w:rsidRDefault="0075281A" w:rsidP="0075281A">
      <w:pPr>
        <w:numPr>
          <w:ilvl w:val="1"/>
          <w:numId w:val="19"/>
        </w:numPr>
        <w:spacing w:before="0" w:line="240" w:lineRule="auto"/>
        <w:ind w:left="867" w:hanging="510"/>
        <w:contextualSpacing/>
        <w:rPr>
          <w:rFonts w:eastAsia="Calibri" w:cs="Arial"/>
          <w:szCs w:val="19"/>
        </w:rPr>
      </w:pPr>
      <w:r w:rsidRPr="00F314D5">
        <w:rPr>
          <w:rFonts w:cs="Arial"/>
          <w:szCs w:val="19"/>
        </w:rPr>
        <w:t xml:space="preserve">Compete with private providers that are offering </w:t>
      </w:r>
      <w:r w:rsidRPr="00F314D5">
        <w:rPr>
          <w:rFonts w:eastAsia="Calibri" w:cs="Arial"/>
          <w:szCs w:val="19"/>
        </w:rPr>
        <w:t>associate and bachelor degrees?</w:t>
      </w:r>
    </w:p>
    <w:p w:rsidR="0075281A" w:rsidRPr="00F314D5" w:rsidRDefault="0075281A" w:rsidP="0075281A">
      <w:pPr>
        <w:numPr>
          <w:ilvl w:val="1"/>
          <w:numId w:val="19"/>
        </w:numPr>
        <w:spacing w:before="0" w:line="240" w:lineRule="auto"/>
        <w:ind w:left="867" w:hanging="510"/>
        <w:contextualSpacing/>
        <w:rPr>
          <w:rFonts w:eastAsia="Calibri" w:cs="Arial"/>
          <w:szCs w:val="19"/>
        </w:rPr>
      </w:pPr>
      <w:r w:rsidRPr="00F314D5">
        <w:rPr>
          <w:rFonts w:eastAsia="Calibri" w:cs="Arial"/>
          <w:szCs w:val="19"/>
        </w:rPr>
        <w:t xml:space="preserve">Encourage more people from equity groups to take up </w:t>
      </w:r>
      <w:r>
        <w:rPr>
          <w:rFonts w:eastAsia="Calibri" w:cs="Arial"/>
          <w:szCs w:val="19"/>
        </w:rPr>
        <w:t>higher education</w:t>
      </w:r>
      <w:r w:rsidRPr="00F314D5">
        <w:rPr>
          <w:rFonts w:eastAsia="Calibri" w:cs="Arial"/>
          <w:szCs w:val="19"/>
        </w:rPr>
        <w:t>?</w:t>
      </w:r>
    </w:p>
    <w:p w:rsidR="0075281A" w:rsidRPr="00F314D5" w:rsidRDefault="0075281A" w:rsidP="0075281A">
      <w:pPr>
        <w:numPr>
          <w:ilvl w:val="1"/>
          <w:numId w:val="19"/>
        </w:numPr>
        <w:spacing w:before="0" w:line="240" w:lineRule="auto"/>
        <w:ind w:left="867" w:hanging="510"/>
        <w:contextualSpacing/>
        <w:rPr>
          <w:rFonts w:eastAsia="Calibri" w:cs="Arial"/>
          <w:szCs w:val="19"/>
        </w:rPr>
      </w:pPr>
      <w:r w:rsidRPr="00F314D5">
        <w:rPr>
          <w:rFonts w:eastAsia="Calibri" w:cs="Arial"/>
          <w:szCs w:val="19"/>
        </w:rPr>
        <w:t xml:space="preserve">Gain status, to bring more attention to the organisation? </w:t>
      </w:r>
    </w:p>
    <w:p w:rsidR="0075281A" w:rsidRPr="00F314D5" w:rsidRDefault="0075281A" w:rsidP="0075281A">
      <w:pPr>
        <w:numPr>
          <w:ilvl w:val="1"/>
          <w:numId w:val="19"/>
        </w:numPr>
        <w:spacing w:before="0" w:line="240" w:lineRule="auto"/>
        <w:ind w:left="867" w:hanging="510"/>
        <w:contextualSpacing/>
        <w:rPr>
          <w:rFonts w:eastAsia="Calibri" w:cs="Arial"/>
          <w:szCs w:val="19"/>
        </w:rPr>
      </w:pPr>
      <w:r w:rsidRPr="00F314D5">
        <w:rPr>
          <w:rFonts w:eastAsia="Calibri" w:cs="Arial"/>
          <w:szCs w:val="19"/>
        </w:rPr>
        <w:t xml:space="preserve">Provide an alternative to university style </w:t>
      </w:r>
      <w:r>
        <w:rPr>
          <w:rFonts w:eastAsia="Calibri" w:cs="Arial"/>
          <w:szCs w:val="19"/>
        </w:rPr>
        <w:t>higher education</w:t>
      </w:r>
      <w:r w:rsidRPr="00F314D5">
        <w:rPr>
          <w:rFonts w:eastAsia="Calibri" w:cs="Arial"/>
          <w:szCs w:val="19"/>
        </w:rPr>
        <w:t xml:space="preserve">? </w:t>
      </w:r>
    </w:p>
    <w:p w:rsidR="0075281A" w:rsidRPr="00F314D5" w:rsidRDefault="0075281A" w:rsidP="0075281A">
      <w:pPr>
        <w:numPr>
          <w:ilvl w:val="1"/>
          <w:numId w:val="19"/>
        </w:numPr>
        <w:spacing w:before="0" w:line="240" w:lineRule="auto"/>
        <w:ind w:left="867" w:hanging="510"/>
        <w:contextualSpacing/>
        <w:rPr>
          <w:rFonts w:eastAsia="Calibri" w:cs="Arial"/>
          <w:szCs w:val="19"/>
        </w:rPr>
      </w:pPr>
      <w:r w:rsidRPr="00F314D5">
        <w:rPr>
          <w:rFonts w:eastAsia="Calibri" w:cs="Arial"/>
          <w:szCs w:val="19"/>
        </w:rPr>
        <w:t>Build on special strengths of the institution?</w:t>
      </w:r>
    </w:p>
    <w:p w:rsidR="0075281A" w:rsidRPr="00F314D5" w:rsidRDefault="0075281A" w:rsidP="0075281A">
      <w:pPr>
        <w:numPr>
          <w:ilvl w:val="1"/>
          <w:numId w:val="19"/>
        </w:numPr>
        <w:spacing w:before="0" w:line="240" w:lineRule="auto"/>
        <w:ind w:left="867" w:hanging="510"/>
        <w:contextualSpacing/>
        <w:rPr>
          <w:rFonts w:eastAsia="Calibri" w:cs="Arial"/>
          <w:szCs w:val="19"/>
        </w:rPr>
      </w:pPr>
      <w:r w:rsidRPr="00F314D5">
        <w:rPr>
          <w:rFonts w:eastAsia="Calibri" w:cs="Arial"/>
          <w:szCs w:val="19"/>
        </w:rPr>
        <w:t>Cash in on government loan support (FEE Help)?</w:t>
      </w:r>
    </w:p>
    <w:p w:rsidR="0075281A" w:rsidRPr="00F314D5" w:rsidRDefault="0075281A" w:rsidP="00094819">
      <w:pPr>
        <w:spacing w:before="0"/>
        <w:rPr>
          <w:rFonts w:cs="Arial"/>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 xml:space="preserve">Tell us about what </w:t>
      </w:r>
      <w:r w:rsidRPr="00F314D5">
        <w:rPr>
          <w:rFonts w:eastAsia="Calibri" w:cs="Arial"/>
          <w:szCs w:val="19"/>
        </w:rPr>
        <w:t>associate and bachelor degree</w:t>
      </w:r>
      <w:r w:rsidRPr="00F314D5">
        <w:rPr>
          <w:rFonts w:cs="Arial"/>
          <w:szCs w:val="19"/>
        </w:rPr>
        <w:t xml:space="preserve"> qualifications have been and currently are being delivered; for what target markets and why (re learner groups and industries) and with what take up rates? (Can we get data on this and from whom?)</w:t>
      </w:r>
    </w:p>
    <w:p w:rsidR="0075281A" w:rsidRPr="00F314D5" w:rsidRDefault="0075281A" w:rsidP="00094819">
      <w:pPr>
        <w:spacing w:before="0"/>
        <w:ind w:left="360"/>
        <w:contextualSpacing/>
        <w:rPr>
          <w:rFonts w:cs="Arial"/>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 xml:space="preserve">What marketing/communication/related strategies are you using to grow enrolments in these qualifications? </w:t>
      </w:r>
      <w:r w:rsidRPr="00F314D5">
        <w:rPr>
          <w:rFonts w:cs="Arial"/>
          <w:bCs/>
          <w:color w:val="000000"/>
          <w:spacing w:val="-2"/>
          <w:kern w:val="36"/>
          <w:szCs w:val="19"/>
        </w:rPr>
        <w:t>Is the identity of your organisation shifting as a result?</w:t>
      </w:r>
    </w:p>
    <w:p w:rsidR="0075281A" w:rsidRPr="00F314D5" w:rsidRDefault="0075281A" w:rsidP="00094819">
      <w:pPr>
        <w:spacing w:before="0"/>
        <w:contextualSpacing/>
        <w:rPr>
          <w:rFonts w:cs="Arial"/>
          <w:bCs/>
          <w:color w:val="000000"/>
          <w:spacing w:val="-2"/>
          <w:kern w:val="36"/>
          <w:szCs w:val="19"/>
        </w:rPr>
      </w:pPr>
    </w:p>
    <w:p w:rsidR="0075281A" w:rsidRPr="00F314D5" w:rsidRDefault="0075281A" w:rsidP="0075281A">
      <w:pPr>
        <w:numPr>
          <w:ilvl w:val="0"/>
          <w:numId w:val="19"/>
        </w:numPr>
        <w:autoSpaceDE w:val="0"/>
        <w:autoSpaceDN w:val="0"/>
        <w:adjustRightInd w:val="0"/>
        <w:spacing w:before="0" w:line="240" w:lineRule="auto"/>
        <w:rPr>
          <w:rFonts w:cs="Arial"/>
          <w:szCs w:val="19"/>
        </w:rPr>
      </w:pPr>
      <w:r w:rsidRPr="00F314D5">
        <w:rPr>
          <w:rFonts w:cs="Arial"/>
          <w:szCs w:val="19"/>
        </w:rPr>
        <w:t>Tell us about your strategic thinking around your organisation’s future purpose and</w:t>
      </w:r>
      <w:r>
        <w:rPr>
          <w:rFonts w:cs="Arial"/>
          <w:szCs w:val="19"/>
        </w:rPr>
        <w:t xml:space="preserve"> directions in this area </w:t>
      </w:r>
      <w:r w:rsidRPr="00F314D5">
        <w:rPr>
          <w:rFonts w:cs="Arial"/>
          <w:szCs w:val="19"/>
        </w:rPr>
        <w:t xml:space="preserve">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Is your organisation planning to deliver additional a</w:t>
      </w:r>
      <w:r w:rsidRPr="00F314D5">
        <w:rPr>
          <w:rFonts w:eastAsia="Calibri" w:cs="Arial"/>
          <w:szCs w:val="19"/>
        </w:rPr>
        <w:t>ssociate and bachelor degrees</w:t>
      </w:r>
      <w:r w:rsidRPr="00F314D5">
        <w:rPr>
          <w:rFonts w:cs="Arial"/>
          <w:szCs w:val="19"/>
        </w:rPr>
        <w:t xml:space="preserve"> in future and why?</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bCs/>
          <w:color w:val="000000"/>
          <w:spacing w:val="-2"/>
          <w:kern w:val="36"/>
          <w:szCs w:val="19"/>
        </w:rPr>
        <w:t>Does your organisation expect to continue to deliver the traditional VET diplomas that are around the same level educationally and why?</w:t>
      </w:r>
    </w:p>
    <w:p w:rsidR="0075281A" w:rsidRPr="00F314D5" w:rsidRDefault="0075281A" w:rsidP="00094819">
      <w:pPr>
        <w:autoSpaceDE w:val="0"/>
        <w:autoSpaceDN w:val="0"/>
        <w:adjustRightInd w:val="0"/>
        <w:spacing w:before="0"/>
        <w:ind w:left="792"/>
        <w:rPr>
          <w:rFonts w:cs="Arial"/>
          <w:szCs w:val="19"/>
        </w:rPr>
      </w:pPr>
    </w:p>
    <w:p w:rsidR="0075281A" w:rsidRPr="00F314D5" w:rsidRDefault="0075281A" w:rsidP="0075281A">
      <w:pPr>
        <w:numPr>
          <w:ilvl w:val="0"/>
          <w:numId w:val="19"/>
        </w:numPr>
        <w:autoSpaceDE w:val="0"/>
        <w:autoSpaceDN w:val="0"/>
        <w:adjustRightInd w:val="0"/>
        <w:spacing w:before="0" w:line="240" w:lineRule="auto"/>
        <w:rPr>
          <w:rFonts w:cs="Arial"/>
          <w:szCs w:val="19"/>
        </w:rPr>
      </w:pPr>
      <w:r w:rsidRPr="00F314D5">
        <w:rPr>
          <w:rFonts w:cs="Arial"/>
          <w:szCs w:val="19"/>
        </w:rPr>
        <w:t>For us to learn more about your organisation</w:t>
      </w:r>
      <w:r>
        <w:rPr>
          <w:rFonts w:cs="Arial"/>
          <w:szCs w:val="19"/>
        </w:rPr>
        <w:t>’</w:t>
      </w:r>
      <w:r w:rsidRPr="00F314D5">
        <w:rPr>
          <w:rFonts w:cs="Arial"/>
          <w:szCs w:val="19"/>
        </w:rPr>
        <w:t>s strategic thinking and motivations for deciding to deliver associate d</w:t>
      </w:r>
      <w:r>
        <w:rPr>
          <w:rFonts w:cs="Arial"/>
          <w:szCs w:val="19"/>
        </w:rPr>
        <w:t>egree and degree qualifications</w:t>
      </w:r>
      <w:r w:rsidRPr="00F314D5">
        <w:rPr>
          <w:rFonts w:cs="Arial"/>
          <w:szCs w:val="19"/>
        </w:rPr>
        <w:t xml:space="preserve">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What organisational reports and data do you have that we can review?</w:t>
      </w:r>
      <w:r>
        <w:rPr>
          <w:rFonts w:cs="Arial"/>
          <w:szCs w:val="19"/>
        </w:rPr>
        <w:t xml:space="preserve">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Who else should we interview?</w:t>
      </w:r>
    </w:p>
    <w:p w:rsidR="0075281A" w:rsidRPr="00F314D5" w:rsidRDefault="0075281A" w:rsidP="00094819">
      <w:pPr>
        <w:autoSpaceDE w:val="0"/>
        <w:autoSpaceDN w:val="0"/>
        <w:adjustRightInd w:val="0"/>
        <w:spacing w:before="0"/>
        <w:ind w:left="792"/>
        <w:rPr>
          <w:rFonts w:cs="Arial"/>
          <w:szCs w:val="19"/>
        </w:rPr>
      </w:pPr>
    </w:p>
    <w:p w:rsidR="0075281A" w:rsidRPr="00F314D5" w:rsidRDefault="0075281A" w:rsidP="00094819">
      <w:pPr>
        <w:pBdr>
          <w:top w:val="single" w:sz="4" w:space="1" w:color="auto"/>
          <w:left w:val="single" w:sz="4" w:space="4" w:color="auto"/>
          <w:bottom w:val="single" w:sz="4" w:space="1" w:color="auto"/>
          <w:right w:val="single" w:sz="4" w:space="4" w:color="auto"/>
        </w:pBdr>
        <w:shd w:val="clear" w:color="auto" w:fill="EEECE1"/>
        <w:spacing w:before="0" w:line="320" w:lineRule="exact"/>
        <w:rPr>
          <w:rFonts w:cs="Arial"/>
          <w:szCs w:val="19"/>
        </w:rPr>
      </w:pPr>
      <w:r w:rsidRPr="00F314D5">
        <w:rPr>
          <w:rFonts w:cs="Arial"/>
          <w:i/>
          <w:szCs w:val="19"/>
        </w:rPr>
        <w:t xml:space="preserve">Section 2: Operational issues </w:t>
      </w:r>
    </w:p>
    <w:p w:rsidR="0075281A" w:rsidRPr="00F314D5" w:rsidRDefault="0075281A" w:rsidP="00094819">
      <w:pPr>
        <w:spacing w:before="0"/>
        <w:contextualSpacing/>
        <w:rPr>
          <w:rFonts w:cs="Arial"/>
          <w:szCs w:val="19"/>
        </w:rPr>
      </w:pPr>
    </w:p>
    <w:p w:rsidR="0075281A" w:rsidRPr="00F314D5" w:rsidRDefault="0075281A" w:rsidP="00094819">
      <w:pPr>
        <w:spacing w:before="0"/>
        <w:contextualSpacing/>
        <w:rPr>
          <w:rFonts w:cs="Arial"/>
          <w:szCs w:val="19"/>
        </w:rPr>
      </w:pPr>
      <w:r w:rsidRPr="00F314D5">
        <w:rPr>
          <w:rFonts w:cs="Arial"/>
          <w:szCs w:val="19"/>
        </w:rPr>
        <w:t xml:space="preserve">There are different curriculum frameworks, quality assurance and other regulations and funding, reporting arrangements required to move into </w:t>
      </w:r>
      <w:r>
        <w:rPr>
          <w:rFonts w:cs="Arial"/>
          <w:szCs w:val="19"/>
        </w:rPr>
        <w:t>higher education</w:t>
      </w:r>
      <w:r w:rsidRPr="00F314D5">
        <w:rPr>
          <w:rFonts w:cs="Arial"/>
          <w:szCs w:val="19"/>
        </w:rPr>
        <w:t xml:space="preserve"> degree qualifications to those in place for VET provision.</w:t>
      </w:r>
    </w:p>
    <w:p w:rsidR="0075281A" w:rsidRPr="00F314D5" w:rsidRDefault="0075281A" w:rsidP="00094819">
      <w:pPr>
        <w:spacing w:before="0"/>
        <w:ind w:left="720"/>
        <w:contextualSpacing/>
        <w:rPr>
          <w:rFonts w:cs="Arial"/>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 xml:space="preserve">What have been the </w:t>
      </w:r>
      <w:r w:rsidRPr="00DF4FB2">
        <w:rPr>
          <w:rFonts w:cs="Arial"/>
          <w:szCs w:val="19"/>
        </w:rPr>
        <w:t>major</w:t>
      </w:r>
      <w:r w:rsidRPr="00F314D5">
        <w:rPr>
          <w:rFonts w:cs="Arial"/>
          <w:szCs w:val="19"/>
          <w:u w:val="single"/>
        </w:rPr>
        <w:t xml:space="preserve"> </w:t>
      </w:r>
      <w:r w:rsidRPr="00F314D5">
        <w:rPr>
          <w:rFonts w:cs="Arial"/>
          <w:szCs w:val="19"/>
        </w:rPr>
        <w:t xml:space="preserve">operational challenges for your VET organisation in making the shift to delivering </w:t>
      </w:r>
      <w:r w:rsidRPr="00F314D5">
        <w:rPr>
          <w:rFonts w:eastAsia="Calibri" w:cs="Arial"/>
          <w:szCs w:val="19"/>
        </w:rPr>
        <w:t>associate degree and bachelor degree</w:t>
      </w:r>
      <w:r w:rsidRPr="00F314D5">
        <w:rPr>
          <w:rFonts w:cs="Arial"/>
          <w:szCs w:val="19"/>
        </w:rPr>
        <w:t xml:space="preserve"> qualifications?</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 xml:space="preserve">What has your organisation done to overcome the challenges? </w:t>
      </w:r>
    </w:p>
    <w:p w:rsidR="0075281A" w:rsidRPr="00F314D5" w:rsidRDefault="0075281A" w:rsidP="00094819">
      <w:pPr>
        <w:spacing w:before="0"/>
        <w:contextualSpacing/>
        <w:rPr>
          <w:rFonts w:cs="Arial"/>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 xml:space="preserve">How has the organisation gone about developing curriculum for </w:t>
      </w:r>
      <w:r w:rsidRPr="00F314D5">
        <w:rPr>
          <w:rFonts w:eastAsia="Calibri" w:cs="Arial"/>
          <w:szCs w:val="19"/>
        </w:rPr>
        <w:t>associate and bachelor degree</w:t>
      </w:r>
      <w:r w:rsidRPr="00F314D5">
        <w:rPr>
          <w:rFonts w:cs="Arial"/>
          <w:szCs w:val="19"/>
        </w:rPr>
        <w:t xml:space="preserve"> qualifications and seeking its accreditation in the </w:t>
      </w:r>
      <w:r>
        <w:rPr>
          <w:rFonts w:cs="Arial"/>
          <w:szCs w:val="19"/>
        </w:rPr>
        <w:t>higher education</w:t>
      </w:r>
      <w:r w:rsidRPr="00F314D5">
        <w:rPr>
          <w:rFonts w:cs="Arial"/>
          <w:szCs w:val="19"/>
        </w:rPr>
        <w:t xml:space="preserve"> sector?</w:t>
      </w:r>
      <w:r w:rsidRPr="00F314D5">
        <w:rPr>
          <w:rFonts w:eastAsia="Calibri" w:cs="Arial"/>
          <w:szCs w:val="19"/>
        </w:rPr>
        <w:t xml:space="preserve">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eastAsia="Calibri" w:cs="Arial"/>
          <w:szCs w:val="19"/>
        </w:rPr>
        <w:lastRenderedPageBreak/>
        <w:t xml:space="preserve">Who has undertaken this task?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eastAsia="Calibri" w:cs="Arial"/>
          <w:szCs w:val="19"/>
        </w:rPr>
        <w:t>Have there been any issues?</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eastAsia="Calibri" w:cs="Arial"/>
          <w:szCs w:val="19"/>
        </w:rPr>
        <w:t xml:space="preserve">What have been the costs and how have these been covered? </w:t>
      </w:r>
    </w:p>
    <w:p w:rsidR="0075281A" w:rsidRPr="00F314D5" w:rsidRDefault="0075281A" w:rsidP="00094819">
      <w:pPr>
        <w:spacing w:before="0"/>
        <w:ind w:left="792"/>
        <w:contextualSpacing/>
        <w:rPr>
          <w:rFonts w:cs="Arial"/>
          <w:szCs w:val="19"/>
        </w:rPr>
      </w:pPr>
      <w:r w:rsidRPr="00F314D5">
        <w:rPr>
          <w:rFonts w:eastAsia="Calibri" w:cs="Arial"/>
          <w:szCs w:val="19"/>
        </w:rPr>
        <w:t xml:space="preserve"> </w:t>
      </w:r>
    </w:p>
    <w:p w:rsidR="0075281A" w:rsidRPr="00F314D5" w:rsidRDefault="0075281A" w:rsidP="0075281A">
      <w:pPr>
        <w:numPr>
          <w:ilvl w:val="0"/>
          <w:numId w:val="19"/>
        </w:numPr>
        <w:autoSpaceDE w:val="0"/>
        <w:autoSpaceDN w:val="0"/>
        <w:adjustRightInd w:val="0"/>
        <w:spacing w:before="0" w:line="240" w:lineRule="auto"/>
        <w:rPr>
          <w:rFonts w:cs="TrebuchetMS"/>
          <w:szCs w:val="19"/>
        </w:rPr>
      </w:pPr>
      <w:r w:rsidRPr="00F314D5">
        <w:rPr>
          <w:rFonts w:cs="TrebuchetMS"/>
          <w:szCs w:val="19"/>
        </w:rPr>
        <w:t xml:space="preserve">How easy or hard has it been for </w:t>
      </w:r>
      <w:r w:rsidRPr="00F314D5">
        <w:rPr>
          <w:rFonts w:cs="Arial"/>
          <w:szCs w:val="19"/>
        </w:rPr>
        <w:t>the organisation t</w:t>
      </w:r>
      <w:r w:rsidRPr="00F314D5">
        <w:rPr>
          <w:rFonts w:cs="TrebuchetMS"/>
          <w:szCs w:val="19"/>
        </w:rPr>
        <w:t xml:space="preserve">o meet the standards or criteria required to achieve </w:t>
      </w:r>
      <w:r>
        <w:rPr>
          <w:rFonts w:cs="TrebuchetMS"/>
          <w:szCs w:val="19"/>
        </w:rPr>
        <w:t>higher education</w:t>
      </w:r>
      <w:r w:rsidRPr="00F314D5">
        <w:rPr>
          <w:rFonts w:cs="TrebuchetMS"/>
          <w:szCs w:val="19"/>
        </w:rPr>
        <w:t xml:space="preserve"> provider status? </w:t>
      </w:r>
    </w:p>
    <w:p w:rsidR="0075281A" w:rsidRPr="00F314D5" w:rsidRDefault="0075281A" w:rsidP="0075281A">
      <w:pPr>
        <w:numPr>
          <w:ilvl w:val="1"/>
          <w:numId w:val="19"/>
        </w:numPr>
        <w:spacing w:before="0" w:line="240" w:lineRule="auto"/>
        <w:ind w:left="867" w:hanging="510"/>
        <w:contextualSpacing/>
        <w:rPr>
          <w:rFonts w:cs="TrebuchetMS"/>
          <w:szCs w:val="19"/>
        </w:rPr>
      </w:pPr>
      <w:r w:rsidRPr="00F314D5">
        <w:rPr>
          <w:rFonts w:cs="TrebuchetMS"/>
          <w:szCs w:val="19"/>
        </w:rPr>
        <w:t>What are the main differences to the standards or criteria for becoming a registered training organisation?</w:t>
      </w:r>
    </w:p>
    <w:p w:rsidR="0075281A" w:rsidRPr="00F314D5" w:rsidRDefault="0075281A" w:rsidP="00094819">
      <w:pPr>
        <w:autoSpaceDE w:val="0"/>
        <w:autoSpaceDN w:val="0"/>
        <w:adjustRightInd w:val="0"/>
        <w:spacing w:before="0"/>
        <w:ind w:left="792"/>
        <w:rPr>
          <w:rFonts w:cs="TrebuchetMS"/>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eastAsia="Calibri" w:cs="Arial"/>
          <w:szCs w:val="19"/>
        </w:rPr>
        <w:t xml:space="preserve">How do you fund the cost of preparation for and delivery of </w:t>
      </w:r>
      <w:r>
        <w:rPr>
          <w:rFonts w:cs="Arial"/>
          <w:szCs w:val="19"/>
        </w:rPr>
        <w:t>higher education</w:t>
      </w:r>
      <w:r w:rsidRPr="00F314D5">
        <w:rPr>
          <w:rFonts w:cs="Arial"/>
          <w:szCs w:val="19"/>
        </w:rPr>
        <w:t xml:space="preserve"> degree qualifications?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 xml:space="preserve">Do your students have access to government loan support Fee help?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TrebuchetMS"/>
          <w:szCs w:val="19"/>
        </w:rPr>
        <w:t xml:space="preserve">Is the cost of </w:t>
      </w:r>
      <w:r w:rsidRPr="00F314D5">
        <w:rPr>
          <w:rFonts w:eastAsia="Calibri" w:cs="Arial"/>
          <w:szCs w:val="19"/>
        </w:rPr>
        <w:t xml:space="preserve">delivering </w:t>
      </w:r>
      <w:r>
        <w:rPr>
          <w:rFonts w:cs="Arial"/>
          <w:szCs w:val="19"/>
        </w:rPr>
        <w:t>higher education</w:t>
      </w:r>
      <w:r w:rsidRPr="00F314D5">
        <w:rPr>
          <w:rFonts w:cs="Arial"/>
          <w:szCs w:val="19"/>
        </w:rPr>
        <w:t xml:space="preserve"> degree qualifications an issue for your organisation?</w:t>
      </w:r>
    </w:p>
    <w:p w:rsidR="0075281A" w:rsidRPr="00F314D5" w:rsidRDefault="0075281A" w:rsidP="00094819">
      <w:pPr>
        <w:spacing w:before="0"/>
        <w:ind w:left="792"/>
        <w:contextualSpacing/>
        <w:rPr>
          <w:rFonts w:cs="Arial"/>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 xml:space="preserve">What impact, if any, has the different operational arrangements in </w:t>
      </w:r>
      <w:r>
        <w:rPr>
          <w:rFonts w:cs="Arial"/>
          <w:szCs w:val="19"/>
        </w:rPr>
        <w:t>higher education</w:t>
      </w:r>
      <w:r w:rsidRPr="00F314D5">
        <w:rPr>
          <w:rFonts w:cs="Arial"/>
          <w:szCs w:val="19"/>
        </w:rPr>
        <w:t xml:space="preserve"> had on your organisation? What institutional processes are in place (or should be in place) to produce quality outcomes for learners, and for industry? </w:t>
      </w:r>
    </w:p>
    <w:p w:rsidR="0075281A" w:rsidRPr="00F314D5" w:rsidRDefault="0075281A" w:rsidP="00094819">
      <w:pPr>
        <w:spacing w:before="0"/>
        <w:ind w:left="360"/>
        <w:contextualSpacing/>
        <w:rPr>
          <w:rFonts w:cs="Arial"/>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For us to learn more about your organisation</w:t>
      </w:r>
      <w:r>
        <w:rPr>
          <w:rFonts w:cs="Arial"/>
          <w:szCs w:val="19"/>
        </w:rPr>
        <w:t>’</w:t>
      </w:r>
      <w:r w:rsidRPr="00F314D5">
        <w:rPr>
          <w:rFonts w:cs="Arial"/>
          <w:szCs w:val="19"/>
        </w:rPr>
        <w:t>s operational arrangements and any associated issues regarding delivering associate degree and degree qualifications</w:t>
      </w:r>
      <w:r>
        <w:rPr>
          <w:rFonts w:cs="Arial"/>
          <w:szCs w:val="19"/>
        </w:rPr>
        <w:t xml:space="preserve"> —</w:t>
      </w:r>
      <w:r w:rsidRPr="00F314D5">
        <w:rPr>
          <w:rFonts w:cs="Arial"/>
          <w:szCs w:val="19"/>
        </w:rPr>
        <w:t xml:space="preserve"> </w:t>
      </w:r>
    </w:p>
    <w:p w:rsidR="0075281A" w:rsidRPr="0061477A" w:rsidRDefault="0075281A" w:rsidP="0075281A">
      <w:pPr>
        <w:pStyle w:val="ListParagraph"/>
        <w:numPr>
          <w:ilvl w:val="1"/>
          <w:numId w:val="19"/>
        </w:numPr>
        <w:autoSpaceDE w:val="0"/>
        <w:autoSpaceDN w:val="0"/>
        <w:adjustRightInd w:val="0"/>
        <w:spacing w:before="0" w:line="240" w:lineRule="auto"/>
        <w:ind w:left="867" w:hanging="510"/>
        <w:rPr>
          <w:rFonts w:cs="Arial"/>
          <w:szCs w:val="19"/>
        </w:rPr>
      </w:pPr>
      <w:r w:rsidRPr="0061477A">
        <w:rPr>
          <w:rFonts w:cs="Arial"/>
          <w:szCs w:val="19"/>
        </w:rPr>
        <w:t xml:space="preserve">What reports and data do you have that we can review? </w:t>
      </w:r>
    </w:p>
    <w:p w:rsidR="0075281A" w:rsidRPr="0061477A" w:rsidRDefault="0075281A" w:rsidP="0075281A">
      <w:pPr>
        <w:pStyle w:val="ListParagraph"/>
        <w:numPr>
          <w:ilvl w:val="1"/>
          <w:numId w:val="19"/>
        </w:numPr>
        <w:autoSpaceDE w:val="0"/>
        <w:autoSpaceDN w:val="0"/>
        <w:adjustRightInd w:val="0"/>
        <w:spacing w:before="0" w:line="240" w:lineRule="auto"/>
        <w:ind w:left="867" w:hanging="510"/>
        <w:rPr>
          <w:rFonts w:cs="Arial"/>
          <w:szCs w:val="19"/>
        </w:rPr>
      </w:pPr>
      <w:r w:rsidRPr="0061477A">
        <w:rPr>
          <w:rFonts w:cs="Arial"/>
          <w:szCs w:val="19"/>
        </w:rPr>
        <w:t>Who else should we interview?</w:t>
      </w:r>
    </w:p>
    <w:p w:rsidR="0075281A" w:rsidRPr="00F314D5" w:rsidRDefault="0075281A" w:rsidP="00094819">
      <w:pPr>
        <w:pStyle w:val="ListParagraph"/>
        <w:rPr>
          <w:rFonts w:cs="Arial"/>
          <w:szCs w:val="19"/>
        </w:rPr>
      </w:pPr>
    </w:p>
    <w:p w:rsidR="0075281A" w:rsidRPr="00F314D5" w:rsidRDefault="0075281A" w:rsidP="00094819">
      <w:pPr>
        <w:pBdr>
          <w:top w:val="single" w:sz="4" w:space="1" w:color="auto"/>
          <w:left w:val="single" w:sz="4" w:space="4" w:color="auto"/>
          <w:bottom w:val="single" w:sz="4" w:space="1" w:color="auto"/>
          <w:right w:val="single" w:sz="4" w:space="4" w:color="auto"/>
        </w:pBdr>
        <w:shd w:val="clear" w:color="auto" w:fill="EEECE1"/>
        <w:spacing w:before="0" w:line="320" w:lineRule="exact"/>
        <w:rPr>
          <w:rFonts w:cs="Arial"/>
          <w:szCs w:val="19"/>
        </w:rPr>
      </w:pPr>
      <w:r w:rsidRPr="00F314D5">
        <w:rPr>
          <w:rFonts w:cs="Arial"/>
          <w:i/>
          <w:szCs w:val="19"/>
        </w:rPr>
        <w:t>Section 3: Capability building issues</w:t>
      </w:r>
    </w:p>
    <w:p w:rsidR="0075281A" w:rsidRPr="00F314D5" w:rsidRDefault="0075281A" w:rsidP="00094819">
      <w:pPr>
        <w:spacing w:before="0"/>
        <w:ind w:left="360"/>
        <w:contextualSpacing/>
        <w:rPr>
          <w:rFonts w:cs="Arial"/>
          <w:szCs w:val="19"/>
        </w:rPr>
      </w:pPr>
    </w:p>
    <w:p w:rsidR="0075281A" w:rsidRPr="00F314D5" w:rsidRDefault="0075281A" w:rsidP="0075281A">
      <w:pPr>
        <w:numPr>
          <w:ilvl w:val="0"/>
          <w:numId w:val="19"/>
        </w:numPr>
        <w:spacing w:before="0" w:line="240" w:lineRule="auto"/>
        <w:contextualSpacing/>
        <w:jc w:val="both"/>
        <w:rPr>
          <w:rFonts w:cs="Arial"/>
          <w:szCs w:val="19"/>
        </w:rPr>
      </w:pPr>
      <w:r w:rsidRPr="00F314D5">
        <w:rPr>
          <w:rFonts w:cs="Arial"/>
          <w:szCs w:val="19"/>
        </w:rPr>
        <w:t xml:space="preserve">Where do you source your staff from to deliver your </w:t>
      </w:r>
      <w:r>
        <w:rPr>
          <w:rFonts w:cs="Arial"/>
          <w:szCs w:val="19"/>
        </w:rPr>
        <w:t>higher education</w:t>
      </w:r>
      <w:r w:rsidRPr="00F314D5">
        <w:rPr>
          <w:rFonts w:cs="Arial"/>
          <w:szCs w:val="19"/>
        </w:rPr>
        <w:t xml:space="preserve"> degrees? </w:t>
      </w:r>
    </w:p>
    <w:p w:rsidR="0075281A" w:rsidRPr="00F314D5" w:rsidRDefault="0075281A" w:rsidP="0075281A">
      <w:pPr>
        <w:numPr>
          <w:ilvl w:val="1"/>
          <w:numId w:val="19"/>
        </w:numPr>
        <w:spacing w:before="0" w:line="240" w:lineRule="auto"/>
        <w:ind w:left="867" w:hanging="510"/>
        <w:contextualSpacing/>
        <w:rPr>
          <w:rFonts w:cs="Arial"/>
          <w:szCs w:val="19"/>
        </w:rPr>
      </w:pPr>
      <w:proofErr w:type="gramStart"/>
      <w:r w:rsidRPr="00F314D5">
        <w:rPr>
          <w:rFonts w:cs="Arial"/>
          <w:szCs w:val="19"/>
        </w:rPr>
        <w:t>Are</w:t>
      </w:r>
      <w:proofErr w:type="gramEnd"/>
      <w:r w:rsidRPr="00F314D5">
        <w:rPr>
          <w:rFonts w:cs="Arial"/>
          <w:szCs w:val="19"/>
        </w:rPr>
        <w:t xml:space="preserve"> your </w:t>
      </w:r>
      <w:r>
        <w:rPr>
          <w:rFonts w:cs="Arial"/>
          <w:szCs w:val="19"/>
        </w:rPr>
        <w:t>higher education</w:t>
      </w:r>
      <w:r w:rsidRPr="00F314D5">
        <w:rPr>
          <w:rFonts w:cs="Arial"/>
          <w:szCs w:val="19"/>
        </w:rPr>
        <w:t xml:space="preserve"> qualifications delivered in isolation to your VET qualifications or do the same people deliver both?</w:t>
      </w:r>
    </w:p>
    <w:p w:rsidR="0075281A" w:rsidRPr="00F314D5" w:rsidRDefault="0075281A" w:rsidP="0075281A">
      <w:pPr>
        <w:numPr>
          <w:ilvl w:val="1"/>
          <w:numId w:val="19"/>
        </w:numPr>
        <w:spacing w:before="0" w:line="240" w:lineRule="auto"/>
        <w:ind w:left="867" w:hanging="510"/>
        <w:contextualSpacing/>
        <w:rPr>
          <w:rFonts w:cs="Arial"/>
          <w:szCs w:val="19"/>
        </w:rPr>
      </w:pPr>
      <w:r>
        <w:rPr>
          <w:rFonts w:cs="Arial"/>
          <w:szCs w:val="19"/>
        </w:rPr>
        <w:t>Are there</w:t>
      </w:r>
      <w:r w:rsidRPr="00F314D5">
        <w:rPr>
          <w:rFonts w:cs="Arial"/>
          <w:szCs w:val="19"/>
        </w:rPr>
        <w:t xml:space="preserve"> any barriers to VET staff delivering </w:t>
      </w:r>
      <w:r>
        <w:rPr>
          <w:rFonts w:cs="Arial"/>
          <w:szCs w:val="19"/>
        </w:rPr>
        <w:t>higher education</w:t>
      </w:r>
      <w:r w:rsidRPr="00F314D5">
        <w:rPr>
          <w:rFonts w:cs="Arial"/>
          <w:szCs w:val="19"/>
        </w:rPr>
        <w:t xml:space="preserve"> degrees</w:t>
      </w:r>
      <w:r>
        <w:rPr>
          <w:rFonts w:cs="Arial"/>
          <w:szCs w:val="19"/>
        </w:rPr>
        <w:t xml:space="preserve"> —</w:t>
      </w:r>
      <w:r w:rsidRPr="00F314D5">
        <w:rPr>
          <w:rFonts w:cs="Arial"/>
          <w:szCs w:val="19"/>
        </w:rPr>
        <w:t xml:space="preserve"> attitudinal, industrial relations, credentials-wise and so on?</w:t>
      </w:r>
      <w:r>
        <w:rPr>
          <w:rFonts w:cs="Arial"/>
          <w:szCs w:val="19"/>
        </w:rPr>
        <w:t xml:space="preserve"> </w:t>
      </w:r>
      <w:r w:rsidRPr="00F314D5">
        <w:rPr>
          <w:rFonts w:cs="Arial"/>
          <w:szCs w:val="19"/>
        </w:rPr>
        <w:t>How are you overcoming these barriers?</w:t>
      </w:r>
    </w:p>
    <w:p w:rsidR="0075281A" w:rsidRPr="00F314D5" w:rsidRDefault="0075281A" w:rsidP="00094819">
      <w:pPr>
        <w:spacing w:before="0"/>
        <w:contextualSpacing/>
        <w:rPr>
          <w:rFonts w:cs="Arial"/>
          <w:szCs w:val="19"/>
        </w:rPr>
      </w:pPr>
    </w:p>
    <w:p w:rsidR="0075281A" w:rsidRPr="00F314D5" w:rsidRDefault="0075281A" w:rsidP="0075281A">
      <w:pPr>
        <w:numPr>
          <w:ilvl w:val="0"/>
          <w:numId w:val="19"/>
        </w:numPr>
        <w:spacing w:before="0" w:line="240" w:lineRule="auto"/>
        <w:contextualSpacing/>
        <w:rPr>
          <w:rFonts w:cs="Arial"/>
          <w:szCs w:val="19"/>
        </w:rPr>
      </w:pPr>
      <w:r>
        <w:rPr>
          <w:rFonts w:cs="Arial"/>
          <w:szCs w:val="19"/>
        </w:rPr>
        <w:t>Are there</w:t>
      </w:r>
      <w:r w:rsidRPr="00F314D5">
        <w:rPr>
          <w:rFonts w:cs="Arial"/>
          <w:szCs w:val="19"/>
        </w:rPr>
        <w:t xml:space="preserve"> any barriers to lea</w:t>
      </w:r>
      <w:r>
        <w:rPr>
          <w:rFonts w:cs="Arial"/>
          <w:szCs w:val="19"/>
        </w:rPr>
        <w:t>r</w:t>
      </w:r>
      <w:r w:rsidRPr="00F314D5">
        <w:rPr>
          <w:rFonts w:cs="Arial"/>
          <w:szCs w:val="19"/>
        </w:rPr>
        <w:t xml:space="preserve">ners taking up </w:t>
      </w:r>
      <w:r>
        <w:rPr>
          <w:rFonts w:cs="Arial"/>
          <w:szCs w:val="19"/>
        </w:rPr>
        <w:t>higher education</w:t>
      </w:r>
      <w:r w:rsidRPr="00F314D5">
        <w:rPr>
          <w:rFonts w:cs="Arial"/>
          <w:szCs w:val="19"/>
        </w:rPr>
        <w:t xml:space="preserve"> degrees in your organisation </w:t>
      </w:r>
      <w:r>
        <w:rPr>
          <w:rFonts w:cs="Arial"/>
          <w:szCs w:val="19"/>
        </w:rPr>
        <w:t>—</w:t>
      </w:r>
      <w:r w:rsidRPr="00F314D5">
        <w:rPr>
          <w:rFonts w:cs="Arial"/>
          <w:szCs w:val="19"/>
        </w:rPr>
        <w:t xml:space="preserve"> attitudinal, preparedness and so on? </w:t>
      </w:r>
    </w:p>
    <w:p w:rsidR="0075281A" w:rsidRPr="00F314D5" w:rsidRDefault="0075281A" w:rsidP="00094819">
      <w:pPr>
        <w:spacing w:before="0"/>
        <w:ind w:left="360"/>
        <w:contextualSpacing/>
        <w:rPr>
          <w:rFonts w:cs="Arial"/>
          <w:szCs w:val="19"/>
        </w:rPr>
      </w:pPr>
      <w:r w:rsidRPr="00F314D5">
        <w:rPr>
          <w:rFonts w:cs="Arial"/>
          <w:szCs w:val="19"/>
        </w:rPr>
        <w:t xml:space="preserve"> </w:t>
      </w: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 xml:space="preserve">What types and levels of support do you provide to learners entering into your </w:t>
      </w:r>
      <w:r>
        <w:rPr>
          <w:rFonts w:cs="Arial"/>
          <w:szCs w:val="19"/>
        </w:rPr>
        <w:t>higher education</w:t>
      </w:r>
      <w:r w:rsidRPr="00F314D5">
        <w:rPr>
          <w:rFonts w:cs="Arial"/>
          <w:szCs w:val="19"/>
        </w:rPr>
        <w:t xml:space="preserve"> degrees?</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 xml:space="preserve">Is it different to that offered to learners in VET qualification programs?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 xml:space="preserve">Going forward, what other support might be considered to assist learners in </w:t>
      </w:r>
      <w:r>
        <w:rPr>
          <w:rFonts w:cs="Arial"/>
          <w:szCs w:val="19"/>
        </w:rPr>
        <w:t>higher education</w:t>
      </w:r>
      <w:r w:rsidRPr="00F314D5">
        <w:rPr>
          <w:rFonts w:cs="Arial"/>
          <w:szCs w:val="19"/>
        </w:rPr>
        <w:t xml:space="preserve"> degrees to successfully complete them?</w:t>
      </w:r>
    </w:p>
    <w:p w:rsidR="0075281A" w:rsidRPr="00F314D5" w:rsidRDefault="0075281A" w:rsidP="00094819">
      <w:pPr>
        <w:spacing w:before="0"/>
        <w:contextualSpacing/>
        <w:jc w:val="both"/>
        <w:rPr>
          <w:rFonts w:cs="Arial"/>
          <w:szCs w:val="19"/>
        </w:rPr>
      </w:pPr>
    </w:p>
    <w:p w:rsidR="0075281A" w:rsidRPr="00F314D5" w:rsidRDefault="0075281A" w:rsidP="0075281A">
      <w:pPr>
        <w:numPr>
          <w:ilvl w:val="0"/>
          <w:numId w:val="19"/>
        </w:numPr>
        <w:spacing w:before="0" w:line="240" w:lineRule="auto"/>
        <w:contextualSpacing/>
        <w:rPr>
          <w:rFonts w:cs="Arial"/>
          <w:szCs w:val="19"/>
        </w:rPr>
      </w:pPr>
      <w:r w:rsidRPr="00F314D5">
        <w:rPr>
          <w:rFonts w:cs="Arial"/>
          <w:szCs w:val="19"/>
        </w:rPr>
        <w:t>For us to learn more about your organisation</w:t>
      </w:r>
      <w:r>
        <w:rPr>
          <w:rFonts w:cs="Arial"/>
          <w:szCs w:val="19"/>
        </w:rPr>
        <w:t>’</w:t>
      </w:r>
      <w:r w:rsidRPr="00F314D5">
        <w:rPr>
          <w:rFonts w:cs="Arial"/>
          <w:szCs w:val="19"/>
        </w:rPr>
        <w:t>s teacher and student capability building approach</w:t>
      </w:r>
      <w:r>
        <w:rPr>
          <w:rFonts w:cs="Arial"/>
          <w:szCs w:val="19"/>
        </w:rPr>
        <w:t xml:space="preserve"> </w:t>
      </w:r>
      <w:r w:rsidRPr="00F314D5">
        <w:rPr>
          <w:rFonts w:cs="Arial"/>
          <w:szCs w:val="19"/>
        </w:rPr>
        <w:t>regarding delivering associate degree and degree qualifications</w:t>
      </w:r>
      <w:r>
        <w:rPr>
          <w:rFonts w:cs="Arial"/>
          <w:szCs w:val="19"/>
        </w:rPr>
        <w:t xml:space="preserve"> —</w:t>
      </w:r>
      <w:r w:rsidRPr="00F314D5">
        <w:rPr>
          <w:rFonts w:cs="Arial"/>
          <w:szCs w:val="19"/>
        </w:rPr>
        <w:t xml:space="preserve">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What reports and data do you have that we can review?</w:t>
      </w:r>
      <w:r>
        <w:rPr>
          <w:rFonts w:cs="Arial"/>
          <w:szCs w:val="19"/>
        </w:rPr>
        <w:t xml:space="preserve"> </w:t>
      </w:r>
    </w:p>
    <w:p w:rsidR="0075281A" w:rsidRPr="00F314D5" w:rsidRDefault="0075281A" w:rsidP="0075281A">
      <w:pPr>
        <w:numPr>
          <w:ilvl w:val="1"/>
          <w:numId w:val="19"/>
        </w:numPr>
        <w:spacing w:before="0" w:line="240" w:lineRule="auto"/>
        <w:ind w:left="867" w:hanging="510"/>
        <w:contextualSpacing/>
        <w:rPr>
          <w:rFonts w:cs="Arial"/>
          <w:szCs w:val="19"/>
        </w:rPr>
      </w:pPr>
      <w:r w:rsidRPr="00F314D5">
        <w:rPr>
          <w:rFonts w:cs="Arial"/>
          <w:szCs w:val="19"/>
        </w:rPr>
        <w:t>Who else should we interview?</w:t>
      </w:r>
    </w:p>
    <w:p w:rsidR="0075281A" w:rsidRPr="00F314D5" w:rsidRDefault="0075281A" w:rsidP="00094819">
      <w:pPr>
        <w:spacing w:before="0"/>
        <w:contextualSpacing/>
        <w:jc w:val="both"/>
        <w:rPr>
          <w:rFonts w:cs="Arial"/>
          <w:szCs w:val="19"/>
        </w:rPr>
      </w:pPr>
    </w:p>
    <w:p w:rsidR="0075281A" w:rsidRPr="00F314D5" w:rsidRDefault="0075281A" w:rsidP="00094819">
      <w:pPr>
        <w:spacing w:before="0"/>
        <w:contextualSpacing/>
        <w:rPr>
          <w:rFonts w:cs="Arial"/>
          <w:szCs w:val="19"/>
        </w:rPr>
      </w:pPr>
    </w:p>
    <w:p w:rsidR="0075281A" w:rsidRPr="00F314D5" w:rsidRDefault="0075281A" w:rsidP="00094819">
      <w:pPr>
        <w:pBdr>
          <w:top w:val="single" w:sz="4" w:space="1" w:color="auto"/>
          <w:left w:val="single" w:sz="4" w:space="4" w:color="auto"/>
          <w:bottom w:val="single" w:sz="4" w:space="1" w:color="auto"/>
          <w:right w:val="single" w:sz="4" w:space="4" w:color="auto"/>
        </w:pBdr>
        <w:shd w:val="clear" w:color="auto" w:fill="EEECE1"/>
        <w:spacing w:before="0" w:line="320" w:lineRule="exact"/>
        <w:rPr>
          <w:rFonts w:cs="Arial"/>
          <w:i/>
          <w:szCs w:val="19"/>
        </w:rPr>
      </w:pPr>
      <w:r w:rsidRPr="00F314D5">
        <w:rPr>
          <w:rFonts w:cs="Arial"/>
          <w:i/>
          <w:szCs w:val="19"/>
        </w:rPr>
        <w:t>Section 4: Concluding Remarks</w:t>
      </w:r>
    </w:p>
    <w:p w:rsidR="0075281A" w:rsidRPr="00F314D5" w:rsidRDefault="0075281A" w:rsidP="00094819">
      <w:pPr>
        <w:spacing w:before="0"/>
        <w:contextualSpacing/>
        <w:rPr>
          <w:rFonts w:cs="Arial"/>
          <w:szCs w:val="19"/>
        </w:rPr>
      </w:pPr>
    </w:p>
    <w:p w:rsidR="0075281A" w:rsidRDefault="0075281A" w:rsidP="0075281A">
      <w:pPr>
        <w:numPr>
          <w:ilvl w:val="0"/>
          <w:numId w:val="19"/>
        </w:numPr>
        <w:spacing w:before="0" w:line="240" w:lineRule="auto"/>
        <w:contextualSpacing/>
        <w:jc w:val="both"/>
        <w:rPr>
          <w:rFonts w:cs="Arial"/>
          <w:szCs w:val="19"/>
        </w:rPr>
      </w:pPr>
      <w:r w:rsidRPr="00F314D5">
        <w:rPr>
          <w:rFonts w:cs="Arial"/>
          <w:szCs w:val="19"/>
        </w:rPr>
        <w:t xml:space="preserve">Are there any final comments you would like to make about factors that aid success/act as barriers to </w:t>
      </w:r>
      <w:r w:rsidRPr="00F314D5">
        <w:rPr>
          <w:rFonts w:cs="Arial"/>
          <w:bCs/>
          <w:color w:val="000000"/>
          <w:spacing w:val="-2"/>
          <w:kern w:val="36"/>
          <w:szCs w:val="19"/>
        </w:rPr>
        <w:t>VET providers moving to delivering associate and bachelor degrees successfully?</w:t>
      </w:r>
      <w:r>
        <w:rPr>
          <w:rFonts w:cs="Arial"/>
          <w:szCs w:val="19"/>
        </w:rPr>
        <w:t xml:space="preserve"> </w:t>
      </w:r>
    </w:p>
    <w:p w:rsidR="0075281A" w:rsidRDefault="0075281A" w:rsidP="00094819">
      <w:pPr>
        <w:spacing w:before="0" w:line="240" w:lineRule="auto"/>
        <w:ind w:left="360"/>
        <w:contextualSpacing/>
        <w:jc w:val="both"/>
        <w:rPr>
          <w:rFonts w:cs="Arial"/>
          <w:szCs w:val="19"/>
        </w:rPr>
      </w:pPr>
    </w:p>
    <w:p w:rsidR="0075281A" w:rsidRDefault="0075281A" w:rsidP="00094819">
      <w:pPr>
        <w:spacing w:before="0" w:line="240" w:lineRule="auto"/>
        <w:ind w:left="360"/>
        <w:contextualSpacing/>
        <w:jc w:val="both"/>
        <w:rPr>
          <w:rFonts w:cs="Arial"/>
          <w:b/>
          <w:szCs w:val="19"/>
        </w:rPr>
      </w:pPr>
      <w:r w:rsidRPr="00E14235">
        <w:rPr>
          <w:rFonts w:cs="Arial"/>
          <w:szCs w:val="19"/>
        </w:rPr>
        <w:t>Thank you for your contribution to this study</w:t>
      </w:r>
      <w:r w:rsidRPr="00E14235">
        <w:rPr>
          <w:rFonts w:cs="Arial"/>
          <w:b/>
          <w:szCs w:val="19"/>
        </w:rPr>
        <w:t>.</w:t>
      </w:r>
    </w:p>
    <w:p w:rsidR="00853CC2" w:rsidRDefault="00853CC2">
      <w:pPr>
        <w:spacing w:before="0" w:line="240" w:lineRule="auto"/>
        <w:rPr>
          <w:rFonts w:cs="Arial"/>
          <w:b/>
          <w:szCs w:val="19"/>
        </w:rPr>
      </w:pPr>
      <w:r>
        <w:rPr>
          <w:rFonts w:cs="Arial"/>
          <w:b/>
          <w:szCs w:val="19"/>
        </w:rPr>
        <w:br w:type="page"/>
      </w:r>
    </w:p>
    <w:p w:rsidR="0075281A" w:rsidRDefault="00AD53B0" w:rsidP="00AD53B0">
      <w:pPr>
        <w:pStyle w:val="Heading1"/>
        <w:tabs>
          <w:tab w:val="left" w:pos="709"/>
        </w:tabs>
        <w:ind w:firstLine="709"/>
      </w:pPr>
      <w:bookmarkStart w:id="177" w:name="_Toc396117559"/>
      <w:bookmarkStart w:id="178" w:name="_Toc419972107"/>
      <w:bookmarkEnd w:id="84"/>
      <w:r>
        <w:rPr>
          <w:noProof/>
          <w:lang w:eastAsia="en-AU"/>
        </w:rPr>
        <w:lastRenderedPageBreak/>
        <w:drawing>
          <wp:anchor distT="0" distB="0" distL="114300" distR="114300" simplePos="0" relativeHeight="251746294" behindDoc="0" locked="0" layoutInCell="1" allowOverlap="1" wp14:anchorId="70C1CC43" wp14:editId="55C6214C">
            <wp:simplePos x="0" y="0"/>
            <wp:positionH relativeFrom="column">
              <wp:posOffset>-7021</wp:posOffset>
            </wp:positionH>
            <wp:positionV relativeFrom="paragraph">
              <wp:posOffset>-72309</wp:posOffset>
            </wp:positionV>
            <wp:extent cx="414020" cy="431165"/>
            <wp:effectExtent l="0" t="0" r="5080" b="6985"/>
            <wp:wrapNone/>
            <wp:docPr id="322" name="Picture 322" descr="P:\PublicationComponents\Icons\DollarSign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DollarSign_Ligh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81A">
        <w:t>NVETR Program funding</w:t>
      </w:r>
      <w:bookmarkEnd w:id="177"/>
      <w:bookmarkEnd w:id="178"/>
      <w:r w:rsidR="0075281A">
        <w:t xml:space="preserve"> </w:t>
      </w:r>
    </w:p>
    <w:p w:rsidR="0075281A" w:rsidRPr="00153AA8" w:rsidRDefault="0075281A" w:rsidP="00094819">
      <w:pPr>
        <w:pStyle w:val="Text"/>
      </w:pPr>
      <w:r>
        <w:t>The National Vocational Education and Training Research (NVETR) Program is coordinated and managed by NCVER on behal</w:t>
      </w:r>
      <w:r w:rsidRPr="00153AA8">
        <w:t>f of the Australian Government and state and territory governments. Funding is provided through the Department of Education and Training.</w:t>
      </w:r>
    </w:p>
    <w:p w:rsidR="0075281A" w:rsidRPr="00153AA8" w:rsidRDefault="0075281A" w:rsidP="00094819">
      <w:pPr>
        <w:pStyle w:val="Text"/>
        <w:ind w:right="141"/>
      </w:pPr>
      <w:r w:rsidRPr="00153AA8">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75281A" w:rsidRPr="00153AA8" w:rsidRDefault="0075281A" w:rsidP="00094819">
      <w:pPr>
        <w:pStyle w:val="Text"/>
        <w:ind w:right="283"/>
      </w:pPr>
      <w:r w:rsidRPr="00153AA8">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75281A" w:rsidRPr="00153AA8" w:rsidRDefault="0075281A" w:rsidP="00094819">
      <w:pPr>
        <w:pStyle w:val="Text"/>
        <w:ind w:right="283"/>
      </w:pPr>
      <w:r w:rsidRPr="00153AA8">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75281A" w:rsidRDefault="0075281A" w:rsidP="00094819">
      <w:pPr>
        <w:pStyle w:val="Text"/>
      </w:pPr>
      <w:proofErr w:type="gramStart"/>
      <w:r w:rsidRPr="00153AA8">
        <w:t>For further information ab</w:t>
      </w:r>
      <w:r w:rsidRPr="00157690">
        <w:t xml:space="preserve">out the program go to the NCVER </w:t>
      </w:r>
      <w:r>
        <w:t>Portal</w:t>
      </w:r>
      <w:r w:rsidRPr="00157690">
        <w:t xml:space="preserve"> &lt;</w:t>
      </w:r>
      <w:r>
        <w:t>http://</w:t>
      </w:r>
      <w:r w:rsidRPr="00157690">
        <w:t>www.ncver.edu.au&gt;.</w:t>
      </w:r>
      <w:proofErr w:type="gramEnd"/>
    </w:p>
    <w:p w:rsidR="00934499" w:rsidRDefault="00934499" w:rsidP="00934499">
      <w:pPr>
        <w:spacing w:before="0" w:line="240" w:lineRule="auto"/>
        <w:rPr>
          <w:rFonts w:ascii="Arial" w:hAnsi="Arial" w:cs="Tahoma"/>
          <w:noProof/>
          <w:color w:val="000000"/>
          <w:sz w:val="24"/>
        </w:rPr>
        <w:sectPr w:rsidR="00934499" w:rsidSect="00094819">
          <w:footerReference w:type="even" r:id="rId42"/>
          <w:footerReference w:type="default" r:id="rId43"/>
          <w:pgSz w:w="11907" w:h="16840" w:code="9"/>
          <w:pgMar w:top="1276" w:right="1701" w:bottom="1276" w:left="1418" w:header="709" w:footer="556" w:gutter="0"/>
          <w:cols w:space="708"/>
          <w:docGrid w:linePitch="360"/>
        </w:sectPr>
      </w:pPr>
    </w:p>
    <w:p w:rsidR="00934499" w:rsidRDefault="00934499">
      <w:pPr>
        <w:spacing w:before="0" w:line="240" w:lineRule="auto"/>
        <w:rPr>
          <w:rFonts w:ascii="Arial" w:hAnsi="Arial" w:cs="Tahoma"/>
          <w:noProof/>
          <w:color w:val="000000"/>
          <w:sz w:val="24"/>
        </w:rPr>
      </w:pPr>
      <w:r>
        <w:rPr>
          <w:rFonts w:ascii="Arial" w:hAnsi="Arial" w:cs="Tahoma"/>
          <w:noProof/>
          <w:color w:val="000000"/>
          <w:sz w:val="24"/>
        </w:rPr>
        <w:lastRenderedPageBreak/>
        <w:br w:type="page"/>
      </w:r>
    </w:p>
    <w:p w:rsidR="00606061" w:rsidRPr="00CF0FB6" w:rsidRDefault="004E4D5E" w:rsidP="00934499">
      <w:pPr>
        <w:spacing w:before="0" w:line="240" w:lineRule="auto"/>
        <w:rPr>
          <w:noProof/>
        </w:rPr>
      </w:pPr>
      <w:r w:rsidRPr="00246BBF">
        <w:rPr>
          <w:noProof/>
          <w:lang w:eastAsia="en-AU"/>
        </w:rPr>
        <w:lastRenderedPageBreak/>
        <w:drawing>
          <wp:anchor distT="0" distB="0" distL="114300" distR="114300" simplePos="0" relativeHeight="252011520" behindDoc="0" locked="0" layoutInCell="1" allowOverlap="1" wp14:anchorId="05AAD005" wp14:editId="04FB004D">
            <wp:simplePos x="0" y="0"/>
            <wp:positionH relativeFrom="column">
              <wp:posOffset>3672428</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4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2010496" behindDoc="0" locked="0" layoutInCell="1" allowOverlap="1" wp14:anchorId="34C9510A" wp14:editId="2A36AA73">
            <wp:simplePos x="0" y="0"/>
            <wp:positionH relativeFrom="column">
              <wp:posOffset>2269713</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467AAB" w:rsidRPr="009F3844">
        <w:rPr>
          <w:noProof/>
          <w:lang w:eastAsia="en-AU"/>
        </w:rPr>
        <w:drawing>
          <wp:anchor distT="0" distB="0" distL="114300" distR="114300" simplePos="0" relativeHeight="252007424" behindDoc="0" locked="0" layoutInCell="1" allowOverlap="1" wp14:anchorId="0E35D200" wp14:editId="41C603C5">
            <wp:simplePos x="0" y="0"/>
            <wp:positionH relativeFrom="column">
              <wp:posOffset>3470910</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AAB" w:rsidRPr="009F3844">
        <w:rPr>
          <w:noProof/>
          <w:lang w:eastAsia="en-AU"/>
        </w:rPr>
        <mc:AlternateContent>
          <mc:Choice Requires="wps">
            <w:drawing>
              <wp:anchor distT="0" distB="0" distL="114300" distR="114300" simplePos="0" relativeHeight="252009472" behindDoc="0" locked="0" layoutInCell="1" allowOverlap="1" wp14:anchorId="648B7820" wp14:editId="558C627A">
                <wp:simplePos x="0" y="0"/>
                <wp:positionH relativeFrom="column">
                  <wp:posOffset>676275</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209" w:rsidRPr="006E0B9E" w:rsidRDefault="004C5209" w:rsidP="009F3844">
                            <w:pPr>
                              <w:jc w:val="right"/>
                              <w:rPr>
                                <w:rFonts w:ascii="Arial" w:hAnsi="Arial" w:cs="Arial"/>
                                <w:b/>
                              </w:rPr>
                            </w:pPr>
                            <w:r w:rsidRPr="006E0B9E">
                              <w:rPr>
                                <w:rFonts w:ascii="Arial" w:hAnsi="Arial" w:cs="Arial"/>
                                <w:b/>
                              </w:rPr>
                              <w:t>National Centre for Vocational Education Research</w:t>
                            </w:r>
                          </w:p>
                          <w:p w:rsidR="004C5209" w:rsidRPr="006E0B9E" w:rsidRDefault="004C5209"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4C5209" w:rsidRPr="006E0B9E" w:rsidRDefault="004C5209"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4C5209" w:rsidRPr="006E0B9E" w:rsidRDefault="004C5209"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7"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48" w:history="1">
                              <w:r w:rsidRPr="006C271D">
                                <w:rPr>
                                  <w:rStyle w:val="Hyperlink"/>
                                  <w:rFonts w:ascii="Arial" w:hAnsi="Arial" w:cs="Arial"/>
                                  <w:sz w:val="16"/>
                                  <w:szCs w:val="16"/>
                                </w:rPr>
                                <w:t>http://www.lsay.edu.au</w:t>
                              </w:r>
                            </w:hyperlink>
                            <w:r w:rsidRPr="006C271D">
                              <w:rPr>
                                <w:rFonts w:ascii="Arial" w:hAnsi="Arial" w:cs="Arial"/>
                                <w:szCs w:val="16"/>
                              </w:rPr>
                              <w:t>&gt;</w:t>
                            </w:r>
                          </w:p>
                          <w:p w:rsidR="004C5209" w:rsidRPr="006E0B9E" w:rsidRDefault="004C5209"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9"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4C5209" w:rsidRPr="009F3844" w:rsidRDefault="004C5209"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53.25pt;margin-top:609.7pt;width:405pt;height:12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" filled="f" stroked="f" strokeweight=".5pt">
                <v:textbox>
                  <w:txbxContent>
                    <w:p w:rsidR="004C5209" w:rsidRPr="006E0B9E" w:rsidRDefault="004C5209" w:rsidP="009F3844">
                      <w:pPr>
                        <w:jc w:val="right"/>
                        <w:rPr>
                          <w:rFonts w:ascii="Arial" w:hAnsi="Arial" w:cs="Arial"/>
                          <w:b/>
                        </w:rPr>
                      </w:pPr>
                      <w:r w:rsidRPr="006E0B9E">
                        <w:rPr>
                          <w:rFonts w:ascii="Arial" w:hAnsi="Arial" w:cs="Arial"/>
                          <w:b/>
                        </w:rPr>
                        <w:t>National Centre for Vocational Education Research</w:t>
                      </w:r>
                    </w:p>
                    <w:p w:rsidR="004C5209" w:rsidRPr="006E0B9E" w:rsidRDefault="004C5209"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4C5209" w:rsidRPr="006E0B9E" w:rsidRDefault="004C5209"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4C5209" w:rsidRPr="006E0B9E" w:rsidRDefault="004C5209"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0"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51" w:history="1">
                        <w:r w:rsidRPr="006C271D">
                          <w:rPr>
                            <w:rStyle w:val="Hyperlink"/>
                            <w:rFonts w:ascii="Arial" w:hAnsi="Arial" w:cs="Arial"/>
                            <w:sz w:val="16"/>
                            <w:szCs w:val="16"/>
                          </w:rPr>
                          <w:t>http://www.lsay.edu.au</w:t>
                        </w:r>
                      </w:hyperlink>
                      <w:r w:rsidRPr="006C271D">
                        <w:rPr>
                          <w:rFonts w:ascii="Arial" w:hAnsi="Arial" w:cs="Arial"/>
                          <w:szCs w:val="16"/>
                        </w:rPr>
                        <w:t>&gt;</w:t>
                      </w:r>
                    </w:p>
                    <w:p w:rsidR="004C5209" w:rsidRPr="006E0B9E" w:rsidRDefault="004C5209"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2"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4C5209" w:rsidRPr="009F3844" w:rsidRDefault="004C5209" w:rsidP="009F3844">
                      <w:pPr>
                        <w:rPr>
                          <w:rFonts w:ascii="Arial" w:hAnsi="Arial" w:cs="Arial"/>
                          <w:sz w:val="16"/>
                          <w:szCs w:val="16"/>
                        </w:rPr>
                      </w:pPr>
                    </w:p>
                  </w:txbxContent>
                </v:textbox>
              </v:shape>
            </w:pict>
          </mc:Fallback>
        </mc:AlternateContent>
      </w:r>
      <w:r w:rsidR="00934499" w:rsidRPr="009F3844">
        <w:rPr>
          <w:noProof/>
          <w:lang w:eastAsia="en-AU"/>
        </w:rPr>
        <w:drawing>
          <wp:anchor distT="0" distB="0" distL="114300" distR="114300" simplePos="0" relativeHeight="252008448" behindDoc="0" locked="0" layoutInCell="1" allowOverlap="1" wp14:anchorId="5E0D2B61" wp14:editId="3A460B85">
            <wp:simplePos x="0" y="0"/>
            <wp:positionH relativeFrom="column">
              <wp:posOffset>-913765</wp:posOffset>
            </wp:positionH>
            <wp:positionV relativeFrom="paragraph">
              <wp:posOffset>9100185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CF0FB6" w:rsidSect="00934499">
      <w:footerReference w:type="even" r:id="rId54"/>
      <w:footerReference w:type="default" r:id="rId55"/>
      <w:type w:val="continuous"/>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209" w:rsidRDefault="004C5209">
      <w:r>
        <w:separator/>
      </w:r>
    </w:p>
  </w:endnote>
  <w:endnote w:type="continuationSeparator" w:id="0">
    <w:p w:rsidR="004C5209" w:rsidRDefault="004C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vantGarde">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KLFD I+ Garamond">
    <w:altName w:val="Garamond"/>
    <w:panose1 w:val="00000000000000000000"/>
    <w:charset w:val="00"/>
    <w:family w:val="roman"/>
    <w:notTrueType/>
    <w:pitch w:val="default"/>
    <w:sig w:usb0="00000003" w:usb1="00000000" w:usb2="00000000" w:usb3="00000000" w:csb0="00000001" w:csb1="00000000"/>
  </w:font>
  <w:font w:name="HPUOYX+GillSans-LightItalic">
    <w:altName w:val="Gill Sans"/>
    <w:panose1 w:val="00000000000000000000"/>
    <w:charset w:val="00"/>
    <w:family w:val="swiss"/>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 w:name="TrebuchetMS">
    <w:altName w:val="Trebuchet 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Default="004C52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Default="004C52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Default="004C52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Pr="007D1D44" w:rsidRDefault="004C5209" w:rsidP="0075281A">
    <w:pPr>
      <w:pStyle w:val="Footer"/>
      <w:tabs>
        <w:tab w:val="clear" w:pos="7655"/>
        <w:tab w:val="right" w:pos="8789"/>
      </w:tabs>
    </w:pPr>
    <w:r w:rsidRPr="0075281A">
      <w:rPr>
        <w:b w:val="0"/>
      </w:rPr>
      <w:fldChar w:fldCharType="begin"/>
    </w:r>
    <w:r w:rsidRPr="0075281A">
      <w:instrText xml:space="preserve"> PAGE </w:instrText>
    </w:r>
    <w:r w:rsidRPr="0075281A">
      <w:rPr>
        <w:b w:val="0"/>
      </w:rPr>
      <w:fldChar w:fldCharType="separate"/>
    </w:r>
    <w:r w:rsidR="001B5584">
      <w:rPr>
        <w:noProof/>
      </w:rPr>
      <w:t>42</w:t>
    </w:r>
    <w:r w:rsidRPr="0075281A">
      <w:rPr>
        <w:b w:val="0"/>
      </w:rPr>
      <w:fldChar w:fldCharType="end"/>
    </w:r>
    <w:r w:rsidRPr="008C0A74">
      <w:rPr>
        <w:color w:val="FFFFFF" w:themeColor="background1"/>
      </w:rPr>
      <w:tab/>
    </w:r>
    <w:r>
      <w:t>L</w:t>
    </w:r>
    <w:r w:rsidRPr="00F12040">
      <w:t>essons from VET providers delivering degrees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Pr="009775C7" w:rsidRDefault="004C5209" w:rsidP="0075281A">
    <w:pPr>
      <w:pStyle w:val="Footer"/>
      <w:tabs>
        <w:tab w:val="clear" w:pos="7655"/>
        <w:tab w:val="right" w:pos="8789"/>
      </w:tabs>
      <w:rPr>
        <w:color w:val="FFFFFF" w:themeColor="background1"/>
      </w:rPr>
    </w:pPr>
    <w:r w:rsidRPr="009775C7">
      <w:t>NCVER</w:t>
    </w:r>
    <w:r w:rsidRPr="009775C7">
      <w:tab/>
    </w:r>
    <w:r w:rsidRPr="0075281A">
      <w:rPr>
        <w:rStyle w:val="PageNumber"/>
        <w:b w:val="0"/>
        <w:sz w:val="17"/>
      </w:rPr>
      <w:fldChar w:fldCharType="begin"/>
    </w:r>
    <w:r w:rsidRPr="0075281A">
      <w:rPr>
        <w:rStyle w:val="PageNumber"/>
        <w:sz w:val="17"/>
      </w:rPr>
      <w:instrText xml:space="preserve"> PAGE </w:instrText>
    </w:r>
    <w:r w:rsidRPr="0075281A">
      <w:rPr>
        <w:rStyle w:val="PageNumber"/>
        <w:b w:val="0"/>
        <w:sz w:val="17"/>
      </w:rPr>
      <w:fldChar w:fldCharType="separate"/>
    </w:r>
    <w:r w:rsidR="001B5584">
      <w:rPr>
        <w:rStyle w:val="PageNumber"/>
        <w:noProof/>
        <w:sz w:val="17"/>
      </w:rPr>
      <w:t>43</w:t>
    </w:r>
    <w:r w:rsidRPr="0075281A">
      <w:rPr>
        <w:rStyle w:val="PageNumber"/>
        <w:b w:val="0"/>
        <w:sz w:val="17"/>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Pr="00934499" w:rsidRDefault="004C5209" w:rsidP="0093449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Pr="009775C7" w:rsidRDefault="004C5209" w:rsidP="0075281A">
    <w:pPr>
      <w:pStyle w:val="Footer"/>
      <w:tabs>
        <w:tab w:val="clear" w:pos="7655"/>
        <w:tab w:val="right" w:pos="8789"/>
      </w:tabs>
      <w:rPr>
        <w:color w:val="FFFFFF" w:themeColor="background1"/>
      </w:rPr>
    </w:pPr>
    <w:r w:rsidRPr="009775C7">
      <w:t>NCVER</w:t>
    </w:r>
    <w:r w:rsidRPr="009775C7">
      <w:tab/>
    </w:r>
    <w:r w:rsidRPr="0075281A">
      <w:rPr>
        <w:rStyle w:val="PageNumber"/>
        <w:b w:val="0"/>
        <w:sz w:val="17"/>
      </w:rPr>
      <w:fldChar w:fldCharType="begin"/>
    </w:r>
    <w:r w:rsidRPr="0075281A">
      <w:rPr>
        <w:rStyle w:val="PageNumber"/>
        <w:sz w:val="17"/>
      </w:rPr>
      <w:instrText xml:space="preserve"> PAGE </w:instrText>
    </w:r>
    <w:r w:rsidRPr="0075281A">
      <w:rPr>
        <w:rStyle w:val="PageNumber"/>
        <w:b w:val="0"/>
        <w:sz w:val="17"/>
      </w:rPr>
      <w:fldChar w:fldCharType="separate"/>
    </w:r>
    <w:r>
      <w:rPr>
        <w:rStyle w:val="PageNumber"/>
        <w:noProof/>
        <w:sz w:val="17"/>
      </w:rPr>
      <w:t>45</w:t>
    </w:r>
    <w:r w:rsidRPr="0075281A">
      <w:rPr>
        <w:rStyle w:val="PageNumber"/>
        <w:b w:val="0"/>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209" w:rsidRDefault="004C5209">
      <w:r>
        <w:separator/>
      </w:r>
    </w:p>
  </w:footnote>
  <w:footnote w:type="continuationSeparator" w:id="0">
    <w:p w:rsidR="004C5209" w:rsidRDefault="004C5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Default="004C52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Default="004C52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9" w:rsidRDefault="004C52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pStyle w:val="A-Dotpt2"/>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DBF5F6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5CEC054A"/>
    <w:multiLevelType w:val="multilevel"/>
    <w:tmpl w:val="62D05A8A"/>
    <w:lvl w:ilvl="0">
      <w:start w:val="1"/>
      <w:numFmt w:val="decimal"/>
      <w:pStyle w:val="ItemL1"/>
      <w:isLgl/>
      <w:suff w:val="space"/>
      <w:lvlText w:val="Item %1"/>
      <w:lvlJc w:val="left"/>
      <w:pPr>
        <w:ind w:left="680" w:hanging="680"/>
      </w:pPr>
      <w:rPr>
        <w:rFonts w:ascii="Arial" w:hAnsi="Arial" w:hint="default"/>
        <w:b w:val="0"/>
        <w:bCs/>
        <w:i w:val="0"/>
        <w:caps w:val="0"/>
        <w:sz w:val="32"/>
        <w:szCs w:val="32"/>
      </w:rPr>
    </w:lvl>
    <w:lvl w:ilvl="1">
      <w:start w:val="1"/>
      <w:numFmt w:val="decimal"/>
      <w:pStyle w:val="MENoIndent6"/>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pStyle w:val="Pop-bulletpt-level2"/>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644E6124"/>
    <w:multiLevelType w:val="multilevel"/>
    <w:tmpl w:val="B8088798"/>
    <w:lvl w:ilvl="0">
      <w:start w:val="1"/>
      <w:numFmt w:val="decimal"/>
      <w:pStyle w:val="MEBasic1"/>
      <w:lvlText w:val="%1."/>
      <w:lvlJc w:val="left"/>
      <w:pPr>
        <w:tabs>
          <w:tab w:val="num" w:pos="822"/>
        </w:tabs>
        <w:ind w:left="822" w:hanging="680"/>
      </w:pPr>
      <w:rPr>
        <w:rFonts w:ascii="Arial Narrow" w:hAnsi="Arial Narrow" w:hint="default"/>
        <w:b w:val="0"/>
        <w:bCs w:val="0"/>
        <w:sz w:val="32"/>
        <w:szCs w:val="32"/>
      </w:rPr>
    </w:lvl>
    <w:lvl w:ilvl="1">
      <w:start w:val="1"/>
      <w:numFmt w:val="decimal"/>
      <w:pStyle w:val="MEBasic2"/>
      <w:lvlText w:val="%1.%2"/>
      <w:lvlJc w:val="left"/>
      <w:pPr>
        <w:tabs>
          <w:tab w:val="num" w:pos="822"/>
        </w:tabs>
        <w:ind w:left="822" w:hanging="680"/>
      </w:pPr>
      <w:rPr>
        <w:rFonts w:hint="default"/>
      </w:rPr>
    </w:lvl>
    <w:lvl w:ilvl="2">
      <w:start w:val="1"/>
      <w:numFmt w:val="lowerLetter"/>
      <w:pStyle w:val="MEBasic3"/>
      <w:lvlText w:val="(%3)"/>
      <w:lvlJc w:val="left"/>
      <w:pPr>
        <w:tabs>
          <w:tab w:val="num" w:pos="1503"/>
        </w:tabs>
        <w:ind w:left="1503" w:hanging="681"/>
      </w:pPr>
      <w:rPr>
        <w:rFonts w:hint="default"/>
      </w:rPr>
    </w:lvl>
    <w:lvl w:ilvl="3">
      <w:start w:val="1"/>
      <w:numFmt w:val="lowerRoman"/>
      <w:pStyle w:val="MEBasic4"/>
      <w:lvlText w:val="(%4)"/>
      <w:lvlJc w:val="left"/>
      <w:pPr>
        <w:tabs>
          <w:tab w:val="num" w:pos="2183"/>
        </w:tabs>
        <w:ind w:left="2183" w:hanging="680"/>
      </w:pPr>
      <w:rPr>
        <w:rFonts w:hint="default"/>
      </w:rPr>
    </w:lvl>
    <w:lvl w:ilvl="4">
      <w:start w:val="1"/>
      <w:numFmt w:val="upperLetter"/>
      <w:pStyle w:val="MEBasic5"/>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17">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EC42FB1"/>
    <w:multiLevelType w:val="hybridMultilevel"/>
    <w:tmpl w:val="5B64732C"/>
    <w:lvl w:ilvl="0" w:tplc="CA188448">
      <w:start w:val="1"/>
      <w:numFmt w:val="bullet"/>
      <w:pStyle w:val="DotPoints"/>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4"/>
  </w:num>
  <w:num w:numId="3">
    <w:abstractNumId w:val="15"/>
  </w:num>
  <w:num w:numId="4">
    <w:abstractNumId w:val="9"/>
  </w:num>
  <w:num w:numId="5">
    <w:abstractNumId w:val="18"/>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1"/>
  </w:num>
  <w:num w:numId="9">
    <w:abstractNumId w:val="12"/>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1201">
      <o:colormru v:ext="edit" colors="#ffc425"/>
      <o:colormenu v:ext="edit" fillcolor="#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620"/>
    <w:rsid w:val="000108B2"/>
    <w:rsid w:val="000138F5"/>
    <w:rsid w:val="00022290"/>
    <w:rsid w:val="0002340E"/>
    <w:rsid w:val="00024BAE"/>
    <w:rsid w:val="000435A6"/>
    <w:rsid w:val="00045E77"/>
    <w:rsid w:val="0004657F"/>
    <w:rsid w:val="000533F9"/>
    <w:rsid w:val="0006125F"/>
    <w:rsid w:val="000656A6"/>
    <w:rsid w:val="00074BD4"/>
    <w:rsid w:val="00083C29"/>
    <w:rsid w:val="000939E6"/>
    <w:rsid w:val="00094819"/>
    <w:rsid w:val="000A1A90"/>
    <w:rsid w:val="000A3CF6"/>
    <w:rsid w:val="000A4472"/>
    <w:rsid w:val="000A6A74"/>
    <w:rsid w:val="000D1083"/>
    <w:rsid w:val="000D439B"/>
    <w:rsid w:val="000D675B"/>
    <w:rsid w:val="000D7EF9"/>
    <w:rsid w:val="000E097E"/>
    <w:rsid w:val="000F5C33"/>
    <w:rsid w:val="0010761A"/>
    <w:rsid w:val="00113805"/>
    <w:rsid w:val="001209BE"/>
    <w:rsid w:val="00121DCF"/>
    <w:rsid w:val="00123B5C"/>
    <w:rsid w:val="00124E32"/>
    <w:rsid w:val="00131C09"/>
    <w:rsid w:val="00134DF5"/>
    <w:rsid w:val="00135C75"/>
    <w:rsid w:val="001450E8"/>
    <w:rsid w:val="001467E4"/>
    <w:rsid w:val="00150874"/>
    <w:rsid w:val="001509F3"/>
    <w:rsid w:val="00151ED1"/>
    <w:rsid w:val="001647B6"/>
    <w:rsid w:val="00187BF6"/>
    <w:rsid w:val="001934C2"/>
    <w:rsid w:val="00195AFE"/>
    <w:rsid w:val="001A2296"/>
    <w:rsid w:val="001A2DFE"/>
    <w:rsid w:val="001B43CF"/>
    <w:rsid w:val="001B5584"/>
    <w:rsid w:val="001C004A"/>
    <w:rsid w:val="001E7E4A"/>
    <w:rsid w:val="001F3740"/>
    <w:rsid w:val="001F7D84"/>
    <w:rsid w:val="00211950"/>
    <w:rsid w:val="00214ED0"/>
    <w:rsid w:val="00220A0A"/>
    <w:rsid w:val="002277A9"/>
    <w:rsid w:val="00233BFA"/>
    <w:rsid w:val="0024319E"/>
    <w:rsid w:val="00251024"/>
    <w:rsid w:val="0026405A"/>
    <w:rsid w:val="00267FE2"/>
    <w:rsid w:val="00271267"/>
    <w:rsid w:val="0028464B"/>
    <w:rsid w:val="00284FCB"/>
    <w:rsid w:val="002936E4"/>
    <w:rsid w:val="002947D3"/>
    <w:rsid w:val="002A3E62"/>
    <w:rsid w:val="002C61C4"/>
    <w:rsid w:val="002C630F"/>
    <w:rsid w:val="002C766F"/>
    <w:rsid w:val="002D61F7"/>
    <w:rsid w:val="002E196B"/>
    <w:rsid w:val="002E61A4"/>
    <w:rsid w:val="002E7E18"/>
    <w:rsid w:val="002F4CC4"/>
    <w:rsid w:val="003028F7"/>
    <w:rsid w:val="00323C21"/>
    <w:rsid w:val="00324917"/>
    <w:rsid w:val="0033376E"/>
    <w:rsid w:val="003356D7"/>
    <w:rsid w:val="003364D3"/>
    <w:rsid w:val="00343A0F"/>
    <w:rsid w:val="00344228"/>
    <w:rsid w:val="00360FAD"/>
    <w:rsid w:val="0036101C"/>
    <w:rsid w:val="00361622"/>
    <w:rsid w:val="00362BF2"/>
    <w:rsid w:val="00366E4E"/>
    <w:rsid w:val="0039263D"/>
    <w:rsid w:val="00395440"/>
    <w:rsid w:val="00395447"/>
    <w:rsid w:val="003B0363"/>
    <w:rsid w:val="003B16DA"/>
    <w:rsid w:val="003B3252"/>
    <w:rsid w:val="003B483E"/>
    <w:rsid w:val="003D14BA"/>
    <w:rsid w:val="003D4B3E"/>
    <w:rsid w:val="003E67CB"/>
    <w:rsid w:val="003F5B20"/>
    <w:rsid w:val="00406BB7"/>
    <w:rsid w:val="004070C3"/>
    <w:rsid w:val="00427DB6"/>
    <w:rsid w:val="00430892"/>
    <w:rsid w:val="00432394"/>
    <w:rsid w:val="00432F30"/>
    <w:rsid w:val="00446BEA"/>
    <w:rsid w:val="00450AD2"/>
    <w:rsid w:val="00452372"/>
    <w:rsid w:val="00456222"/>
    <w:rsid w:val="00467AAB"/>
    <w:rsid w:val="0047224C"/>
    <w:rsid w:val="0049204C"/>
    <w:rsid w:val="004A2720"/>
    <w:rsid w:val="004B031A"/>
    <w:rsid w:val="004B190D"/>
    <w:rsid w:val="004B5E86"/>
    <w:rsid w:val="004C5209"/>
    <w:rsid w:val="004C630C"/>
    <w:rsid w:val="004E1A1B"/>
    <w:rsid w:val="004E4D5E"/>
    <w:rsid w:val="004E5AC1"/>
    <w:rsid w:val="004E6BBD"/>
    <w:rsid w:val="004E7227"/>
    <w:rsid w:val="004E7D51"/>
    <w:rsid w:val="004F063C"/>
    <w:rsid w:val="004F0B76"/>
    <w:rsid w:val="004F14FF"/>
    <w:rsid w:val="004F66CE"/>
    <w:rsid w:val="00513938"/>
    <w:rsid w:val="0052276C"/>
    <w:rsid w:val="005274D6"/>
    <w:rsid w:val="00535F5A"/>
    <w:rsid w:val="005378DA"/>
    <w:rsid w:val="00543BFF"/>
    <w:rsid w:val="00556CDB"/>
    <w:rsid w:val="005674AD"/>
    <w:rsid w:val="00570758"/>
    <w:rsid w:val="00581F49"/>
    <w:rsid w:val="00590B22"/>
    <w:rsid w:val="00591D38"/>
    <w:rsid w:val="00591E2A"/>
    <w:rsid w:val="005935DF"/>
    <w:rsid w:val="005955B2"/>
    <w:rsid w:val="005B05A6"/>
    <w:rsid w:val="005B0748"/>
    <w:rsid w:val="005B5647"/>
    <w:rsid w:val="005C277E"/>
    <w:rsid w:val="005C2A62"/>
    <w:rsid w:val="005C50F8"/>
    <w:rsid w:val="005D491C"/>
    <w:rsid w:val="005D63CE"/>
    <w:rsid w:val="005E46E9"/>
    <w:rsid w:val="005E4764"/>
    <w:rsid w:val="00606061"/>
    <w:rsid w:val="00606763"/>
    <w:rsid w:val="00610B4F"/>
    <w:rsid w:val="006203DE"/>
    <w:rsid w:val="00621FAA"/>
    <w:rsid w:val="00624F96"/>
    <w:rsid w:val="00626B30"/>
    <w:rsid w:val="006447AB"/>
    <w:rsid w:val="00644BD0"/>
    <w:rsid w:val="006475E3"/>
    <w:rsid w:val="00652973"/>
    <w:rsid w:val="006564B7"/>
    <w:rsid w:val="0065668B"/>
    <w:rsid w:val="00662513"/>
    <w:rsid w:val="0067712D"/>
    <w:rsid w:val="00690558"/>
    <w:rsid w:val="00696A48"/>
    <w:rsid w:val="006A1C8A"/>
    <w:rsid w:val="006A679B"/>
    <w:rsid w:val="006A68AE"/>
    <w:rsid w:val="006A6EEA"/>
    <w:rsid w:val="006B044C"/>
    <w:rsid w:val="006B0B10"/>
    <w:rsid w:val="006B282D"/>
    <w:rsid w:val="006B5DC6"/>
    <w:rsid w:val="006C271D"/>
    <w:rsid w:val="006C3104"/>
    <w:rsid w:val="006C5DA9"/>
    <w:rsid w:val="006D2EFC"/>
    <w:rsid w:val="006D421E"/>
    <w:rsid w:val="006D546E"/>
    <w:rsid w:val="006E0926"/>
    <w:rsid w:val="006F7837"/>
    <w:rsid w:val="00702446"/>
    <w:rsid w:val="00702C20"/>
    <w:rsid w:val="007037A4"/>
    <w:rsid w:val="00703C5F"/>
    <w:rsid w:val="00704F86"/>
    <w:rsid w:val="0071247D"/>
    <w:rsid w:val="00731EC8"/>
    <w:rsid w:val="007412E2"/>
    <w:rsid w:val="0075281A"/>
    <w:rsid w:val="00760BFC"/>
    <w:rsid w:val="0077379D"/>
    <w:rsid w:val="007740C3"/>
    <w:rsid w:val="00774214"/>
    <w:rsid w:val="00775BBD"/>
    <w:rsid w:val="0078371C"/>
    <w:rsid w:val="00783F44"/>
    <w:rsid w:val="00784ADF"/>
    <w:rsid w:val="007B65C2"/>
    <w:rsid w:val="007C2B88"/>
    <w:rsid w:val="007C50A7"/>
    <w:rsid w:val="007C667B"/>
    <w:rsid w:val="007D67EE"/>
    <w:rsid w:val="00806C1C"/>
    <w:rsid w:val="00807698"/>
    <w:rsid w:val="00807913"/>
    <w:rsid w:val="00810793"/>
    <w:rsid w:val="00814689"/>
    <w:rsid w:val="00826757"/>
    <w:rsid w:val="00833C04"/>
    <w:rsid w:val="0084119E"/>
    <w:rsid w:val="008465B9"/>
    <w:rsid w:val="00853CC2"/>
    <w:rsid w:val="00862088"/>
    <w:rsid w:val="008906D7"/>
    <w:rsid w:val="008B3151"/>
    <w:rsid w:val="008C0A74"/>
    <w:rsid w:val="008C3889"/>
    <w:rsid w:val="008E34D0"/>
    <w:rsid w:val="008F20BA"/>
    <w:rsid w:val="008F2532"/>
    <w:rsid w:val="008F5023"/>
    <w:rsid w:val="008F6B7E"/>
    <w:rsid w:val="00901D16"/>
    <w:rsid w:val="00905057"/>
    <w:rsid w:val="009058B5"/>
    <w:rsid w:val="00906F99"/>
    <w:rsid w:val="00914715"/>
    <w:rsid w:val="00923241"/>
    <w:rsid w:val="009322C7"/>
    <w:rsid w:val="00933317"/>
    <w:rsid w:val="00934499"/>
    <w:rsid w:val="009346F4"/>
    <w:rsid w:val="00940924"/>
    <w:rsid w:val="00952F16"/>
    <w:rsid w:val="009538E6"/>
    <w:rsid w:val="00957BAC"/>
    <w:rsid w:val="00960673"/>
    <w:rsid w:val="00966E30"/>
    <w:rsid w:val="009704E4"/>
    <w:rsid w:val="00970694"/>
    <w:rsid w:val="00977032"/>
    <w:rsid w:val="009775C7"/>
    <w:rsid w:val="00983756"/>
    <w:rsid w:val="00985D65"/>
    <w:rsid w:val="0099311F"/>
    <w:rsid w:val="009A0289"/>
    <w:rsid w:val="009A5E17"/>
    <w:rsid w:val="009C22BE"/>
    <w:rsid w:val="009C388D"/>
    <w:rsid w:val="009D28A7"/>
    <w:rsid w:val="009E231A"/>
    <w:rsid w:val="009E2F64"/>
    <w:rsid w:val="009F3844"/>
    <w:rsid w:val="00A0109A"/>
    <w:rsid w:val="00A06F2C"/>
    <w:rsid w:val="00A071F8"/>
    <w:rsid w:val="00A10E2B"/>
    <w:rsid w:val="00A13173"/>
    <w:rsid w:val="00A14D4F"/>
    <w:rsid w:val="00A16557"/>
    <w:rsid w:val="00A17B12"/>
    <w:rsid w:val="00A2676C"/>
    <w:rsid w:val="00A30084"/>
    <w:rsid w:val="00A35232"/>
    <w:rsid w:val="00A41B4A"/>
    <w:rsid w:val="00A503CC"/>
    <w:rsid w:val="00A50895"/>
    <w:rsid w:val="00A65479"/>
    <w:rsid w:val="00A73318"/>
    <w:rsid w:val="00A83136"/>
    <w:rsid w:val="00A93A9F"/>
    <w:rsid w:val="00AA44D4"/>
    <w:rsid w:val="00AA5949"/>
    <w:rsid w:val="00AA64F3"/>
    <w:rsid w:val="00AB11C3"/>
    <w:rsid w:val="00AB2499"/>
    <w:rsid w:val="00AB27E1"/>
    <w:rsid w:val="00AC142C"/>
    <w:rsid w:val="00AC38DC"/>
    <w:rsid w:val="00AC4AC7"/>
    <w:rsid w:val="00AC5497"/>
    <w:rsid w:val="00AC79A9"/>
    <w:rsid w:val="00AD1238"/>
    <w:rsid w:val="00AD17F8"/>
    <w:rsid w:val="00AD4D89"/>
    <w:rsid w:val="00AD53B0"/>
    <w:rsid w:val="00AF1005"/>
    <w:rsid w:val="00AF1824"/>
    <w:rsid w:val="00AF5CBC"/>
    <w:rsid w:val="00AF6116"/>
    <w:rsid w:val="00B17FE8"/>
    <w:rsid w:val="00B27020"/>
    <w:rsid w:val="00B33C76"/>
    <w:rsid w:val="00B346B2"/>
    <w:rsid w:val="00B41272"/>
    <w:rsid w:val="00B44CDA"/>
    <w:rsid w:val="00B71237"/>
    <w:rsid w:val="00B71261"/>
    <w:rsid w:val="00B71EA4"/>
    <w:rsid w:val="00B72DC9"/>
    <w:rsid w:val="00B85CAC"/>
    <w:rsid w:val="00B86D06"/>
    <w:rsid w:val="00B90179"/>
    <w:rsid w:val="00BA6F9E"/>
    <w:rsid w:val="00BB4AFE"/>
    <w:rsid w:val="00BB5088"/>
    <w:rsid w:val="00BB6B2D"/>
    <w:rsid w:val="00BB738F"/>
    <w:rsid w:val="00BD4C1C"/>
    <w:rsid w:val="00BD5FB1"/>
    <w:rsid w:val="00BD7320"/>
    <w:rsid w:val="00BE3528"/>
    <w:rsid w:val="00BE5A71"/>
    <w:rsid w:val="00BF12B1"/>
    <w:rsid w:val="00BF690E"/>
    <w:rsid w:val="00C053D5"/>
    <w:rsid w:val="00C16AE6"/>
    <w:rsid w:val="00C26E8A"/>
    <w:rsid w:val="00C40215"/>
    <w:rsid w:val="00C423B3"/>
    <w:rsid w:val="00C5220C"/>
    <w:rsid w:val="00C54125"/>
    <w:rsid w:val="00C56620"/>
    <w:rsid w:val="00C63294"/>
    <w:rsid w:val="00C668CB"/>
    <w:rsid w:val="00C77DC6"/>
    <w:rsid w:val="00C83D73"/>
    <w:rsid w:val="00C926F0"/>
    <w:rsid w:val="00C9777B"/>
    <w:rsid w:val="00CA655D"/>
    <w:rsid w:val="00CA6A33"/>
    <w:rsid w:val="00CB1B79"/>
    <w:rsid w:val="00CB3780"/>
    <w:rsid w:val="00CC377B"/>
    <w:rsid w:val="00CC69A6"/>
    <w:rsid w:val="00CD5F32"/>
    <w:rsid w:val="00CD6FC9"/>
    <w:rsid w:val="00CE4291"/>
    <w:rsid w:val="00CF0FB6"/>
    <w:rsid w:val="00CF4409"/>
    <w:rsid w:val="00D026AC"/>
    <w:rsid w:val="00D056F3"/>
    <w:rsid w:val="00D107AE"/>
    <w:rsid w:val="00D145E3"/>
    <w:rsid w:val="00D20C0B"/>
    <w:rsid w:val="00D23988"/>
    <w:rsid w:val="00D366BC"/>
    <w:rsid w:val="00D3765B"/>
    <w:rsid w:val="00D37F97"/>
    <w:rsid w:val="00D44F06"/>
    <w:rsid w:val="00D503F4"/>
    <w:rsid w:val="00D54880"/>
    <w:rsid w:val="00D5690B"/>
    <w:rsid w:val="00D60127"/>
    <w:rsid w:val="00D66D9A"/>
    <w:rsid w:val="00D67BD6"/>
    <w:rsid w:val="00D8716A"/>
    <w:rsid w:val="00D908F2"/>
    <w:rsid w:val="00D96E35"/>
    <w:rsid w:val="00DA56E7"/>
    <w:rsid w:val="00DA7192"/>
    <w:rsid w:val="00DA7709"/>
    <w:rsid w:val="00DB0D48"/>
    <w:rsid w:val="00DB599C"/>
    <w:rsid w:val="00DB6660"/>
    <w:rsid w:val="00DC5F5C"/>
    <w:rsid w:val="00DD1414"/>
    <w:rsid w:val="00DD69EE"/>
    <w:rsid w:val="00DF2B88"/>
    <w:rsid w:val="00DF4FB2"/>
    <w:rsid w:val="00E005F3"/>
    <w:rsid w:val="00E06B95"/>
    <w:rsid w:val="00E123CB"/>
    <w:rsid w:val="00E16B3E"/>
    <w:rsid w:val="00E2334E"/>
    <w:rsid w:val="00E277C8"/>
    <w:rsid w:val="00E333AC"/>
    <w:rsid w:val="00E36563"/>
    <w:rsid w:val="00E365F8"/>
    <w:rsid w:val="00E40501"/>
    <w:rsid w:val="00E41DB5"/>
    <w:rsid w:val="00E44A23"/>
    <w:rsid w:val="00E45672"/>
    <w:rsid w:val="00E4621D"/>
    <w:rsid w:val="00E52313"/>
    <w:rsid w:val="00E55837"/>
    <w:rsid w:val="00E56EC1"/>
    <w:rsid w:val="00E57675"/>
    <w:rsid w:val="00E602C7"/>
    <w:rsid w:val="00E6294E"/>
    <w:rsid w:val="00E65564"/>
    <w:rsid w:val="00E70019"/>
    <w:rsid w:val="00E7412B"/>
    <w:rsid w:val="00E811C3"/>
    <w:rsid w:val="00E81A91"/>
    <w:rsid w:val="00E906C7"/>
    <w:rsid w:val="00E9290B"/>
    <w:rsid w:val="00E95948"/>
    <w:rsid w:val="00EA2ED8"/>
    <w:rsid w:val="00EB0AD7"/>
    <w:rsid w:val="00EB3190"/>
    <w:rsid w:val="00EC4FB3"/>
    <w:rsid w:val="00ED01AC"/>
    <w:rsid w:val="00EE3B69"/>
    <w:rsid w:val="00EE42D9"/>
    <w:rsid w:val="00F010FB"/>
    <w:rsid w:val="00F0565E"/>
    <w:rsid w:val="00F05F22"/>
    <w:rsid w:val="00F12DFE"/>
    <w:rsid w:val="00F22156"/>
    <w:rsid w:val="00F33784"/>
    <w:rsid w:val="00F430AF"/>
    <w:rsid w:val="00F54763"/>
    <w:rsid w:val="00F62331"/>
    <w:rsid w:val="00F6742E"/>
    <w:rsid w:val="00F71DEF"/>
    <w:rsid w:val="00F7424D"/>
    <w:rsid w:val="00F80D2D"/>
    <w:rsid w:val="00F8525F"/>
    <w:rsid w:val="00F87ABF"/>
    <w:rsid w:val="00F9187F"/>
    <w:rsid w:val="00F94A89"/>
    <w:rsid w:val="00FA34C9"/>
    <w:rsid w:val="00FA37FC"/>
    <w:rsid w:val="00FA79F7"/>
    <w:rsid w:val="00FB5304"/>
    <w:rsid w:val="00FB5BA4"/>
    <w:rsid w:val="00FB68B6"/>
    <w:rsid w:val="00FD2A35"/>
    <w:rsid w:val="00FD542B"/>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colormru v:ext="edit" colors="#ffc425"/>
      <o:colormenu v:ext="edit" fillcolor="#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324917"/>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361622"/>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361622"/>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9"/>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1"/>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6D546E"/>
    <w:pPr>
      <w:ind w:left="720"/>
      <w:contextualSpacing/>
    </w:pPr>
  </w:style>
  <w:style w:type="character" w:styleId="PlaceholderText">
    <w:name w:val="Placeholder Text"/>
    <w:basedOn w:val="DefaultParagraphFont"/>
    <w:uiPriority w:val="99"/>
    <w:semiHidden/>
    <w:rsid w:val="00C5220C"/>
    <w:rPr>
      <w:color w:val="808080"/>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591D38"/>
    <w:pPr>
      <w:spacing w:after="360"/>
    </w:pPr>
    <w:rPr>
      <w:rFonts w:ascii="Arial" w:hAnsi="Arial" w:cs="Arial"/>
      <w:color w:val="000000"/>
      <w:kern w:val="28"/>
      <w:sz w:val="48"/>
      <w:szCs w:val="48"/>
      <w:lang w:val="en-AU"/>
    </w:rPr>
  </w:style>
  <w:style w:type="paragraph" w:customStyle="1" w:styleId="Abouttheresearchpubtitle">
    <w:name w:val="About the research pub title"/>
    <w:qFormat/>
    <w:rsid w:val="00361622"/>
    <w:pPr>
      <w:spacing w:before="360"/>
    </w:pPr>
    <w:rPr>
      <w:rFonts w:ascii="Arial" w:hAnsi="Arial" w:cs="Tahoma"/>
      <w:i/>
      <w:sz w:val="28"/>
      <w:lang w:val="en-AU"/>
    </w:rPr>
  </w:style>
  <w:style w:type="paragraph" w:customStyle="1" w:styleId="Abouttheresearch">
    <w:name w:val="About the research"/>
    <w:uiPriority w:val="1"/>
    <w:qFormat/>
    <w:rsid w:val="00361622"/>
    <w:rPr>
      <w:rFonts w:ascii="Arial" w:hAnsi="Arial" w:cs="Tahoma"/>
      <w:color w:val="000000"/>
      <w:kern w:val="28"/>
      <w:sz w:val="56"/>
      <w:szCs w:val="56"/>
      <w:lang w:val="en-AU"/>
    </w:rPr>
  </w:style>
  <w:style w:type="paragraph" w:customStyle="1" w:styleId="Keymessages">
    <w:name w:val="Key messages"/>
    <w:uiPriority w:val="1"/>
    <w:qFormat/>
    <w:rsid w:val="00361622"/>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Normal"/>
    <w:rsid w:val="00833C04"/>
    <w:pPr>
      <w:pBdr>
        <w:bottom w:val="single" w:sz="4" w:space="1" w:color="auto"/>
      </w:pBdr>
      <w:autoSpaceDE w:val="0"/>
      <w:autoSpaceDN w:val="0"/>
      <w:spacing w:before="200" w:after="360" w:line="240" w:lineRule="auto"/>
      <w:jc w:val="right"/>
    </w:pPr>
    <w:rPr>
      <w:rFonts w:ascii="Garamond" w:hAnsi="Garamond" w:cs="AvantGarde"/>
      <w:sz w:val="64"/>
      <w:szCs w:val="72"/>
      <w:lang w:val="en-US" w:eastAsia="en-AU"/>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3"/>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4"/>
      </w:numPr>
      <w:spacing w:before="0" w:line="240" w:lineRule="auto"/>
    </w:pPr>
    <w:rPr>
      <w:rFonts w:ascii="Times New Roman" w:hAnsi="Times New Roman"/>
      <w:sz w:val="2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99"/>
    <w:rsid w:val="00251024"/>
    <w:rPr>
      <w:sz w:val="22"/>
      <w:lang w:val="en-AU" w:eastAsia="en-AU"/>
    </w:rPr>
  </w:style>
  <w:style w:type="paragraph" w:customStyle="1" w:styleId="DotPoints">
    <w:name w:val="DotPoints"/>
    <w:basedOn w:val="Normal"/>
    <w:rsid w:val="00251024"/>
    <w:pPr>
      <w:numPr>
        <w:numId w:val="5"/>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character" w:styleId="FootnoteReference">
    <w:name w:val="footnote reference"/>
    <w:basedOn w:val="DefaultParagraphFont"/>
    <w:uiPriority w:val="99"/>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uiPriority w:val="99"/>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uiPriority w:val="99"/>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7"/>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7"/>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7"/>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7"/>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7"/>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6"/>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6"/>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251024"/>
    <w:pPr>
      <w:numPr>
        <w:numId w:val="8"/>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styleId="BodyText">
    <w:name w:val="Body Text"/>
    <w:basedOn w:val="Normal"/>
    <w:link w:val="BodyTextChar"/>
    <w:rsid w:val="00606061"/>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606061"/>
    <w:rPr>
      <w:b/>
      <w:lang w:eastAsia="ko-KR"/>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paragraph" w:customStyle="1" w:styleId="EndNoteBibliographyTitle">
    <w:name w:val="EndNote Bibliography Title"/>
    <w:basedOn w:val="Normal"/>
    <w:rsid w:val="00606061"/>
    <w:pPr>
      <w:jc w:val="center"/>
    </w:pPr>
    <w:rPr>
      <w:sz w:val="18"/>
      <w:lang w:val="en-US"/>
    </w:rPr>
  </w:style>
  <w:style w:type="paragraph" w:customStyle="1" w:styleId="EndNoteBibliography">
    <w:name w:val="EndNote Bibliography"/>
    <w:basedOn w:val="Normal"/>
    <w:rsid w:val="00606061"/>
    <w:pPr>
      <w:spacing w:line="240" w:lineRule="exact"/>
    </w:pPr>
    <w:rPr>
      <w:sz w:val="18"/>
      <w:lang w:val="en-US"/>
    </w:rPr>
  </w:style>
  <w:style w:type="character" w:styleId="CommentReference">
    <w:name w:val="annotation reference"/>
    <w:basedOn w:val="DefaultParagraphFont"/>
    <w:uiPriority w:val="99"/>
    <w:semiHidden/>
    <w:rsid w:val="00606061"/>
    <w:rPr>
      <w:sz w:val="18"/>
      <w:szCs w:val="18"/>
    </w:rPr>
  </w:style>
  <w:style w:type="paragraph" w:styleId="Caption">
    <w:name w:val="caption"/>
    <w:basedOn w:val="Normal"/>
    <w:next w:val="Normal"/>
    <w:uiPriority w:val="35"/>
    <w:qFormat/>
    <w:rsid w:val="00606061"/>
    <w:pPr>
      <w:spacing w:before="0" w:after="200" w:line="240" w:lineRule="auto"/>
    </w:pPr>
    <w:rPr>
      <w:b/>
      <w:bCs/>
      <w:color w:val="4F81BD" w:themeColor="accent1"/>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BodyText"/>
    <w:link w:val="BodyTextFirstIndentChar"/>
    <w:uiPriority w:val="99"/>
    <w:semiHidden/>
    <w:rsid w:val="00A83136"/>
    <w:pPr>
      <w:spacing w:before="160" w:line="260" w:lineRule="exact"/>
      <w:ind w:firstLine="360"/>
    </w:pPr>
    <w:rPr>
      <w:rFonts w:ascii="Trebuchet MS" w:hAnsi="Trebuchet MS"/>
      <w:b w:val="0"/>
      <w:sz w:val="19"/>
      <w:lang w:val="en-AU" w:eastAsia="en-US"/>
    </w:rPr>
  </w:style>
  <w:style w:type="character" w:customStyle="1" w:styleId="BodyTextFirstIndentChar">
    <w:name w:val="Body Text First Indent Char"/>
    <w:basedOn w:val="BodyTextChar"/>
    <w:link w:val="BodyTextFirstIndent"/>
    <w:uiPriority w:val="99"/>
    <w:semiHidden/>
    <w:rsid w:val="00A83136"/>
    <w:rPr>
      <w:rFonts w:ascii="Trebuchet MS" w:hAnsi="Trebuchet MS"/>
      <w:b w:val="0"/>
      <w:sz w:val="19"/>
      <w:lang w:val="en-AU" w:eastAsia="ko-KR"/>
    </w:rPr>
  </w:style>
  <w:style w:type="paragraph" w:styleId="BodyTextFirstIndent2">
    <w:name w:val="Body Text First Indent 2"/>
    <w:basedOn w:val="BodyTextIndent"/>
    <w:link w:val="BodyTextFirstIndent2Char"/>
    <w:uiPriority w:val="99"/>
    <w:semiHidden/>
    <w:rsid w:val="00A83136"/>
    <w:pPr>
      <w:spacing w:before="160" w:after="0" w:line="260" w:lineRule="exact"/>
      <w:ind w:left="360" w:firstLine="360"/>
    </w:pPr>
    <w:rPr>
      <w:rFonts w:ascii="Trebuchet MS" w:hAnsi="Trebuchet MS"/>
      <w:sz w:val="19"/>
      <w:lang w:eastAsia="en-US"/>
    </w:rPr>
  </w:style>
  <w:style w:type="character" w:customStyle="1" w:styleId="BodyTextFirstIndent2Char">
    <w:name w:val="Body Text First Indent 2 Char"/>
    <w:basedOn w:val="BodyTextIndentChar"/>
    <w:link w:val="BodyTextFirstIndent2"/>
    <w:uiPriority w:val="99"/>
    <w:semiHidden/>
    <w:rsid w:val="00A8313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0"/>
      </w:numPr>
      <w:contextualSpacing/>
    </w:pPr>
  </w:style>
  <w:style w:type="paragraph" w:styleId="ListBullet3">
    <w:name w:val="List Bullet 3"/>
    <w:basedOn w:val="Normal"/>
    <w:uiPriority w:val="99"/>
    <w:semiHidden/>
    <w:rsid w:val="00A83136"/>
    <w:pPr>
      <w:numPr>
        <w:numId w:val="11"/>
      </w:numPr>
      <w:contextualSpacing/>
    </w:pPr>
  </w:style>
  <w:style w:type="paragraph" w:styleId="ListBullet4">
    <w:name w:val="List Bullet 4"/>
    <w:basedOn w:val="Normal"/>
    <w:uiPriority w:val="99"/>
    <w:semiHidden/>
    <w:rsid w:val="00A83136"/>
    <w:pPr>
      <w:numPr>
        <w:numId w:val="12"/>
      </w:numPr>
      <w:contextualSpacing/>
    </w:pPr>
  </w:style>
  <w:style w:type="paragraph" w:styleId="ListBullet5">
    <w:name w:val="List Bullet 5"/>
    <w:basedOn w:val="Normal"/>
    <w:uiPriority w:val="99"/>
    <w:semiHidden/>
    <w:rsid w:val="00A83136"/>
    <w:pPr>
      <w:numPr>
        <w:numId w:val="13"/>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4"/>
      </w:numPr>
      <w:contextualSpacing/>
    </w:pPr>
  </w:style>
  <w:style w:type="paragraph" w:styleId="ListNumber2">
    <w:name w:val="List Number 2"/>
    <w:basedOn w:val="Normal"/>
    <w:uiPriority w:val="99"/>
    <w:semiHidden/>
    <w:rsid w:val="00A83136"/>
    <w:pPr>
      <w:numPr>
        <w:numId w:val="15"/>
      </w:numPr>
      <w:contextualSpacing/>
    </w:pPr>
  </w:style>
  <w:style w:type="paragraph" w:styleId="ListNumber3">
    <w:name w:val="List Number 3"/>
    <w:basedOn w:val="Normal"/>
    <w:uiPriority w:val="99"/>
    <w:semiHidden/>
    <w:rsid w:val="00A83136"/>
    <w:pPr>
      <w:numPr>
        <w:numId w:val="16"/>
      </w:numPr>
      <w:contextualSpacing/>
    </w:pPr>
  </w:style>
  <w:style w:type="paragraph" w:styleId="ListNumber4">
    <w:name w:val="List Number 4"/>
    <w:basedOn w:val="Normal"/>
    <w:uiPriority w:val="99"/>
    <w:semiHidden/>
    <w:rsid w:val="00A83136"/>
    <w:pPr>
      <w:numPr>
        <w:numId w:val="17"/>
      </w:numPr>
      <w:contextualSpacing/>
    </w:pPr>
  </w:style>
  <w:style w:type="paragraph" w:styleId="ListNumber5">
    <w:name w:val="List Number 5"/>
    <w:basedOn w:val="Normal"/>
    <w:uiPriority w:val="99"/>
    <w:semiHidden/>
    <w:rsid w:val="00A83136"/>
    <w:pPr>
      <w:numPr>
        <w:numId w:val="18"/>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character" w:customStyle="1" w:styleId="Heading2Char">
    <w:name w:val="Heading 2 Char"/>
    <w:basedOn w:val="DefaultParagraphFont"/>
    <w:link w:val="Heading2"/>
    <w:rsid w:val="0075281A"/>
    <w:rPr>
      <w:rFonts w:ascii="Arial" w:hAnsi="Arial" w:cs="Tahoma"/>
      <w:sz w:val="28"/>
      <w:lang w:val="en-AU"/>
    </w:rPr>
  </w:style>
  <w:style w:type="character" w:customStyle="1" w:styleId="st1">
    <w:name w:val="st1"/>
    <w:basedOn w:val="DefaultParagraphFont"/>
    <w:rsid w:val="0075281A"/>
  </w:style>
  <w:style w:type="character" w:customStyle="1" w:styleId="Heading1Char">
    <w:name w:val="Heading 1 Char"/>
    <w:basedOn w:val="DefaultParagraphFont"/>
    <w:link w:val="Heading1"/>
    <w:rsid w:val="0075281A"/>
    <w:rPr>
      <w:rFonts w:ascii="Arial" w:hAnsi="Arial" w:cs="Tahoma"/>
      <w:color w:val="000000"/>
      <w:kern w:val="28"/>
      <w:sz w:val="48"/>
      <w:szCs w:val="56"/>
      <w:lang w:val="en-AU"/>
    </w:rPr>
  </w:style>
  <w:style w:type="character" w:customStyle="1" w:styleId="A4">
    <w:name w:val="A4"/>
    <w:uiPriority w:val="99"/>
    <w:rsid w:val="0075281A"/>
    <w:rPr>
      <w:rFonts w:cs="ITC Franklin Gothic Book"/>
      <w:color w:val="000000"/>
      <w:sz w:val="16"/>
      <w:szCs w:val="16"/>
    </w:rPr>
  </w:style>
  <w:style w:type="paragraph" w:customStyle="1" w:styleId="Textlessbefore">
    <w:name w:val="Text less # before"/>
    <w:basedOn w:val="Text"/>
    <w:uiPriority w:val="1"/>
    <w:qFormat/>
    <w:rsid w:val="0075281A"/>
    <w:pPr>
      <w:spacing w:before="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324917"/>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361622"/>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361622"/>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9"/>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1"/>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6D546E"/>
    <w:pPr>
      <w:ind w:left="720"/>
      <w:contextualSpacing/>
    </w:pPr>
  </w:style>
  <w:style w:type="character" w:styleId="PlaceholderText">
    <w:name w:val="Placeholder Text"/>
    <w:basedOn w:val="DefaultParagraphFont"/>
    <w:uiPriority w:val="99"/>
    <w:semiHidden/>
    <w:rsid w:val="00C5220C"/>
    <w:rPr>
      <w:color w:val="808080"/>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591D38"/>
    <w:pPr>
      <w:spacing w:after="360"/>
    </w:pPr>
    <w:rPr>
      <w:rFonts w:ascii="Arial" w:hAnsi="Arial" w:cs="Arial"/>
      <w:color w:val="000000"/>
      <w:kern w:val="28"/>
      <w:sz w:val="48"/>
      <w:szCs w:val="48"/>
      <w:lang w:val="en-AU"/>
    </w:rPr>
  </w:style>
  <w:style w:type="paragraph" w:customStyle="1" w:styleId="Abouttheresearchpubtitle">
    <w:name w:val="About the research pub title"/>
    <w:qFormat/>
    <w:rsid w:val="00361622"/>
    <w:pPr>
      <w:spacing w:before="360"/>
    </w:pPr>
    <w:rPr>
      <w:rFonts w:ascii="Arial" w:hAnsi="Arial" w:cs="Tahoma"/>
      <w:i/>
      <w:sz w:val="28"/>
      <w:lang w:val="en-AU"/>
    </w:rPr>
  </w:style>
  <w:style w:type="paragraph" w:customStyle="1" w:styleId="Abouttheresearch">
    <w:name w:val="About the research"/>
    <w:uiPriority w:val="1"/>
    <w:qFormat/>
    <w:rsid w:val="00361622"/>
    <w:rPr>
      <w:rFonts w:ascii="Arial" w:hAnsi="Arial" w:cs="Tahoma"/>
      <w:color w:val="000000"/>
      <w:kern w:val="28"/>
      <w:sz w:val="56"/>
      <w:szCs w:val="56"/>
      <w:lang w:val="en-AU"/>
    </w:rPr>
  </w:style>
  <w:style w:type="paragraph" w:customStyle="1" w:styleId="Keymessages">
    <w:name w:val="Key messages"/>
    <w:uiPriority w:val="1"/>
    <w:qFormat/>
    <w:rsid w:val="00361622"/>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Normal"/>
    <w:rsid w:val="00833C04"/>
    <w:pPr>
      <w:pBdr>
        <w:bottom w:val="single" w:sz="4" w:space="1" w:color="auto"/>
      </w:pBdr>
      <w:autoSpaceDE w:val="0"/>
      <w:autoSpaceDN w:val="0"/>
      <w:spacing w:before="200" w:after="360" w:line="240" w:lineRule="auto"/>
      <w:jc w:val="right"/>
    </w:pPr>
    <w:rPr>
      <w:rFonts w:ascii="Garamond" w:hAnsi="Garamond" w:cs="AvantGarde"/>
      <w:sz w:val="64"/>
      <w:szCs w:val="72"/>
      <w:lang w:val="en-US" w:eastAsia="en-AU"/>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3"/>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4"/>
      </w:numPr>
      <w:spacing w:before="0" w:line="240" w:lineRule="auto"/>
    </w:pPr>
    <w:rPr>
      <w:rFonts w:ascii="Times New Roman" w:hAnsi="Times New Roman"/>
      <w:sz w:val="2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99"/>
    <w:rsid w:val="00251024"/>
    <w:rPr>
      <w:sz w:val="22"/>
      <w:lang w:val="en-AU" w:eastAsia="en-AU"/>
    </w:rPr>
  </w:style>
  <w:style w:type="paragraph" w:customStyle="1" w:styleId="DotPoints">
    <w:name w:val="DotPoints"/>
    <w:basedOn w:val="Normal"/>
    <w:rsid w:val="00251024"/>
    <w:pPr>
      <w:numPr>
        <w:numId w:val="5"/>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character" w:styleId="FootnoteReference">
    <w:name w:val="footnote reference"/>
    <w:basedOn w:val="DefaultParagraphFont"/>
    <w:uiPriority w:val="99"/>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uiPriority w:val="99"/>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uiPriority w:val="99"/>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7"/>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7"/>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7"/>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7"/>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7"/>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6"/>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6"/>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251024"/>
    <w:pPr>
      <w:numPr>
        <w:numId w:val="8"/>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styleId="BodyText">
    <w:name w:val="Body Text"/>
    <w:basedOn w:val="Normal"/>
    <w:link w:val="BodyTextChar"/>
    <w:rsid w:val="00606061"/>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606061"/>
    <w:rPr>
      <w:b/>
      <w:lang w:eastAsia="ko-KR"/>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paragraph" w:customStyle="1" w:styleId="EndNoteBibliographyTitle">
    <w:name w:val="EndNote Bibliography Title"/>
    <w:basedOn w:val="Normal"/>
    <w:rsid w:val="00606061"/>
    <w:pPr>
      <w:jc w:val="center"/>
    </w:pPr>
    <w:rPr>
      <w:sz w:val="18"/>
      <w:lang w:val="en-US"/>
    </w:rPr>
  </w:style>
  <w:style w:type="paragraph" w:customStyle="1" w:styleId="EndNoteBibliography">
    <w:name w:val="EndNote Bibliography"/>
    <w:basedOn w:val="Normal"/>
    <w:rsid w:val="00606061"/>
    <w:pPr>
      <w:spacing w:line="240" w:lineRule="exact"/>
    </w:pPr>
    <w:rPr>
      <w:sz w:val="18"/>
      <w:lang w:val="en-US"/>
    </w:rPr>
  </w:style>
  <w:style w:type="character" w:styleId="CommentReference">
    <w:name w:val="annotation reference"/>
    <w:basedOn w:val="DefaultParagraphFont"/>
    <w:uiPriority w:val="99"/>
    <w:semiHidden/>
    <w:rsid w:val="00606061"/>
    <w:rPr>
      <w:sz w:val="18"/>
      <w:szCs w:val="18"/>
    </w:rPr>
  </w:style>
  <w:style w:type="paragraph" w:styleId="Caption">
    <w:name w:val="caption"/>
    <w:basedOn w:val="Normal"/>
    <w:next w:val="Normal"/>
    <w:uiPriority w:val="35"/>
    <w:qFormat/>
    <w:rsid w:val="00606061"/>
    <w:pPr>
      <w:spacing w:before="0" w:after="200" w:line="240" w:lineRule="auto"/>
    </w:pPr>
    <w:rPr>
      <w:b/>
      <w:bCs/>
      <w:color w:val="4F81BD" w:themeColor="accent1"/>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BodyText"/>
    <w:link w:val="BodyTextFirstIndentChar"/>
    <w:uiPriority w:val="99"/>
    <w:semiHidden/>
    <w:rsid w:val="00A83136"/>
    <w:pPr>
      <w:spacing w:before="160" w:line="260" w:lineRule="exact"/>
      <w:ind w:firstLine="360"/>
    </w:pPr>
    <w:rPr>
      <w:rFonts w:ascii="Trebuchet MS" w:hAnsi="Trebuchet MS"/>
      <w:b w:val="0"/>
      <w:sz w:val="19"/>
      <w:lang w:val="en-AU" w:eastAsia="en-US"/>
    </w:rPr>
  </w:style>
  <w:style w:type="character" w:customStyle="1" w:styleId="BodyTextFirstIndentChar">
    <w:name w:val="Body Text First Indent Char"/>
    <w:basedOn w:val="BodyTextChar"/>
    <w:link w:val="BodyTextFirstIndent"/>
    <w:uiPriority w:val="99"/>
    <w:semiHidden/>
    <w:rsid w:val="00A83136"/>
    <w:rPr>
      <w:rFonts w:ascii="Trebuchet MS" w:hAnsi="Trebuchet MS"/>
      <w:b w:val="0"/>
      <w:sz w:val="19"/>
      <w:lang w:val="en-AU" w:eastAsia="ko-KR"/>
    </w:rPr>
  </w:style>
  <w:style w:type="paragraph" w:styleId="BodyTextFirstIndent2">
    <w:name w:val="Body Text First Indent 2"/>
    <w:basedOn w:val="BodyTextIndent"/>
    <w:link w:val="BodyTextFirstIndent2Char"/>
    <w:uiPriority w:val="99"/>
    <w:semiHidden/>
    <w:rsid w:val="00A83136"/>
    <w:pPr>
      <w:spacing w:before="160" w:after="0" w:line="260" w:lineRule="exact"/>
      <w:ind w:left="360" w:firstLine="360"/>
    </w:pPr>
    <w:rPr>
      <w:rFonts w:ascii="Trebuchet MS" w:hAnsi="Trebuchet MS"/>
      <w:sz w:val="19"/>
      <w:lang w:eastAsia="en-US"/>
    </w:rPr>
  </w:style>
  <w:style w:type="character" w:customStyle="1" w:styleId="BodyTextFirstIndent2Char">
    <w:name w:val="Body Text First Indent 2 Char"/>
    <w:basedOn w:val="BodyTextIndentChar"/>
    <w:link w:val="BodyTextFirstIndent2"/>
    <w:uiPriority w:val="99"/>
    <w:semiHidden/>
    <w:rsid w:val="00A8313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0"/>
      </w:numPr>
      <w:contextualSpacing/>
    </w:pPr>
  </w:style>
  <w:style w:type="paragraph" w:styleId="ListBullet3">
    <w:name w:val="List Bullet 3"/>
    <w:basedOn w:val="Normal"/>
    <w:uiPriority w:val="99"/>
    <w:semiHidden/>
    <w:rsid w:val="00A83136"/>
    <w:pPr>
      <w:numPr>
        <w:numId w:val="11"/>
      </w:numPr>
      <w:contextualSpacing/>
    </w:pPr>
  </w:style>
  <w:style w:type="paragraph" w:styleId="ListBullet4">
    <w:name w:val="List Bullet 4"/>
    <w:basedOn w:val="Normal"/>
    <w:uiPriority w:val="99"/>
    <w:semiHidden/>
    <w:rsid w:val="00A83136"/>
    <w:pPr>
      <w:numPr>
        <w:numId w:val="12"/>
      </w:numPr>
      <w:contextualSpacing/>
    </w:pPr>
  </w:style>
  <w:style w:type="paragraph" w:styleId="ListBullet5">
    <w:name w:val="List Bullet 5"/>
    <w:basedOn w:val="Normal"/>
    <w:uiPriority w:val="99"/>
    <w:semiHidden/>
    <w:rsid w:val="00A83136"/>
    <w:pPr>
      <w:numPr>
        <w:numId w:val="13"/>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4"/>
      </w:numPr>
      <w:contextualSpacing/>
    </w:pPr>
  </w:style>
  <w:style w:type="paragraph" w:styleId="ListNumber2">
    <w:name w:val="List Number 2"/>
    <w:basedOn w:val="Normal"/>
    <w:uiPriority w:val="99"/>
    <w:semiHidden/>
    <w:rsid w:val="00A83136"/>
    <w:pPr>
      <w:numPr>
        <w:numId w:val="15"/>
      </w:numPr>
      <w:contextualSpacing/>
    </w:pPr>
  </w:style>
  <w:style w:type="paragraph" w:styleId="ListNumber3">
    <w:name w:val="List Number 3"/>
    <w:basedOn w:val="Normal"/>
    <w:uiPriority w:val="99"/>
    <w:semiHidden/>
    <w:rsid w:val="00A83136"/>
    <w:pPr>
      <w:numPr>
        <w:numId w:val="16"/>
      </w:numPr>
      <w:contextualSpacing/>
    </w:pPr>
  </w:style>
  <w:style w:type="paragraph" w:styleId="ListNumber4">
    <w:name w:val="List Number 4"/>
    <w:basedOn w:val="Normal"/>
    <w:uiPriority w:val="99"/>
    <w:semiHidden/>
    <w:rsid w:val="00A83136"/>
    <w:pPr>
      <w:numPr>
        <w:numId w:val="17"/>
      </w:numPr>
      <w:contextualSpacing/>
    </w:pPr>
  </w:style>
  <w:style w:type="paragraph" w:styleId="ListNumber5">
    <w:name w:val="List Number 5"/>
    <w:basedOn w:val="Normal"/>
    <w:uiPriority w:val="99"/>
    <w:semiHidden/>
    <w:rsid w:val="00A83136"/>
    <w:pPr>
      <w:numPr>
        <w:numId w:val="18"/>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character" w:customStyle="1" w:styleId="Heading2Char">
    <w:name w:val="Heading 2 Char"/>
    <w:basedOn w:val="DefaultParagraphFont"/>
    <w:link w:val="Heading2"/>
    <w:rsid w:val="0075281A"/>
    <w:rPr>
      <w:rFonts w:ascii="Arial" w:hAnsi="Arial" w:cs="Tahoma"/>
      <w:sz w:val="28"/>
      <w:lang w:val="en-AU"/>
    </w:rPr>
  </w:style>
  <w:style w:type="character" w:customStyle="1" w:styleId="st1">
    <w:name w:val="st1"/>
    <w:basedOn w:val="DefaultParagraphFont"/>
    <w:rsid w:val="0075281A"/>
  </w:style>
  <w:style w:type="character" w:customStyle="1" w:styleId="Heading1Char">
    <w:name w:val="Heading 1 Char"/>
    <w:basedOn w:val="DefaultParagraphFont"/>
    <w:link w:val="Heading1"/>
    <w:rsid w:val="0075281A"/>
    <w:rPr>
      <w:rFonts w:ascii="Arial" w:hAnsi="Arial" w:cs="Tahoma"/>
      <w:color w:val="000000"/>
      <w:kern w:val="28"/>
      <w:sz w:val="48"/>
      <w:szCs w:val="56"/>
      <w:lang w:val="en-AU"/>
    </w:rPr>
  </w:style>
  <w:style w:type="character" w:customStyle="1" w:styleId="A4">
    <w:name w:val="A4"/>
    <w:uiPriority w:val="99"/>
    <w:rsid w:val="0075281A"/>
    <w:rPr>
      <w:rFonts w:cs="ITC Franklin Gothic Book"/>
      <w:color w:val="000000"/>
      <w:sz w:val="16"/>
      <w:szCs w:val="16"/>
    </w:rPr>
  </w:style>
  <w:style w:type="paragraph" w:customStyle="1" w:styleId="Textlessbefore">
    <w:name w:val="Text less # before"/>
    <w:basedOn w:val="Text"/>
    <w:uiPriority w:val="1"/>
    <w:qFormat/>
    <w:rsid w:val="0075281A"/>
    <w:p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image" Target="media/image50.wmf"/><Relationship Id="rId26" Type="http://schemas.openxmlformats.org/officeDocument/2006/relationships/header" Target="header3.xml"/><Relationship Id="rId39" Type="http://schemas.openxmlformats.org/officeDocument/2006/relationships/diagramQuickStyle" Target="diagrams/quickStyle1.xml"/><Relationship Id="rId21" Type="http://schemas.openxmlformats.org/officeDocument/2006/relationships/image" Target="media/image70.emf"/><Relationship Id="rId34" Type="http://schemas.openxmlformats.org/officeDocument/2006/relationships/image" Target="media/image14.emf"/><Relationship Id="rId42" Type="http://schemas.openxmlformats.org/officeDocument/2006/relationships/footer" Target="footer4.xml"/><Relationship Id="rId47" Type="http://schemas.openxmlformats.org/officeDocument/2006/relationships/hyperlink" Target="mailto:ncver@ncver.edu.au" TargetMode="External"/><Relationship Id="rId50" Type="http://schemas.openxmlformats.org/officeDocument/2006/relationships/hyperlink" Target="mailto:ncver@ncver.edu.au" TargetMode="External"/><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diagramLayout" Target="diagrams/layout1.xml"/><Relationship Id="rId46"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hyperlink" Target="http://twitter.com/ncver" TargetMode="External"/><Relationship Id="rId20" Type="http://schemas.openxmlformats.org/officeDocument/2006/relationships/hyperlink" Target="http://twitter.com/ncver" TargetMode="External"/><Relationship Id="rId29" Type="http://schemas.openxmlformats.org/officeDocument/2006/relationships/image" Target="media/image9.emf"/><Relationship Id="rId41" Type="http://schemas.microsoft.com/office/2007/relationships/diagramDrawing" Target="diagrams/drawing1.xm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8.png"/><Relationship Id="rId53"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2.xm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twitter.com/ncver"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0.emf"/><Relationship Id="rId31" Type="http://schemas.openxmlformats.org/officeDocument/2006/relationships/image" Target="media/image11.emf"/><Relationship Id="rId44" Type="http://schemas.openxmlformats.org/officeDocument/2006/relationships/image" Target="media/image17.png"/><Relationship Id="rId52" Type="http://schemas.openxmlformats.org/officeDocument/2006/relationships/hyperlink" Target="http://twitter.com/ncver"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footer" Target="footer5.xml"/><Relationship Id="rId48" Type="http://schemas.openxmlformats.org/officeDocument/2006/relationships/hyperlink" Target="http://www.lsay.edu.au"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lsay.edu.au"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ConsultancyReport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6DB761-C204-4181-A329-794625F14BBA}" type="doc">
      <dgm:prSet loTypeId="urn:microsoft.com/office/officeart/2005/8/layout/chevron1" loCatId="process" qsTypeId="urn:microsoft.com/office/officeart/2005/8/quickstyle/simple1" qsCatId="simple" csTypeId="urn:microsoft.com/office/officeart/2005/8/colors/accent0_1" csCatId="mainScheme" phldr="1"/>
      <dgm:spPr/>
    </dgm:pt>
    <dgm:pt modelId="{AA52139B-7321-4DE2-B238-C1C9F5C019E3}">
      <dgm:prSet phldrT="[Text]" custT="1"/>
      <dgm:spPr>
        <a:xfrm>
          <a:off x="2522" y="149197"/>
          <a:ext cx="1468575" cy="58743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mn-cs"/>
            </a:rPr>
            <a:t>VET</a:t>
          </a:r>
          <a:r>
            <a:rPr lang="en-AU" sz="950">
              <a:solidFill>
                <a:sysClr val="windowText" lastClr="000000">
                  <a:hueOff val="0"/>
                  <a:satOff val="0"/>
                  <a:lumOff val="0"/>
                  <a:alphaOff val="0"/>
                </a:sysClr>
              </a:solidFill>
              <a:latin typeface="Trebuchet MS"/>
              <a:ea typeface="+mn-ea"/>
              <a:cs typeface="+mn-cs"/>
            </a:rPr>
            <a:t>—</a:t>
          </a:r>
          <a:r>
            <a:rPr lang="en-AU" sz="950">
              <a:solidFill>
                <a:sysClr val="windowText" lastClr="000000">
                  <a:hueOff val="0"/>
                  <a:satOff val="0"/>
                  <a:lumOff val="0"/>
                  <a:alphaOff val="0"/>
                </a:sysClr>
              </a:solidFill>
              <a:latin typeface="Trebuchet MS" panose="020B0603020202020204" pitchFamily="34" charset="0"/>
              <a:ea typeface="+mn-ea"/>
              <a:cs typeface="+mn-cs"/>
            </a:rPr>
            <a:t>HE credit articulation   arrangements </a:t>
          </a:r>
        </a:p>
      </dgm:t>
    </dgm:pt>
    <dgm:pt modelId="{CE2B306B-57F7-413C-A4D0-D2B72A176046}" type="parTrans" cxnId="{DA634B01-6A9E-4F5D-A574-F4B2B32EE108}">
      <dgm:prSet/>
      <dgm:spPr/>
      <dgm:t>
        <a:bodyPr/>
        <a:lstStyle/>
        <a:p>
          <a:endParaRPr lang="en-AU"/>
        </a:p>
      </dgm:t>
    </dgm:pt>
    <dgm:pt modelId="{59E8BF2D-0E5F-4C26-9EFD-E43C278B92A8}" type="sibTrans" cxnId="{DA634B01-6A9E-4F5D-A574-F4B2B32EE108}">
      <dgm:prSet/>
      <dgm:spPr/>
      <dgm:t>
        <a:bodyPr/>
        <a:lstStyle/>
        <a:p>
          <a:endParaRPr lang="en-AU"/>
        </a:p>
      </dgm:t>
    </dgm:pt>
    <dgm:pt modelId="{AA035CD3-A71E-4611-AF11-8D8BE0C205D6}">
      <dgm:prSet phldrT="[Text]" custT="1"/>
      <dgm:spPr>
        <a:xfrm>
          <a:off x="3967676" y="149197"/>
          <a:ext cx="1468575" cy="58743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mn-cs"/>
            </a:rPr>
            <a:t>HE delivery in own right as a  HE provider</a:t>
          </a:r>
        </a:p>
      </dgm:t>
    </dgm:pt>
    <dgm:pt modelId="{DF38D737-4637-4389-BEE7-79BE4DC4C63E}" type="parTrans" cxnId="{B27533E1-0D14-4797-B00B-44AAE8CAA7CE}">
      <dgm:prSet/>
      <dgm:spPr/>
      <dgm:t>
        <a:bodyPr/>
        <a:lstStyle/>
        <a:p>
          <a:endParaRPr lang="en-AU"/>
        </a:p>
      </dgm:t>
    </dgm:pt>
    <dgm:pt modelId="{E089B1CF-8F5C-46F3-8936-4559A869941C}" type="sibTrans" cxnId="{B27533E1-0D14-4797-B00B-44AAE8CAA7CE}">
      <dgm:prSet/>
      <dgm:spPr/>
      <dgm:t>
        <a:bodyPr/>
        <a:lstStyle/>
        <a:p>
          <a:endParaRPr lang="en-AU"/>
        </a:p>
      </dgm:t>
    </dgm:pt>
    <dgm:pt modelId="{AD9ED354-F518-45AF-A6BB-C5C382D17AA5}">
      <dgm:prSet custT="1"/>
      <dgm:spPr>
        <a:xfrm>
          <a:off x="1324240" y="149197"/>
          <a:ext cx="1468575" cy="58743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mn-cs"/>
            </a:rPr>
            <a:t>Dual offers VET/HE qualifications </a:t>
          </a:r>
        </a:p>
      </dgm:t>
    </dgm:pt>
    <dgm:pt modelId="{A8605172-6492-42BD-8642-56806A74588D}" type="parTrans" cxnId="{A0B199D5-4675-4A17-AFD3-66D78FF70ABF}">
      <dgm:prSet/>
      <dgm:spPr/>
      <dgm:t>
        <a:bodyPr/>
        <a:lstStyle/>
        <a:p>
          <a:endParaRPr lang="en-AU"/>
        </a:p>
      </dgm:t>
    </dgm:pt>
    <dgm:pt modelId="{437EBF3F-9842-4E02-96B7-8253A1665C11}" type="sibTrans" cxnId="{A0B199D5-4675-4A17-AFD3-66D78FF70ABF}">
      <dgm:prSet/>
      <dgm:spPr/>
      <dgm:t>
        <a:bodyPr/>
        <a:lstStyle/>
        <a:p>
          <a:endParaRPr lang="en-AU"/>
        </a:p>
      </dgm:t>
    </dgm:pt>
    <dgm:pt modelId="{77CD0785-58D3-459C-BA52-F7B5974B7076}">
      <dgm:prSet custT="1"/>
      <dgm:spPr>
        <a:xfrm>
          <a:off x="2645958" y="149197"/>
          <a:ext cx="1468575" cy="58743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mn-cs"/>
            </a:rPr>
            <a:t>Contracted HE delivery </a:t>
          </a:r>
        </a:p>
      </dgm:t>
    </dgm:pt>
    <dgm:pt modelId="{CFE5B9DA-1EF1-4F61-A626-3E6AC93AA3CD}" type="parTrans" cxnId="{2D4C873D-4168-4C69-9D77-7FDA6861F4AA}">
      <dgm:prSet/>
      <dgm:spPr/>
      <dgm:t>
        <a:bodyPr/>
        <a:lstStyle/>
        <a:p>
          <a:endParaRPr lang="en-AU"/>
        </a:p>
      </dgm:t>
    </dgm:pt>
    <dgm:pt modelId="{279D8B43-37C6-4E56-9BF2-EA1F78536EC8}" type="sibTrans" cxnId="{2D4C873D-4168-4C69-9D77-7FDA6861F4AA}">
      <dgm:prSet/>
      <dgm:spPr/>
      <dgm:t>
        <a:bodyPr/>
        <a:lstStyle/>
        <a:p>
          <a:endParaRPr lang="en-AU"/>
        </a:p>
      </dgm:t>
    </dgm:pt>
    <dgm:pt modelId="{AB924F31-5CED-40B0-B556-323AE9B1C554}" type="pres">
      <dgm:prSet presAssocID="{B66DB761-C204-4181-A329-794625F14BBA}" presName="Name0" presStyleCnt="0">
        <dgm:presLayoutVars>
          <dgm:dir/>
          <dgm:animLvl val="lvl"/>
          <dgm:resizeHandles val="exact"/>
        </dgm:presLayoutVars>
      </dgm:prSet>
      <dgm:spPr/>
    </dgm:pt>
    <dgm:pt modelId="{47FF2D01-BFD9-4FB4-9D94-4F97385873D5}" type="pres">
      <dgm:prSet presAssocID="{AA52139B-7321-4DE2-B238-C1C9F5C019E3}" presName="parTxOnly" presStyleLbl="node1" presStyleIdx="0" presStyleCnt="4">
        <dgm:presLayoutVars>
          <dgm:chMax val="0"/>
          <dgm:chPref val="0"/>
          <dgm:bulletEnabled val="1"/>
        </dgm:presLayoutVars>
      </dgm:prSet>
      <dgm:spPr>
        <a:prstGeom prst="chevron">
          <a:avLst/>
        </a:prstGeom>
      </dgm:spPr>
      <dgm:t>
        <a:bodyPr/>
        <a:lstStyle/>
        <a:p>
          <a:endParaRPr lang="en-AU"/>
        </a:p>
      </dgm:t>
    </dgm:pt>
    <dgm:pt modelId="{E1A5DBF7-5108-43E9-A684-4CCB07E3CC3A}" type="pres">
      <dgm:prSet presAssocID="{59E8BF2D-0E5F-4C26-9EFD-E43C278B92A8}" presName="parTxOnlySpace" presStyleCnt="0"/>
      <dgm:spPr/>
    </dgm:pt>
    <dgm:pt modelId="{046282D4-7468-4538-A36A-A9C0C164CA1B}" type="pres">
      <dgm:prSet presAssocID="{AD9ED354-F518-45AF-A6BB-C5C382D17AA5}" presName="parTxOnly" presStyleLbl="node1" presStyleIdx="1" presStyleCnt="4">
        <dgm:presLayoutVars>
          <dgm:chMax val="0"/>
          <dgm:chPref val="0"/>
          <dgm:bulletEnabled val="1"/>
        </dgm:presLayoutVars>
      </dgm:prSet>
      <dgm:spPr>
        <a:prstGeom prst="chevron">
          <a:avLst/>
        </a:prstGeom>
      </dgm:spPr>
      <dgm:t>
        <a:bodyPr/>
        <a:lstStyle/>
        <a:p>
          <a:endParaRPr lang="en-AU"/>
        </a:p>
      </dgm:t>
    </dgm:pt>
    <dgm:pt modelId="{00F6C258-2090-4D39-A15F-5E35BF187006}" type="pres">
      <dgm:prSet presAssocID="{437EBF3F-9842-4E02-96B7-8253A1665C11}" presName="parTxOnlySpace" presStyleCnt="0"/>
      <dgm:spPr/>
    </dgm:pt>
    <dgm:pt modelId="{1DE1B8FE-83D7-4C4D-A777-01987BCD2C5C}" type="pres">
      <dgm:prSet presAssocID="{77CD0785-58D3-459C-BA52-F7B5974B7076}" presName="parTxOnly" presStyleLbl="node1" presStyleIdx="2" presStyleCnt="4">
        <dgm:presLayoutVars>
          <dgm:chMax val="0"/>
          <dgm:chPref val="0"/>
          <dgm:bulletEnabled val="1"/>
        </dgm:presLayoutVars>
      </dgm:prSet>
      <dgm:spPr>
        <a:prstGeom prst="chevron">
          <a:avLst/>
        </a:prstGeom>
      </dgm:spPr>
      <dgm:t>
        <a:bodyPr/>
        <a:lstStyle/>
        <a:p>
          <a:endParaRPr lang="en-AU"/>
        </a:p>
      </dgm:t>
    </dgm:pt>
    <dgm:pt modelId="{93EA01F3-2F93-4977-9093-52238D2DD76E}" type="pres">
      <dgm:prSet presAssocID="{279D8B43-37C6-4E56-9BF2-EA1F78536EC8}" presName="parTxOnlySpace" presStyleCnt="0"/>
      <dgm:spPr/>
    </dgm:pt>
    <dgm:pt modelId="{E494833C-456B-44BF-B6AB-F2DD02E7CE02}" type="pres">
      <dgm:prSet presAssocID="{AA035CD3-A71E-4611-AF11-8D8BE0C205D6}" presName="parTxOnly" presStyleLbl="node1" presStyleIdx="3" presStyleCnt="4">
        <dgm:presLayoutVars>
          <dgm:chMax val="0"/>
          <dgm:chPref val="0"/>
          <dgm:bulletEnabled val="1"/>
        </dgm:presLayoutVars>
      </dgm:prSet>
      <dgm:spPr>
        <a:prstGeom prst="chevron">
          <a:avLst/>
        </a:prstGeom>
      </dgm:spPr>
      <dgm:t>
        <a:bodyPr/>
        <a:lstStyle/>
        <a:p>
          <a:endParaRPr lang="en-AU"/>
        </a:p>
      </dgm:t>
    </dgm:pt>
  </dgm:ptLst>
  <dgm:cxnLst>
    <dgm:cxn modelId="{2D4C873D-4168-4C69-9D77-7FDA6861F4AA}" srcId="{B66DB761-C204-4181-A329-794625F14BBA}" destId="{77CD0785-58D3-459C-BA52-F7B5974B7076}" srcOrd="2" destOrd="0" parTransId="{CFE5B9DA-1EF1-4F61-A626-3E6AC93AA3CD}" sibTransId="{279D8B43-37C6-4E56-9BF2-EA1F78536EC8}"/>
    <dgm:cxn modelId="{1B3410A7-6F9A-47D2-A020-6CB8D5E0C437}" type="presOf" srcId="{B66DB761-C204-4181-A329-794625F14BBA}" destId="{AB924F31-5CED-40B0-B556-323AE9B1C554}" srcOrd="0" destOrd="0" presId="urn:microsoft.com/office/officeart/2005/8/layout/chevron1"/>
    <dgm:cxn modelId="{0395A4B7-920F-4BDF-A8FC-6E9A4E2F14D8}" type="presOf" srcId="{77CD0785-58D3-459C-BA52-F7B5974B7076}" destId="{1DE1B8FE-83D7-4C4D-A777-01987BCD2C5C}" srcOrd="0" destOrd="0" presId="urn:microsoft.com/office/officeart/2005/8/layout/chevron1"/>
    <dgm:cxn modelId="{B27533E1-0D14-4797-B00B-44AAE8CAA7CE}" srcId="{B66DB761-C204-4181-A329-794625F14BBA}" destId="{AA035CD3-A71E-4611-AF11-8D8BE0C205D6}" srcOrd="3" destOrd="0" parTransId="{DF38D737-4637-4389-BEE7-79BE4DC4C63E}" sibTransId="{E089B1CF-8F5C-46F3-8936-4559A869941C}"/>
    <dgm:cxn modelId="{54203FEA-2A41-4789-9350-F7240547DD28}" type="presOf" srcId="{AD9ED354-F518-45AF-A6BB-C5C382D17AA5}" destId="{046282D4-7468-4538-A36A-A9C0C164CA1B}" srcOrd="0" destOrd="0" presId="urn:microsoft.com/office/officeart/2005/8/layout/chevron1"/>
    <dgm:cxn modelId="{DA634B01-6A9E-4F5D-A574-F4B2B32EE108}" srcId="{B66DB761-C204-4181-A329-794625F14BBA}" destId="{AA52139B-7321-4DE2-B238-C1C9F5C019E3}" srcOrd="0" destOrd="0" parTransId="{CE2B306B-57F7-413C-A4D0-D2B72A176046}" sibTransId="{59E8BF2D-0E5F-4C26-9EFD-E43C278B92A8}"/>
    <dgm:cxn modelId="{B2422DC8-182C-46E3-A7D4-84CFF511914E}" type="presOf" srcId="{AA52139B-7321-4DE2-B238-C1C9F5C019E3}" destId="{47FF2D01-BFD9-4FB4-9D94-4F97385873D5}" srcOrd="0" destOrd="0" presId="urn:microsoft.com/office/officeart/2005/8/layout/chevron1"/>
    <dgm:cxn modelId="{A0B199D5-4675-4A17-AFD3-66D78FF70ABF}" srcId="{B66DB761-C204-4181-A329-794625F14BBA}" destId="{AD9ED354-F518-45AF-A6BB-C5C382D17AA5}" srcOrd="1" destOrd="0" parTransId="{A8605172-6492-42BD-8642-56806A74588D}" sibTransId="{437EBF3F-9842-4E02-96B7-8253A1665C11}"/>
    <dgm:cxn modelId="{C7CBB228-A652-4121-BDDF-00AE89909977}" type="presOf" srcId="{AA035CD3-A71E-4611-AF11-8D8BE0C205D6}" destId="{E494833C-456B-44BF-B6AB-F2DD02E7CE02}" srcOrd="0" destOrd="0" presId="urn:microsoft.com/office/officeart/2005/8/layout/chevron1"/>
    <dgm:cxn modelId="{5194D7B6-A75D-44DB-A396-18E46253DCFF}" type="presParOf" srcId="{AB924F31-5CED-40B0-B556-323AE9B1C554}" destId="{47FF2D01-BFD9-4FB4-9D94-4F97385873D5}" srcOrd="0" destOrd="0" presId="urn:microsoft.com/office/officeart/2005/8/layout/chevron1"/>
    <dgm:cxn modelId="{B79E888B-4064-4BD7-849A-AFDEB7C932D3}" type="presParOf" srcId="{AB924F31-5CED-40B0-B556-323AE9B1C554}" destId="{E1A5DBF7-5108-43E9-A684-4CCB07E3CC3A}" srcOrd="1" destOrd="0" presId="urn:microsoft.com/office/officeart/2005/8/layout/chevron1"/>
    <dgm:cxn modelId="{35F38002-DEA4-4C42-B39A-86D34A6B103E}" type="presParOf" srcId="{AB924F31-5CED-40B0-B556-323AE9B1C554}" destId="{046282D4-7468-4538-A36A-A9C0C164CA1B}" srcOrd="2" destOrd="0" presId="urn:microsoft.com/office/officeart/2005/8/layout/chevron1"/>
    <dgm:cxn modelId="{ABD20C6D-5393-42CA-A08F-9D718541BA1D}" type="presParOf" srcId="{AB924F31-5CED-40B0-B556-323AE9B1C554}" destId="{00F6C258-2090-4D39-A15F-5E35BF187006}" srcOrd="3" destOrd="0" presId="urn:microsoft.com/office/officeart/2005/8/layout/chevron1"/>
    <dgm:cxn modelId="{3AA47643-DEB1-4E99-840F-9387396A50AE}" type="presParOf" srcId="{AB924F31-5CED-40B0-B556-323AE9B1C554}" destId="{1DE1B8FE-83D7-4C4D-A777-01987BCD2C5C}" srcOrd="4" destOrd="0" presId="urn:microsoft.com/office/officeart/2005/8/layout/chevron1"/>
    <dgm:cxn modelId="{1F647016-4AEB-4B43-9A68-9DFC85FE14BD}" type="presParOf" srcId="{AB924F31-5CED-40B0-B556-323AE9B1C554}" destId="{93EA01F3-2F93-4977-9093-52238D2DD76E}" srcOrd="5" destOrd="0" presId="urn:microsoft.com/office/officeart/2005/8/layout/chevron1"/>
    <dgm:cxn modelId="{3A9E2E11-31C7-4AB4-93F9-E426DE343F6C}" type="presParOf" srcId="{AB924F31-5CED-40B0-B556-323AE9B1C554}" destId="{E494833C-456B-44BF-B6AB-F2DD02E7CE02}" srcOrd="6"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F2D01-BFD9-4FB4-9D94-4F97385873D5}">
      <dsp:nvSpPr>
        <dsp:cNvPr id="0" name=""/>
        <dsp:cNvSpPr/>
      </dsp:nvSpPr>
      <dsp:spPr>
        <a:xfrm>
          <a:off x="2522" y="149197"/>
          <a:ext cx="1468575" cy="587430"/>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mn-cs"/>
            </a:rPr>
            <a:t>VET</a:t>
          </a:r>
          <a:r>
            <a:rPr lang="en-AU" sz="950" kern="1200">
              <a:solidFill>
                <a:sysClr val="windowText" lastClr="000000">
                  <a:hueOff val="0"/>
                  <a:satOff val="0"/>
                  <a:lumOff val="0"/>
                  <a:alphaOff val="0"/>
                </a:sysClr>
              </a:solidFill>
              <a:latin typeface="Trebuchet MS"/>
              <a:ea typeface="+mn-ea"/>
              <a:cs typeface="+mn-cs"/>
            </a:rPr>
            <a:t>—</a:t>
          </a:r>
          <a:r>
            <a:rPr lang="en-AU" sz="950" kern="1200">
              <a:solidFill>
                <a:sysClr val="windowText" lastClr="000000">
                  <a:hueOff val="0"/>
                  <a:satOff val="0"/>
                  <a:lumOff val="0"/>
                  <a:alphaOff val="0"/>
                </a:sysClr>
              </a:solidFill>
              <a:latin typeface="Trebuchet MS" panose="020B0603020202020204" pitchFamily="34" charset="0"/>
              <a:ea typeface="+mn-ea"/>
              <a:cs typeface="+mn-cs"/>
            </a:rPr>
            <a:t>HE credit articulation   arrangements </a:t>
          </a:r>
        </a:p>
      </dsp:txBody>
      <dsp:txXfrm>
        <a:off x="296237" y="149197"/>
        <a:ext cx="881145" cy="587430"/>
      </dsp:txXfrm>
    </dsp:sp>
    <dsp:sp modelId="{046282D4-7468-4538-A36A-A9C0C164CA1B}">
      <dsp:nvSpPr>
        <dsp:cNvPr id="0" name=""/>
        <dsp:cNvSpPr/>
      </dsp:nvSpPr>
      <dsp:spPr>
        <a:xfrm>
          <a:off x="1324240" y="149197"/>
          <a:ext cx="1468575" cy="587430"/>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mn-cs"/>
            </a:rPr>
            <a:t>Dual offers VET/HE qualifications </a:t>
          </a:r>
        </a:p>
      </dsp:txBody>
      <dsp:txXfrm>
        <a:off x="1617955" y="149197"/>
        <a:ext cx="881145" cy="587430"/>
      </dsp:txXfrm>
    </dsp:sp>
    <dsp:sp modelId="{1DE1B8FE-83D7-4C4D-A777-01987BCD2C5C}">
      <dsp:nvSpPr>
        <dsp:cNvPr id="0" name=""/>
        <dsp:cNvSpPr/>
      </dsp:nvSpPr>
      <dsp:spPr>
        <a:xfrm>
          <a:off x="2645958" y="149197"/>
          <a:ext cx="1468575" cy="587430"/>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mn-cs"/>
            </a:rPr>
            <a:t>Contracted HE delivery </a:t>
          </a:r>
        </a:p>
      </dsp:txBody>
      <dsp:txXfrm>
        <a:off x="2939673" y="149197"/>
        <a:ext cx="881145" cy="587430"/>
      </dsp:txXfrm>
    </dsp:sp>
    <dsp:sp modelId="{E494833C-456B-44BF-B6AB-F2DD02E7CE02}">
      <dsp:nvSpPr>
        <dsp:cNvPr id="0" name=""/>
        <dsp:cNvSpPr/>
      </dsp:nvSpPr>
      <dsp:spPr>
        <a:xfrm>
          <a:off x="3967676" y="149197"/>
          <a:ext cx="1468575" cy="587430"/>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mn-cs"/>
            </a:rPr>
            <a:t>HE delivery in own right as a  HE provider</a:t>
          </a:r>
        </a:p>
      </dsp:txBody>
      <dsp:txXfrm>
        <a:off x="4261391" y="149197"/>
        <a:ext cx="881145" cy="58743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5A13D-6B8B-4341-A1AD-BAFAA2526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ConsultancyReportTemplate.dotx</Template>
  <TotalTime>449</TotalTime>
  <Pages>44</Pages>
  <Words>19292</Words>
  <Characters>109970</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129004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Lessons from VET providers</dc:title>
  <dc:creator>Callan;kaye.bowman@bigpond.com</dc:creator>
  <cp:lastModifiedBy>Kaye McAdam</cp:lastModifiedBy>
  <cp:revision>35</cp:revision>
  <cp:lastPrinted>2015-06-10T23:45:00Z</cp:lastPrinted>
  <dcterms:created xsi:type="dcterms:W3CDTF">2015-05-21T03:54:00Z</dcterms:created>
  <dcterms:modified xsi:type="dcterms:W3CDTF">2015-07-13T23:17:00Z</dcterms:modified>
</cp:coreProperties>
</file>