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06" w:rsidRDefault="00355606" w:rsidP="00355606">
      <w:pPr>
        <w:spacing w:before="0" w:line="240" w:lineRule="auto"/>
        <w:ind w:hanging="567"/>
        <w:rPr>
          <w:rFonts w:ascii="Tahoma" w:hAnsi="Tahoma" w:cs="Tahoma"/>
          <w:color w:val="000000"/>
          <w:kern w:val="28"/>
          <w:sz w:val="56"/>
          <w:szCs w:val="56"/>
        </w:rPr>
      </w:pPr>
      <w:bookmarkStart w:id="0" w:name="_Toc495748330"/>
      <w:bookmarkStart w:id="1" w:name="_Toc495810630"/>
      <w:bookmarkStart w:id="2" w:name="_Toc6031787"/>
      <w:bookmarkStart w:id="3" w:name="_Toc6031844"/>
      <w:r>
        <w:rPr>
          <w:rFonts w:ascii="Tahoma" w:hAnsi="Tahoma" w:cs="Tahoma"/>
          <w:noProof/>
          <w:color w:val="000000"/>
          <w:kern w:val="28"/>
          <w:sz w:val="56"/>
          <w:szCs w:val="56"/>
          <w:lang w:eastAsia="en-AU"/>
        </w:rPr>
        <w:drawing>
          <wp:anchor distT="0" distB="0" distL="114300" distR="114300" simplePos="0" relativeHeight="251682816" behindDoc="1" locked="0" layoutInCell="1" allowOverlap="1">
            <wp:simplePos x="0" y="0"/>
            <wp:positionH relativeFrom="column">
              <wp:posOffset>-184150</wp:posOffset>
            </wp:positionH>
            <wp:positionV relativeFrom="paragraph">
              <wp:posOffset>537210</wp:posOffset>
            </wp:positionV>
            <wp:extent cx="2242820" cy="480695"/>
            <wp:effectExtent l="19050" t="0" r="5080" b="0"/>
            <wp:wrapSquare wrapText="bothSides"/>
            <wp:docPr id="3" name="Picture 1" descr="P:\PublicationComponents\logos\NCVER LOGOS\EPS - pagemaker_quark\NoLines2012\NCVER_Floating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EPS - pagemaker_quark\NoLines2012\NCVER_Floating_Mono.eps"/>
                    <pic:cNvPicPr>
                      <a:picLocks noChangeAspect="1" noChangeArrowheads="1"/>
                    </pic:cNvPicPr>
                  </pic:nvPicPr>
                  <pic:blipFill>
                    <a:blip r:embed="rId9" cstate="print"/>
                    <a:srcRect/>
                    <a:stretch>
                      <a:fillRect/>
                    </a:stretch>
                  </pic:blipFill>
                  <pic:spPr bwMode="auto">
                    <a:xfrm>
                      <a:off x="0" y="0"/>
                      <a:ext cx="2242820" cy="480695"/>
                    </a:xfrm>
                    <a:prstGeom prst="rect">
                      <a:avLst/>
                    </a:prstGeom>
                    <a:noFill/>
                    <a:ln w="9525">
                      <a:noFill/>
                      <a:miter lim="800000"/>
                      <a:headEnd/>
                      <a:tailEnd/>
                    </a:ln>
                  </pic:spPr>
                </pic:pic>
              </a:graphicData>
            </a:graphic>
          </wp:anchor>
        </w:drawing>
      </w:r>
    </w:p>
    <w:p w:rsidR="00355606" w:rsidRDefault="00355606" w:rsidP="00355606">
      <w:pPr>
        <w:pStyle w:val="PublicationTitle"/>
        <w:spacing w:before="0"/>
        <w:rPr>
          <w:sz w:val="40"/>
          <w:szCs w:val="40"/>
        </w:rPr>
      </w:pPr>
      <w:r>
        <w:rPr>
          <w:noProof/>
          <w:sz w:val="40"/>
          <w:szCs w:val="40"/>
          <w:lang w:eastAsia="en-AU"/>
        </w:rPr>
        <w:drawing>
          <wp:anchor distT="0" distB="0" distL="114300" distR="114300" simplePos="0" relativeHeight="251681792" behindDoc="1" locked="0" layoutInCell="1" allowOverlap="1">
            <wp:simplePos x="0" y="0"/>
            <wp:positionH relativeFrom="column">
              <wp:posOffset>-2564130</wp:posOffset>
            </wp:positionH>
            <wp:positionV relativeFrom="paragraph">
              <wp:posOffset>684530</wp:posOffset>
            </wp:positionV>
            <wp:extent cx="2724150" cy="914400"/>
            <wp:effectExtent l="19050" t="0" r="0" b="0"/>
            <wp:wrapTight wrapText="bothSides">
              <wp:wrapPolygon edited="0">
                <wp:start x="-151" y="0"/>
                <wp:lineTo x="-151" y="21150"/>
                <wp:lineTo x="21600" y="21150"/>
                <wp:lineTo x="21600" y="0"/>
                <wp:lineTo x="-151" y="0"/>
              </wp:wrapPolygon>
            </wp:wrapTight>
            <wp:docPr id="2"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24150" cy="914400"/>
                    </a:xfrm>
                    <a:prstGeom prst="rect">
                      <a:avLst/>
                    </a:prstGeom>
                    <a:noFill/>
                    <a:ln w="9525">
                      <a:noFill/>
                      <a:miter lim="800000"/>
                      <a:headEnd/>
                      <a:tailEnd/>
                    </a:ln>
                  </pic:spPr>
                </pic:pic>
              </a:graphicData>
            </a:graphic>
          </wp:anchor>
        </w:drawing>
      </w:r>
    </w:p>
    <w:p w:rsidR="00355606" w:rsidRPr="00566F29" w:rsidRDefault="00355606" w:rsidP="00355606">
      <w:pPr>
        <w:pStyle w:val="PublicationTitle"/>
        <w:spacing w:before="0" w:after="0"/>
        <w:rPr>
          <w:sz w:val="40"/>
          <w:szCs w:val="40"/>
        </w:rPr>
      </w:pPr>
    </w:p>
    <w:p w:rsidR="00355606" w:rsidRDefault="00355606" w:rsidP="00355606">
      <w:pPr>
        <w:pStyle w:val="PublicationTitle"/>
        <w:spacing w:before="0" w:after="400"/>
      </w:pPr>
    </w:p>
    <w:p w:rsidR="00EB0AD7" w:rsidRPr="005C2FCF" w:rsidRDefault="00123866" w:rsidP="00EB0AD7">
      <w:pPr>
        <w:pStyle w:val="PublicationTitle"/>
        <w:spacing w:before="0"/>
      </w:pPr>
      <w:r>
        <w:rPr>
          <w:noProof/>
          <w:lang w:eastAsia="en-AU"/>
        </w:rPr>
        <w:t>Disadvantaged learners and</w:t>
      </w:r>
      <w:r w:rsidR="00355606">
        <w:rPr>
          <w:noProof/>
          <w:lang w:eastAsia="en-AU"/>
        </w:rPr>
        <w:t> </w:t>
      </w:r>
      <w:r>
        <w:rPr>
          <w:noProof/>
          <w:lang w:eastAsia="en-AU"/>
        </w:rPr>
        <w:t xml:space="preserve">VET to </w:t>
      </w:r>
      <w:r w:rsidR="007624B1">
        <w:rPr>
          <w:noProof/>
          <w:lang w:eastAsia="en-AU"/>
        </w:rPr>
        <w:t>higher education transitions</w:t>
      </w:r>
    </w:p>
    <w:p w:rsidR="00EB0AD7" w:rsidRDefault="00C0296D" w:rsidP="00EB0AD7">
      <w:pPr>
        <w:pStyle w:val="Authors"/>
      </w:pPr>
      <w:bookmarkStart w:id="4" w:name="_Toc296423678"/>
      <w:bookmarkStart w:id="5" w:name="_Toc296497509"/>
      <w:r>
        <w:t>Tabatha Griffin</w:t>
      </w:r>
    </w:p>
    <w:bookmarkEnd w:id="4"/>
    <w:bookmarkEnd w:id="5"/>
    <w:p w:rsidR="00EB0AD7" w:rsidRDefault="007624B1" w:rsidP="00EB0AD7">
      <w:pPr>
        <w:pStyle w:val="Organisation"/>
      </w:pPr>
      <w:r>
        <w:t>N</w:t>
      </w:r>
      <w:r w:rsidR="006D04AD">
        <w:t xml:space="preserve">ational </w:t>
      </w:r>
      <w:r>
        <w:t>C</w:t>
      </w:r>
      <w:r w:rsidR="006D04AD">
        <w:t xml:space="preserve">entre for </w:t>
      </w:r>
      <w:r>
        <w:t>V</w:t>
      </w:r>
      <w:r w:rsidR="006D04AD">
        <w:t xml:space="preserve">ocational </w:t>
      </w:r>
      <w:r>
        <w:t>E</w:t>
      </w:r>
      <w:r w:rsidR="006D04AD">
        <w:t xml:space="preserve">ducation </w:t>
      </w:r>
      <w:r>
        <w:t>R</w:t>
      </w:r>
      <w:r w:rsidR="006D04AD">
        <w:t>esearch</w:t>
      </w:r>
    </w:p>
    <w:p w:rsidR="00EB0AD7" w:rsidRDefault="00CE2187" w:rsidP="00EB0AD7">
      <w:pPr>
        <w:pStyle w:val="Heading3"/>
        <w:ind w:right="-1"/>
      </w:pPr>
      <w:r>
        <w:rPr>
          <w:noProof/>
          <w:lang w:eastAsia="en-AU"/>
        </w:rPr>
        <w:pict>
          <v:shapetype id="_x0000_t202" coordsize="21600,21600" o:spt="202" path="m,l,21600r21600,l21600,xe">
            <v:stroke joinstyle="miter"/>
            <v:path gradientshapeok="t" o:connecttype="rect"/>
          </v:shapetype>
          <v:shape id="_x0000_s1053" type="#_x0000_t202" style="position:absolute;margin-left:73.1pt;margin-top:659.7pt;width:357pt;height:83pt;z-index:251670528;mso-position-vertical-relative:margin" filled="f" stroked="f">
            <v:textbox style="mso-next-textbox:#_x0000_s1053">
              <w:txbxContent>
                <w:p w:rsidR="00086208" w:rsidRDefault="00086208" w:rsidP="00EB0AD7">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t xml:space="preserve">and </w:t>
                  </w:r>
                  <w:r w:rsidRPr="005C2FCF">
                    <w:rPr>
                      <w:color w:val="000000"/>
                    </w:rPr>
                    <w:t>state and territory governments.</w:t>
                  </w:r>
                </w:p>
              </w:txbxContent>
            </v:textbox>
            <w10:wrap anchory="margin"/>
          </v:shape>
        </w:pict>
      </w:r>
    </w:p>
    <w:p w:rsidR="00EB0AD7" w:rsidRPr="00E236D0" w:rsidRDefault="00CE2187" w:rsidP="00EB0AD7">
      <w:pPr>
        <w:pStyle w:val="Heading3"/>
        <w:ind w:right="-1"/>
        <w:rPr>
          <w:b/>
          <w:sz w:val="19"/>
          <w:szCs w:val="19"/>
        </w:rPr>
      </w:pPr>
      <w:r>
        <w:rPr>
          <w:noProof/>
          <w:lang w:eastAsia="en-AU"/>
        </w:rPr>
        <w:pict>
          <v:shape id="_x0000_s1054" type="#_x0000_t202" style="position:absolute;margin-left:79.95pt;margin-top:555.35pt;width:209.15pt;height:83pt;z-index:251671552;mso-position-vertical-relative:margin" filled="f" stroked="f">
            <v:textbox style="mso-next-textbox:#_x0000_s1054">
              <w:txbxContent>
                <w:p w:rsidR="00086208" w:rsidRPr="00E36E0B" w:rsidRDefault="00086208" w:rsidP="00355606">
                  <w:pPr>
                    <w:pStyle w:val="Heading3"/>
                    <w:rPr>
                      <w:rFonts w:ascii="Trebuchet MS" w:hAnsi="Trebuchet MS"/>
                      <w:szCs w:val="24"/>
                    </w:rPr>
                  </w:pPr>
                  <w:r w:rsidRPr="00E36E0B">
                    <w:rPr>
                      <w:rFonts w:ascii="Trebuchet MS" w:hAnsi="Trebuchet MS"/>
                      <w:szCs w:val="24"/>
                    </w:rPr>
                    <w:t xml:space="preserve">NATIONAL VOCATIONAL EDUCATION AND TRAINING RESEARCH PROGRAM </w:t>
                  </w:r>
                </w:p>
                <w:p w:rsidR="00086208" w:rsidRPr="00355606" w:rsidRDefault="00086208" w:rsidP="00355606">
                  <w:pPr>
                    <w:pStyle w:val="Heading3"/>
                    <w:spacing w:before="80"/>
                    <w:rPr>
                      <w:rFonts w:ascii="Trebuchet MS" w:hAnsi="Trebuchet MS"/>
                      <w:szCs w:val="24"/>
                    </w:rPr>
                  </w:pPr>
                  <w:r>
                    <w:rPr>
                      <w:rFonts w:ascii="Trebuchet MS" w:hAnsi="Trebuchet MS"/>
                      <w:b/>
                      <w:szCs w:val="24"/>
                    </w:rPr>
                    <w:t>OCCASIONAL PAPER</w:t>
                  </w:r>
                </w:p>
              </w:txbxContent>
            </v:textbox>
            <w10:wrap anchory="margin"/>
          </v:shape>
        </w:pict>
      </w:r>
      <w:r w:rsidR="00EB0AD7" w:rsidRPr="005C2FCF">
        <w:br w:type="page"/>
      </w:r>
    </w:p>
    <w:p w:rsidR="006D04AD" w:rsidRDefault="006D04AD" w:rsidP="006D04AD">
      <w:pPr>
        <w:pStyle w:val="Heading3"/>
      </w:pPr>
      <w:r>
        <w:lastRenderedPageBreak/>
        <w:t>Publisher</w:t>
      </w:r>
      <w:r w:rsidR="00C15F58">
        <w:t>’</w:t>
      </w:r>
      <w:r>
        <w:t>s note</w:t>
      </w:r>
    </w:p>
    <w:p w:rsidR="00C67D42" w:rsidRDefault="00C67D42" w:rsidP="00C67D42">
      <w:pPr>
        <w:pStyle w:val="Imprint"/>
        <w:ind w:right="1700"/>
      </w:pPr>
      <w:bookmarkStart w:id="6" w:name="_GoBack"/>
      <w:r>
        <w:t xml:space="preserve">This report has been prepared by the National Centre for Vocational Education Research (NCVER) on behalf of the </w:t>
      </w:r>
      <w:r w:rsidR="009005A1">
        <w:t xml:space="preserve">former </w:t>
      </w:r>
      <w:r>
        <w:t>National Senior Officials Committee and the Principal Committees of the Council of Australian Governments’ (COAG) Industry Skills Council (</w:t>
      </w:r>
      <w:r w:rsidR="00CE2187">
        <w:t>previously</w:t>
      </w:r>
      <w:r>
        <w:t xml:space="preserve"> the Standing Council on Tertiary Education, Skills and Employment).</w:t>
      </w:r>
    </w:p>
    <w:bookmarkEnd w:id="6"/>
    <w:p w:rsidR="00EB0AD7" w:rsidRPr="00C77DC6" w:rsidRDefault="00CE2187" w:rsidP="00EB0AD7">
      <w:pPr>
        <w:pStyle w:val="Abouttheresearch"/>
      </w:pPr>
      <w:r>
        <w:rPr>
          <w:rFonts w:ascii="Trebuchet MS" w:hAnsi="Trebuchet MS" w:cs="Times New Roman"/>
          <w:noProof/>
          <w:color w:val="auto"/>
          <w:lang w:eastAsia="en-AU"/>
        </w:rPr>
        <w:pict>
          <v:shape id="_x0000_s1065" type="#_x0000_t202" style="position:absolute;margin-left:0;margin-top:177.35pt;width:344pt;height:456pt;z-index:251658240;v-text-anchor:bottom" filled="f" stroked="f">
            <v:textbox style="mso-next-textbox:#_x0000_s1065" inset="0,,0">
              <w:txbxContent>
                <w:p w:rsidR="00086208" w:rsidRPr="00A021FC" w:rsidRDefault="00086208" w:rsidP="006D04AD">
                  <w:pPr>
                    <w:pStyle w:val="Imprint"/>
                    <w:rPr>
                      <w:b/>
                    </w:rPr>
                  </w:pPr>
                  <w:r w:rsidRPr="00A021FC">
                    <w:rPr>
                      <w:b/>
                    </w:rPr>
                    <w:t xml:space="preserve">© Commonwealth of Australia, </w:t>
                  </w:r>
                  <w:r>
                    <w:rPr>
                      <w:b/>
                    </w:rPr>
                    <w:t>2014</w:t>
                  </w:r>
                </w:p>
                <w:p w:rsidR="00086208" w:rsidRDefault="00086208" w:rsidP="006D04AD">
                  <w:pPr>
                    <w:pStyle w:val="Imprint"/>
                    <w:rPr>
                      <w:sz w:val="20"/>
                    </w:rPr>
                  </w:pPr>
                  <w:r w:rsidRPr="00E80270">
                    <w:rPr>
                      <w:noProof/>
                      <w:sz w:val="20"/>
                      <w:lang w:eastAsia="en-AU"/>
                    </w:rPr>
                    <w:drawing>
                      <wp:inline distT="0" distB="0" distL="0" distR="0">
                        <wp:extent cx="850265" cy="302895"/>
                        <wp:effectExtent l="19050" t="0" r="6985" b="0"/>
                        <wp:docPr id="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86208" w:rsidRPr="00A021FC" w:rsidRDefault="00086208" w:rsidP="006D04AD">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086208" w:rsidRPr="00A021FC" w:rsidRDefault="00086208" w:rsidP="00355606">
                  <w:pPr>
                    <w:pStyle w:val="Imprint"/>
                    <w:spacing w:before="80"/>
                  </w:pPr>
                  <w:r w:rsidRPr="00A021FC">
                    <w:t>The details of the relevant licence conditions are available on the Creative Commons website (accessible using the links provided) as is the full legal code for the CC BY 3.0 AU licence &lt;http://creativecommons.org/licenses/by/3.0/legalcode&gt;.</w:t>
                  </w:r>
                </w:p>
                <w:p w:rsidR="00086208" w:rsidRPr="00A021FC" w:rsidRDefault="00086208" w:rsidP="00355606">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w:t>
                  </w:r>
                  <w:r>
                    <w:t xml:space="preserve"> Vocational Education Research</w:t>
                  </w:r>
                  <w:r w:rsidRPr="00A021FC">
                    <w:t>.</w:t>
                  </w:r>
                </w:p>
                <w:p w:rsidR="00086208" w:rsidRPr="00A021FC" w:rsidRDefault="00086208" w:rsidP="006D04AD">
                  <w:pPr>
                    <w:pStyle w:val="Imprint"/>
                  </w:pPr>
                  <w:r w:rsidRPr="00A021FC">
                    <w:t xml:space="preserve">This document should be attributed as </w:t>
                  </w:r>
                  <w:r>
                    <w:t xml:space="preserve">Griffin, T 2014, </w:t>
                  </w:r>
                  <w:bookmarkStart w:id="7" w:name="OLE_LINK3"/>
                  <w:r w:rsidRPr="006D04AD">
                    <w:rPr>
                      <w:i/>
                    </w:rPr>
                    <w:t>Disadvantaged learners and VET to higher education transitions</w:t>
                  </w:r>
                  <w:bookmarkEnd w:id="7"/>
                  <w:r>
                    <w:rPr>
                      <w:i/>
                    </w:rPr>
                    <w:t xml:space="preserve">, </w:t>
                  </w:r>
                  <w:r w:rsidRPr="00A021FC">
                    <w:t>NCVER, Adelaide.</w:t>
                  </w:r>
                </w:p>
                <w:p w:rsidR="00086208" w:rsidRPr="005C2FCF" w:rsidRDefault="00086208" w:rsidP="006D04AD">
                  <w:pPr>
                    <w:pStyle w:val="Imprint"/>
                    <w:rPr>
                      <w:color w:val="000000"/>
                    </w:rPr>
                  </w:pPr>
                  <w:r w:rsidRPr="005C2FCF">
                    <w:rPr>
                      <w:color w:val="000000"/>
                    </w:rPr>
                    <w:t>ISBN</w:t>
                  </w:r>
                  <w:r w:rsidRPr="005C2FCF">
                    <w:rPr>
                      <w:color w:val="000000"/>
                    </w:rPr>
                    <w:tab/>
                  </w:r>
                  <w:r w:rsidRPr="00741D3D">
                    <w:rPr>
                      <w:color w:val="000000"/>
                    </w:rPr>
                    <w:t>978 1 922056 86 3</w:t>
                  </w:r>
                  <w:r>
                    <w:rPr>
                      <w:color w:val="000000"/>
                    </w:rPr>
                    <w:br/>
                  </w:r>
                  <w:r w:rsidRPr="005C2FCF">
                    <w:rPr>
                      <w:color w:val="000000"/>
                    </w:rPr>
                    <w:t>TD/TNC</w:t>
                  </w:r>
                  <w:r w:rsidRPr="005C2FCF">
                    <w:rPr>
                      <w:color w:val="000000"/>
                    </w:rPr>
                    <w:tab/>
                  </w:r>
                  <w:r>
                    <w:rPr>
                      <w:color w:val="000000"/>
                    </w:rPr>
                    <w:t>115.14</w:t>
                  </w:r>
                </w:p>
                <w:p w:rsidR="00086208" w:rsidRPr="005C2FCF" w:rsidRDefault="00086208" w:rsidP="006D04AD">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86208" w:rsidRPr="005C2FCF" w:rsidRDefault="00086208" w:rsidP="006D04A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86208" w:rsidRPr="00541B94" w:rsidRDefault="00086208" w:rsidP="006D04AD">
                  <w:pPr>
                    <w:pStyle w:val="Imprint"/>
                    <w:spacing w:before="80"/>
                    <w:rPr>
                      <w:color w:val="000000"/>
                    </w:rPr>
                  </w:pPr>
                  <w:r w:rsidRPr="00C304A9">
                    <w:rPr>
                      <w:b/>
                      <w:color w:val="000000"/>
                    </w:rPr>
                    <w:t>P</w:t>
                  </w:r>
                  <w:r w:rsidRPr="005C2FCF">
                    <w:rPr>
                      <w:color w:val="000000"/>
                    </w:rPr>
                    <w:t xml:space="preserve"> +61 8 8230 8400 </w:t>
                  </w:r>
                  <w:r>
                    <w:rPr>
                      <w:color w:val="000000"/>
                    </w:rPr>
                    <w:t xml:space="preserve">  </w:t>
                  </w:r>
                  <w:r w:rsidRPr="00C304A9">
                    <w:rPr>
                      <w:b/>
                      <w:color w:val="000000"/>
                    </w:rPr>
                    <w:t>F</w:t>
                  </w:r>
                  <w:r w:rsidRPr="005C2FCF">
                    <w:rPr>
                      <w:color w:val="000000"/>
                    </w:rPr>
                    <w:t xml:space="preserve"> +61 8 8212 3436</w:t>
                  </w:r>
                  <w:r>
                    <w:rPr>
                      <w:color w:val="000000"/>
                    </w:rPr>
                    <w:t xml:space="preserve">   </w:t>
                  </w:r>
                  <w:r w:rsidRPr="00C304A9">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C304A9">
                    <w:rPr>
                      <w:b/>
                      <w:color w:val="000000"/>
                    </w:rPr>
                    <w:t>W</w:t>
                  </w:r>
                  <w:r>
                    <w:rPr>
                      <w:color w:val="000000"/>
                    </w:rPr>
                    <w:t xml:space="preserve"> </w:t>
                  </w:r>
                  <w:r w:rsidRPr="005C2FCF">
                    <w:rPr>
                      <w:color w:val="000000"/>
                    </w:rPr>
                    <w:t>&lt;www.ncver.edu.au&gt;</w:t>
                  </w:r>
                  <w:r>
                    <w:rPr>
                      <w:color w:val="000000"/>
                    </w:rPr>
                    <w:t xml:space="preserve"> </w:t>
                  </w:r>
                </w:p>
              </w:txbxContent>
            </v:textbox>
          </v:shape>
        </w:pict>
      </w:r>
      <w:r w:rsidR="00EB0AD7" w:rsidRPr="005C2FCF">
        <w:br w:type="page"/>
      </w:r>
      <w:bookmarkStart w:id="8" w:name="_Toc73766312"/>
      <w:bookmarkStart w:id="9" w:name="_Toc77937774"/>
      <w:bookmarkStart w:id="10" w:name="_Toc80174750"/>
      <w:bookmarkStart w:id="11" w:name="_Toc81560506"/>
      <w:bookmarkStart w:id="12" w:name="_Toc82071799"/>
      <w:bookmarkStart w:id="13" w:name="_Toc82151754"/>
      <w:bookmarkStart w:id="14" w:name="_Toc82498260"/>
      <w:bookmarkStart w:id="15" w:name="_Toc86829097"/>
      <w:bookmarkStart w:id="16" w:name="_Toc89226248"/>
      <w:bookmarkStart w:id="17" w:name="_Toc89240893"/>
      <w:bookmarkStart w:id="18" w:name="_Toc98394875"/>
      <w:bookmarkStart w:id="19" w:name="_Toc296423679"/>
      <w:bookmarkStart w:id="20" w:name="_Toc296497510"/>
      <w:r w:rsidR="00EB0AD7" w:rsidRPr="005C2FCF">
        <w:lastRenderedPageBreak/>
        <w:t>About the research</w:t>
      </w:r>
      <w:bookmarkEnd w:id="8"/>
      <w:bookmarkEnd w:id="9"/>
      <w:bookmarkEnd w:id="10"/>
      <w:bookmarkEnd w:id="11"/>
      <w:bookmarkEnd w:id="12"/>
      <w:bookmarkEnd w:id="13"/>
      <w:bookmarkEnd w:id="14"/>
      <w:bookmarkEnd w:id="15"/>
      <w:bookmarkEnd w:id="16"/>
      <w:bookmarkEnd w:id="17"/>
      <w:bookmarkEnd w:id="18"/>
      <w:bookmarkEnd w:id="19"/>
      <w:bookmarkEnd w:id="20"/>
    </w:p>
    <w:p w:rsidR="00EB0AD7" w:rsidRDefault="00123866" w:rsidP="00EB0AD7">
      <w:pPr>
        <w:pStyle w:val="Abouttheresearchpubtitle"/>
      </w:pPr>
      <w:bookmarkStart w:id="21" w:name="_Toc98394877"/>
      <w:r>
        <w:t xml:space="preserve">Disadvantaged learners and VET to </w:t>
      </w:r>
      <w:r w:rsidR="005C1E94">
        <w:t>higher education transitions</w:t>
      </w:r>
    </w:p>
    <w:p w:rsidR="00EB0AD7" w:rsidRDefault="005C1E94" w:rsidP="00EB0AD7">
      <w:pPr>
        <w:pStyle w:val="Heading3"/>
      </w:pPr>
      <w:bookmarkStart w:id="22" w:name="_Toc296423681"/>
      <w:bookmarkStart w:id="23" w:name="_Toc296497512"/>
      <w:r>
        <w:t>Tabatha Griffin, NCVER</w:t>
      </w:r>
      <w:bookmarkEnd w:id="21"/>
      <w:bookmarkEnd w:id="22"/>
      <w:bookmarkEnd w:id="23"/>
    </w:p>
    <w:p w:rsidR="00CE198E" w:rsidRPr="00355606" w:rsidRDefault="00CE198E" w:rsidP="00355606">
      <w:pPr>
        <w:pStyle w:val="Text"/>
        <w:spacing w:before="360"/>
      </w:pPr>
      <w:r>
        <w:t xml:space="preserve">The vocational education and training (VET) system can provide an entry point to the education sector for people who have experienced disadvantage in their lives. Participation in </w:t>
      </w:r>
      <w:r w:rsidR="00123866">
        <w:t>VET</w:t>
      </w:r>
      <w:r>
        <w:t xml:space="preserve"> can provide personal benefits as well as lead to </w:t>
      </w:r>
      <w:r w:rsidRPr="00355606">
        <w:t xml:space="preserve">further study </w:t>
      </w:r>
      <w:r w:rsidR="00713396" w:rsidRPr="00355606">
        <w:t>and/</w:t>
      </w:r>
      <w:r w:rsidRPr="00355606">
        <w:t xml:space="preserve">or employment. </w:t>
      </w:r>
    </w:p>
    <w:p w:rsidR="00427E69" w:rsidRPr="00CE198E" w:rsidRDefault="00713396" w:rsidP="00355606">
      <w:pPr>
        <w:pStyle w:val="Text"/>
      </w:pPr>
      <w:r w:rsidRPr="00355606">
        <w:t>How disadvantaged learne</w:t>
      </w:r>
      <w:r>
        <w:t xml:space="preserve">rs participate in </w:t>
      </w:r>
      <w:r w:rsidR="00123866">
        <w:t>vocational education and training</w:t>
      </w:r>
      <w:r>
        <w:t xml:space="preserve"> </w:t>
      </w:r>
      <w:r w:rsidR="00050179">
        <w:t>is an important consideration.</w:t>
      </w:r>
      <w:r>
        <w:t xml:space="preserve"> </w:t>
      </w:r>
      <w:r w:rsidR="00427E69">
        <w:t>Further study and employment outcomes are more likely to stem</w:t>
      </w:r>
      <w:r w:rsidR="00FC0E96">
        <w:t xml:space="preserve"> from completing a higher-level </w:t>
      </w:r>
      <w:r w:rsidR="00427E69">
        <w:t xml:space="preserve">VET qualification, but disadvantaged </w:t>
      </w:r>
      <w:r w:rsidR="00123866">
        <w:t>learners tend to enrol in lower-</w:t>
      </w:r>
      <w:r w:rsidR="00427E69">
        <w:t>level qualifications. Hence, whether or not disadvantaged learne</w:t>
      </w:r>
      <w:r w:rsidR="00123866">
        <w:t>rs are transitioning from lower-</w:t>
      </w:r>
      <w:r w:rsidR="00427E69">
        <w:t>lev</w:t>
      </w:r>
      <w:r w:rsidR="00123866">
        <w:t>el VET qualifications to higher-</w:t>
      </w:r>
      <w:r w:rsidR="00427E69">
        <w:t xml:space="preserve">level </w:t>
      </w:r>
      <w:r w:rsidR="00123866">
        <w:t>vocational education and training</w:t>
      </w:r>
      <w:r w:rsidR="00427E69">
        <w:t xml:space="preserve"> and into higher education is of interest. </w:t>
      </w:r>
      <w:r>
        <w:t>Based on a review of the literature, t</w:t>
      </w:r>
      <w:r w:rsidR="00427E69">
        <w:t>his paper synthesises what is currently known about these transitions for disadvantaged learners.</w:t>
      </w:r>
    </w:p>
    <w:p w:rsidR="00EB0AD7" w:rsidRPr="005C2FCF" w:rsidRDefault="00EB0AD7" w:rsidP="00EB0AD7">
      <w:pPr>
        <w:pStyle w:val="Keymessages"/>
      </w:pPr>
      <w:bookmarkStart w:id="24" w:name="_Toc98394878"/>
      <w:bookmarkStart w:id="25" w:name="_Toc296423682"/>
      <w:bookmarkStart w:id="26" w:name="_Toc296497513"/>
      <w:r w:rsidRPr="005C2FCF">
        <w:t>Key messages</w:t>
      </w:r>
      <w:bookmarkEnd w:id="24"/>
      <w:bookmarkEnd w:id="25"/>
      <w:bookmarkEnd w:id="26"/>
    </w:p>
    <w:p w:rsidR="009C101B" w:rsidRDefault="009C101B" w:rsidP="00355606">
      <w:pPr>
        <w:pStyle w:val="Text"/>
      </w:pPr>
      <w:r>
        <w:t>Disadvantaged learners tend</w:t>
      </w:r>
      <w:r w:rsidR="00123866">
        <w:t xml:space="preserve"> to be overrepresented in lower-</w:t>
      </w:r>
      <w:r>
        <w:t>level VET qualifications</w:t>
      </w:r>
      <w:r w:rsidR="00123866">
        <w:t xml:space="preserve"> and underrepresented in higher-</w:t>
      </w:r>
      <w:r>
        <w:t xml:space="preserve">level VET and higher education. </w:t>
      </w:r>
      <w:r w:rsidR="00A33958">
        <w:t>There is little in the literature that provides student perspec</w:t>
      </w:r>
      <w:r w:rsidR="00123866">
        <w:t>tives on transitions from lower-level to higher-</w:t>
      </w:r>
      <w:r w:rsidR="00A33958">
        <w:t xml:space="preserve">level </w:t>
      </w:r>
      <w:r w:rsidR="00123866" w:rsidRPr="00355606">
        <w:t>vocational</w:t>
      </w:r>
      <w:r w:rsidR="00123866">
        <w:t xml:space="preserve"> education and training</w:t>
      </w:r>
      <w:r w:rsidR="00A33958">
        <w:t xml:space="preserve"> and from VET into higher education. The literature shows that t</w:t>
      </w:r>
      <w:r>
        <w:t>ransition from VET to higher education is a viable pathway for s</w:t>
      </w:r>
      <w:r w:rsidR="00A33958">
        <w:t xml:space="preserve">ome disadvantaged learners, although it is </w:t>
      </w:r>
      <w:r>
        <w:t xml:space="preserve">not used as widely as </w:t>
      </w:r>
      <w:r w:rsidR="00DA47D2">
        <w:t>it</w:t>
      </w:r>
      <w:r>
        <w:t xml:space="preserve"> could be. There are a number of factors that act as barriers: </w:t>
      </w:r>
    </w:p>
    <w:p w:rsidR="009C101B" w:rsidRDefault="009C101B" w:rsidP="009C101B">
      <w:pPr>
        <w:pStyle w:val="Dotpoint1"/>
      </w:pPr>
      <w:r>
        <w:t xml:space="preserve">Transition from </w:t>
      </w:r>
      <w:r w:rsidR="00123866">
        <w:t>vocational education and training</w:t>
      </w:r>
      <w:r>
        <w:t xml:space="preserve"> to higher education is m</w:t>
      </w:r>
      <w:r w:rsidR="00123866">
        <w:t>ore likely to occur from higher-</w:t>
      </w:r>
      <w:r>
        <w:t>level VET qualifications. However, disadvantaged learners re-engaging with the education sector ar</w:t>
      </w:r>
      <w:r w:rsidR="00123866">
        <w:t>e more likely to enrol in lower-</w:t>
      </w:r>
      <w:r>
        <w:t>level qualifications.</w:t>
      </w:r>
    </w:p>
    <w:p w:rsidR="009C101B" w:rsidRDefault="009C101B" w:rsidP="009C101B">
      <w:pPr>
        <w:pStyle w:val="Dotpoint1"/>
      </w:pPr>
      <w:r>
        <w:t xml:space="preserve">Transition from VET to higher education can be complicated, even for students who are not disadvantaged. This is despite the array of formal arrangements, such </w:t>
      </w:r>
      <w:r w:rsidR="002E17EE">
        <w:t>as credit transfer, and supports that are in place.</w:t>
      </w:r>
    </w:p>
    <w:p w:rsidR="00AF6A3E" w:rsidRDefault="00AF6A3E" w:rsidP="009C101B">
      <w:pPr>
        <w:pStyle w:val="Dotpoint1"/>
      </w:pPr>
      <w:r>
        <w:t>Support services can make a difference</w:t>
      </w:r>
      <w:r w:rsidR="002E17EE">
        <w:t>,</w:t>
      </w:r>
      <w:r>
        <w:t xml:space="preserve"> but there is a tension between providing </w:t>
      </w:r>
      <w:r w:rsidR="00CE198E">
        <w:t>individually ta</w:t>
      </w:r>
      <w:r>
        <w:t xml:space="preserve">ilored support and system-wide support. </w:t>
      </w:r>
      <w:r w:rsidR="00413A62">
        <w:t>Limited resources are</w:t>
      </w:r>
      <w:r w:rsidR="00CE198E">
        <w:t xml:space="preserve"> a</w:t>
      </w:r>
      <w:r w:rsidR="00C72788">
        <w:t>n</w:t>
      </w:r>
      <w:r w:rsidR="00CE198E">
        <w:t xml:space="preserve"> issue</w:t>
      </w:r>
      <w:r w:rsidR="00C72788">
        <w:t>,</w:t>
      </w:r>
      <w:r w:rsidR="00DA47D2">
        <w:t xml:space="preserve"> and </w:t>
      </w:r>
      <w:r w:rsidR="003E6EC2">
        <w:t>priority should be given to supports most likely to lead to positive outcomes</w:t>
      </w:r>
      <w:r w:rsidR="00CE198E">
        <w:t>.</w:t>
      </w:r>
      <w:r w:rsidR="00DA47D2">
        <w:t xml:space="preserve"> </w:t>
      </w:r>
    </w:p>
    <w:p w:rsidR="00A33958" w:rsidRPr="00355606" w:rsidRDefault="00A33958" w:rsidP="00355606">
      <w:pPr>
        <w:pStyle w:val="Text"/>
      </w:pPr>
    </w:p>
    <w:p w:rsidR="00EB0AD7" w:rsidRPr="005C2FCF" w:rsidRDefault="00A5417C" w:rsidP="00355606">
      <w:pPr>
        <w:pStyle w:val="Text"/>
      </w:pPr>
      <w:r w:rsidRPr="00355606">
        <w:t xml:space="preserve">Rod </w:t>
      </w:r>
      <w:proofErr w:type="spellStart"/>
      <w:r w:rsidRPr="00355606">
        <w:t>Cam</w:t>
      </w:r>
      <w:r>
        <w:t>m</w:t>
      </w:r>
      <w:proofErr w:type="spellEnd"/>
      <w:r w:rsidR="00EB0AD7" w:rsidRPr="005C2FCF">
        <w:br/>
        <w:t>Managing Director, NCVER</w:t>
      </w:r>
    </w:p>
    <w:p w:rsidR="00EB0AD7" w:rsidRDefault="00EB0AD7" w:rsidP="00EB0AD7">
      <w:pPr>
        <w:spacing w:before="0" w:line="240" w:lineRule="auto"/>
      </w:pPr>
      <w:r>
        <w:br w:type="page"/>
      </w:r>
    </w:p>
    <w:p w:rsidR="00EB0AD7" w:rsidRDefault="00EB0AD7" w:rsidP="00EB0AD7">
      <w:pPr>
        <w:pStyle w:val="Contents"/>
      </w:pPr>
    </w:p>
    <w:p w:rsidR="00EB0AD7" w:rsidRDefault="00EB0AD7" w:rsidP="00EB0AD7">
      <w:pPr>
        <w:pStyle w:val="Contents"/>
        <w:sectPr w:rsidR="00EB0AD7" w:rsidSect="00355606">
          <w:pgSz w:w="11907" w:h="16840" w:code="9"/>
          <w:pgMar w:top="1276" w:right="1701" w:bottom="1276" w:left="1418" w:header="709" w:footer="556" w:gutter="0"/>
          <w:cols w:space="708"/>
          <w:docGrid w:linePitch="360"/>
        </w:sectPr>
      </w:pPr>
    </w:p>
    <w:p w:rsidR="00EB0AD7" w:rsidRPr="00DC5F5C" w:rsidRDefault="00EB0AD7" w:rsidP="00EB0AD7">
      <w:pPr>
        <w:pStyle w:val="Contents"/>
      </w:pPr>
      <w:bookmarkStart w:id="27" w:name="_Toc98394880"/>
      <w:bookmarkStart w:id="28" w:name="_Toc296423683"/>
      <w:bookmarkStart w:id="29" w:name="_Toc296497514"/>
      <w:r w:rsidRPr="00DC5F5C">
        <w:lastRenderedPageBreak/>
        <w:t>Contents</w:t>
      </w:r>
      <w:bookmarkEnd w:id="27"/>
      <w:bookmarkEnd w:id="28"/>
      <w:bookmarkEnd w:id="29"/>
    </w:p>
    <w:p w:rsidR="00E80678" w:rsidRDefault="00B57422">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EB0AD7" w:rsidRPr="009775C7">
        <w:rPr>
          <w:rFonts w:ascii="Avant Garde" w:hAnsi="Avant Garde"/>
        </w:rPr>
        <w:instrText xml:space="preserve"> TOC \o "1-2" </w:instrText>
      </w:r>
      <w:r w:rsidRPr="009775C7">
        <w:rPr>
          <w:rFonts w:ascii="Avant Garde" w:hAnsi="Avant Garde"/>
        </w:rPr>
        <w:fldChar w:fldCharType="separate"/>
      </w:r>
      <w:r w:rsidR="00E80678">
        <w:t>Introduction</w:t>
      </w:r>
      <w:r w:rsidR="00E80678">
        <w:tab/>
      </w:r>
      <w:r>
        <w:fldChar w:fldCharType="begin"/>
      </w:r>
      <w:r w:rsidR="00E80678">
        <w:instrText xml:space="preserve"> PAGEREF _Toc381110819 \h </w:instrText>
      </w:r>
      <w:r>
        <w:fldChar w:fldCharType="separate"/>
      </w:r>
      <w:r w:rsidR="00E80678">
        <w:t>6</w:t>
      </w:r>
      <w:r>
        <w:fldChar w:fldCharType="end"/>
      </w:r>
    </w:p>
    <w:p w:rsidR="00E80678" w:rsidRDefault="00E80678">
      <w:pPr>
        <w:pStyle w:val="TOC1"/>
        <w:rPr>
          <w:rFonts w:asciiTheme="minorHAnsi" w:eastAsiaTheme="minorEastAsia" w:hAnsiTheme="minorHAnsi" w:cstheme="minorBidi"/>
          <w:color w:val="auto"/>
          <w:sz w:val="22"/>
          <w:szCs w:val="22"/>
          <w:lang w:eastAsia="en-AU"/>
        </w:rPr>
      </w:pPr>
      <w:r>
        <w:t>Access and participation in tertiary education</w:t>
      </w:r>
      <w:r>
        <w:tab/>
      </w:r>
      <w:r w:rsidR="00B57422">
        <w:fldChar w:fldCharType="begin"/>
      </w:r>
      <w:r>
        <w:instrText xml:space="preserve"> PAGEREF _Toc381110820 \h </w:instrText>
      </w:r>
      <w:r w:rsidR="00B57422">
        <w:fldChar w:fldCharType="separate"/>
      </w:r>
      <w:r>
        <w:t>7</w:t>
      </w:r>
      <w:r w:rsidR="00B57422">
        <w:fldChar w:fldCharType="end"/>
      </w:r>
    </w:p>
    <w:p w:rsidR="00E80678" w:rsidRDefault="00E80678">
      <w:pPr>
        <w:pStyle w:val="TOC1"/>
        <w:rPr>
          <w:rFonts w:asciiTheme="minorHAnsi" w:eastAsiaTheme="minorEastAsia" w:hAnsiTheme="minorHAnsi" w:cstheme="minorBidi"/>
          <w:color w:val="auto"/>
          <w:sz w:val="22"/>
          <w:szCs w:val="22"/>
          <w:lang w:eastAsia="en-AU"/>
        </w:rPr>
      </w:pPr>
      <w:r>
        <w:t>Transitions to higher-level study</w:t>
      </w:r>
      <w:r>
        <w:tab/>
      </w:r>
      <w:r w:rsidR="00B57422">
        <w:fldChar w:fldCharType="begin"/>
      </w:r>
      <w:r>
        <w:instrText xml:space="preserve"> PAGEREF _Toc381110821 \h </w:instrText>
      </w:r>
      <w:r w:rsidR="00B57422">
        <w:fldChar w:fldCharType="separate"/>
      </w:r>
      <w:r>
        <w:t>11</w:t>
      </w:r>
      <w:r w:rsidR="00B57422">
        <w:fldChar w:fldCharType="end"/>
      </w:r>
    </w:p>
    <w:p w:rsidR="00E80678" w:rsidRDefault="00E80678">
      <w:pPr>
        <w:pStyle w:val="TOC1"/>
        <w:rPr>
          <w:rFonts w:asciiTheme="minorHAnsi" w:eastAsiaTheme="minorEastAsia" w:hAnsiTheme="minorHAnsi" w:cstheme="minorBidi"/>
          <w:color w:val="auto"/>
          <w:sz w:val="22"/>
          <w:szCs w:val="22"/>
          <w:lang w:eastAsia="en-AU"/>
        </w:rPr>
      </w:pPr>
      <w:r>
        <w:t>Support services</w:t>
      </w:r>
      <w:r>
        <w:tab/>
      </w:r>
      <w:r w:rsidR="00B57422">
        <w:fldChar w:fldCharType="begin"/>
      </w:r>
      <w:r>
        <w:instrText xml:space="preserve"> PAGEREF _Toc381110822 \h </w:instrText>
      </w:r>
      <w:r w:rsidR="00B57422">
        <w:fldChar w:fldCharType="separate"/>
      </w:r>
      <w:r>
        <w:t>15</w:t>
      </w:r>
      <w:r w:rsidR="00B57422">
        <w:fldChar w:fldCharType="end"/>
      </w:r>
    </w:p>
    <w:p w:rsidR="00E80678" w:rsidRDefault="00E80678">
      <w:pPr>
        <w:pStyle w:val="TOC1"/>
        <w:rPr>
          <w:rFonts w:asciiTheme="minorHAnsi" w:eastAsiaTheme="minorEastAsia" w:hAnsiTheme="minorHAnsi" w:cstheme="minorBidi"/>
          <w:color w:val="auto"/>
          <w:sz w:val="22"/>
          <w:szCs w:val="22"/>
          <w:lang w:eastAsia="en-AU"/>
        </w:rPr>
      </w:pPr>
      <w:r>
        <w:t>Discussion</w:t>
      </w:r>
      <w:r>
        <w:tab/>
      </w:r>
      <w:r w:rsidR="00B57422">
        <w:fldChar w:fldCharType="begin"/>
      </w:r>
      <w:r>
        <w:instrText xml:space="preserve"> PAGEREF _Toc381110823 \h </w:instrText>
      </w:r>
      <w:r w:rsidR="00B57422">
        <w:fldChar w:fldCharType="separate"/>
      </w:r>
      <w:r>
        <w:t>18</w:t>
      </w:r>
      <w:r w:rsidR="00B57422">
        <w:fldChar w:fldCharType="end"/>
      </w:r>
    </w:p>
    <w:p w:rsidR="00E80678" w:rsidRDefault="00E80678">
      <w:pPr>
        <w:pStyle w:val="TOC1"/>
        <w:rPr>
          <w:rFonts w:asciiTheme="minorHAnsi" w:eastAsiaTheme="minorEastAsia" w:hAnsiTheme="minorHAnsi" w:cstheme="minorBidi"/>
          <w:color w:val="auto"/>
          <w:sz w:val="22"/>
          <w:szCs w:val="22"/>
          <w:lang w:eastAsia="en-AU"/>
        </w:rPr>
      </w:pPr>
      <w:r>
        <w:t>References</w:t>
      </w:r>
      <w:r>
        <w:tab/>
      </w:r>
      <w:r w:rsidR="00B57422">
        <w:fldChar w:fldCharType="begin"/>
      </w:r>
      <w:r>
        <w:instrText xml:space="preserve"> PAGEREF _Toc381110824 \h </w:instrText>
      </w:r>
      <w:r w:rsidR="00B57422">
        <w:fldChar w:fldCharType="separate"/>
      </w:r>
      <w:r>
        <w:t>20</w:t>
      </w:r>
      <w:r w:rsidR="00B57422">
        <w:fldChar w:fldCharType="end"/>
      </w:r>
    </w:p>
    <w:p w:rsidR="00E80678" w:rsidRDefault="00C67D42">
      <w:pPr>
        <w:pStyle w:val="TOC1"/>
        <w:rPr>
          <w:rFonts w:asciiTheme="minorHAnsi" w:eastAsiaTheme="minorEastAsia" w:hAnsiTheme="minorHAnsi" w:cstheme="minorBidi"/>
          <w:color w:val="auto"/>
          <w:sz w:val="22"/>
          <w:szCs w:val="22"/>
          <w:lang w:eastAsia="en-AU"/>
        </w:rPr>
      </w:pPr>
      <w:r>
        <w:t>Funding information</w:t>
      </w:r>
      <w:r w:rsidR="00E80678">
        <w:tab/>
      </w:r>
      <w:r w:rsidR="00B57422">
        <w:fldChar w:fldCharType="begin"/>
      </w:r>
      <w:r w:rsidR="00E80678">
        <w:instrText xml:space="preserve"> PAGEREF _Toc381110825 \h </w:instrText>
      </w:r>
      <w:r w:rsidR="00B57422">
        <w:fldChar w:fldCharType="separate"/>
      </w:r>
      <w:r w:rsidR="00E80678">
        <w:t>22</w:t>
      </w:r>
      <w:r w:rsidR="00B57422">
        <w:fldChar w:fldCharType="end"/>
      </w:r>
    </w:p>
    <w:p w:rsidR="00EB0AD7" w:rsidRDefault="00B57422" w:rsidP="00EB0AD7">
      <w:pPr>
        <w:pStyle w:val="Text"/>
      </w:pPr>
      <w:r w:rsidRPr="009775C7">
        <w:fldChar w:fldCharType="end"/>
      </w:r>
    </w:p>
    <w:p w:rsidR="0013076C" w:rsidRDefault="0013076C">
      <w:pPr>
        <w:spacing w:before="0" w:line="240" w:lineRule="auto"/>
      </w:pPr>
      <w:r>
        <w:br w:type="page"/>
      </w:r>
    </w:p>
    <w:p w:rsidR="00E811C3" w:rsidRPr="005C2FCF" w:rsidRDefault="00F911A8" w:rsidP="00E811C3">
      <w:pPr>
        <w:pStyle w:val="Heading1"/>
      </w:pPr>
      <w:bookmarkStart w:id="30" w:name="_Toc381110819"/>
      <w:r>
        <w:lastRenderedPageBreak/>
        <w:t>Introduction</w:t>
      </w:r>
      <w:bookmarkEnd w:id="30"/>
    </w:p>
    <w:p w:rsidR="002E6B70" w:rsidRPr="005C1E2D" w:rsidRDefault="008718A7" w:rsidP="005C1E2D">
      <w:pPr>
        <w:pStyle w:val="Text"/>
      </w:pPr>
      <w:r>
        <w:t xml:space="preserve">The vocational education and training </w:t>
      </w:r>
      <w:r w:rsidR="00A33958">
        <w:t xml:space="preserve">(VET) </w:t>
      </w:r>
      <w:r w:rsidR="002E17EE">
        <w:t>system provides opportunities</w:t>
      </w:r>
      <w:r>
        <w:t xml:space="preserve"> for individuals to un</w:t>
      </w:r>
      <w:r w:rsidR="00AA58CC">
        <w:t>dertake training for employment-</w:t>
      </w:r>
      <w:r>
        <w:t>related</w:t>
      </w:r>
      <w:r w:rsidR="004D04B3">
        <w:t xml:space="preserve"> reasons</w:t>
      </w:r>
      <w:r>
        <w:t>, to enable further study</w:t>
      </w:r>
      <w:r w:rsidR="002E17EE">
        <w:t>,</w:t>
      </w:r>
      <w:r>
        <w:t xml:space="preserve"> or for personal interest and development. </w:t>
      </w:r>
      <w:r w:rsidR="00AA58CC">
        <w:t>Vocational education and training</w:t>
      </w:r>
      <w:r w:rsidR="00AE0B1F">
        <w:t xml:space="preserve"> also often provides an entry point to the education system for individuals who have experienced </w:t>
      </w:r>
      <w:r w:rsidR="00515A30">
        <w:t xml:space="preserve">barriers </w:t>
      </w:r>
      <w:r w:rsidR="00B7300D">
        <w:t xml:space="preserve">to participation in education (Curtis 2009). </w:t>
      </w:r>
      <w:r w:rsidR="002E6B70">
        <w:t xml:space="preserve">When considering </w:t>
      </w:r>
      <w:r w:rsidR="001C1482">
        <w:t xml:space="preserve">VET </w:t>
      </w:r>
      <w:r w:rsidR="002E6B70">
        <w:t xml:space="preserve">for those individuals belonging to one or more equity group, </w:t>
      </w:r>
      <w:r w:rsidR="00AE0B1F">
        <w:t xml:space="preserve">access and </w:t>
      </w:r>
      <w:r w:rsidR="002E6B70">
        <w:t>participation</w:t>
      </w:r>
      <w:r w:rsidR="00B7300D">
        <w:t xml:space="preserve"> </w:t>
      </w:r>
      <w:r w:rsidR="002E6B70">
        <w:t xml:space="preserve">alone only </w:t>
      </w:r>
      <w:r w:rsidR="002E6B70" w:rsidRPr="005C1E2D">
        <w:t xml:space="preserve">tell part of the story. How </w:t>
      </w:r>
      <w:r w:rsidR="003E6EC2" w:rsidRPr="005C1E2D">
        <w:t>students</w:t>
      </w:r>
      <w:r w:rsidR="002E6B70" w:rsidRPr="005C1E2D">
        <w:t xml:space="preserve"> participate, and the outcomes they achieve, is also important.</w:t>
      </w:r>
    </w:p>
    <w:p w:rsidR="0076293A" w:rsidRPr="005C1E2D" w:rsidRDefault="00AE0B1F" w:rsidP="005C1E2D">
      <w:pPr>
        <w:pStyle w:val="Text"/>
      </w:pPr>
      <w:r w:rsidRPr="005C1E2D">
        <w:t>For many people in equity gro</w:t>
      </w:r>
      <w:r w:rsidR="007624B1" w:rsidRPr="005C1E2D">
        <w:t xml:space="preserve">ups, </w:t>
      </w:r>
      <w:r w:rsidR="00AA58CC" w:rsidRPr="005C1E2D">
        <w:t xml:space="preserve">lower-level </w:t>
      </w:r>
      <w:r w:rsidR="007624B1" w:rsidRPr="005C1E2D">
        <w:t>qualifications</w:t>
      </w:r>
      <w:r w:rsidRPr="005C1E2D">
        <w:t xml:space="preserve"> </w:t>
      </w:r>
      <w:r w:rsidR="007624B1" w:rsidRPr="005C1E2D">
        <w:t>(</w:t>
      </w:r>
      <w:r w:rsidR="00AA58CC" w:rsidRPr="005C1E2D">
        <w:t>c</w:t>
      </w:r>
      <w:r w:rsidRPr="005C1E2D">
        <w:t>ertific</w:t>
      </w:r>
      <w:r w:rsidR="007624B1" w:rsidRPr="005C1E2D">
        <w:t>ate levels I and II</w:t>
      </w:r>
      <w:r w:rsidR="00AA58CC" w:rsidRPr="005C1E2D">
        <w:t>,</w:t>
      </w:r>
      <w:r w:rsidR="007624B1" w:rsidRPr="005C1E2D">
        <w:t xml:space="preserve"> for example)</w:t>
      </w:r>
      <w:r w:rsidRPr="005C1E2D">
        <w:t xml:space="preserve"> may provide an entry point to the VET system. While these qualifications might </w:t>
      </w:r>
      <w:r w:rsidR="00FC0E96" w:rsidRPr="005C1E2D">
        <w:t>offer</w:t>
      </w:r>
      <w:r w:rsidRPr="005C1E2D">
        <w:t xml:space="preserve"> some personal benefits, such as improved self-esteem, the employment and further study outcomes for prime- and mature-aged students have been shown to be limited (Stanwick 2006). The</w:t>
      </w:r>
      <w:r w:rsidR="007624B1" w:rsidRPr="005C1E2D">
        <w:t xml:space="preserve">re is a </w:t>
      </w:r>
      <w:r w:rsidRPr="005C1E2D">
        <w:t xml:space="preserve">question </w:t>
      </w:r>
      <w:r w:rsidR="002E17EE" w:rsidRPr="005C1E2D">
        <w:t>about</w:t>
      </w:r>
      <w:r w:rsidR="007624B1" w:rsidRPr="005C1E2D">
        <w:t xml:space="preserve"> </w:t>
      </w:r>
      <w:r w:rsidRPr="005C1E2D">
        <w:t xml:space="preserve">whether disadvantaged students are </w:t>
      </w:r>
      <w:r w:rsidR="009B1F34" w:rsidRPr="005C1E2D">
        <w:t>using those qualifications as a stepping stone to further study at higher levels</w:t>
      </w:r>
      <w:r w:rsidRPr="005C1E2D">
        <w:t>.</w:t>
      </w:r>
    </w:p>
    <w:p w:rsidR="00055A6D" w:rsidRPr="005C1E2D" w:rsidRDefault="00FE5C0D" w:rsidP="005C1E2D">
      <w:pPr>
        <w:pStyle w:val="Text"/>
      </w:pPr>
      <w:r w:rsidRPr="005C1E2D">
        <w:t xml:space="preserve">Graduates of </w:t>
      </w:r>
      <w:r w:rsidR="00FC0E96" w:rsidRPr="005C1E2D">
        <w:t xml:space="preserve">higher-level </w:t>
      </w:r>
      <w:r w:rsidRPr="005C1E2D">
        <w:t>VET qualifications are more likely to be employed after training (NCVER 2012</w:t>
      </w:r>
      <w:r w:rsidR="003B0505" w:rsidRPr="005C1E2D">
        <w:t>a</w:t>
      </w:r>
      <w:r w:rsidRPr="005C1E2D">
        <w:t>)</w:t>
      </w:r>
      <w:r w:rsidR="009D16F1" w:rsidRPr="005C1E2D">
        <w:t xml:space="preserve"> and the Council of Australian Governments </w:t>
      </w:r>
      <w:r w:rsidR="00FC0E96" w:rsidRPr="005C1E2D">
        <w:t xml:space="preserve">(COAG) </w:t>
      </w:r>
      <w:r w:rsidR="009D16F1" w:rsidRPr="005C1E2D">
        <w:t>co</w:t>
      </w:r>
      <w:r w:rsidR="00FC0E96" w:rsidRPr="005C1E2D">
        <w:t>nsiders a c</w:t>
      </w:r>
      <w:r w:rsidR="009D16F1" w:rsidRPr="005C1E2D">
        <w:t>e</w:t>
      </w:r>
      <w:r w:rsidR="00777121" w:rsidRPr="005C1E2D">
        <w:t>rtificate III to be the minimum-</w:t>
      </w:r>
      <w:r w:rsidR="009D16F1" w:rsidRPr="005C1E2D">
        <w:t xml:space="preserve">level qualification </w:t>
      </w:r>
      <w:r w:rsidR="00777121" w:rsidRPr="005C1E2D">
        <w:t>for improving</w:t>
      </w:r>
      <w:r w:rsidR="009D16F1" w:rsidRPr="005C1E2D">
        <w:t xml:space="preserve"> employment outcomes (</w:t>
      </w:r>
      <w:r w:rsidR="00FC0E96" w:rsidRPr="005C1E2D">
        <w:t>Council of Australian Governments</w:t>
      </w:r>
      <w:r w:rsidR="009D16F1" w:rsidRPr="005C1E2D">
        <w:t xml:space="preserve"> Reform Council 2010)</w:t>
      </w:r>
      <w:r w:rsidRPr="005C1E2D">
        <w:t xml:space="preserve">. </w:t>
      </w:r>
      <w:r w:rsidR="00E821BA" w:rsidRPr="005C1E2D">
        <w:t xml:space="preserve">This trend has been shown to hold true in those equity groups where it </w:t>
      </w:r>
      <w:r w:rsidR="00F31EF9">
        <w:t>has</w:t>
      </w:r>
      <w:r w:rsidR="00E821BA" w:rsidRPr="005C1E2D">
        <w:t xml:space="preserve"> been investigated</w:t>
      </w:r>
      <w:r w:rsidR="001C1482">
        <w:t>;</w:t>
      </w:r>
      <w:r w:rsidR="00E821BA" w:rsidRPr="005C1E2D">
        <w:t xml:space="preserve"> </w:t>
      </w:r>
      <w:r w:rsidR="001C1482">
        <w:t>f</w:t>
      </w:r>
      <w:r w:rsidR="0086606E" w:rsidRPr="005C1E2D">
        <w:t xml:space="preserve">or example, Polidano and Mavromaras (2010) showed that </w:t>
      </w:r>
      <w:r w:rsidR="00777121" w:rsidRPr="005C1E2D">
        <w:t xml:space="preserve">the </w:t>
      </w:r>
      <w:r w:rsidR="0086606E" w:rsidRPr="005C1E2D">
        <w:t xml:space="preserve">completion of a VET qualification at </w:t>
      </w:r>
      <w:r w:rsidR="00FC0E96" w:rsidRPr="005C1E2D">
        <w:t>certificate</w:t>
      </w:r>
      <w:r w:rsidR="0086606E" w:rsidRPr="005C1E2D">
        <w:t xml:space="preserve"> III or above significantly improved the employme</w:t>
      </w:r>
      <w:r w:rsidR="00055A6D" w:rsidRPr="005C1E2D">
        <w:t>nt of people with a</w:t>
      </w:r>
      <w:r w:rsidR="005C1E2D">
        <w:t> </w:t>
      </w:r>
      <w:r w:rsidR="00055A6D" w:rsidRPr="005C1E2D">
        <w:t>disability.</w:t>
      </w:r>
      <w:r w:rsidR="00E821BA" w:rsidRPr="005C1E2D">
        <w:t xml:space="preserve"> </w:t>
      </w:r>
    </w:p>
    <w:p w:rsidR="00AE0B1F" w:rsidRPr="005C1E2D" w:rsidRDefault="00055A6D" w:rsidP="005C1E2D">
      <w:pPr>
        <w:pStyle w:val="Text"/>
      </w:pPr>
      <w:r w:rsidRPr="005C1E2D">
        <w:t>In res</w:t>
      </w:r>
      <w:r w:rsidR="0097299C" w:rsidRPr="005C1E2D">
        <w:t xml:space="preserve">ponse to the Bradley </w:t>
      </w:r>
      <w:r w:rsidR="001C1482" w:rsidRPr="005C1E2D">
        <w:t xml:space="preserve">Review </w:t>
      </w:r>
      <w:r w:rsidR="0097299C" w:rsidRPr="005C1E2D">
        <w:t xml:space="preserve">(Bradley </w:t>
      </w:r>
      <w:r w:rsidR="00777121" w:rsidRPr="005C1E2D">
        <w:t xml:space="preserve">et al. </w:t>
      </w:r>
      <w:r w:rsidR="0097299C" w:rsidRPr="005C1E2D">
        <w:t>2008</w:t>
      </w:r>
      <w:r w:rsidRPr="005C1E2D">
        <w:t xml:space="preserve">), </w:t>
      </w:r>
      <w:r w:rsidR="001C1482">
        <w:t>the federal</w:t>
      </w:r>
      <w:r w:rsidR="00E821BA" w:rsidRPr="005C1E2D">
        <w:t xml:space="preserve"> government </w:t>
      </w:r>
      <w:r w:rsidR="001C1482">
        <w:t xml:space="preserve">set an </w:t>
      </w:r>
      <w:r w:rsidR="00E821BA" w:rsidRPr="005C1E2D">
        <w:t>objective to increase participation in higher education for some equity groups</w:t>
      </w:r>
      <w:r w:rsidR="0097299C" w:rsidRPr="005C1E2D">
        <w:t xml:space="preserve">, especially those </w:t>
      </w:r>
      <w:r w:rsidR="003E6EC2" w:rsidRPr="005C1E2D">
        <w:t>from</w:t>
      </w:r>
      <w:r w:rsidR="0097299C" w:rsidRPr="005C1E2D">
        <w:t xml:space="preserve"> a low socioeconomic background</w:t>
      </w:r>
      <w:r w:rsidR="00E821BA" w:rsidRPr="005C1E2D">
        <w:t xml:space="preserve"> (</w:t>
      </w:r>
      <w:r w:rsidR="0097299C" w:rsidRPr="005C1E2D">
        <w:t>Department of Education, Employment and Workplace Relations 2009</w:t>
      </w:r>
      <w:r w:rsidR="00E821BA" w:rsidRPr="005C1E2D">
        <w:t xml:space="preserve">). Transition from </w:t>
      </w:r>
      <w:r w:rsidR="00AA58CC" w:rsidRPr="005C1E2D">
        <w:t>lower-level</w:t>
      </w:r>
      <w:r w:rsidR="00E821BA" w:rsidRPr="005C1E2D">
        <w:t xml:space="preserve"> VET to </w:t>
      </w:r>
      <w:r w:rsidR="00FC0E96" w:rsidRPr="005C1E2D">
        <w:t>higher-level</w:t>
      </w:r>
      <w:r w:rsidR="00777121" w:rsidRPr="005C1E2D">
        <w:t xml:space="preserve"> </w:t>
      </w:r>
      <w:r w:rsidR="00E821BA" w:rsidRPr="005C1E2D">
        <w:t xml:space="preserve">VET qualifications and into higher education is one way of </w:t>
      </w:r>
      <w:r w:rsidR="00330113" w:rsidRPr="005C1E2D">
        <w:t xml:space="preserve">meeting government targets and </w:t>
      </w:r>
      <w:r w:rsidR="00E821BA" w:rsidRPr="005C1E2D">
        <w:t>increasing participation at those education levels more likely to lead to employment.</w:t>
      </w:r>
    </w:p>
    <w:p w:rsidR="00AE0B1F" w:rsidRPr="005C1E2D" w:rsidRDefault="00AE0B1F" w:rsidP="005C1E2D">
      <w:pPr>
        <w:pStyle w:val="Text"/>
      </w:pPr>
      <w:r w:rsidRPr="005C1E2D">
        <w:t xml:space="preserve">The focus of this paper is to synthesise what is currently published on the access and participation of </w:t>
      </w:r>
      <w:r w:rsidR="009B1F34" w:rsidRPr="005C1E2D">
        <w:t xml:space="preserve">disadvantaged </w:t>
      </w:r>
      <w:r w:rsidRPr="005C1E2D">
        <w:t xml:space="preserve">learners in </w:t>
      </w:r>
      <w:r w:rsidR="00FC0E96" w:rsidRPr="005C1E2D">
        <w:t>higher-level</w:t>
      </w:r>
      <w:r w:rsidRPr="005C1E2D">
        <w:t xml:space="preserve"> VET qualifications </w:t>
      </w:r>
      <w:r w:rsidR="00315892" w:rsidRPr="005C1E2D">
        <w:t xml:space="preserve">and higher education, </w:t>
      </w:r>
      <w:r w:rsidRPr="005C1E2D">
        <w:t xml:space="preserve">and their transitions </w:t>
      </w:r>
      <w:r w:rsidR="00315892" w:rsidRPr="005C1E2D">
        <w:t xml:space="preserve">from </w:t>
      </w:r>
      <w:r w:rsidR="00AA58CC" w:rsidRPr="005C1E2D">
        <w:t>lower-level</w:t>
      </w:r>
      <w:r w:rsidR="00315892" w:rsidRPr="005C1E2D">
        <w:t xml:space="preserve"> VET qualifications to </w:t>
      </w:r>
      <w:r w:rsidR="00FC0E96" w:rsidRPr="005C1E2D">
        <w:t>higher-level</w:t>
      </w:r>
      <w:r w:rsidRPr="005C1E2D">
        <w:t xml:space="preserve"> </w:t>
      </w:r>
      <w:r w:rsidR="00315892" w:rsidRPr="005C1E2D">
        <w:t xml:space="preserve">VET and higher education. </w:t>
      </w:r>
      <w:r w:rsidRPr="005C1E2D">
        <w:t>Where possible, the aim is to focus on the learners</w:t>
      </w:r>
      <w:r w:rsidR="00C15F58">
        <w:t>’</w:t>
      </w:r>
      <w:r w:rsidRPr="005C1E2D">
        <w:t xml:space="preserve"> perspectives. </w:t>
      </w:r>
    </w:p>
    <w:p w:rsidR="00001072" w:rsidRDefault="00AE0B1F" w:rsidP="005C1E2D">
      <w:pPr>
        <w:pStyle w:val="Text"/>
      </w:pPr>
      <w:r w:rsidRPr="005C1E2D">
        <w:t>The paper will consider a number of equity groups: Indigenous Australians</w:t>
      </w:r>
      <w:r>
        <w:t xml:space="preserve">, people with </w:t>
      </w:r>
      <w:r w:rsidR="001C1482">
        <w:t xml:space="preserve">a </w:t>
      </w:r>
      <w:r>
        <w:t xml:space="preserve">disability, those from rural/remote locations, those with non-English speaking backgrounds, younger people and older people. </w:t>
      </w:r>
      <w:r w:rsidR="00001072">
        <w:t>It needs to be noted that these are not homogenous groups</w:t>
      </w:r>
      <w:r w:rsidR="001A6340">
        <w:t xml:space="preserve"> and individual</w:t>
      </w:r>
      <w:r w:rsidR="00E821BA">
        <w:t>s</w:t>
      </w:r>
      <w:r w:rsidR="001A6340">
        <w:t xml:space="preserve"> may </w:t>
      </w:r>
      <w:r w:rsidR="00C72788">
        <w:t>experience</w:t>
      </w:r>
      <w:r w:rsidR="00001072">
        <w:t xml:space="preserve"> multiple disadvantage.</w:t>
      </w:r>
    </w:p>
    <w:p w:rsidR="005C1E2D" w:rsidRDefault="005C1E2D">
      <w:pPr>
        <w:spacing w:before="0" w:line="240" w:lineRule="auto"/>
      </w:pPr>
      <w:r>
        <w:br w:type="page"/>
      </w:r>
    </w:p>
    <w:p w:rsidR="00F911A8" w:rsidRDefault="00F911A8" w:rsidP="005C1E2D">
      <w:pPr>
        <w:pStyle w:val="Heading1"/>
      </w:pPr>
      <w:bookmarkStart w:id="31" w:name="_Toc381110820"/>
      <w:bookmarkStart w:id="32" w:name="_Toc456000800"/>
      <w:bookmarkStart w:id="33" w:name="_Toc457122465"/>
      <w:bookmarkStart w:id="34" w:name="_Toc188077643"/>
      <w:r w:rsidRPr="004A3D62">
        <w:lastRenderedPageBreak/>
        <w:t xml:space="preserve">Access and participation in </w:t>
      </w:r>
      <w:r w:rsidR="00BB325F">
        <w:t>tertiary</w:t>
      </w:r>
      <w:r w:rsidR="005C1E2D">
        <w:t> </w:t>
      </w:r>
      <w:r w:rsidR="00BB325F">
        <w:t>education</w:t>
      </w:r>
      <w:bookmarkEnd w:id="31"/>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5C1E2D" w:rsidRPr="005C1E2D" w:rsidTr="005C1E2D">
        <w:tc>
          <w:tcPr>
            <w:tcW w:w="8789" w:type="dxa"/>
            <w:shd w:val="clear" w:color="auto" w:fill="000000" w:themeFill="text1"/>
          </w:tcPr>
          <w:p w:rsidR="005C1E2D" w:rsidRPr="00421D39" w:rsidRDefault="005C1E2D" w:rsidP="00421D39">
            <w:pPr>
              <w:pStyle w:val="Heading3"/>
              <w:spacing w:before="120" w:after="120"/>
              <w:rPr>
                <w:color w:val="FFFFFF" w:themeColor="background1"/>
              </w:rPr>
            </w:pPr>
            <w:r w:rsidRPr="00421D39">
              <w:rPr>
                <w:color w:val="FFFFFF" w:themeColor="background1"/>
              </w:rPr>
              <w:t>Key points</w:t>
            </w:r>
          </w:p>
        </w:tc>
      </w:tr>
      <w:tr w:rsidR="005C1E2D" w:rsidRPr="005C1E2D" w:rsidTr="005C1E2D">
        <w:trPr>
          <w:trHeight w:val="1440"/>
        </w:trPr>
        <w:tc>
          <w:tcPr>
            <w:tcW w:w="8789" w:type="dxa"/>
          </w:tcPr>
          <w:p w:rsidR="005C1E2D" w:rsidRPr="005C1E2D" w:rsidRDefault="005C1E2D" w:rsidP="005C1E2D">
            <w:pPr>
              <w:pStyle w:val="Dotpoint1"/>
            </w:pPr>
            <w:r w:rsidRPr="005C1E2D">
              <w:t>Disadvantaged learners tend to be overrepresented in lower-level qualifications and underrepresented in higher-level qualifications.</w:t>
            </w:r>
          </w:p>
          <w:p w:rsidR="005C1E2D" w:rsidRPr="005C1E2D" w:rsidRDefault="005C1E2D" w:rsidP="005C1E2D">
            <w:pPr>
              <w:pStyle w:val="Dotpoint1"/>
              <w:spacing w:after="120"/>
            </w:pPr>
            <w:r w:rsidRPr="005C1E2D">
              <w:t>Compared with all graduates, the proportion of VET graduates who go on to study at university tends to be lower for disadvantaged students.</w:t>
            </w:r>
          </w:p>
        </w:tc>
      </w:tr>
    </w:tbl>
    <w:p w:rsidR="006A6E7E" w:rsidRPr="005C1E2D" w:rsidRDefault="00A21B60" w:rsidP="006B3214">
      <w:pPr>
        <w:pStyle w:val="Textmorebefore"/>
      </w:pPr>
      <w:r>
        <w:t xml:space="preserve">A </w:t>
      </w:r>
      <w:r w:rsidR="00E04666">
        <w:t>national report on soci</w:t>
      </w:r>
      <w:r w:rsidR="006315FB">
        <w:t xml:space="preserve">al equity in </w:t>
      </w:r>
      <w:r w:rsidR="00777121">
        <w:t>vocational education and training</w:t>
      </w:r>
      <w:r w:rsidR="006315FB">
        <w:t xml:space="preserve"> </w:t>
      </w:r>
      <w:r>
        <w:t xml:space="preserve">for </w:t>
      </w:r>
      <w:r w:rsidR="006315FB">
        <w:t>2013 (</w:t>
      </w:r>
      <w:r>
        <w:t xml:space="preserve">Rothman </w:t>
      </w:r>
      <w:r w:rsidR="00CF10BA">
        <w:t xml:space="preserve">et al. </w:t>
      </w:r>
      <w:r>
        <w:t>2013</w:t>
      </w:r>
      <w:r w:rsidR="006315FB">
        <w:t xml:space="preserve">) </w:t>
      </w:r>
      <w:r>
        <w:t xml:space="preserve">provides </w:t>
      </w:r>
      <w:r w:rsidR="006315FB">
        <w:t xml:space="preserve">an extensive </w:t>
      </w:r>
      <w:r w:rsidR="00B56247">
        <w:t>overview</w:t>
      </w:r>
      <w:r w:rsidR="00E04666">
        <w:t xml:space="preserve"> of </w:t>
      </w:r>
      <w:r w:rsidR="009B3637">
        <w:t xml:space="preserve">the participation, achievement and transitions from the VET system for several groups in the Australian population: Indigenous Australians, people with </w:t>
      </w:r>
      <w:r w:rsidR="001C1482">
        <w:t xml:space="preserve">a </w:t>
      </w:r>
      <w:r w:rsidR="009B3637">
        <w:t xml:space="preserve">disability, people from a culturally and linguistically diverse background; people living in remote areas; people from low </w:t>
      </w:r>
      <w:r w:rsidR="002E17EE">
        <w:t>socio</w:t>
      </w:r>
      <w:r w:rsidR="009B3637">
        <w:t xml:space="preserve">economic </w:t>
      </w:r>
      <w:r w:rsidR="002E17EE">
        <w:t xml:space="preserve">(SES) </w:t>
      </w:r>
      <w:r w:rsidR="009B3637">
        <w:t>status backgrounds; and women.</w:t>
      </w:r>
      <w:r w:rsidR="006F2572">
        <w:t xml:space="preserve"> </w:t>
      </w:r>
      <w:r w:rsidR="002D317E">
        <w:t xml:space="preserve">The report draws together data from a range of sources and research studies with the aim of providing a baseline </w:t>
      </w:r>
      <w:r w:rsidR="00CF10BA">
        <w:t>from</w:t>
      </w:r>
      <w:r w:rsidR="002D317E">
        <w:t xml:space="preserve"> which to monitor the future performance of the VET system for disadvantaged learners.</w:t>
      </w:r>
      <w:r w:rsidR="00871404">
        <w:t xml:space="preserve"> </w:t>
      </w:r>
      <w:r w:rsidR="0087065E">
        <w:t xml:space="preserve">The Annual National Report of the Australian Vocational Education and Training System </w:t>
      </w:r>
      <w:r w:rsidR="00F534F0">
        <w:t xml:space="preserve">(see Department of Education, Employment and Workplace Relations 2012) </w:t>
      </w:r>
      <w:r w:rsidR="00AD1746">
        <w:t xml:space="preserve">also includes a chapter on disadvantage in </w:t>
      </w:r>
      <w:r w:rsidR="00CF10BA">
        <w:t>vocational education and training</w:t>
      </w:r>
      <w:r w:rsidR="00AD1746">
        <w:t xml:space="preserve"> and reports on participation, achievement and outcomes for six disadvantaged student groups: Indigenous students, students with a disability, students with a language background other than E</w:t>
      </w:r>
      <w:r w:rsidR="00CF10BA">
        <w:t>nglish, students from low socio</w:t>
      </w:r>
      <w:r w:rsidR="00AD1746">
        <w:t>economic areas, students from geographically isolated areas, and students with a prior educational a</w:t>
      </w:r>
      <w:r w:rsidR="00CF10BA">
        <w:t>ttainment of less than Y</w:t>
      </w:r>
      <w:r w:rsidR="00AD1746">
        <w:t xml:space="preserve">ear 12. </w:t>
      </w:r>
      <w:r w:rsidR="00A94BC8">
        <w:t xml:space="preserve">Readers may wish to access </w:t>
      </w:r>
      <w:r w:rsidR="00AD1746">
        <w:t>these</w:t>
      </w:r>
      <w:r w:rsidR="00A94BC8">
        <w:t xml:space="preserve"> report</w:t>
      </w:r>
      <w:r w:rsidR="00AD1746">
        <w:t>s</w:t>
      </w:r>
      <w:r w:rsidR="00A94BC8">
        <w:t xml:space="preserve"> for a fuller picture of the access and </w:t>
      </w:r>
      <w:r w:rsidR="00A94BC8" w:rsidRPr="005C1E2D">
        <w:t xml:space="preserve">participation of disadvantaged learners in </w:t>
      </w:r>
      <w:r w:rsidR="002E17EE" w:rsidRPr="005C1E2D">
        <w:t>vocational education and training</w:t>
      </w:r>
      <w:r w:rsidR="00A94BC8" w:rsidRPr="005C1E2D">
        <w:t xml:space="preserve"> than is possible to </w:t>
      </w:r>
      <w:r w:rsidR="0097299C" w:rsidRPr="005C1E2D">
        <w:t>present</w:t>
      </w:r>
      <w:r w:rsidR="00A94BC8" w:rsidRPr="005C1E2D">
        <w:t xml:space="preserve"> in this paper. </w:t>
      </w:r>
    </w:p>
    <w:p w:rsidR="00DF1F65" w:rsidRPr="005C1E2D" w:rsidRDefault="001A6340" w:rsidP="005C1E2D">
      <w:pPr>
        <w:pStyle w:val="Text"/>
        <w:ind w:right="-143"/>
      </w:pPr>
      <w:r w:rsidRPr="005C1E2D">
        <w:t xml:space="preserve">A recurring pattern in the data is that disadvantaged learners tend to be overrepresented in </w:t>
      </w:r>
      <w:r w:rsidR="00AA58CC" w:rsidRPr="005C1E2D">
        <w:t>lower-level</w:t>
      </w:r>
      <w:r w:rsidRPr="005C1E2D">
        <w:t xml:space="preserve"> qualifications.</w:t>
      </w:r>
      <w:r w:rsidR="006A6E7E" w:rsidRPr="005C1E2D">
        <w:t xml:space="preserve"> </w:t>
      </w:r>
      <w:r w:rsidR="00EE1F72" w:rsidRPr="005C1E2D">
        <w:t xml:space="preserve">Enabling disadvantaged </w:t>
      </w:r>
      <w:proofErr w:type="gramStart"/>
      <w:r w:rsidR="00EE1F72" w:rsidRPr="005C1E2D">
        <w:t>learners</w:t>
      </w:r>
      <w:proofErr w:type="gramEnd"/>
      <w:r w:rsidR="00EE1F72" w:rsidRPr="005C1E2D">
        <w:t xml:space="preserve"> </w:t>
      </w:r>
      <w:r w:rsidR="00D72EF0" w:rsidRPr="005C1E2D">
        <w:t xml:space="preserve">access to </w:t>
      </w:r>
      <w:r w:rsidR="00CF10BA" w:rsidRPr="005C1E2D">
        <w:t>vocational education and training</w:t>
      </w:r>
      <w:r w:rsidR="00D72EF0" w:rsidRPr="005C1E2D">
        <w:t xml:space="preserve"> </w:t>
      </w:r>
      <w:r w:rsidR="00A16E80" w:rsidRPr="005C1E2D">
        <w:t>is important, but the level of VET they are accessing needs to be considered in order to assess the likely outcomes for the individual and the labour market.</w:t>
      </w:r>
      <w:r w:rsidR="00D72EF0" w:rsidRPr="005C1E2D">
        <w:t xml:space="preserve"> </w:t>
      </w:r>
      <w:r w:rsidR="00C30806" w:rsidRPr="005C1E2D">
        <w:t>Table 1 shows the number of VET students</w:t>
      </w:r>
      <w:r w:rsidR="0031288B" w:rsidRPr="005C1E2D">
        <w:t xml:space="preserve"> by qualification level in 2011</w:t>
      </w:r>
      <w:r w:rsidR="00A12A3A" w:rsidRPr="005C1E2D">
        <w:t xml:space="preserve"> for </w:t>
      </w:r>
      <w:r w:rsidR="00A16E80" w:rsidRPr="005C1E2D">
        <w:t>several groups of disadvantaged students</w:t>
      </w:r>
      <w:r w:rsidR="00196AA7" w:rsidRPr="005C1E2D">
        <w:t xml:space="preserve">. </w:t>
      </w:r>
      <w:r w:rsidR="00903788" w:rsidRPr="005C1E2D">
        <w:t>The data show</w:t>
      </w:r>
      <w:r w:rsidR="0097299C" w:rsidRPr="005C1E2D">
        <w:t xml:space="preserve"> that </w:t>
      </w:r>
      <w:r w:rsidR="007265E6" w:rsidRPr="005C1E2D">
        <w:t xml:space="preserve">Indigenous people, individuals with </w:t>
      </w:r>
      <w:r w:rsidR="001C1482">
        <w:t xml:space="preserve">a </w:t>
      </w:r>
      <w:r w:rsidR="007265E6" w:rsidRPr="005C1E2D">
        <w:t xml:space="preserve">disability, those from rural/remote locations and those with a non-English speaking background are overrepresented at the </w:t>
      </w:r>
      <w:r w:rsidR="00FC0E96" w:rsidRPr="005C1E2D">
        <w:t>certificate</w:t>
      </w:r>
      <w:r w:rsidR="007265E6" w:rsidRPr="005C1E2D">
        <w:t xml:space="preserve"> I level when compared </w:t>
      </w:r>
      <w:r w:rsidR="00903788" w:rsidRPr="005C1E2D">
        <w:t>with</w:t>
      </w:r>
      <w:r w:rsidR="007265E6" w:rsidRPr="005C1E2D">
        <w:t xml:space="preserve"> all students. At</w:t>
      </w:r>
      <w:r w:rsidR="005C1E2D">
        <w:t> </w:t>
      </w:r>
      <w:r w:rsidR="007265E6" w:rsidRPr="005C1E2D">
        <w:t xml:space="preserve">the </w:t>
      </w:r>
      <w:r w:rsidR="00FC0E96" w:rsidRPr="005C1E2D">
        <w:t>certificate</w:t>
      </w:r>
      <w:r w:rsidR="007265E6" w:rsidRPr="005C1E2D">
        <w:t xml:space="preserve"> II level, higher proportions of Indigenous, those with </w:t>
      </w:r>
      <w:r w:rsidR="001C1482">
        <w:t xml:space="preserve">a </w:t>
      </w:r>
      <w:r w:rsidR="007265E6" w:rsidRPr="005C1E2D">
        <w:t>disability</w:t>
      </w:r>
      <w:r w:rsidR="00E705A7" w:rsidRPr="005C1E2D">
        <w:t xml:space="preserve"> and </w:t>
      </w:r>
      <w:r w:rsidR="007265E6" w:rsidRPr="005C1E2D">
        <w:t>those from rural/remote locations</w:t>
      </w:r>
      <w:r w:rsidR="003B47A9" w:rsidRPr="005C1E2D">
        <w:t xml:space="preserve"> </w:t>
      </w:r>
      <w:r w:rsidR="007265E6" w:rsidRPr="005C1E2D">
        <w:t xml:space="preserve">are also </w:t>
      </w:r>
      <w:r w:rsidR="008E4EB1" w:rsidRPr="005C1E2D">
        <w:t>prevalent</w:t>
      </w:r>
      <w:r w:rsidR="00DF1F65" w:rsidRPr="005C1E2D">
        <w:t xml:space="preserve">. At the other end of the spectrum, </w:t>
      </w:r>
      <w:r w:rsidR="008D1671" w:rsidRPr="005C1E2D">
        <w:t>disadvantaged students tend to be</w:t>
      </w:r>
      <w:r w:rsidR="00DF1F65" w:rsidRPr="005C1E2D">
        <w:t xml:space="preserve"> underrepresented in the </w:t>
      </w:r>
      <w:r w:rsidR="00FC0E96" w:rsidRPr="005C1E2D">
        <w:t>higher-level</w:t>
      </w:r>
      <w:r w:rsidR="00282DAB" w:rsidRPr="005C1E2D">
        <w:t xml:space="preserve"> </w:t>
      </w:r>
      <w:r w:rsidR="00FC0E96" w:rsidRPr="005C1E2D">
        <w:t>certificate</w:t>
      </w:r>
      <w:r w:rsidR="00282DAB" w:rsidRPr="005C1E2D">
        <w:t xml:space="preserve"> </w:t>
      </w:r>
      <w:r w:rsidR="008D1671" w:rsidRPr="005C1E2D">
        <w:t xml:space="preserve">III, </w:t>
      </w:r>
      <w:r w:rsidR="00282DAB" w:rsidRPr="005C1E2D">
        <w:t xml:space="preserve">IV and </w:t>
      </w:r>
      <w:r w:rsidR="00FC0E96" w:rsidRPr="005C1E2D">
        <w:t>diploma</w:t>
      </w:r>
      <w:r w:rsidR="005C1E2D">
        <w:t> </w:t>
      </w:r>
      <w:r w:rsidR="00DF1F65" w:rsidRPr="005C1E2D">
        <w:t xml:space="preserve">qualifications. </w:t>
      </w:r>
    </w:p>
    <w:p w:rsidR="00FC30B4" w:rsidRPr="005C1E2D" w:rsidRDefault="007A2516" w:rsidP="005C1E2D">
      <w:pPr>
        <w:pStyle w:val="Text"/>
      </w:pPr>
      <w:r w:rsidRPr="005C1E2D">
        <w:t>Bradley</w:t>
      </w:r>
      <w:r w:rsidR="00903788" w:rsidRPr="005C1E2D">
        <w:t xml:space="preserve"> et al.</w:t>
      </w:r>
      <w:r w:rsidRPr="005C1E2D">
        <w:t xml:space="preserve"> (2008), in </w:t>
      </w:r>
      <w:r w:rsidR="00903788" w:rsidRPr="005C1E2D">
        <w:t>t</w:t>
      </w:r>
      <w:r w:rsidRPr="005C1E2D">
        <w:t>he</w:t>
      </w:r>
      <w:r w:rsidR="00903788" w:rsidRPr="005C1E2D">
        <w:t>i</w:t>
      </w:r>
      <w:r w:rsidRPr="005C1E2D">
        <w:t>r review of Australian higher education, highlighted the underrepresentation of many of these groups</w:t>
      </w:r>
      <w:r w:rsidR="00903788" w:rsidRPr="005C1E2D">
        <w:t xml:space="preserve"> in the higher education sector;</w:t>
      </w:r>
      <w:r w:rsidRPr="005C1E2D">
        <w:t xml:space="preserve"> namely</w:t>
      </w:r>
      <w:r w:rsidR="00903788" w:rsidRPr="005C1E2D">
        <w:t>,</w:t>
      </w:r>
      <w:r w:rsidRPr="005C1E2D">
        <w:t xml:space="preserve"> Indigenous people, people with a low socioeconomic status, and those from regional and remote areas. </w:t>
      </w:r>
      <w:r w:rsidR="003978EC" w:rsidRPr="005C1E2D">
        <w:t xml:space="preserve">Table 2 shows the </w:t>
      </w:r>
      <w:r w:rsidR="00351140" w:rsidRPr="005C1E2D">
        <w:t>number of commencing and current domestic</w:t>
      </w:r>
      <w:r w:rsidR="003978EC" w:rsidRPr="005C1E2D">
        <w:t xml:space="preserve"> undergraduate </w:t>
      </w:r>
      <w:r w:rsidR="00351140" w:rsidRPr="005C1E2D">
        <w:t>students</w:t>
      </w:r>
      <w:r w:rsidR="003978EC" w:rsidRPr="005C1E2D">
        <w:t xml:space="preserve"> at university in 2012 for various equity groups. </w:t>
      </w:r>
    </w:p>
    <w:p w:rsidR="00F20A70" w:rsidRDefault="007F356C" w:rsidP="005C1E2D">
      <w:pPr>
        <w:pStyle w:val="Text"/>
      </w:pPr>
      <w:r w:rsidRPr="005C1E2D">
        <w:t>These tables</w:t>
      </w:r>
      <w:r w:rsidR="008E4EB1" w:rsidRPr="005C1E2D">
        <w:t xml:space="preserve"> again</w:t>
      </w:r>
      <w:r w:rsidRPr="005C1E2D">
        <w:t xml:space="preserve"> </w:t>
      </w:r>
      <w:r w:rsidR="00903788" w:rsidRPr="005C1E2D">
        <w:t>demonstrate</w:t>
      </w:r>
      <w:r w:rsidRPr="005C1E2D">
        <w:t xml:space="preserve"> that disadvantaged learners</w:t>
      </w:r>
      <w:r>
        <w:t xml:space="preserve"> are overrepresented in </w:t>
      </w:r>
      <w:r w:rsidR="00AA58CC">
        <w:t>lower-level</w:t>
      </w:r>
      <w:r>
        <w:t xml:space="preserve"> qualifications and underrepresented in </w:t>
      </w:r>
      <w:r w:rsidR="00FC0E96">
        <w:t>higher-level</w:t>
      </w:r>
      <w:r>
        <w:t xml:space="preserve"> VET and higher education. </w:t>
      </w:r>
      <w:r w:rsidR="00AA58CC">
        <w:t>Lower-level</w:t>
      </w:r>
      <w:r w:rsidR="00F20A70">
        <w:t xml:space="preserve"> </w:t>
      </w:r>
      <w:r w:rsidR="00F20A70">
        <w:lastRenderedPageBreak/>
        <w:t>qualification</w:t>
      </w:r>
      <w:r>
        <w:t>s</w:t>
      </w:r>
      <w:r w:rsidR="00F20A70">
        <w:t xml:space="preserve"> may provide an individual with some personal benefits</w:t>
      </w:r>
      <w:r w:rsidR="001C1482">
        <w:t>,</w:t>
      </w:r>
      <w:r w:rsidR="00FC30B4">
        <w:t xml:space="preserve"> but the </w:t>
      </w:r>
      <w:r w:rsidR="00F534F0">
        <w:t xml:space="preserve">direct </w:t>
      </w:r>
      <w:r w:rsidR="00F20A70">
        <w:t xml:space="preserve">employment outcomes of these qualifications are limited. </w:t>
      </w:r>
      <w:r w:rsidR="0007660C">
        <w:t xml:space="preserve">Hence, </w:t>
      </w:r>
      <w:r w:rsidR="008E4EB1">
        <w:t>there is</w:t>
      </w:r>
      <w:r w:rsidR="00F20A70">
        <w:t xml:space="preserve"> interest in whether or not disadvantaged students use </w:t>
      </w:r>
      <w:r w:rsidR="00AA58CC">
        <w:t>lower-level</w:t>
      </w:r>
      <w:r w:rsidR="00F20A70">
        <w:t xml:space="preserve"> qualifications as a way to access further study.</w:t>
      </w:r>
      <w:r w:rsidR="00FC30B4">
        <w:t xml:space="preserve"> </w:t>
      </w:r>
      <w:r w:rsidR="00F20A70">
        <w:t xml:space="preserve">Table </w:t>
      </w:r>
      <w:r w:rsidR="00FC1C51">
        <w:t>3</w:t>
      </w:r>
      <w:r w:rsidR="00F20A70">
        <w:t xml:space="preserve"> shows the employment and further study outcomes for VET graduates six months after completing their training</w:t>
      </w:r>
      <w:r w:rsidR="0007660C">
        <w:t xml:space="preserve"> </w:t>
      </w:r>
      <w:r w:rsidR="00424521">
        <w:t>using data from the Student Outcomes Survey</w:t>
      </w:r>
      <w:r w:rsidR="001C1482">
        <w:t xml:space="preserve"> (NCVER 2012a</w:t>
      </w:r>
      <w:r w:rsidR="00F31EF9">
        <w:t>; n</w:t>
      </w:r>
      <w:r w:rsidR="0007660C">
        <w:t>ote that s</w:t>
      </w:r>
      <w:r w:rsidR="002472C7">
        <w:t>ome caution in interpreting the results is required due to small estimates</w:t>
      </w:r>
      <w:r w:rsidR="0007660C">
        <w:t xml:space="preserve"> for some of the groups)</w:t>
      </w:r>
      <w:r w:rsidR="00F31EF9">
        <w:t>.</w:t>
      </w:r>
      <w:r w:rsidR="002472C7">
        <w:t xml:space="preserve"> </w:t>
      </w:r>
      <w:r w:rsidR="00F20A70">
        <w:t xml:space="preserve">For those enrolled in further study after training, it is perhaps unsurprising that those who graduated from </w:t>
      </w:r>
      <w:r w:rsidR="00FC0E96">
        <w:t>higher-level</w:t>
      </w:r>
      <w:r w:rsidR="00F20A70">
        <w:t xml:space="preserve"> qualifications are more likely to be studying at university. The data show that graduates who have completed a diploma or above are much more likely to be studying at university compared </w:t>
      </w:r>
      <w:r w:rsidR="00903788">
        <w:t>with</w:t>
      </w:r>
      <w:r w:rsidR="00F20A70">
        <w:t xml:space="preserve"> those who have completed </w:t>
      </w:r>
      <w:r w:rsidR="00FC0E96">
        <w:t>certificate</w:t>
      </w:r>
      <w:r w:rsidR="00F20A70">
        <w:t xml:space="preserve">s I to IV. Conversely, a higher proportion of graduates from </w:t>
      </w:r>
      <w:r w:rsidR="00FC0E96">
        <w:t>certificate</w:t>
      </w:r>
      <w:r w:rsidR="00F20A70">
        <w:t xml:space="preserve">s I to IV were studying at a TAFE </w:t>
      </w:r>
      <w:r w:rsidR="00903788">
        <w:t xml:space="preserve">(technical and further education) </w:t>
      </w:r>
      <w:r w:rsidR="00F20A70">
        <w:t xml:space="preserve">institute or at a private </w:t>
      </w:r>
      <w:r w:rsidR="00F534F0">
        <w:t xml:space="preserve">VET </w:t>
      </w:r>
      <w:r w:rsidR="00F20A70">
        <w:t xml:space="preserve">provider </w:t>
      </w:r>
      <w:r w:rsidR="00903788">
        <w:t>compared with</w:t>
      </w:r>
      <w:r w:rsidR="00F20A70">
        <w:t xml:space="preserve"> those who had graduated with a diploma or above.</w:t>
      </w:r>
      <w:r w:rsidR="002472C7">
        <w:t xml:space="preserve"> This is the case across most of the disadvantaged groups </w:t>
      </w:r>
      <w:r w:rsidR="008A1C7D">
        <w:t>and for all graduates.</w:t>
      </w:r>
    </w:p>
    <w:p w:rsidR="002472C7" w:rsidRDefault="0007660C" w:rsidP="00F20A70">
      <w:pPr>
        <w:pStyle w:val="Text"/>
      </w:pPr>
      <w:r>
        <w:t xml:space="preserve">Compared </w:t>
      </w:r>
      <w:r w:rsidR="00903788">
        <w:t>with</w:t>
      </w:r>
      <w:r>
        <w:t xml:space="preserve"> all graduates, the level of VET graduates who go on to study at university tends to be lower for most of the equity groups shown, regardless of the qualification level completed. The two groups that appear to </w:t>
      </w:r>
      <w:r w:rsidR="001C1482">
        <w:t>confound</w:t>
      </w:r>
      <w:r>
        <w:t xml:space="preserve"> this trend are those with a non-English speaking</w:t>
      </w:r>
      <w:r w:rsidR="00903788">
        <w:t xml:space="preserve"> background and younger people —</w:t>
      </w:r>
      <w:r>
        <w:t xml:space="preserve"> these groups had a </w:t>
      </w:r>
      <w:r w:rsidR="00FC0E96">
        <w:t>higher</w:t>
      </w:r>
      <w:r w:rsidR="001C1482">
        <w:t xml:space="preserve"> </w:t>
      </w:r>
      <w:r w:rsidR="00FC0E96">
        <w:t>level</w:t>
      </w:r>
      <w:r>
        <w:t xml:space="preserve"> of enrolment at university. So</w:t>
      </w:r>
      <w:r w:rsidR="007333E5">
        <w:t xml:space="preserve">me groups (Indigenous Australians, people with </w:t>
      </w:r>
      <w:r w:rsidR="001C1482">
        <w:t xml:space="preserve">a </w:t>
      </w:r>
      <w:r w:rsidR="007333E5">
        <w:t xml:space="preserve">disability, those with a non-English speaking background and younger people) showed higher levels of further study in </w:t>
      </w:r>
      <w:r w:rsidR="00CF10BA">
        <w:t>vocational education and training</w:t>
      </w:r>
      <w:r w:rsidR="007333E5">
        <w:t xml:space="preserve">, but it is not clear </w:t>
      </w:r>
      <w:r w:rsidR="001C1482">
        <w:t>whether</w:t>
      </w:r>
      <w:r w:rsidR="007333E5">
        <w:t xml:space="preserve"> this is at a higher qualification level o</w:t>
      </w:r>
      <w:r w:rsidR="00F31EF9">
        <w:t>r</w:t>
      </w:r>
      <w:r w:rsidR="007333E5">
        <w:t xml:space="preserve"> not.</w:t>
      </w:r>
    </w:p>
    <w:p w:rsidR="00034256" w:rsidRDefault="000A6152" w:rsidP="00F20A70">
      <w:pPr>
        <w:pStyle w:val="Text"/>
      </w:pPr>
      <w:r>
        <w:t xml:space="preserve">Looking at it from the higher education perspective, </w:t>
      </w:r>
      <w:r w:rsidR="00E6675B">
        <w:t xml:space="preserve">the National Centre for Vocational Education Research (NCVER; </w:t>
      </w:r>
      <w:r w:rsidR="00034256" w:rsidRPr="003B0505">
        <w:t>2012</w:t>
      </w:r>
      <w:r w:rsidR="003B0505">
        <w:t>b</w:t>
      </w:r>
      <w:r w:rsidR="00034256">
        <w:t xml:space="preserve">) reports that in 2010 around 7% of commencing domestic equivalent full-time students </w:t>
      </w:r>
      <w:r w:rsidR="00B06E6B">
        <w:t xml:space="preserve">had </w:t>
      </w:r>
      <w:r w:rsidR="00034256">
        <w:t>completed a VET course prior to commencing higher education. An additional 1.4% had an incomplete VET course.</w:t>
      </w:r>
      <w:r w:rsidR="002C09A7">
        <w:t xml:space="preserve"> Note that these data were not disaggregated by equity group.</w:t>
      </w:r>
    </w:p>
    <w:p w:rsidR="00D2406F" w:rsidRDefault="00792B73" w:rsidP="00F911A8">
      <w:pPr>
        <w:pStyle w:val="Text"/>
      </w:pPr>
      <w:r>
        <w:t xml:space="preserve">It is likely that the low level of transition from VET to higher education by disadvantaged learners is partly due to the level of </w:t>
      </w:r>
      <w:r w:rsidR="00CF10BA">
        <w:t>vocational education and training</w:t>
      </w:r>
      <w:r>
        <w:t xml:space="preserve"> in which they participate. As shown </w:t>
      </w:r>
      <w:r w:rsidRPr="002E17EE">
        <w:t>above</w:t>
      </w:r>
      <w:r>
        <w:t xml:space="preserve">, </w:t>
      </w:r>
      <w:r w:rsidR="00FC0E96">
        <w:t>higher-level</w:t>
      </w:r>
      <w:r>
        <w:t xml:space="preserve"> VET programs</w:t>
      </w:r>
      <w:r w:rsidR="00E6675B">
        <w:t xml:space="preserve"> </w:t>
      </w:r>
      <w:r>
        <w:t>—</w:t>
      </w:r>
      <w:r w:rsidR="00E6675B">
        <w:t xml:space="preserve"> </w:t>
      </w:r>
      <w:r>
        <w:t>those used more frequently as stepping stones to higher education</w:t>
      </w:r>
      <w:r w:rsidR="00E6675B">
        <w:t xml:space="preserve"> </w:t>
      </w:r>
      <w:r>
        <w:t>—</w:t>
      </w:r>
      <w:r w:rsidR="00E6675B">
        <w:t xml:space="preserve"> </w:t>
      </w:r>
      <w:r>
        <w:t xml:space="preserve">are underrepresented </w:t>
      </w:r>
      <w:r w:rsidR="00E0714E">
        <w:t>amongst</w:t>
      </w:r>
      <w:r>
        <w:t xml:space="preserve"> disadvantaged students. </w:t>
      </w:r>
      <w:r w:rsidR="000A6152">
        <w:t xml:space="preserve">In combination, these data suggest that disadvantaged learners are taking advantage of </w:t>
      </w:r>
      <w:r w:rsidR="00CF10BA">
        <w:t>vocational education and training</w:t>
      </w:r>
      <w:r w:rsidR="000A6152">
        <w:t xml:space="preserve"> as an entry point to the education sector, and that there is </w:t>
      </w:r>
      <w:r w:rsidR="000A6152" w:rsidRPr="00792B73">
        <w:rPr>
          <w:i/>
        </w:rPr>
        <w:t>potential</w:t>
      </w:r>
      <w:r w:rsidR="000A6152">
        <w:t xml:space="preserve"> for them to forge pathways to </w:t>
      </w:r>
      <w:r w:rsidR="00FC0E96">
        <w:t>higher-level</w:t>
      </w:r>
      <w:r w:rsidR="000A6152">
        <w:t xml:space="preserve"> qualifications and the higher education sector. </w:t>
      </w:r>
      <w:r>
        <w:t>However, t</w:t>
      </w:r>
      <w:r w:rsidR="0089674A">
        <w:t xml:space="preserve">he levels of enrolment at university for people belonging to one or more equity group are still low. The statistics only tell part of the story. To understand how the number of students who make the transition from </w:t>
      </w:r>
      <w:r w:rsidR="00AA58CC">
        <w:t>lower-level</w:t>
      </w:r>
      <w:r w:rsidR="0089674A">
        <w:t xml:space="preserve"> qualifications to </w:t>
      </w:r>
      <w:r w:rsidR="00FC0E96">
        <w:t>higher-level</w:t>
      </w:r>
      <w:r w:rsidR="0089674A">
        <w:t xml:space="preserve"> VET or higher education </w:t>
      </w:r>
      <w:r>
        <w:t>might</w:t>
      </w:r>
      <w:r w:rsidR="0089674A">
        <w:t xml:space="preserve"> be increased, an investigation into the experiences of students making that transition is required.</w:t>
      </w:r>
      <w:r w:rsidR="00E0714E">
        <w:t xml:space="preserve"> The following section considers what has been publishe</w:t>
      </w:r>
      <w:r w:rsidR="007C2236">
        <w:t>d in the research literature.</w:t>
      </w:r>
    </w:p>
    <w:p w:rsidR="00CE36A0" w:rsidRDefault="00CE36A0">
      <w:pPr>
        <w:spacing w:before="0" w:line="240" w:lineRule="auto"/>
        <w:rPr>
          <w:rFonts w:ascii="Tahoma" w:hAnsi="Tahoma"/>
          <w:b/>
          <w:sz w:val="17"/>
        </w:rPr>
      </w:pPr>
      <w:r>
        <w:br w:type="page"/>
      </w:r>
    </w:p>
    <w:p w:rsidR="006B0414" w:rsidRDefault="00A8205B" w:rsidP="005C1E2D">
      <w:pPr>
        <w:pStyle w:val="Tabletitle0"/>
      </w:pPr>
      <w:r>
        <w:lastRenderedPageBreak/>
        <w:t>Table 1</w:t>
      </w:r>
      <w:r w:rsidR="005C1E2D">
        <w:tab/>
      </w:r>
      <w:r w:rsidR="006B0414" w:rsidRPr="006B0414">
        <w:t>Number of students by qualification level, equity groups 2011 (%)</w:t>
      </w:r>
    </w:p>
    <w:tbl>
      <w:tblPr>
        <w:tblW w:w="8789" w:type="dxa"/>
        <w:tblInd w:w="57" w:type="dxa"/>
        <w:tblLayout w:type="fixed"/>
        <w:tblCellMar>
          <w:left w:w="57" w:type="dxa"/>
          <w:right w:w="57" w:type="dxa"/>
        </w:tblCellMar>
        <w:tblLook w:val="04A0" w:firstRow="1" w:lastRow="0" w:firstColumn="1" w:lastColumn="0" w:noHBand="0" w:noVBand="1"/>
      </w:tblPr>
      <w:tblGrid>
        <w:gridCol w:w="2127"/>
        <w:gridCol w:w="951"/>
        <w:gridCol w:w="952"/>
        <w:gridCol w:w="952"/>
        <w:gridCol w:w="951"/>
        <w:gridCol w:w="952"/>
        <w:gridCol w:w="952"/>
        <w:gridCol w:w="952"/>
      </w:tblGrid>
      <w:tr w:rsidR="00CE36A0" w:rsidRPr="006B0414" w:rsidTr="00CE36A0">
        <w:tc>
          <w:tcPr>
            <w:tcW w:w="2127" w:type="dxa"/>
            <w:tcBorders>
              <w:top w:val="single" w:sz="4" w:space="0" w:color="auto"/>
              <w:left w:val="nil"/>
              <w:bottom w:val="nil"/>
              <w:right w:val="nil"/>
            </w:tcBorders>
            <w:shd w:val="clear" w:color="auto" w:fill="auto"/>
            <w:noWrap/>
            <w:hideMark/>
          </w:tcPr>
          <w:p w:rsidR="00CE36A0" w:rsidRPr="006B0414" w:rsidRDefault="00CE36A0" w:rsidP="005C1E2D">
            <w:pPr>
              <w:pStyle w:val="Tablehead1"/>
              <w:rPr>
                <w:lang w:eastAsia="en-AU"/>
              </w:rPr>
            </w:pPr>
            <w:r w:rsidRPr="006B0414">
              <w:rPr>
                <w:lang w:eastAsia="en-AU"/>
              </w:rPr>
              <w:t> </w:t>
            </w:r>
            <w:r w:rsidR="00260C89" w:rsidRPr="00CE36A0">
              <w:t>Equity group</w:t>
            </w:r>
          </w:p>
        </w:tc>
        <w:tc>
          <w:tcPr>
            <w:tcW w:w="5710" w:type="dxa"/>
            <w:gridSpan w:val="6"/>
            <w:tcBorders>
              <w:top w:val="single" w:sz="4" w:space="0" w:color="auto"/>
              <w:left w:val="nil"/>
              <w:bottom w:val="nil"/>
              <w:right w:val="nil"/>
            </w:tcBorders>
            <w:shd w:val="clear" w:color="auto" w:fill="auto"/>
            <w:noWrap/>
            <w:hideMark/>
          </w:tcPr>
          <w:p w:rsidR="00CE36A0" w:rsidRPr="006B0414" w:rsidRDefault="00CE36A0" w:rsidP="00CE36A0">
            <w:pPr>
              <w:pStyle w:val="Tablehead1"/>
              <w:jc w:val="center"/>
              <w:rPr>
                <w:bCs/>
                <w:lang w:eastAsia="en-AU"/>
              </w:rPr>
            </w:pPr>
            <w:r w:rsidRPr="006B0414">
              <w:rPr>
                <w:bCs/>
                <w:lang w:eastAsia="en-AU"/>
              </w:rPr>
              <w:t>Qualification level</w:t>
            </w:r>
          </w:p>
        </w:tc>
        <w:tc>
          <w:tcPr>
            <w:tcW w:w="952" w:type="dxa"/>
            <w:tcBorders>
              <w:top w:val="single" w:sz="4" w:space="0" w:color="auto"/>
              <w:left w:val="nil"/>
              <w:bottom w:val="nil"/>
              <w:right w:val="nil"/>
            </w:tcBorders>
            <w:shd w:val="clear" w:color="auto" w:fill="auto"/>
            <w:noWrap/>
            <w:hideMark/>
          </w:tcPr>
          <w:p w:rsidR="00CE36A0" w:rsidRPr="006B0414" w:rsidRDefault="00CE36A0" w:rsidP="00CE36A0">
            <w:pPr>
              <w:pStyle w:val="Tablehead1"/>
              <w:jc w:val="center"/>
              <w:rPr>
                <w:lang w:eastAsia="en-AU"/>
              </w:rPr>
            </w:pPr>
          </w:p>
        </w:tc>
      </w:tr>
      <w:tr w:rsidR="006B0414" w:rsidRPr="00CE36A0" w:rsidTr="00CE36A0">
        <w:tc>
          <w:tcPr>
            <w:tcW w:w="2127" w:type="dxa"/>
            <w:tcBorders>
              <w:top w:val="nil"/>
              <w:left w:val="nil"/>
              <w:bottom w:val="single" w:sz="4" w:space="0" w:color="auto"/>
              <w:right w:val="nil"/>
            </w:tcBorders>
            <w:shd w:val="clear" w:color="auto" w:fill="auto"/>
            <w:hideMark/>
          </w:tcPr>
          <w:p w:rsidR="006B0414" w:rsidRPr="00CE36A0" w:rsidRDefault="006B0414" w:rsidP="00CE36A0">
            <w:pPr>
              <w:pStyle w:val="Tablehead2"/>
            </w:pPr>
          </w:p>
        </w:tc>
        <w:tc>
          <w:tcPr>
            <w:tcW w:w="951"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 xml:space="preserve">Certificate </w:t>
            </w:r>
            <w:r w:rsidR="00CE36A0">
              <w:br/>
            </w:r>
            <w:r w:rsidRPr="00CE36A0">
              <w:t>I</w:t>
            </w:r>
          </w:p>
        </w:tc>
        <w:tc>
          <w:tcPr>
            <w:tcW w:w="952"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Certificate II</w:t>
            </w:r>
          </w:p>
        </w:tc>
        <w:tc>
          <w:tcPr>
            <w:tcW w:w="952"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Certificate III</w:t>
            </w:r>
          </w:p>
        </w:tc>
        <w:tc>
          <w:tcPr>
            <w:tcW w:w="951"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Certificate IV</w:t>
            </w:r>
          </w:p>
        </w:tc>
        <w:tc>
          <w:tcPr>
            <w:tcW w:w="952"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 xml:space="preserve">Diploma </w:t>
            </w:r>
            <w:r w:rsidR="00CE36A0">
              <w:br/>
            </w:r>
            <w:r w:rsidRPr="00CE36A0">
              <w:t>or higher</w:t>
            </w:r>
          </w:p>
        </w:tc>
        <w:tc>
          <w:tcPr>
            <w:tcW w:w="952"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 xml:space="preserve">AQF </w:t>
            </w:r>
            <w:r w:rsidR="00CE36A0">
              <w:br/>
            </w:r>
            <w:r w:rsidRPr="00CE36A0">
              <w:t>sub-total</w:t>
            </w:r>
          </w:p>
        </w:tc>
        <w:tc>
          <w:tcPr>
            <w:tcW w:w="952" w:type="dxa"/>
            <w:tcBorders>
              <w:top w:val="nil"/>
              <w:left w:val="nil"/>
              <w:bottom w:val="single" w:sz="4" w:space="0" w:color="auto"/>
              <w:right w:val="nil"/>
            </w:tcBorders>
            <w:shd w:val="clear" w:color="auto" w:fill="auto"/>
            <w:tcMar>
              <w:left w:w="28" w:type="dxa"/>
              <w:right w:w="28" w:type="dxa"/>
            </w:tcMar>
            <w:hideMark/>
          </w:tcPr>
          <w:p w:rsidR="006B0414" w:rsidRPr="00CE36A0" w:rsidRDefault="006B0414" w:rsidP="00CE36A0">
            <w:pPr>
              <w:pStyle w:val="Tablehead2"/>
              <w:jc w:val="center"/>
            </w:pPr>
            <w:r w:rsidRPr="00CE36A0">
              <w:t xml:space="preserve">Non-AQF </w:t>
            </w:r>
            <w:r w:rsidRPr="00CE36A0">
              <w:br/>
              <w:t>sub-total</w:t>
            </w:r>
          </w:p>
        </w:tc>
      </w:tr>
      <w:tr w:rsidR="006B0414" w:rsidRPr="006B0414" w:rsidTr="00CE36A0">
        <w:tc>
          <w:tcPr>
            <w:tcW w:w="2127" w:type="dxa"/>
            <w:tcBorders>
              <w:top w:val="nil"/>
              <w:left w:val="nil"/>
              <w:bottom w:val="nil"/>
              <w:right w:val="nil"/>
            </w:tcBorders>
            <w:shd w:val="clear" w:color="auto" w:fill="auto"/>
            <w:hideMark/>
          </w:tcPr>
          <w:p w:rsidR="006B0414" w:rsidRPr="006B0414" w:rsidRDefault="006B0414" w:rsidP="005C1E2D">
            <w:pPr>
              <w:pStyle w:val="Tabletext"/>
              <w:rPr>
                <w:lang w:eastAsia="en-AU"/>
              </w:rPr>
            </w:pPr>
            <w:r w:rsidRPr="006B0414">
              <w:rPr>
                <w:lang w:eastAsia="en-AU"/>
              </w:rPr>
              <w:t>Indigenous</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13.5</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28.0</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28.4</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9.9</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5.3</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85.0</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15.0</w:t>
            </w:r>
          </w:p>
        </w:tc>
      </w:tr>
      <w:tr w:rsidR="006B0414" w:rsidRPr="006B0414" w:rsidTr="00CE36A0">
        <w:tc>
          <w:tcPr>
            <w:tcW w:w="2127" w:type="dxa"/>
            <w:tcBorders>
              <w:top w:val="nil"/>
              <w:left w:val="nil"/>
              <w:bottom w:val="nil"/>
              <w:right w:val="nil"/>
            </w:tcBorders>
            <w:shd w:val="clear" w:color="auto" w:fill="auto"/>
            <w:hideMark/>
          </w:tcPr>
          <w:p w:rsidR="006B0414" w:rsidRPr="006B0414" w:rsidRDefault="006B0414" w:rsidP="005C1E2D">
            <w:pPr>
              <w:pStyle w:val="Tabletext"/>
              <w:rPr>
                <w:lang w:eastAsia="en-AU"/>
              </w:rPr>
            </w:pPr>
            <w:r w:rsidRPr="006B0414">
              <w:rPr>
                <w:lang w:eastAsia="en-AU"/>
              </w:rPr>
              <w:t>Disability</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9.7</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21.0</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27.2</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12.8</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10.2</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81.0</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19.0</w:t>
            </w:r>
          </w:p>
        </w:tc>
      </w:tr>
      <w:tr w:rsidR="006B0414" w:rsidRPr="006B0414" w:rsidTr="00CE36A0">
        <w:tc>
          <w:tcPr>
            <w:tcW w:w="2127" w:type="dxa"/>
            <w:tcBorders>
              <w:top w:val="nil"/>
              <w:left w:val="nil"/>
              <w:bottom w:val="nil"/>
              <w:right w:val="nil"/>
            </w:tcBorders>
            <w:shd w:val="clear" w:color="auto" w:fill="auto"/>
            <w:hideMark/>
          </w:tcPr>
          <w:p w:rsidR="006B0414" w:rsidRPr="006B0414" w:rsidRDefault="006B0414" w:rsidP="005C1E2D">
            <w:pPr>
              <w:pStyle w:val="Tabletext"/>
              <w:rPr>
                <w:lang w:eastAsia="en-AU"/>
              </w:rPr>
            </w:pPr>
            <w:r w:rsidRPr="006B0414">
              <w:rPr>
                <w:lang w:eastAsia="en-AU"/>
              </w:rPr>
              <w:t>Rural/remote localities</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6.0</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21.6</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34.4</w:t>
            </w:r>
          </w:p>
        </w:tc>
        <w:tc>
          <w:tcPr>
            <w:tcW w:w="951"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13.1</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7.7</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82.8</w:t>
            </w:r>
          </w:p>
        </w:tc>
        <w:tc>
          <w:tcPr>
            <w:tcW w:w="952" w:type="dxa"/>
            <w:tcBorders>
              <w:top w:val="nil"/>
              <w:left w:val="nil"/>
              <w:bottom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17.2</w:t>
            </w:r>
          </w:p>
        </w:tc>
      </w:tr>
      <w:tr w:rsidR="006B0414" w:rsidRPr="006B0414" w:rsidTr="00CE36A0">
        <w:tc>
          <w:tcPr>
            <w:tcW w:w="2127" w:type="dxa"/>
            <w:tcBorders>
              <w:top w:val="nil"/>
              <w:left w:val="nil"/>
              <w:right w:val="nil"/>
            </w:tcBorders>
            <w:shd w:val="clear" w:color="auto" w:fill="auto"/>
            <w:hideMark/>
          </w:tcPr>
          <w:p w:rsidR="006B0414" w:rsidRPr="006B0414" w:rsidRDefault="006B0414" w:rsidP="005C1E2D">
            <w:pPr>
              <w:pStyle w:val="Tabletext"/>
              <w:rPr>
                <w:lang w:eastAsia="en-AU"/>
              </w:rPr>
            </w:pPr>
            <w:r w:rsidRPr="006B0414">
              <w:rPr>
                <w:lang w:eastAsia="en-AU"/>
              </w:rPr>
              <w:t>Non-English speaking background</w:t>
            </w:r>
          </w:p>
        </w:tc>
        <w:tc>
          <w:tcPr>
            <w:tcW w:w="951"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7.2</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14.0</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27.0</w:t>
            </w:r>
          </w:p>
        </w:tc>
        <w:tc>
          <w:tcPr>
            <w:tcW w:w="951"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15.3</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18.6</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82.0</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18.0</w:t>
            </w:r>
          </w:p>
        </w:tc>
      </w:tr>
      <w:tr w:rsidR="006B0414" w:rsidRPr="006B0414" w:rsidTr="00CE36A0">
        <w:tc>
          <w:tcPr>
            <w:tcW w:w="2127" w:type="dxa"/>
            <w:tcBorders>
              <w:top w:val="nil"/>
              <w:left w:val="nil"/>
              <w:right w:val="nil"/>
            </w:tcBorders>
            <w:shd w:val="clear" w:color="auto" w:fill="auto"/>
            <w:hideMark/>
          </w:tcPr>
          <w:p w:rsidR="006B0414" w:rsidRPr="006B0414" w:rsidRDefault="006B0414" w:rsidP="005C1E2D">
            <w:pPr>
              <w:pStyle w:val="Tabletext"/>
              <w:rPr>
                <w:lang w:eastAsia="en-AU"/>
              </w:rPr>
            </w:pPr>
            <w:r w:rsidRPr="006B0414">
              <w:rPr>
                <w:lang w:eastAsia="en-AU"/>
              </w:rPr>
              <w:t>Older</w:t>
            </w:r>
          </w:p>
        </w:tc>
        <w:tc>
          <w:tcPr>
            <w:tcW w:w="951"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4.6</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11.0</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22.6</w:t>
            </w:r>
          </w:p>
        </w:tc>
        <w:tc>
          <w:tcPr>
            <w:tcW w:w="951"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20.1</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13.8</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72.2</w:t>
            </w:r>
          </w:p>
        </w:tc>
        <w:tc>
          <w:tcPr>
            <w:tcW w:w="952" w:type="dxa"/>
            <w:tcBorders>
              <w:top w:val="nil"/>
              <w:left w:val="nil"/>
              <w:right w:val="nil"/>
            </w:tcBorders>
            <w:shd w:val="clear" w:color="auto" w:fill="auto"/>
            <w:noWrap/>
            <w:hideMark/>
          </w:tcPr>
          <w:p w:rsidR="006B0414" w:rsidRPr="006B0414" w:rsidRDefault="006B0414" w:rsidP="00CE36A0">
            <w:pPr>
              <w:pStyle w:val="Tabletext"/>
              <w:tabs>
                <w:tab w:val="decimal" w:pos="425"/>
              </w:tabs>
              <w:rPr>
                <w:lang w:eastAsia="en-AU"/>
              </w:rPr>
            </w:pPr>
            <w:r w:rsidRPr="006B0414">
              <w:rPr>
                <w:lang w:eastAsia="en-AU"/>
              </w:rPr>
              <w:t>27.8</w:t>
            </w:r>
          </w:p>
        </w:tc>
      </w:tr>
      <w:tr w:rsidR="006B0414" w:rsidRPr="00CE36A0" w:rsidTr="00CE36A0">
        <w:tc>
          <w:tcPr>
            <w:tcW w:w="2127" w:type="dxa"/>
            <w:tcBorders>
              <w:left w:val="nil"/>
              <w:bottom w:val="single" w:sz="4" w:space="0" w:color="auto"/>
              <w:right w:val="nil"/>
            </w:tcBorders>
            <w:shd w:val="clear" w:color="auto" w:fill="auto"/>
            <w:hideMark/>
          </w:tcPr>
          <w:p w:rsidR="006B0414" w:rsidRPr="00CE36A0" w:rsidRDefault="006B0414" w:rsidP="005C1E2D">
            <w:pPr>
              <w:pStyle w:val="Tabletext"/>
              <w:rPr>
                <w:b/>
                <w:lang w:eastAsia="en-AU"/>
              </w:rPr>
            </w:pPr>
            <w:r w:rsidRPr="00CE36A0">
              <w:rPr>
                <w:b/>
                <w:lang w:eastAsia="en-AU"/>
              </w:rPr>
              <w:t>All students</w:t>
            </w:r>
          </w:p>
        </w:tc>
        <w:tc>
          <w:tcPr>
            <w:tcW w:w="951"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4.5</w:t>
            </w:r>
          </w:p>
        </w:tc>
        <w:tc>
          <w:tcPr>
            <w:tcW w:w="952"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16.7</w:t>
            </w:r>
          </w:p>
        </w:tc>
        <w:tc>
          <w:tcPr>
            <w:tcW w:w="952"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32.3</w:t>
            </w:r>
          </w:p>
        </w:tc>
        <w:tc>
          <w:tcPr>
            <w:tcW w:w="951"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16.3</w:t>
            </w:r>
          </w:p>
        </w:tc>
        <w:tc>
          <w:tcPr>
            <w:tcW w:w="952"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13.9</w:t>
            </w:r>
          </w:p>
        </w:tc>
        <w:tc>
          <w:tcPr>
            <w:tcW w:w="952"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83.7</w:t>
            </w:r>
          </w:p>
        </w:tc>
        <w:tc>
          <w:tcPr>
            <w:tcW w:w="952" w:type="dxa"/>
            <w:tcBorders>
              <w:left w:val="nil"/>
              <w:bottom w:val="single" w:sz="4" w:space="0" w:color="auto"/>
              <w:right w:val="nil"/>
            </w:tcBorders>
            <w:shd w:val="clear" w:color="auto" w:fill="auto"/>
            <w:noWrap/>
            <w:hideMark/>
          </w:tcPr>
          <w:p w:rsidR="006B0414" w:rsidRPr="00CE36A0" w:rsidRDefault="006B0414" w:rsidP="00CE36A0">
            <w:pPr>
              <w:pStyle w:val="Tabletext"/>
              <w:tabs>
                <w:tab w:val="decimal" w:pos="425"/>
              </w:tabs>
              <w:rPr>
                <w:b/>
                <w:lang w:eastAsia="en-AU"/>
              </w:rPr>
            </w:pPr>
            <w:r w:rsidRPr="00CE36A0">
              <w:rPr>
                <w:b/>
                <w:lang w:eastAsia="en-AU"/>
              </w:rPr>
              <w:t>16.3</w:t>
            </w:r>
          </w:p>
        </w:tc>
      </w:tr>
    </w:tbl>
    <w:p w:rsidR="000304AD" w:rsidRPr="00CE36A0" w:rsidRDefault="000304AD" w:rsidP="00CE36A0">
      <w:pPr>
        <w:pStyle w:val="Source"/>
      </w:pPr>
      <w:r>
        <w:t>Note:</w:t>
      </w:r>
      <w:r w:rsidR="00CE36A0">
        <w:tab/>
      </w:r>
      <w:r>
        <w:t xml:space="preserve">AQF = </w:t>
      </w:r>
      <w:r w:rsidRPr="00CE36A0">
        <w:t>Australian Qualifications Framework.</w:t>
      </w:r>
    </w:p>
    <w:p w:rsidR="00820C4A" w:rsidRDefault="003B0505" w:rsidP="00CE36A0">
      <w:pPr>
        <w:pStyle w:val="Source"/>
      </w:pPr>
      <w:r w:rsidRPr="00CE36A0">
        <w:t>Source:</w:t>
      </w:r>
      <w:r w:rsidR="00CE36A0">
        <w:tab/>
      </w:r>
      <w:r w:rsidRPr="00CE36A0">
        <w:t>Nation</w:t>
      </w:r>
      <w:r>
        <w:t xml:space="preserve">al VET </w:t>
      </w:r>
      <w:r w:rsidR="000304AD">
        <w:t>Provider Collection.</w:t>
      </w:r>
    </w:p>
    <w:p w:rsidR="00531F58" w:rsidRDefault="00B51AA6" w:rsidP="00CE36A0">
      <w:pPr>
        <w:pStyle w:val="Tabletitle0"/>
      </w:pPr>
      <w:r>
        <w:t>T</w:t>
      </w:r>
      <w:r w:rsidR="00A8205B">
        <w:t>able 2</w:t>
      </w:r>
      <w:r w:rsidR="00CE36A0">
        <w:tab/>
      </w:r>
      <w:r w:rsidR="00195F77">
        <w:t>Commencing and all domestic higher education students, equity groups</w:t>
      </w:r>
      <w:r w:rsidR="00A21B60">
        <w:t>, 2012</w:t>
      </w:r>
    </w:p>
    <w:tbl>
      <w:tblPr>
        <w:tblW w:w="8789" w:type="dxa"/>
        <w:tblInd w:w="93" w:type="dxa"/>
        <w:tblBorders>
          <w:top w:val="single" w:sz="4" w:space="0" w:color="auto"/>
          <w:bottom w:val="single" w:sz="4" w:space="0" w:color="auto"/>
        </w:tblBorders>
        <w:tblLayout w:type="fixed"/>
        <w:tblLook w:val="04A0" w:firstRow="1" w:lastRow="0" w:firstColumn="1" w:lastColumn="0" w:noHBand="0" w:noVBand="1"/>
      </w:tblPr>
      <w:tblGrid>
        <w:gridCol w:w="5969"/>
        <w:gridCol w:w="1410"/>
        <w:gridCol w:w="1410"/>
      </w:tblGrid>
      <w:tr w:rsidR="00531F58" w:rsidRPr="00531F58" w:rsidTr="00A37189">
        <w:tc>
          <w:tcPr>
            <w:tcW w:w="5969" w:type="dxa"/>
            <w:tcBorders>
              <w:bottom w:val="single" w:sz="4" w:space="0" w:color="auto"/>
            </w:tcBorders>
            <w:shd w:val="clear" w:color="auto" w:fill="auto"/>
            <w:hideMark/>
          </w:tcPr>
          <w:p w:rsidR="00531F58" w:rsidRPr="00531F58" w:rsidRDefault="000304AD" w:rsidP="00A37189">
            <w:pPr>
              <w:pStyle w:val="Tablehead1"/>
              <w:rPr>
                <w:lang w:eastAsia="en-AU"/>
              </w:rPr>
            </w:pPr>
            <w:r>
              <w:rPr>
                <w:lang w:eastAsia="en-AU"/>
              </w:rPr>
              <w:t>Equity g</w:t>
            </w:r>
            <w:r w:rsidR="00531F58" w:rsidRPr="00531F58">
              <w:rPr>
                <w:lang w:eastAsia="en-AU"/>
              </w:rPr>
              <w:t>roup</w:t>
            </w:r>
          </w:p>
        </w:tc>
        <w:tc>
          <w:tcPr>
            <w:tcW w:w="1410" w:type="dxa"/>
            <w:tcBorders>
              <w:bottom w:val="single" w:sz="4" w:space="0" w:color="auto"/>
            </w:tcBorders>
            <w:shd w:val="clear" w:color="auto" w:fill="auto"/>
            <w:noWrap/>
            <w:hideMark/>
          </w:tcPr>
          <w:p w:rsidR="00531F58" w:rsidRPr="00531F58" w:rsidRDefault="00531F58" w:rsidP="00A37189">
            <w:pPr>
              <w:pStyle w:val="Tablehead1"/>
              <w:rPr>
                <w:lang w:eastAsia="en-AU"/>
              </w:rPr>
            </w:pPr>
            <w:r w:rsidRPr="00531F58">
              <w:rPr>
                <w:lang w:eastAsia="en-AU"/>
              </w:rPr>
              <w:t>2012</w:t>
            </w:r>
          </w:p>
        </w:tc>
        <w:tc>
          <w:tcPr>
            <w:tcW w:w="1410" w:type="dxa"/>
            <w:tcBorders>
              <w:bottom w:val="single" w:sz="4" w:space="0" w:color="auto"/>
            </w:tcBorders>
            <w:shd w:val="clear" w:color="auto" w:fill="auto"/>
            <w:noWrap/>
            <w:hideMark/>
          </w:tcPr>
          <w:p w:rsidR="00531F58" w:rsidRPr="00531F58" w:rsidRDefault="00531F58" w:rsidP="00A37189">
            <w:pPr>
              <w:pStyle w:val="Tablehead1"/>
              <w:rPr>
                <w:lang w:eastAsia="en-AU"/>
              </w:rPr>
            </w:pPr>
            <w:r w:rsidRPr="00531F58">
              <w:rPr>
                <w:lang w:eastAsia="en-AU"/>
              </w:rPr>
              <w:t>% of total</w:t>
            </w:r>
          </w:p>
        </w:tc>
      </w:tr>
      <w:tr w:rsidR="00A37189" w:rsidRPr="00A37189" w:rsidTr="00AC642A">
        <w:tc>
          <w:tcPr>
            <w:tcW w:w="8789" w:type="dxa"/>
            <w:gridSpan w:val="3"/>
            <w:tcBorders>
              <w:top w:val="single" w:sz="4" w:space="0" w:color="auto"/>
              <w:bottom w:val="nil"/>
            </w:tcBorders>
            <w:shd w:val="clear" w:color="auto" w:fill="auto"/>
            <w:noWrap/>
            <w:hideMark/>
          </w:tcPr>
          <w:p w:rsidR="00A37189" w:rsidRPr="00A37189" w:rsidRDefault="00A37189" w:rsidP="00A37189">
            <w:pPr>
              <w:pStyle w:val="Tabletext"/>
            </w:pPr>
            <w:r w:rsidRPr="00A37189">
              <w:rPr>
                <w:b/>
              </w:rPr>
              <w:t>Commencing domestic undergraduate students</w:t>
            </w:r>
          </w:p>
        </w:tc>
      </w:tr>
      <w:tr w:rsidR="00531F58" w:rsidRPr="00A37189" w:rsidTr="00A37189">
        <w:tc>
          <w:tcPr>
            <w:tcW w:w="5969" w:type="dxa"/>
            <w:tcBorders>
              <w:top w:val="nil"/>
            </w:tcBorders>
            <w:shd w:val="clear" w:color="auto" w:fill="auto"/>
            <w:noWrap/>
            <w:hideMark/>
          </w:tcPr>
          <w:p w:rsidR="00531F58" w:rsidRPr="00A37189" w:rsidRDefault="000304AD" w:rsidP="00A37189">
            <w:pPr>
              <w:pStyle w:val="Tabletext"/>
            </w:pPr>
            <w:r w:rsidRPr="00A37189">
              <w:t>Students from a non-</w:t>
            </w:r>
            <w:r w:rsidR="00531F58" w:rsidRPr="00A37189">
              <w:t>English speaking background</w:t>
            </w:r>
          </w:p>
        </w:tc>
        <w:tc>
          <w:tcPr>
            <w:tcW w:w="1410" w:type="dxa"/>
            <w:tcBorders>
              <w:top w:val="nil"/>
            </w:tcBorders>
            <w:shd w:val="clear" w:color="auto" w:fill="auto"/>
            <w:noWrap/>
            <w:hideMark/>
          </w:tcPr>
          <w:p w:rsidR="00531F58" w:rsidRPr="00A37189" w:rsidRDefault="00741D3D" w:rsidP="00A37189">
            <w:pPr>
              <w:pStyle w:val="Tabletext"/>
              <w:ind w:right="284"/>
              <w:jc w:val="right"/>
            </w:pPr>
            <w:r w:rsidRPr="00A37189">
              <w:t xml:space="preserve">9 </w:t>
            </w:r>
            <w:r w:rsidR="00531F58" w:rsidRPr="00A37189">
              <w:t>149</w:t>
            </w:r>
          </w:p>
        </w:tc>
        <w:tc>
          <w:tcPr>
            <w:tcW w:w="1410" w:type="dxa"/>
            <w:tcBorders>
              <w:top w:val="nil"/>
            </w:tcBorders>
            <w:shd w:val="clear" w:color="auto" w:fill="auto"/>
            <w:noWrap/>
            <w:hideMark/>
          </w:tcPr>
          <w:p w:rsidR="00531F58" w:rsidRPr="00A37189" w:rsidRDefault="00B51AA6" w:rsidP="00A37189">
            <w:pPr>
              <w:pStyle w:val="Tabletext"/>
              <w:tabs>
                <w:tab w:val="decimal" w:pos="567"/>
              </w:tabs>
            </w:pPr>
            <w:r w:rsidRPr="00A37189">
              <w:t>3.7</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Students with a disability</w:t>
            </w:r>
          </w:p>
        </w:tc>
        <w:tc>
          <w:tcPr>
            <w:tcW w:w="1410" w:type="dxa"/>
            <w:shd w:val="clear" w:color="auto" w:fill="auto"/>
            <w:noWrap/>
            <w:hideMark/>
          </w:tcPr>
          <w:p w:rsidR="00531F58" w:rsidRPr="00A37189" w:rsidRDefault="00741D3D" w:rsidP="00A37189">
            <w:pPr>
              <w:pStyle w:val="Tabletext"/>
              <w:ind w:right="284"/>
              <w:jc w:val="right"/>
            </w:pPr>
            <w:r w:rsidRPr="00A37189">
              <w:t xml:space="preserve">11 </w:t>
            </w:r>
            <w:r w:rsidR="00531F58" w:rsidRPr="00A37189">
              <w:t>677</w:t>
            </w:r>
          </w:p>
        </w:tc>
        <w:tc>
          <w:tcPr>
            <w:tcW w:w="1410" w:type="dxa"/>
            <w:shd w:val="clear" w:color="auto" w:fill="auto"/>
            <w:noWrap/>
            <w:hideMark/>
          </w:tcPr>
          <w:p w:rsidR="00531F58" w:rsidRPr="00A37189" w:rsidRDefault="00B51AA6" w:rsidP="00A37189">
            <w:pPr>
              <w:pStyle w:val="Tabletext"/>
              <w:tabs>
                <w:tab w:val="decimal" w:pos="567"/>
              </w:tabs>
            </w:pPr>
            <w:r w:rsidRPr="00A37189">
              <w:t>4.7</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Indigenous</w:t>
            </w:r>
          </w:p>
        </w:tc>
        <w:tc>
          <w:tcPr>
            <w:tcW w:w="1410" w:type="dxa"/>
            <w:shd w:val="clear" w:color="auto" w:fill="auto"/>
            <w:noWrap/>
            <w:hideMark/>
          </w:tcPr>
          <w:p w:rsidR="00531F58" w:rsidRPr="00A37189" w:rsidRDefault="00741D3D" w:rsidP="00A37189">
            <w:pPr>
              <w:pStyle w:val="Tabletext"/>
              <w:ind w:right="284"/>
              <w:jc w:val="right"/>
            </w:pPr>
            <w:r w:rsidRPr="00A37189">
              <w:t xml:space="preserve">3 </w:t>
            </w:r>
            <w:r w:rsidR="00531F58" w:rsidRPr="00A37189">
              <w:t>866</w:t>
            </w:r>
          </w:p>
        </w:tc>
        <w:tc>
          <w:tcPr>
            <w:tcW w:w="1410" w:type="dxa"/>
            <w:shd w:val="clear" w:color="auto" w:fill="auto"/>
            <w:noWrap/>
            <w:hideMark/>
          </w:tcPr>
          <w:p w:rsidR="00531F58" w:rsidRPr="00A37189" w:rsidRDefault="00B51AA6" w:rsidP="00A37189">
            <w:pPr>
              <w:pStyle w:val="Tabletext"/>
              <w:tabs>
                <w:tab w:val="decimal" w:pos="567"/>
              </w:tabs>
            </w:pPr>
            <w:r w:rsidRPr="00A37189">
              <w:t>1.6</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 xml:space="preserve">Low SES </w:t>
            </w:r>
            <w:r w:rsidR="00FC1C51" w:rsidRPr="00A37189">
              <w:t>1</w:t>
            </w:r>
          </w:p>
        </w:tc>
        <w:tc>
          <w:tcPr>
            <w:tcW w:w="1410" w:type="dxa"/>
            <w:shd w:val="clear" w:color="auto" w:fill="auto"/>
            <w:noWrap/>
            <w:hideMark/>
          </w:tcPr>
          <w:p w:rsidR="00531F58" w:rsidRPr="00A37189" w:rsidRDefault="00741D3D" w:rsidP="00A37189">
            <w:pPr>
              <w:pStyle w:val="Tabletext"/>
              <w:ind w:right="284"/>
              <w:jc w:val="right"/>
            </w:pPr>
            <w:r w:rsidRPr="00A37189">
              <w:t xml:space="preserve">44 </w:t>
            </w:r>
            <w:r w:rsidR="00531F58" w:rsidRPr="00A37189">
              <w:t>634</w:t>
            </w:r>
          </w:p>
        </w:tc>
        <w:tc>
          <w:tcPr>
            <w:tcW w:w="1410" w:type="dxa"/>
            <w:shd w:val="clear" w:color="auto" w:fill="auto"/>
            <w:noWrap/>
            <w:hideMark/>
          </w:tcPr>
          <w:p w:rsidR="00531F58" w:rsidRPr="00A37189" w:rsidRDefault="00B51AA6" w:rsidP="00A37189">
            <w:pPr>
              <w:pStyle w:val="Tabletext"/>
              <w:tabs>
                <w:tab w:val="decimal" w:pos="567"/>
              </w:tabs>
            </w:pPr>
            <w:r w:rsidRPr="00A37189">
              <w:t>18.1</w:t>
            </w:r>
          </w:p>
        </w:tc>
      </w:tr>
      <w:tr w:rsidR="00531F58" w:rsidRPr="00A37189" w:rsidTr="00A37189">
        <w:tc>
          <w:tcPr>
            <w:tcW w:w="5969" w:type="dxa"/>
            <w:shd w:val="clear" w:color="auto" w:fill="auto"/>
            <w:noWrap/>
            <w:hideMark/>
          </w:tcPr>
          <w:p w:rsidR="00531F58" w:rsidRPr="00A37189" w:rsidRDefault="00FC1C51" w:rsidP="00A37189">
            <w:pPr>
              <w:pStyle w:val="Tabletext"/>
            </w:pPr>
            <w:r w:rsidRPr="00A37189">
              <w:t>Regional 2</w:t>
            </w:r>
          </w:p>
        </w:tc>
        <w:tc>
          <w:tcPr>
            <w:tcW w:w="1410" w:type="dxa"/>
            <w:shd w:val="clear" w:color="auto" w:fill="auto"/>
            <w:noWrap/>
            <w:hideMark/>
          </w:tcPr>
          <w:p w:rsidR="00531F58" w:rsidRPr="00A37189" w:rsidRDefault="00741D3D" w:rsidP="00A37189">
            <w:pPr>
              <w:pStyle w:val="Tabletext"/>
              <w:ind w:right="284"/>
              <w:jc w:val="right"/>
            </w:pPr>
            <w:r w:rsidRPr="00A37189">
              <w:t xml:space="preserve">52 </w:t>
            </w:r>
            <w:r w:rsidR="00531F58" w:rsidRPr="00A37189">
              <w:t>843</w:t>
            </w:r>
          </w:p>
        </w:tc>
        <w:tc>
          <w:tcPr>
            <w:tcW w:w="1410" w:type="dxa"/>
            <w:shd w:val="clear" w:color="auto" w:fill="auto"/>
            <w:noWrap/>
            <w:hideMark/>
          </w:tcPr>
          <w:p w:rsidR="00531F58" w:rsidRPr="00A37189" w:rsidRDefault="00B51AA6" w:rsidP="00A37189">
            <w:pPr>
              <w:pStyle w:val="Tabletext"/>
              <w:tabs>
                <w:tab w:val="decimal" w:pos="567"/>
              </w:tabs>
            </w:pPr>
            <w:r w:rsidRPr="00A37189">
              <w:t>21.4</w:t>
            </w:r>
          </w:p>
        </w:tc>
      </w:tr>
      <w:tr w:rsidR="00531F58" w:rsidRPr="00A37189" w:rsidTr="00A37189">
        <w:tc>
          <w:tcPr>
            <w:tcW w:w="5969" w:type="dxa"/>
            <w:tcBorders>
              <w:bottom w:val="nil"/>
            </w:tcBorders>
            <w:shd w:val="clear" w:color="auto" w:fill="auto"/>
            <w:noWrap/>
            <w:hideMark/>
          </w:tcPr>
          <w:p w:rsidR="00531F58" w:rsidRPr="00A37189" w:rsidRDefault="00531F58" w:rsidP="00A37189">
            <w:pPr>
              <w:pStyle w:val="Tabletext"/>
            </w:pPr>
            <w:r w:rsidRPr="00A37189">
              <w:t xml:space="preserve">Remote </w:t>
            </w:r>
            <w:r w:rsidR="00FC1C51" w:rsidRPr="00A37189">
              <w:t>2</w:t>
            </w:r>
          </w:p>
        </w:tc>
        <w:tc>
          <w:tcPr>
            <w:tcW w:w="1410" w:type="dxa"/>
            <w:tcBorders>
              <w:bottom w:val="nil"/>
            </w:tcBorders>
            <w:shd w:val="clear" w:color="auto" w:fill="auto"/>
            <w:noWrap/>
            <w:hideMark/>
          </w:tcPr>
          <w:p w:rsidR="00531F58" w:rsidRPr="00A37189" w:rsidRDefault="00741D3D" w:rsidP="00A37189">
            <w:pPr>
              <w:pStyle w:val="Tabletext"/>
              <w:ind w:right="284"/>
              <w:jc w:val="right"/>
            </w:pPr>
            <w:r w:rsidRPr="00A37189">
              <w:t xml:space="preserve">2 </w:t>
            </w:r>
            <w:r w:rsidR="00531F58" w:rsidRPr="00A37189">
              <w:t>249</w:t>
            </w:r>
          </w:p>
        </w:tc>
        <w:tc>
          <w:tcPr>
            <w:tcW w:w="1410" w:type="dxa"/>
            <w:tcBorders>
              <w:bottom w:val="nil"/>
            </w:tcBorders>
            <w:shd w:val="clear" w:color="auto" w:fill="auto"/>
            <w:noWrap/>
            <w:hideMark/>
          </w:tcPr>
          <w:p w:rsidR="00531F58" w:rsidRPr="00A37189" w:rsidRDefault="00B51AA6" w:rsidP="00A37189">
            <w:pPr>
              <w:pStyle w:val="Tabletext"/>
              <w:tabs>
                <w:tab w:val="decimal" w:pos="567"/>
              </w:tabs>
            </w:pPr>
            <w:r w:rsidRPr="00A37189">
              <w:t>0.9</w:t>
            </w:r>
          </w:p>
        </w:tc>
      </w:tr>
      <w:tr w:rsidR="00531F58" w:rsidRPr="00A37189" w:rsidTr="00A37189">
        <w:tc>
          <w:tcPr>
            <w:tcW w:w="5969" w:type="dxa"/>
            <w:tcBorders>
              <w:top w:val="nil"/>
              <w:bottom w:val="nil"/>
            </w:tcBorders>
            <w:shd w:val="clear" w:color="auto" w:fill="auto"/>
            <w:noWrap/>
            <w:hideMark/>
          </w:tcPr>
          <w:p w:rsidR="00531F58" w:rsidRPr="00A37189" w:rsidRDefault="00531F58" w:rsidP="00A37189">
            <w:pPr>
              <w:pStyle w:val="Tabletext"/>
            </w:pPr>
            <w:r w:rsidRPr="00A37189">
              <w:t xml:space="preserve">All </w:t>
            </w:r>
            <w:r w:rsidR="000304AD" w:rsidRPr="00A37189">
              <w:t>commencing domestic undergraduate students</w:t>
            </w:r>
          </w:p>
        </w:tc>
        <w:tc>
          <w:tcPr>
            <w:tcW w:w="1410" w:type="dxa"/>
            <w:tcBorders>
              <w:top w:val="nil"/>
              <w:bottom w:val="nil"/>
            </w:tcBorders>
            <w:shd w:val="clear" w:color="auto" w:fill="auto"/>
            <w:noWrap/>
            <w:hideMark/>
          </w:tcPr>
          <w:p w:rsidR="00531F58" w:rsidRPr="00A37189" w:rsidRDefault="00741D3D" w:rsidP="00A37189">
            <w:pPr>
              <w:pStyle w:val="Tabletext"/>
              <w:ind w:right="284"/>
              <w:jc w:val="right"/>
            </w:pPr>
            <w:r w:rsidRPr="00A37189">
              <w:t xml:space="preserve">246 </w:t>
            </w:r>
            <w:r w:rsidR="00531F58" w:rsidRPr="00A37189">
              <w:t>569</w:t>
            </w:r>
          </w:p>
        </w:tc>
        <w:tc>
          <w:tcPr>
            <w:tcW w:w="1410" w:type="dxa"/>
            <w:tcBorders>
              <w:top w:val="nil"/>
              <w:bottom w:val="nil"/>
            </w:tcBorders>
            <w:shd w:val="clear" w:color="auto" w:fill="auto"/>
            <w:noWrap/>
            <w:hideMark/>
          </w:tcPr>
          <w:p w:rsidR="00531F58" w:rsidRPr="00A37189" w:rsidRDefault="00531F58" w:rsidP="00A37189">
            <w:pPr>
              <w:pStyle w:val="Tabletext"/>
              <w:tabs>
                <w:tab w:val="decimal" w:pos="567"/>
              </w:tabs>
            </w:pPr>
          </w:p>
        </w:tc>
      </w:tr>
      <w:tr w:rsidR="00A37189" w:rsidRPr="00A37189" w:rsidTr="00AC642A">
        <w:tc>
          <w:tcPr>
            <w:tcW w:w="8789" w:type="dxa"/>
            <w:gridSpan w:val="3"/>
            <w:tcBorders>
              <w:top w:val="nil"/>
              <w:bottom w:val="nil"/>
            </w:tcBorders>
            <w:shd w:val="clear" w:color="auto" w:fill="auto"/>
            <w:noWrap/>
            <w:hideMark/>
          </w:tcPr>
          <w:p w:rsidR="00A37189" w:rsidRPr="00A37189" w:rsidRDefault="00A37189" w:rsidP="00A37189">
            <w:pPr>
              <w:pStyle w:val="Tabletext"/>
              <w:spacing w:before="120"/>
            </w:pPr>
            <w:r w:rsidRPr="00A37189">
              <w:rPr>
                <w:b/>
              </w:rPr>
              <w:t>All domestic undergraduate students</w:t>
            </w:r>
          </w:p>
        </w:tc>
      </w:tr>
      <w:tr w:rsidR="00531F58" w:rsidRPr="00A37189" w:rsidTr="00A37189">
        <w:tc>
          <w:tcPr>
            <w:tcW w:w="5969" w:type="dxa"/>
            <w:tcBorders>
              <w:top w:val="nil"/>
            </w:tcBorders>
            <w:shd w:val="clear" w:color="auto" w:fill="auto"/>
            <w:noWrap/>
            <w:hideMark/>
          </w:tcPr>
          <w:p w:rsidR="00531F58" w:rsidRPr="00A37189" w:rsidRDefault="000304AD" w:rsidP="00A37189">
            <w:pPr>
              <w:pStyle w:val="Tabletext"/>
            </w:pPr>
            <w:r w:rsidRPr="00A37189">
              <w:t>Students from a non-</w:t>
            </w:r>
            <w:r w:rsidR="00531F58" w:rsidRPr="00A37189">
              <w:t>English speaking background</w:t>
            </w:r>
          </w:p>
        </w:tc>
        <w:tc>
          <w:tcPr>
            <w:tcW w:w="1410" w:type="dxa"/>
            <w:tcBorders>
              <w:top w:val="nil"/>
            </w:tcBorders>
            <w:shd w:val="clear" w:color="auto" w:fill="auto"/>
            <w:noWrap/>
            <w:hideMark/>
          </w:tcPr>
          <w:p w:rsidR="00531F58" w:rsidRPr="00A37189" w:rsidRDefault="00741D3D" w:rsidP="00A37189">
            <w:pPr>
              <w:pStyle w:val="Tabletext"/>
              <w:ind w:right="284"/>
              <w:jc w:val="right"/>
            </w:pPr>
            <w:r w:rsidRPr="00A37189">
              <w:t xml:space="preserve">22 </w:t>
            </w:r>
            <w:r w:rsidR="00531F58" w:rsidRPr="00A37189">
              <w:t>127</w:t>
            </w:r>
          </w:p>
        </w:tc>
        <w:tc>
          <w:tcPr>
            <w:tcW w:w="1410" w:type="dxa"/>
            <w:tcBorders>
              <w:top w:val="nil"/>
            </w:tcBorders>
            <w:shd w:val="clear" w:color="auto" w:fill="auto"/>
            <w:noWrap/>
            <w:hideMark/>
          </w:tcPr>
          <w:p w:rsidR="00531F58" w:rsidRPr="00A37189" w:rsidRDefault="00B51AA6" w:rsidP="00A37189">
            <w:pPr>
              <w:pStyle w:val="Tabletext"/>
              <w:tabs>
                <w:tab w:val="decimal" w:pos="567"/>
              </w:tabs>
            </w:pPr>
            <w:r w:rsidRPr="00A37189">
              <w:t>3.3</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Students with a disability</w:t>
            </w:r>
          </w:p>
        </w:tc>
        <w:tc>
          <w:tcPr>
            <w:tcW w:w="1410" w:type="dxa"/>
            <w:shd w:val="clear" w:color="auto" w:fill="auto"/>
            <w:noWrap/>
            <w:hideMark/>
          </w:tcPr>
          <w:p w:rsidR="00531F58" w:rsidRPr="00A37189" w:rsidRDefault="00741D3D" w:rsidP="00A37189">
            <w:pPr>
              <w:pStyle w:val="Tabletext"/>
              <w:ind w:right="284"/>
              <w:jc w:val="right"/>
            </w:pPr>
            <w:r w:rsidRPr="00A37189">
              <w:t xml:space="preserve">35 </w:t>
            </w:r>
            <w:r w:rsidR="00531F58" w:rsidRPr="00A37189">
              <w:t>994</w:t>
            </w:r>
          </w:p>
        </w:tc>
        <w:tc>
          <w:tcPr>
            <w:tcW w:w="1410" w:type="dxa"/>
            <w:shd w:val="clear" w:color="auto" w:fill="auto"/>
            <w:noWrap/>
            <w:hideMark/>
          </w:tcPr>
          <w:p w:rsidR="00531F58" w:rsidRPr="00A37189" w:rsidRDefault="00B51AA6" w:rsidP="00A37189">
            <w:pPr>
              <w:pStyle w:val="Tabletext"/>
              <w:tabs>
                <w:tab w:val="decimal" w:pos="567"/>
              </w:tabs>
            </w:pPr>
            <w:r w:rsidRPr="00A37189">
              <w:t>5.3</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Indigenous</w:t>
            </w:r>
          </w:p>
        </w:tc>
        <w:tc>
          <w:tcPr>
            <w:tcW w:w="1410" w:type="dxa"/>
            <w:shd w:val="clear" w:color="auto" w:fill="auto"/>
            <w:noWrap/>
            <w:hideMark/>
          </w:tcPr>
          <w:p w:rsidR="00531F58" w:rsidRPr="00A37189" w:rsidRDefault="00741D3D" w:rsidP="00A37189">
            <w:pPr>
              <w:pStyle w:val="Tabletext"/>
              <w:ind w:right="284"/>
              <w:jc w:val="right"/>
            </w:pPr>
            <w:r w:rsidRPr="00A37189">
              <w:t xml:space="preserve">9 </w:t>
            </w:r>
            <w:r w:rsidR="00531F58" w:rsidRPr="00A37189">
              <w:t>441</w:t>
            </w:r>
          </w:p>
        </w:tc>
        <w:tc>
          <w:tcPr>
            <w:tcW w:w="1410" w:type="dxa"/>
            <w:shd w:val="clear" w:color="auto" w:fill="auto"/>
            <w:noWrap/>
            <w:hideMark/>
          </w:tcPr>
          <w:p w:rsidR="00531F58" w:rsidRPr="00A37189" w:rsidRDefault="00B51AA6" w:rsidP="00A37189">
            <w:pPr>
              <w:pStyle w:val="Tabletext"/>
              <w:tabs>
                <w:tab w:val="decimal" w:pos="567"/>
              </w:tabs>
            </w:pPr>
            <w:r w:rsidRPr="00A37189">
              <w:t>1.4</w:t>
            </w:r>
          </w:p>
        </w:tc>
      </w:tr>
      <w:tr w:rsidR="00FC1C51" w:rsidRPr="00A37189" w:rsidTr="00A37189">
        <w:tc>
          <w:tcPr>
            <w:tcW w:w="5969" w:type="dxa"/>
            <w:shd w:val="clear" w:color="auto" w:fill="auto"/>
            <w:noWrap/>
            <w:hideMark/>
          </w:tcPr>
          <w:p w:rsidR="00FC1C51" w:rsidRPr="00A37189" w:rsidRDefault="00FC1C51" w:rsidP="00A37189">
            <w:pPr>
              <w:pStyle w:val="Tabletext"/>
            </w:pPr>
            <w:r w:rsidRPr="00A37189">
              <w:t>Low SES 1</w:t>
            </w:r>
          </w:p>
        </w:tc>
        <w:tc>
          <w:tcPr>
            <w:tcW w:w="1410" w:type="dxa"/>
            <w:shd w:val="clear" w:color="auto" w:fill="auto"/>
            <w:noWrap/>
            <w:hideMark/>
          </w:tcPr>
          <w:p w:rsidR="00FC1C51" w:rsidRPr="00A37189" w:rsidRDefault="00741D3D" w:rsidP="00A37189">
            <w:pPr>
              <w:pStyle w:val="Tabletext"/>
              <w:ind w:right="284"/>
              <w:jc w:val="right"/>
            </w:pPr>
            <w:r w:rsidRPr="00A37189">
              <w:t xml:space="preserve">115 </w:t>
            </w:r>
            <w:r w:rsidR="00FC1C51" w:rsidRPr="00A37189">
              <w:t>903</w:t>
            </w:r>
          </w:p>
        </w:tc>
        <w:tc>
          <w:tcPr>
            <w:tcW w:w="1410" w:type="dxa"/>
            <w:shd w:val="clear" w:color="auto" w:fill="auto"/>
            <w:noWrap/>
            <w:hideMark/>
          </w:tcPr>
          <w:p w:rsidR="00FC1C51" w:rsidRPr="00A37189" w:rsidRDefault="00FC1C51" w:rsidP="00A37189">
            <w:pPr>
              <w:pStyle w:val="Tabletext"/>
              <w:tabs>
                <w:tab w:val="decimal" w:pos="567"/>
              </w:tabs>
            </w:pPr>
            <w:r w:rsidRPr="00A37189">
              <w:t>17.1</w:t>
            </w:r>
          </w:p>
        </w:tc>
      </w:tr>
      <w:tr w:rsidR="00FC1C51" w:rsidRPr="00A37189" w:rsidTr="00A37189">
        <w:tc>
          <w:tcPr>
            <w:tcW w:w="5969" w:type="dxa"/>
            <w:shd w:val="clear" w:color="auto" w:fill="auto"/>
            <w:noWrap/>
            <w:hideMark/>
          </w:tcPr>
          <w:p w:rsidR="00FC1C51" w:rsidRPr="00A37189" w:rsidRDefault="00FC1C51" w:rsidP="00A37189">
            <w:pPr>
              <w:pStyle w:val="Tabletext"/>
            </w:pPr>
            <w:r w:rsidRPr="00A37189">
              <w:t>Regional 2</w:t>
            </w:r>
          </w:p>
        </w:tc>
        <w:tc>
          <w:tcPr>
            <w:tcW w:w="1410" w:type="dxa"/>
            <w:shd w:val="clear" w:color="auto" w:fill="auto"/>
            <w:noWrap/>
            <w:hideMark/>
          </w:tcPr>
          <w:p w:rsidR="00FC1C51" w:rsidRPr="00A37189" w:rsidRDefault="00741D3D" w:rsidP="00A37189">
            <w:pPr>
              <w:pStyle w:val="Tabletext"/>
              <w:ind w:right="284"/>
              <w:jc w:val="right"/>
            </w:pPr>
            <w:r w:rsidRPr="00A37189">
              <w:t xml:space="preserve">138 </w:t>
            </w:r>
            <w:r w:rsidR="00FC1C51" w:rsidRPr="00A37189">
              <w:t>854</w:t>
            </w:r>
          </w:p>
        </w:tc>
        <w:tc>
          <w:tcPr>
            <w:tcW w:w="1410" w:type="dxa"/>
            <w:shd w:val="clear" w:color="auto" w:fill="auto"/>
            <w:noWrap/>
            <w:hideMark/>
          </w:tcPr>
          <w:p w:rsidR="00FC1C51" w:rsidRPr="00A37189" w:rsidRDefault="00FC1C51" w:rsidP="00A37189">
            <w:pPr>
              <w:pStyle w:val="Tabletext"/>
              <w:tabs>
                <w:tab w:val="decimal" w:pos="567"/>
              </w:tabs>
            </w:pPr>
            <w:r w:rsidRPr="00A37189">
              <w:t>20.4</w:t>
            </w:r>
          </w:p>
        </w:tc>
      </w:tr>
      <w:tr w:rsidR="00FC1C51" w:rsidRPr="00A37189" w:rsidTr="00A37189">
        <w:tc>
          <w:tcPr>
            <w:tcW w:w="5969" w:type="dxa"/>
            <w:shd w:val="clear" w:color="auto" w:fill="auto"/>
            <w:noWrap/>
            <w:hideMark/>
          </w:tcPr>
          <w:p w:rsidR="00FC1C51" w:rsidRPr="00A37189" w:rsidRDefault="00FC1C51" w:rsidP="00A37189">
            <w:pPr>
              <w:pStyle w:val="Tabletext"/>
            </w:pPr>
            <w:r w:rsidRPr="00A37189">
              <w:t>Remote 2</w:t>
            </w:r>
          </w:p>
        </w:tc>
        <w:tc>
          <w:tcPr>
            <w:tcW w:w="1410" w:type="dxa"/>
            <w:shd w:val="clear" w:color="auto" w:fill="auto"/>
            <w:noWrap/>
            <w:hideMark/>
          </w:tcPr>
          <w:p w:rsidR="00FC1C51" w:rsidRPr="00A37189" w:rsidRDefault="00741D3D" w:rsidP="00A37189">
            <w:pPr>
              <w:pStyle w:val="Tabletext"/>
              <w:ind w:right="284"/>
              <w:jc w:val="right"/>
            </w:pPr>
            <w:r w:rsidRPr="00A37189">
              <w:t xml:space="preserve">5 </w:t>
            </w:r>
            <w:r w:rsidR="00FC1C51" w:rsidRPr="00A37189">
              <w:t>565</w:t>
            </w:r>
          </w:p>
        </w:tc>
        <w:tc>
          <w:tcPr>
            <w:tcW w:w="1410" w:type="dxa"/>
            <w:shd w:val="clear" w:color="auto" w:fill="auto"/>
            <w:noWrap/>
            <w:hideMark/>
          </w:tcPr>
          <w:p w:rsidR="00FC1C51" w:rsidRPr="00A37189" w:rsidRDefault="00FC1C51" w:rsidP="00A37189">
            <w:pPr>
              <w:pStyle w:val="Tabletext"/>
              <w:tabs>
                <w:tab w:val="decimal" w:pos="567"/>
              </w:tabs>
            </w:pPr>
            <w:r w:rsidRPr="00A37189">
              <w:t>0.8</w:t>
            </w:r>
          </w:p>
        </w:tc>
      </w:tr>
      <w:tr w:rsidR="00531F58" w:rsidRPr="00A37189" w:rsidTr="00A37189">
        <w:tc>
          <w:tcPr>
            <w:tcW w:w="5969" w:type="dxa"/>
            <w:shd w:val="clear" w:color="auto" w:fill="auto"/>
            <w:noWrap/>
            <w:hideMark/>
          </w:tcPr>
          <w:p w:rsidR="00531F58" w:rsidRPr="00A37189" w:rsidRDefault="00531F58" w:rsidP="00A37189">
            <w:pPr>
              <w:pStyle w:val="Tabletext"/>
            </w:pPr>
            <w:r w:rsidRPr="00A37189">
              <w:t xml:space="preserve">All </w:t>
            </w:r>
            <w:r w:rsidR="000304AD" w:rsidRPr="00A37189">
              <w:t>domestic undergraduate students</w:t>
            </w:r>
          </w:p>
        </w:tc>
        <w:tc>
          <w:tcPr>
            <w:tcW w:w="1410" w:type="dxa"/>
            <w:shd w:val="clear" w:color="auto" w:fill="auto"/>
            <w:noWrap/>
            <w:hideMark/>
          </w:tcPr>
          <w:p w:rsidR="00531F58" w:rsidRPr="00A37189" w:rsidRDefault="00741D3D" w:rsidP="00A37189">
            <w:pPr>
              <w:pStyle w:val="Tabletext"/>
              <w:ind w:right="284"/>
              <w:jc w:val="right"/>
            </w:pPr>
            <w:r w:rsidRPr="00A37189">
              <w:t xml:space="preserve">679 </w:t>
            </w:r>
            <w:r w:rsidR="00531F58" w:rsidRPr="00A37189">
              <w:t>595</w:t>
            </w:r>
          </w:p>
        </w:tc>
        <w:tc>
          <w:tcPr>
            <w:tcW w:w="1410" w:type="dxa"/>
            <w:shd w:val="clear" w:color="auto" w:fill="auto"/>
            <w:noWrap/>
            <w:hideMark/>
          </w:tcPr>
          <w:p w:rsidR="00531F58" w:rsidRPr="00A37189" w:rsidRDefault="00531F58" w:rsidP="00A37189">
            <w:pPr>
              <w:pStyle w:val="Tabletext"/>
              <w:tabs>
                <w:tab w:val="decimal" w:pos="567"/>
              </w:tabs>
            </w:pPr>
            <w:r w:rsidRPr="00A37189">
              <w:t> </w:t>
            </w:r>
          </w:p>
        </w:tc>
      </w:tr>
    </w:tbl>
    <w:p w:rsidR="000304AD" w:rsidRPr="00CE36A0" w:rsidRDefault="00CE36A0" w:rsidP="001C1482">
      <w:pPr>
        <w:pStyle w:val="Source"/>
        <w:tabs>
          <w:tab w:val="left" w:pos="567"/>
        </w:tabs>
        <w:ind w:left="709" w:hanging="709"/>
      </w:pPr>
      <w:r>
        <w:t>Notes:</w:t>
      </w:r>
      <w:r w:rsidR="000304AD">
        <w:tab/>
        <w:t>1</w:t>
      </w:r>
      <w:r>
        <w:tab/>
      </w:r>
      <w:r w:rsidR="000304AD" w:rsidRPr="00FC1C51">
        <w:t>Low SES postcode measure is based on the students</w:t>
      </w:r>
      <w:r w:rsidR="00C15F58">
        <w:t>’</w:t>
      </w:r>
      <w:r w:rsidR="000304AD" w:rsidRPr="00FC1C51">
        <w:t xml:space="preserve"> postcode o</w:t>
      </w:r>
      <w:r w:rsidR="004C7231">
        <w:t>f permanent home residence,</w:t>
      </w:r>
      <w:r w:rsidR="000304AD" w:rsidRPr="00FC1C51">
        <w:t xml:space="preserve"> with the SES value </w:t>
      </w:r>
      <w:r w:rsidR="000304AD" w:rsidRPr="00CE36A0">
        <w:t xml:space="preserve">derived from the 2011 SEIFA </w:t>
      </w:r>
      <w:r w:rsidR="004C7231" w:rsidRPr="00CE36A0">
        <w:t xml:space="preserve">(Socio-Economic Indexes for Australia) </w:t>
      </w:r>
      <w:r w:rsidR="000304AD" w:rsidRPr="00CE36A0">
        <w:t xml:space="preserve">Education and Occupation Index for postal areas, </w:t>
      </w:r>
      <w:r w:rsidR="001C1482">
        <w:t>with</w:t>
      </w:r>
      <w:r w:rsidR="000304AD" w:rsidRPr="00CE36A0">
        <w:t xml:space="preserve"> postal areas in the bottom 25% of the population aged 15–64 years being classified as low SES.</w:t>
      </w:r>
    </w:p>
    <w:p w:rsidR="000304AD" w:rsidRPr="00CE36A0" w:rsidRDefault="00A37189" w:rsidP="001C1482">
      <w:pPr>
        <w:pStyle w:val="Source"/>
        <w:tabs>
          <w:tab w:val="left" w:pos="567"/>
        </w:tabs>
        <w:ind w:left="709" w:hanging="709"/>
      </w:pPr>
      <w:r>
        <w:tab/>
      </w:r>
      <w:r w:rsidR="000304AD" w:rsidRPr="00CE36A0">
        <w:t>2</w:t>
      </w:r>
      <w:r w:rsidR="00CE36A0">
        <w:tab/>
      </w:r>
      <w:r w:rsidR="00A8205B" w:rsidRPr="00CE36A0">
        <w:t>Regional and r</w:t>
      </w:r>
      <w:r w:rsidR="000304AD" w:rsidRPr="00CE36A0">
        <w:t xml:space="preserve">emote categories derived from </w:t>
      </w:r>
      <w:r w:rsidR="001A4AD1" w:rsidRPr="00CE36A0">
        <w:t>the Australian Statistical Geography Standard (</w:t>
      </w:r>
      <w:r w:rsidR="000304AD" w:rsidRPr="00CE36A0">
        <w:t>ASGS</w:t>
      </w:r>
      <w:r w:rsidR="001A4AD1" w:rsidRPr="00CE36A0">
        <w:t>)</w:t>
      </w:r>
      <w:r w:rsidR="000304AD" w:rsidRPr="00CE36A0">
        <w:t>.</w:t>
      </w:r>
    </w:p>
    <w:p w:rsidR="003B0505" w:rsidRDefault="003B0505" w:rsidP="00CE36A0">
      <w:pPr>
        <w:pStyle w:val="Source"/>
      </w:pPr>
      <w:r w:rsidRPr="00CE36A0">
        <w:t>Source:</w:t>
      </w:r>
      <w:r w:rsidR="00CE36A0">
        <w:tab/>
      </w:r>
      <w:r w:rsidRPr="00CE36A0">
        <w:t>Higher Education statistics</w:t>
      </w:r>
      <w:r w:rsidR="000304AD">
        <w:t>, viewed 22 February 2014,</w:t>
      </w:r>
      <w:r>
        <w:t xml:space="preserve"> </w:t>
      </w:r>
      <w:r w:rsidR="000304AD">
        <w:t>&lt;</w:t>
      </w:r>
      <w:hyperlink r:id="rId13" w:history="1">
        <w:r w:rsidR="00A37189" w:rsidRPr="004B358B">
          <w:rPr>
            <w:rStyle w:val="Hyperlink"/>
            <w:rFonts w:ascii="Arial" w:hAnsi="Arial"/>
            <w:sz w:val="15"/>
          </w:rPr>
          <w:t>http://www.innovation.gov.au/HigherEducation/HigherEducation Statistics/StatisticsPublications/Pages/Students12FullYear.aspx</w:t>
        </w:r>
      </w:hyperlink>
      <w:r w:rsidR="00A8205B">
        <w:t>&gt;.</w:t>
      </w:r>
    </w:p>
    <w:p w:rsidR="001A6340" w:rsidRDefault="001A6340" w:rsidP="00531F58">
      <w:pPr>
        <w:pStyle w:val="Text"/>
      </w:pPr>
      <w:r>
        <w:br w:type="page"/>
      </w:r>
    </w:p>
    <w:p w:rsidR="001A6340" w:rsidRDefault="001A6340" w:rsidP="00AC642A">
      <w:pPr>
        <w:pStyle w:val="Tabletitle0"/>
      </w:pPr>
      <w:r>
        <w:lastRenderedPageBreak/>
        <w:t xml:space="preserve">Table </w:t>
      </w:r>
      <w:r w:rsidR="00FC1C51">
        <w:t>3</w:t>
      </w:r>
      <w:r w:rsidR="00AC642A">
        <w:tab/>
      </w:r>
      <w:r w:rsidRPr="001A6340">
        <w:t>Employment and further study outcomes for graduates six months after completing their training by equity group and qualification level, Australia, 2012</w:t>
      </w:r>
    </w:p>
    <w:tbl>
      <w:tblPr>
        <w:tblW w:w="8789" w:type="dxa"/>
        <w:tblInd w:w="108" w:type="dxa"/>
        <w:tblLayout w:type="fixed"/>
        <w:tblLook w:val="04A0" w:firstRow="1" w:lastRow="0" w:firstColumn="1" w:lastColumn="0" w:noHBand="0" w:noVBand="1"/>
      </w:tblPr>
      <w:tblGrid>
        <w:gridCol w:w="1843"/>
        <w:gridCol w:w="1389"/>
        <w:gridCol w:w="1389"/>
        <w:gridCol w:w="1389"/>
        <w:gridCol w:w="1389"/>
        <w:gridCol w:w="1390"/>
      </w:tblGrid>
      <w:tr w:rsidR="00260C89" w:rsidRPr="001A6340" w:rsidTr="00260C89">
        <w:tc>
          <w:tcPr>
            <w:tcW w:w="1843" w:type="dxa"/>
            <w:tcBorders>
              <w:top w:val="single" w:sz="4" w:space="0" w:color="auto"/>
              <w:left w:val="nil"/>
              <w:bottom w:val="nil"/>
              <w:right w:val="nil"/>
            </w:tcBorders>
            <w:shd w:val="clear" w:color="auto" w:fill="auto"/>
            <w:hideMark/>
          </w:tcPr>
          <w:p w:rsidR="00260C89" w:rsidRPr="001A6340" w:rsidRDefault="00260C89" w:rsidP="00AC642A">
            <w:pPr>
              <w:pStyle w:val="Tablehead1"/>
              <w:rPr>
                <w:lang w:eastAsia="en-AU"/>
              </w:rPr>
            </w:pPr>
            <w:r w:rsidRPr="001A6340">
              <w:rPr>
                <w:lang w:eastAsia="en-AU"/>
              </w:rPr>
              <w:t>Equity group</w:t>
            </w:r>
          </w:p>
        </w:tc>
        <w:tc>
          <w:tcPr>
            <w:tcW w:w="4167" w:type="dxa"/>
            <w:gridSpan w:val="3"/>
            <w:tcBorders>
              <w:top w:val="single" w:sz="4" w:space="0" w:color="auto"/>
              <w:left w:val="nil"/>
              <w:bottom w:val="nil"/>
              <w:right w:val="nil"/>
            </w:tcBorders>
            <w:shd w:val="clear" w:color="auto" w:fill="auto"/>
            <w:noWrap/>
            <w:hideMark/>
          </w:tcPr>
          <w:p w:rsidR="00260C89" w:rsidRPr="001A6340" w:rsidRDefault="00260C89" w:rsidP="00260C89">
            <w:pPr>
              <w:pStyle w:val="Tablehead1"/>
              <w:jc w:val="center"/>
              <w:rPr>
                <w:lang w:eastAsia="en-AU"/>
              </w:rPr>
            </w:pPr>
            <w:r w:rsidRPr="001A6340">
              <w:rPr>
                <w:lang w:eastAsia="en-AU"/>
              </w:rPr>
              <w:t>Enrolled in further study after training</w:t>
            </w:r>
          </w:p>
        </w:tc>
        <w:tc>
          <w:tcPr>
            <w:tcW w:w="1389" w:type="dxa"/>
            <w:tcBorders>
              <w:top w:val="single" w:sz="4" w:space="0" w:color="auto"/>
              <w:left w:val="nil"/>
              <w:right w:val="nil"/>
            </w:tcBorders>
            <w:shd w:val="clear" w:color="auto" w:fill="auto"/>
            <w:noWrap/>
            <w:tcMar>
              <w:left w:w="57" w:type="dxa"/>
              <w:right w:w="57" w:type="dxa"/>
            </w:tcMar>
            <w:hideMark/>
          </w:tcPr>
          <w:p w:rsidR="00260C89" w:rsidRPr="001A6340" w:rsidRDefault="00260C89" w:rsidP="00260C89">
            <w:pPr>
              <w:pStyle w:val="Tablehead1"/>
              <w:jc w:val="center"/>
              <w:rPr>
                <w:lang w:eastAsia="en-AU"/>
              </w:rPr>
            </w:pPr>
            <w:r>
              <w:rPr>
                <w:lang w:eastAsia="en-AU"/>
              </w:rPr>
              <w:t>Not enrolled in further study</w:t>
            </w:r>
          </w:p>
        </w:tc>
        <w:tc>
          <w:tcPr>
            <w:tcW w:w="1390" w:type="dxa"/>
            <w:tcBorders>
              <w:top w:val="single" w:sz="4" w:space="0" w:color="auto"/>
              <w:left w:val="nil"/>
              <w:right w:val="nil"/>
            </w:tcBorders>
            <w:shd w:val="clear" w:color="auto" w:fill="auto"/>
            <w:hideMark/>
          </w:tcPr>
          <w:p w:rsidR="00260C89" w:rsidRPr="001A6340" w:rsidRDefault="00260C89" w:rsidP="00260C89">
            <w:pPr>
              <w:pStyle w:val="Tablehead1"/>
              <w:jc w:val="center"/>
              <w:rPr>
                <w:lang w:eastAsia="en-AU"/>
              </w:rPr>
            </w:pPr>
            <w:r w:rsidRPr="001A6340">
              <w:rPr>
                <w:lang w:eastAsia="en-AU"/>
              </w:rPr>
              <w:t>Employed after training</w:t>
            </w:r>
          </w:p>
        </w:tc>
      </w:tr>
      <w:tr w:rsidR="00AC642A" w:rsidRPr="00AC642A" w:rsidTr="00260C89">
        <w:tc>
          <w:tcPr>
            <w:tcW w:w="1843" w:type="dxa"/>
            <w:tcBorders>
              <w:top w:val="nil"/>
              <w:left w:val="nil"/>
              <w:bottom w:val="single" w:sz="4" w:space="0" w:color="auto"/>
              <w:right w:val="nil"/>
            </w:tcBorders>
            <w:shd w:val="clear" w:color="auto" w:fill="auto"/>
            <w:hideMark/>
          </w:tcPr>
          <w:p w:rsidR="00AC642A" w:rsidRPr="00AC642A" w:rsidRDefault="00AC642A" w:rsidP="00AC642A">
            <w:pPr>
              <w:pStyle w:val="Tablehead2"/>
            </w:pPr>
            <w:r w:rsidRPr="00AC642A">
              <w:t>Qualification level</w:t>
            </w:r>
          </w:p>
        </w:tc>
        <w:tc>
          <w:tcPr>
            <w:tcW w:w="1389" w:type="dxa"/>
            <w:tcBorders>
              <w:top w:val="nil"/>
              <w:left w:val="nil"/>
              <w:bottom w:val="single" w:sz="4" w:space="0" w:color="auto"/>
              <w:right w:val="nil"/>
            </w:tcBorders>
            <w:shd w:val="clear" w:color="auto" w:fill="auto"/>
            <w:hideMark/>
          </w:tcPr>
          <w:p w:rsidR="00AC642A" w:rsidRPr="00AC642A" w:rsidRDefault="00AC642A" w:rsidP="00260C89">
            <w:pPr>
              <w:pStyle w:val="Tablehead2"/>
              <w:jc w:val="center"/>
            </w:pPr>
            <w:r w:rsidRPr="00AC642A">
              <w:t>Studying at university</w:t>
            </w:r>
          </w:p>
        </w:tc>
        <w:tc>
          <w:tcPr>
            <w:tcW w:w="1389" w:type="dxa"/>
            <w:tcBorders>
              <w:top w:val="nil"/>
              <w:left w:val="nil"/>
              <w:bottom w:val="single" w:sz="4" w:space="0" w:color="auto"/>
              <w:right w:val="nil"/>
            </w:tcBorders>
            <w:shd w:val="clear" w:color="auto" w:fill="auto"/>
            <w:hideMark/>
          </w:tcPr>
          <w:p w:rsidR="00AC642A" w:rsidRPr="00AC642A" w:rsidRDefault="00AC642A" w:rsidP="00260C89">
            <w:pPr>
              <w:pStyle w:val="Tablehead2"/>
              <w:jc w:val="center"/>
            </w:pPr>
            <w:r w:rsidRPr="00AC642A">
              <w:t>Studying at TAFE institute</w:t>
            </w:r>
          </w:p>
        </w:tc>
        <w:tc>
          <w:tcPr>
            <w:tcW w:w="1389" w:type="dxa"/>
            <w:tcBorders>
              <w:top w:val="nil"/>
              <w:left w:val="nil"/>
              <w:bottom w:val="single" w:sz="4" w:space="0" w:color="auto"/>
              <w:right w:val="nil"/>
            </w:tcBorders>
            <w:shd w:val="clear" w:color="auto" w:fill="auto"/>
            <w:tcMar>
              <w:left w:w="57" w:type="dxa"/>
              <w:right w:w="57" w:type="dxa"/>
            </w:tcMar>
            <w:hideMark/>
          </w:tcPr>
          <w:p w:rsidR="00AC642A" w:rsidRPr="00AC642A" w:rsidRDefault="00AC642A" w:rsidP="00260C89">
            <w:pPr>
              <w:pStyle w:val="Tablehead2"/>
              <w:jc w:val="center"/>
            </w:pPr>
            <w:r w:rsidRPr="00AC642A">
              <w:t>Studying at private provider or other registered provider</w:t>
            </w:r>
          </w:p>
        </w:tc>
        <w:tc>
          <w:tcPr>
            <w:tcW w:w="1389" w:type="dxa"/>
            <w:tcBorders>
              <w:left w:val="nil"/>
              <w:bottom w:val="single" w:sz="4" w:space="0" w:color="000000"/>
              <w:right w:val="nil"/>
            </w:tcBorders>
            <w:shd w:val="clear" w:color="auto" w:fill="auto"/>
            <w:hideMark/>
          </w:tcPr>
          <w:p w:rsidR="00AC642A" w:rsidRPr="00AC642A" w:rsidRDefault="00AC642A" w:rsidP="00260C89">
            <w:pPr>
              <w:pStyle w:val="Tablehead2"/>
              <w:jc w:val="center"/>
            </w:pPr>
          </w:p>
        </w:tc>
        <w:tc>
          <w:tcPr>
            <w:tcW w:w="1390" w:type="dxa"/>
            <w:tcBorders>
              <w:left w:val="nil"/>
              <w:bottom w:val="single" w:sz="4" w:space="0" w:color="000000"/>
              <w:right w:val="nil"/>
            </w:tcBorders>
            <w:shd w:val="clear" w:color="auto" w:fill="auto"/>
            <w:hideMark/>
          </w:tcPr>
          <w:p w:rsidR="00AC642A" w:rsidRPr="00AC642A" w:rsidRDefault="00AC642A" w:rsidP="00260C89">
            <w:pPr>
              <w:pStyle w:val="Tablehead2"/>
              <w:jc w:val="center"/>
            </w:pPr>
          </w:p>
        </w:tc>
      </w:tr>
      <w:tr w:rsidR="001A6340" w:rsidRPr="001A6340" w:rsidTr="00260C89">
        <w:tc>
          <w:tcPr>
            <w:tcW w:w="1843" w:type="dxa"/>
            <w:tcBorders>
              <w:top w:val="nil"/>
              <w:left w:val="nil"/>
              <w:bottom w:val="nil"/>
              <w:right w:val="nil"/>
            </w:tcBorders>
            <w:shd w:val="clear" w:color="auto" w:fill="auto"/>
            <w:noWrap/>
            <w:hideMark/>
          </w:tcPr>
          <w:p w:rsidR="001A6340" w:rsidRPr="00260C89" w:rsidRDefault="001A6340" w:rsidP="00260C89">
            <w:pPr>
              <w:pStyle w:val="Tablehead3"/>
              <w:spacing w:before="120"/>
              <w:rPr>
                <w:lang w:eastAsia="en-AU"/>
              </w:rPr>
            </w:pPr>
            <w:r w:rsidRPr="00260C89">
              <w:rPr>
                <w:lang w:eastAsia="en-AU"/>
              </w:rPr>
              <w:t>Indigenous</w:t>
            </w:r>
          </w:p>
        </w:tc>
        <w:tc>
          <w:tcPr>
            <w:tcW w:w="1389"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p>
        </w:tc>
        <w:tc>
          <w:tcPr>
            <w:tcW w:w="1389"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p>
        </w:tc>
        <w:tc>
          <w:tcPr>
            <w:tcW w:w="1389"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p>
        </w:tc>
        <w:tc>
          <w:tcPr>
            <w:tcW w:w="1389"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p>
        </w:tc>
        <w:tc>
          <w:tcPr>
            <w:tcW w:w="1390"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2.7*</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23.3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11.9*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62.1</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48.4</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20.1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11.6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62.0</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78.1</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15.6*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10.9*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64.9</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70.7</w:t>
            </w:r>
          </w:p>
        </w:tc>
      </w:tr>
      <w:tr w:rsidR="001A6340" w:rsidRPr="00260C89" w:rsidTr="00260C89">
        <w:tc>
          <w:tcPr>
            <w:tcW w:w="1843" w:type="dxa"/>
            <w:tcBorders>
              <w:top w:val="nil"/>
              <w:left w:val="nil"/>
              <w:bottom w:val="nil"/>
              <w:right w:val="nil"/>
            </w:tcBorders>
            <w:shd w:val="clear" w:color="auto" w:fill="auto"/>
            <w:noWrap/>
            <w:hideMark/>
          </w:tcPr>
          <w:p w:rsidR="001A6340" w:rsidRPr="00260C89" w:rsidRDefault="001A6340" w:rsidP="00FC1C51">
            <w:pPr>
              <w:pStyle w:val="Tabletext"/>
              <w:rPr>
                <w:b/>
                <w:iCs/>
                <w:lang w:eastAsia="en-AU"/>
              </w:rPr>
            </w:pPr>
            <w:r w:rsidRPr="00260C89">
              <w:rPr>
                <w:b/>
                <w:iCs/>
                <w:lang w:eastAsia="en-AU"/>
              </w:rPr>
              <w:t>All Indigenous</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6.4</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19.9</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11.3</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62.4</w:t>
            </w:r>
          </w:p>
        </w:tc>
        <w:tc>
          <w:tcPr>
            <w:tcW w:w="1390"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67.1</w:t>
            </w:r>
          </w:p>
        </w:tc>
      </w:tr>
      <w:tr w:rsidR="001A6340" w:rsidRPr="001A6340" w:rsidTr="00260C89">
        <w:tc>
          <w:tcPr>
            <w:tcW w:w="1843" w:type="dxa"/>
            <w:tcBorders>
              <w:top w:val="nil"/>
              <w:left w:val="nil"/>
              <w:bottom w:val="nil"/>
              <w:right w:val="nil"/>
            </w:tcBorders>
            <w:shd w:val="clear" w:color="auto" w:fill="auto"/>
            <w:noWrap/>
            <w:hideMark/>
          </w:tcPr>
          <w:p w:rsidR="001A6340" w:rsidRPr="00260C89" w:rsidRDefault="001A6340" w:rsidP="00260C89">
            <w:pPr>
              <w:pStyle w:val="Tablehead3"/>
              <w:spacing w:before="120"/>
              <w:rPr>
                <w:lang w:eastAsia="en-AU"/>
              </w:rPr>
            </w:pPr>
            <w:r w:rsidRPr="00260C89">
              <w:rPr>
                <w:lang w:eastAsia="en-AU"/>
              </w:rPr>
              <w:t>Disability</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23.4</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13.3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60.8</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34.1</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23.2</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9.8</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62.9</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57.8</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14.0</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14.4</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7.2*</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64.3</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67.7</w:t>
            </w:r>
          </w:p>
        </w:tc>
      </w:tr>
      <w:tr w:rsidR="001A6340" w:rsidRPr="00260C89" w:rsidTr="00260C89">
        <w:tc>
          <w:tcPr>
            <w:tcW w:w="1843" w:type="dxa"/>
            <w:tcBorders>
              <w:top w:val="nil"/>
              <w:left w:val="nil"/>
              <w:bottom w:val="nil"/>
              <w:right w:val="nil"/>
            </w:tcBorders>
            <w:shd w:val="clear" w:color="auto" w:fill="auto"/>
            <w:noWrap/>
            <w:hideMark/>
          </w:tcPr>
          <w:p w:rsidR="001A6340" w:rsidRPr="00260C89" w:rsidRDefault="00A8205B" w:rsidP="00FC1C51">
            <w:pPr>
              <w:pStyle w:val="Tabletext"/>
              <w:rPr>
                <w:b/>
                <w:iCs/>
                <w:lang w:eastAsia="en-AU"/>
              </w:rPr>
            </w:pPr>
            <w:r w:rsidRPr="00260C89">
              <w:rPr>
                <w:b/>
                <w:iCs/>
                <w:lang w:eastAsia="en-AU"/>
              </w:rPr>
              <w:t>All d</w:t>
            </w:r>
            <w:r w:rsidR="001A6340" w:rsidRPr="00260C89">
              <w:rPr>
                <w:b/>
                <w:iCs/>
                <w:lang w:eastAsia="en-AU"/>
              </w:rPr>
              <w:t>isability</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5.3</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21.8</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10.4</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62.5</w:t>
            </w:r>
          </w:p>
        </w:tc>
        <w:tc>
          <w:tcPr>
            <w:tcW w:w="1390"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52.4</w:t>
            </w:r>
          </w:p>
        </w:tc>
      </w:tr>
      <w:tr w:rsidR="00260C89" w:rsidRPr="001A6340" w:rsidTr="002730C7">
        <w:tc>
          <w:tcPr>
            <w:tcW w:w="8789" w:type="dxa"/>
            <w:gridSpan w:val="6"/>
            <w:tcBorders>
              <w:top w:val="nil"/>
              <w:left w:val="nil"/>
              <w:bottom w:val="nil"/>
              <w:right w:val="nil"/>
            </w:tcBorders>
            <w:shd w:val="clear" w:color="auto" w:fill="auto"/>
            <w:noWrap/>
            <w:hideMark/>
          </w:tcPr>
          <w:p w:rsidR="00260C89" w:rsidRPr="001A6340" w:rsidRDefault="00260C89" w:rsidP="00260C89">
            <w:pPr>
              <w:pStyle w:val="Tabletext"/>
              <w:spacing w:before="120"/>
              <w:rPr>
                <w:lang w:eastAsia="en-AU"/>
              </w:rPr>
            </w:pPr>
            <w:r w:rsidRPr="00260C89">
              <w:rPr>
                <w:i/>
                <w:lang w:eastAsia="en-AU"/>
              </w:rPr>
              <w:t>From rural/remote localities</w:t>
            </w:r>
            <w:r w:rsidRPr="001C1482">
              <w:rPr>
                <w:vertAlign w:val="superscript"/>
                <w:lang w:eastAsia="en-AU"/>
              </w:rPr>
              <w:t>1</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4.4*</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21.6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12.2</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61.8</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59.6</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4.5</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16.8</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12.1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66.7</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86.8</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14.4</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8.7</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11.7</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65.1</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88.2</w:t>
            </w:r>
          </w:p>
        </w:tc>
      </w:tr>
      <w:tr w:rsidR="001A6340" w:rsidRPr="00260C89" w:rsidTr="00260C89">
        <w:tc>
          <w:tcPr>
            <w:tcW w:w="1843" w:type="dxa"/>
            <w:tcBorders>
              <w:top w:val="nil"/>
              <w:left w:val="nil"/>
              <w:bottom w:val="nil"/>
              <w:right w:val="nil"/>
            </w:tcBorders>
            <w:shd w:val="clear" w:color="auto" w:fill="auto"/>
            <w:noWrap/>
            <w:hideMark/>
          </w:tcPr>
          <w:p w:rsidR="001A6340" w:rsidRPr="00260C89" w:rsidRDefault="001A6340" w:rsidP="00FC1C51">
            <w:pPr>
              <w:pStyle w:val="Tabletext"/>
              <w:rPr>
                <w:b/>
                <w:iCs/>
                <w:lang w:eastAsia="en-AU"/>
              </w:rPr>
            </w:pPr>
            <w:r w:rsidRPr="00260C89">
              <w:rPr>
                <w:b/>
                <w:iCs/>
                <w:lang w:eastAsia="en-AU"/>
              </w:rPr>
              <w:t xml:space="preserve">All </w:t>
            </w:r>
            <w:r w:rsidR="00A8205B" w:rsidRPr="00260C89">
              <w:rPr>
                <w:b/>
                <w:iCs/>
                <w:lang w:eastAsia="en-AU"/>
              </w:rPr>
              <w:t>rural/remote</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5.7</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16.8</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12.0</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65.5</w:t>
            </w:r>
          </w:p>
        </w:tc>
        <w:tc>
          <w:tcPr>
            <w:tcW w:w="1390"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81.1</w:t>
            </w:r>
          </w:p>
        </w:tc>
      </w:tr>
      <w:tr w:rsidR="00260C89" w:rsidRPr="001A6340" w:rsidTr="002730C7">
        <w:tc>
          <w:tcPr>
            <w:tcW w:w="8789" w:type="dxa"/>
            <w:gridSpan w:val="6"/>
            <w:tcBorders>
              <w:top w:val="nil"/>
              <w:left w:val="nil"/>
              <w:bottom w:val="nil"/>
              <w:right w:val="nil"/>
            </w:tcBorders>
            <w:shd w:val="clear" w:color="auto" w:fill="auto"/>
            <w:hideMark/>
          </w:tcPr>
          <w:p w:rsidR="00260C89" w:rsidRPr="001A6340" w:rsidRDefault="00260C89" w:rsidP="00260C89">
            <w:pPr>
              <w:pStyle w:val="Tabletext"/>
              <w:spacing w:before="120"/>
              <w:rPr>
                <w:lang w:eastAsia="en-AU"/>
              </w:rPr>
            </w:pPr>
            <w:r w:rsidRPr="00260C89">
              <w:rPr>
                <w:i/>
                <w:lang w:eastAsia="en-AU"/>
              </w:rPr>
              <w:t>Non-English speaking background</w:t>
            </w:r>
            <w:r w:rsidRPr="001C1482">
              <w:rPr>
                <w:vertAlign w:val="superscript"/>
                <w:lang w:eastAsia="en-AU"/>
              </w:rPr>
              <w:t>2</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3.1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26.8</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12.5*</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57.5</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48.6</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6.8</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18.2</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67.1</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70.1</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21.5</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12.7</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60.9</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68.7</w:t>
            </w:r>
          </w:p>
        </w:tc>
      </w:tr>
      <w:tr w:rsidR="001A6340" w:rsidRPr="00260C89" w:rsidTr="00260C89">
        <w:tc>
          <w:tcPr>
            <w:tcW w:w="1843" w:type="dxa"/>
            <w:tcBorders>
              <w:top w:val="nil"/>
              <w:left w:val="nil"/>
              <w:bottom w:val="nil"/>
              <w:right w:val="nil"/>
            </w:tcBorders>
            <w:shd w:val="clear" w:color="auto" w:fill="auto"/>
            <w:noWrap/>
            <w:hideMark/>
          </w:tcPr>
          <w:p w:rsidR="001A6340" w:rsidRPr="00260C89" w:rsidRDefault="001A6340" w:rsidP="00FC1C51">
            <w:pPr>
              <w:pStyle w:val="Tabletext"/>
              <w:rPr>
                <w:b/>
                <w:iCs/>
                <w:lang w:eastAsia="en-AU"/>
              </w:rPr>
            </w:pPr>
            <w:r w:rsidRPr="00260C89">
              <w:rPr>
                <w:b/>
                <w:iCs/>
                <w:lang w:eastAsia="en-AU"/>
              </w:rPr>
              <w:t>All NESB</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9.4</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18.3</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7.9</w:t>
            </w:r>
          </w:p>
        </w:tc>
        <w:tc>
          <w:tcPr>
            <w:tcW w:w="1389"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64.3</w:t>
            </w:r>
          </w:p>
        </w:tc>
        <w:tc>
          <w:tcPr>
            <w:tcW w:w="1390" w:type="dxa"/>
            <w:tcBorders>
              <w:top w:val="nil"/>
              <w:left w:val="nil"/>
              <w:bottom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66.5</w:t>
            </w:r>
          </w:p>
        </w:tc>
      </w:tr>
      <w:tr w:rsidR="001A6340" w:rsidRPr="001A6340" w:rsidTr="00260C89">
        <w:tc>
          <w:tcPr>
            <w:tcW w:w="1843" w:type="dxa"/>
            <w:tcBorders>
              <w:top w:val="nil"/>
              <w:left w:val="nil"/>
              <w:bottom w:val="nil"/>
              <w:right w:val="nil"/>
            </w:tcBorders>
            <w:shd w:val="clear" w:color="auto" w:fill="auto"/>
            <w:noWrap/>
            <w:hideMark/>
          </w:tcPr>
          <w:p w:rsidR="001A6340" w:rsidRPr="00260C89" w:rsidRDefault="001A6340" w:rsidP="00260C89">
            <w:pPr>
              <w:pStyle w:val="Tablehead3"/>
              <w:spacing w:before="120"/>
              <w:rPr>
                <w:lang w:eastAsia="en-AU"/>
              </w:rPr>
            </w:pPr>
            <w:r w:rsidRPr="00260C89">
              <w:rPr>
                <w:lang w:eastAsia="en-AU"/>
              </w:rPr>
              <w:t>Older</w:t>
            </w:r>
            <w:r w:rsidR="005B6BA1" w:rsidRPr="00086208">
              <w:rPr>
                <w:i w:val="0"/>
                <w:vertAlign w:val="superscript"/>
                <w:lang w:eastAsia="en-AU"/>
              </w:rPr>
              <w:t>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1.4*</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18.9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10.5</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69.2</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50.4</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2.2</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13.5</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10.9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73.3</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82.0</w:t>
            </w:r>
          </w:p>
        </w:tc>
      </w:tr>
      <w:tr w:rsidR="001A6340" w:rsidRPr="001A6340" w:rsidTr="00260C89">
        <w:tc>
          <w:tcPr>
            <w:tcW w:w="1843" w:type="dxa"/>
            <w:tcBorders>
              <w:top w:val="nil"/>
              <w:left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7.1</w:t>
            </w:r>
          </w:p>
        </w:tc>
        <w:tc>
          <w:tcPr>
            <w:tcW w:w="1389" w:type="dxa"/>
            <w:tcBorders>
              <w:top w:val="nil"/>
              <w:left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8.7</w:t>
            </w:r>
          </w:p>
        </w:tc>
        <w:tc>
          <w:tcPr>
            <w:tcW w:w="1389" w:type="dxa"/>
            <w:tcBorders>
              <w:top w:val="nil"/>
              <w:left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12.1</w:t>
            </w:r>
          </w:p>
        </w:tc>
        <w:tc>
          <w:tcPr>
            <w:tcW w:w="1389" w:type="dxa"/>
            <w:tcBorders>
              <w:top w:val="nil"/>
              <w:left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72.1</w:t>
            </w:r>
          </w:p>
        </w:tc>
        <w:tc>
          <w:tcPr>
            <w:tcW w:w="1390" w:type="dxa"/>
            <w:tcBorders>
              <w:top w:val="nil"/>
              <w:left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88.1</w:t>
            </w:r>
          </w:p>
        </w:tc>
      </w:tr>
      <w:tr w:rsidR="001A6340" w:rsidRPr="00260C89" w:rsidTr="00260C89">
        <w:tc>
          <w:tcPr>
            <w:tcW w:w="1843" w:type="dxa"/>
            <w:tcBorders>
              <w:top w:val="nil"/>
              <w:left w:val="nil"/>
              <w:right w:val="nil"/>
            </w:tcBorders>
            <w:shd w:val="clear" w:color="auto" w:fill="auto"/>
            <w:noWrap/>
            <w:hideMark/>
          </w:tcPr>
          <w:p w:rsidR="001A6340" w:rsidRPr="00260C89" w:rsidRDefault="001A6340" w:rsidP="00FC1C51">
            <w:pPr>
              <w:pStyle w:val="Tabletext"/>
              <w:rPr>
                <w:b/>
                <w:iCs/>
                <w:lang w:eastAsia="en-AU"/>
              </w:rPr>
            </w:pPr>
            <w:r w:rsidRPr="00260C89">
              <w:rPr>
                <w:b/>
                <w:iCs/>
                <w:lang w:eastAsia="en-AU"/>
              </w:rPr>
              <w:t xml:space="preserve">All </w:t>
            </w:r>
            <w:r w:rsidR="00260C89" w:rsidRPr="00260C89">
              <w:rPr>
                <w:b/>
                <w:iCs/>
                <w:lang w:eastAsia="en-AU"/>
              </w:rPr>
              <w:t>o</w:t>
            </w:r>
            <w:r w:rsidRPr="00260C89">
              <w:rPr>
                <w:b/>
                <w:iCs/>
                <w:lang w:eastAsia="en-AU"/>
              </w:rPr>
              <w:t>lder</w:t>
            </w:r>
          </w:p>
        </w:tc>
        <w:tc>
          <w:tcPr>
            <w:tcW w:w="1389" w:type="dxa"/>
            <w:tcBorders>
              <w:top w:val="nil"/>
              <w:left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3.3</w:t>
            </w:r>
          </w:p>
        </w:tc>
        <w:tc>
          <w:tcPr>
            <w:tcW w:w="1389" w:type="dxa"/>
            <w:tcBorders>
              <w:top w:val="nil"/>
              <w:left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13.0</w:t>
            </w:r>
          </w:p>
        </w:tc>
        <w:tc>
          <w:tcPr>
            <w:tcW w:w="1389" w:type="dxa"/>
            <w:tcBorders>
              <w:top w:val="nil"/>
              <w:left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11.1</w:t>
            </w:r>
          </w:p>
        </w:tc>
        <w:tc>
          <w:tcPr>
            <w:tcW w:w="1389" w:type="dxa"/>
            <w:tcBorders>
              <w:top w:val="nil"/>
              <w:left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72.6</w:t>
            </w:r>
          </w:p>
        </w:tc>
        <w:tc>
          <w:tcPr>
            <w:tcW w:w="1390" w:type="dxa"/>
            <w:tcBorders>
              <w:top w:val="nil"/>
              <w:left w:val="nil"/>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79.9</w:t>
            </w:r>
          </w:p>
        </w:tc>
      </w:tr>
      <w:tr w:rsidR="001A6340" w:rsidRPr="001A6340" w:rsidTr="00260C89">
        <w:tc>
          <w:tcPr>
            <w:tcW w:w="1843" w:type="dxa"/>
            <w:tcBorders>
              <w:left w:val="nil"/>
              <w:bottom w:val="nil"/>
              <w:right w:val="nil"/>
            </w:tcBorders>
            <w:shd w:val="clear" w:color="auto" w:fill="auto"/>
            <w:noWrap/>
            <w:hideMark/>
          </w:tcPr>
          <w:p w:rsidR="001A6340" w:rsidRPr="00260C89" w:rsidRDefault="001A6340" w:rsidP="00260C89">
            <w:pPr>
              <w:pStyle w:val="Tablehead3"/>
              <w:spacing w:before="120"/>
              <w:rPr>
                <w:lang w:eastAsia="en-AU"/>
              </w:rPr>
            </w:pPr>
            <w:r w:rsidRPr="00260C89">
              <w:rPr>
                <w:lang w:eastAsia="en-AU"/>
              </w:rPr>
              <w:t>All graduates</w:t>
            </w:r>
          </w:p>
        </w:tc>
        <w:tc>
          <w:tcPr>
            <w:tcW w:w="1389" w:type="dxa"/>
            <w:tcBorders>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 </w:t>
            </w:r>
          </w:p>
        </w:tc>
        <w:tc>
          <w:tcPr>
            <w:tcW w:w="1389" w:type="dxa"/>
            <w:tcBorders>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 </w:t>
            </w:r>
          </w:p>
        </w:tc>
        <w:tc>
          <w:tcPr>
            <w:tcW w:w="1389" w:type="dxa"/>
            <w:tcBorders>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 </w:t>
            </w:r>
          </w:p>
        </w:tc>
        <w:tc>
          <w:tcPr>
            <w:tcW w:w="1389" w:type="dxa"/>
            <w:tcBorders>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 </w:t>
            </w:r>
          </w:p>
        </w:tc>
        <w:tc>
          <w:tcPr>
            <w:tcW w:w="1390" w:type="dxa"/>
            <w:tcBorders>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 </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 &amp; II</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4.0</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22.9</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16.3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56.8</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60.4</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FC0E96" w:rsidP="00FC1C51">
            <w:pPr>
              <w:pStyle w:val="Tabletext"/>
              <w:rPr>
                <w:lang w:eastAsia="en-AU"/>
              </w:rPr>
            </w:pPr>
            <w:r>
              <w:rPr>
                <w:lang w:eastAsia="en-AU"/>
              </w:rPr>
              <w:t>Cert.</w:t>
            </w:r>
            <w:r w:rsidR="001A6340" w:rsidRPr="001A6340">
              <w:rPr>
                <w:lang w:eastAsia="en-AU"/>
              </w:rPr>
              <w:t xml:space="preserve"> III &amp; IV</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17.6</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10.3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66.1</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80.9</w:t>
            </w:r>
          </w:p>
        </w:tc>
      </w:tr>
      <w:tr w:rsidR="001A6340" w:rsidRPr="001A6340" w:rsidTr="00260C89">
        <w:tc>
          <w:tcPr>
            <w:tcW w:w="1843" w:type="dxa"/>
            <w:tcBorders>
              <w:top w:val="nil"/>
              <w:left w:val="nil"/>
              <w:bottom w:val="nil"/>
              <w:right w:val="nil"/>
            </w:tcBorders>
            <w:shd w:val="clear" w:color="auto" w:fill="auto"/>
            <w:noWrap/>
            <w:hideMark/>
          </w:tcPr>
          <w:p w:rsidR="001A6340" w:rsidRPr="001A6340" w:rsidRDefault="001A6340" w:rsidP="00FC1C51">
            <w:pPr>
              <w:pStyle w:val="Tabletext"/>
              <w:rPr>
                <w:lang w:eastAsia="en-AU"/>
              </w:rPr>
            </w:pPr>
            <w:r w:rsidRPr="001A6340">
              <w:rPr>
                <w:lang w:eastAsia="en-AU"/>
              </w:rPr>
              <w:t>Diploma &amp; above</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16.8</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11.3</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7.1</w:t>
            </w:r>
          </w:p>
        </w:tc>
        <w:tc>
          <w:tcPr>
            <w:tcW w:w="1389"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64.8</w:t>
            </w:r>
          </w:p>
        </w:tc>
        <w:tc>
          <w:tcPr>
            <w:tcW w:w="1390" w:type="dxa"/>
            <w:tcBorders>
              <w:top w:val="nil"/>
              <w:left w:val="nil"/>
              <w:bottom w:val="nil"/>
              <w:right w:val="nil"/>
            </w:tcBorders>
            <w:shd w:val="clear" w:color="auto" w:fill="auto"/>
            <w:noWrap/>
            <w:hideMark/>
          </w:tcPr>
          <w:p w:rsidR="001A6340" w:rsidRPr="001A6340" w:rsidRDefault="001A6340" w:rsidP="00260C89">
            <w:pPr>
              <w:pStyle w:val="Tabletext"/>
              <w:tabs>
                <w:tab w:val="decimal" w:pos="567"/>
              </w:tabs>
              <w:rPr>
                <w:lang w:eastAsia="en-AU"/>
              </w:rPr>
            </w:pPr>
            <w:r w:rsidRPr="001A6340">
              <w:rPr>
                <w:lang w:eastAsia="en-AU"/>
              </w:rPr>
              <w:t>83.2</w:t>
            </w:r>
          </w:p>
        </w:tc>
      </w:tr>
      <w:tr w:rsidR="001A6340" w:rsidRPr="00260C89" w:rsidTr="00260C89">
        <w:tc>
          <w:tcPr>
            <w:tcW w:w="1843" w:type="dxa"/>
            <w:tcBorders>
              <w:top w:val="nil"/>
              <w:left w:val="nil"/>
              <w:bottom w:val="single" w:sz="4" w:space="0" w:color="auto"/>
              <w:right w:val="nil"/>
            </w:tcBorders>
            <w:shd w:val="clear" w:color="auto" w:fill="auto"/>
            <w:noWrap/>
            <w:hideMark/>
          </w:tcPr>
          <w:p w:rsidR="001A6340" w:rsidRPr="00260C89" w:rsidRDefault="001A6340" w:rsidP="00FC1C51">
            <w:pPr>
              <w:pStyle w:val="Tabletext"/>
              <w:rPr>
                <w:b/>
                <w:iCs/>
                <w:lang w:eastAsia="en-AU"/>
              </w:rPr>
            </w:pPr>
            <w:r w:rsidRPr="00260C89">
              <w:rPr>
                <w:b/>
                <w:iCs/>
                <w:lang w:eastAsia="en-AU"/>
              </w:rPr>
              <w:t>Total</w:t>
            </w:r>
          </w:p>
        </w:tc>
        <w:tc>
          <w:tcPr>
            <w:tcW w:w="1389" w:type="dxa"/>
            <w:tcBorders>
              <w:top w:val="nil"/>
              <w:left w:val="nil"/>
              <w:bottom w:val="single" w:sz="4" w:space="0" w:color="auto"/>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7.8</w:t>
            </w:r>
          </w:p>
        </w:tc>
        <w:tc>
          <w:tcPr>
            <w:tcW w:w="1389" w:type="dxa"/>
            <w:tcBorders>
              <w:top w:val="nil"/>
              <w:left w:val="nil"/>
              <w:bottom w:val="single" w:sz="4" w:space="0" w:color="auto"/>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17.2</w:t>
            </w:r>
          </w:p>
        </w:tc>
        <w:tc>
          <w:tcPr>
            <w:tcW w:w="1389" w:type="dxa"/>
            <w:tcBorders>
              <w:top w:val="nil"/>
              <w:left w:val="nil"/>
              <w:bottom w:val="single" w:sz="4" w:space="0" w:color="auto"/>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10.7</w:t>
            </w:r>
          </w:p>
        </w:tc>
        <w:tc>
          <w:tcPr>
            <w:tcW w:w="1389" w:type="dxa"/>
            <w:tcBorders>
              <w:top w:val="nil"/>
              <w:left w:val="nil"/>
              <w:bottom w:val="single" w:sz="4" w:space="0" w:color="auto"/>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64.2</w:t>
            </w:r>
          </w:p>
        </w:tc>
        <w:tc>
          <w:tcPr>
            <w:tcW w:w="1390" w:type="dxa"/>
            <w:tcBorders>
              <w:top w:val="nil"/>
              <w:left w:val="nil"/>
              <w:bottom w:val="single" w:sz="4" w:space="0" w:color="auto"/>
              <w:right w:val="nil"/>
            </w:tcBorders>
            <w:shd w:val="clear" w:color="auto" w:fill="auto"/>
            <w:noWrap/>
            <w:hideMark/>
          </w:tcPr>
          <w:p w:rsidR="001A6340" w:rsidRPr="00260C89" w:rsidRDefault="001A6340" w:rsidP="00260C89">
            <w:pPr>
              <w:pStyle w:val="Tabletext"/>
              <w:tabs>
                <w:tab w:val="decimal" w:pos="567"/>
              </w:tabs>
              <w:rPr>
                <w:b/>
                <w:lang w:eastAsia="en-AU"/>
              </w:rPr>
            </w:pPr>
            <w:r w:rsidRPr="00260C89">
              <w:rPr>
                <w:b/>
                <w:lang w:eastAsia="en-AU"/>
              </w:rPr>
              <w:t>77.8</w:t>
            </w:r>
          </w:p>
        </w:tc>
      </w:tr>
    </w:tbl>
    <w:p w:rsidR="00AC642A" w:rsidRDefault="00AC642A" w:rsidP="00AC642A">
      <w:pPr>
        <w:pStyle w:val="Source"/>
        <w:tabs>
          <w:tab w:val="left" w:pos="567"/>
        </w:tabs>
        <w:ind w:left="709" w:hanging="709"/>
        <w:rPr>
          <w:lang w:eastAsia="en-AU"/>
        </w:rPr>
      </w:pPr>
      <w:r w:rsidRPr="001A6340">
        <w:rPr>
          <w:lang w:eastAsia="en-AU"/>
        </w:rPr>
        <w:t>Notes:</w:t>
      </w:r>
      <w:r>
        <w:rPr>
          <w:lang w:eastAsia="en-AU"/>
        </w:rPr>
        <w:tab/>
      </w:r>
      <w:r w:rsidRPr="00A8205B">
        <w:rPr>
          <w:lang w:eastAsia="en-AU"/>
        </w:rPr>
        <w:t>1</w:t>
      </w:r>
      <w:r>
        <w:rPr>
          <w:lang w:eastAsia="en-AU"/>
        </w:rPr>
        <w:tab/>
      </w:r>
      <w:r w:rsidRPr="001A6340">
        <w:rPr>
          <w:lang w:eastAsia="en-AU"/>
        </w:rPr>
        <w:t xml:space="preserve">Rural/remote localities comprise </w:t>
      </w:r>
      <w:r w:rsidR="00C15F58">
        <w:rPr>
          <w:lang w:eastAsia="en-AU"/>
        </w:rPr>
        <w:t>‘</w:t>
      </w:r>
      <w:r w:rsidRPr="001A6340">
        <w:rPr>
          <w:lang w:eastAsia="en-AU"/>
        </w:rPr>
        <w:t>outer regional</w:t>
      </w:r>
      <w:r w:rsidR="00C15F58">
        <w:rPr>
          <w:lang w:eastAsia="en-AU"/>
        </w:rPr>
        <w:t>’</w:t>
      </w:r>
      <w:r w:rsidRPr="001A6340">
        <w:rPr>
          <w:lang w:eastAsia="en-AU"/>
        </w:rPr>
        <w:t xml:space="preserve">, </w:t>
      </w:r>
      <w:r w:rsidR="00C15F58">
        <w:rPr>
          <w:lang w:eastAsia="en-AU"/>
        </w:rPr>
        <w:t>‘</w:t>
      </w:r>
      <w:r w:rsidRPr="001A6340">
        <w:rPr>
          <w:lang w:eastAsia="en-AU"/>
        </w:rPr>
        <w:t>remote</w:t>
      </w:r>
      <w:r w:rsidR="00C15F58">
        <w:rPr>
          <w:lang w:eastAsia="en-AU"/>
        </w:rPr>
        <w:t>’</w:t>
      </w:r>
      <w:r w:rsidRPr="001A6340">
        <w:rPr>
          <w:lang w:eastAsia="en-AU"/>
        </w:rPr>
        <w:t xml:space="preserve"> and </w:t>
      </w:r>
      <w:r w:rsidR="00C15F58">
        <w:rPr>
          <w:lang w:eastAsia="en-AU"/>
        </w:rPr>
        <w:t>‘</w:t>
      </w:r>
      <w:r w:rsidRPr="001A6340">
        <w:rPr>
          <w:lang w:eastAsia="en-AU"/>
        </w:rPr>
        <w:t>very remote</w:t>
      </w:r>
      <w:r w:rsidR="00C15F58">
        <w:rPr>
          <w:lang w:eastAsia="en-AU"/>
        </w:rPr>
        <w:t>’</w:t>
      </w:r>
      <w:r w:rsidRPr="001A6340">
        <w:rPr>
          <w:lang w:eastAsia="en-AU"/>
        </w:rPr>
        <w:t xml:space="preserve"> ARIA+ </w:t>
      </w:r>
      <w:r>
        <w:rPr>
          <w:lang w:eastAsia="en-AU"/>
        </w:rPr>
        <w:t xml:space="preserve">(Accessibility/Remoteness Index of Australia) </w:t>
      </w:r>
      <w:r w:rsidRPr="001A6340">
        <w:rPr>
          <w:lang w:eastAsia="en-AU"/>
        </w:rPr>
        <w:t>categories.</w:t>
      </w:r>
    </w:p>
    <w:p w:rsidR="00AC642A" w:rsidRDefault="00AC642A" w:rsidP="00AC642A">
      <w:pPr>
        <w:pStyle w:val="Source"/>
        <w:tabs>
          <w:tab w:val="left" w:pos="567"/>
        </w:tabs>
        <w:ind w:left="709" w:hanging="709"/>
        <w:rPr>
          <w:lang w:eastAsia="en-AU"/>
        </w:rPr>
      </w:pPr>
      <w:r>
        <w:rPr>
          <w:lang w:eastAsia="en-AU"/>
        </w:rPr>
        <w:tab/>
      </w:r>
      <w:r w:rsidRPr="00A8205B">
        <w:rPr>
          <w:lang w:eastAsia="en-AU"/>
        </w:rPr>
        <w:t>2</w:t>
      </w:r>
      <w:r>
        <w:rPr>
          <w:vertAlign w:val="superscript"/>
          <w:lang w:eastAsia="en-AU"/>
        </w:rPr>
        <w:tab/>
      </w:r>
      <w:r w:rsidRPr="001A6340">
        <w:rPr>
          <w:lang w:eastAsia="en-AU"/>
        </w:rPr>
        <w:t>Non-English speaking back</w:t>
      </w:r>
      <w:r>
        <w:rPr>
          <w:lang w:eastAsia="en-AU"/>
        </w:rPr>
        <w:t>ground is based on whether the</w:t>
      </w:r>
      <w:r w:rsidRPr="001A6340">
        <w:rPr>
          <w:lang w:eastAsia="en-AU"/>
        </w:rPr>
        <w:t xml:space="preserve"> main language spoken at home is other than English.</w:t>
      </w:r>
    </w:p>
    <w:p w:rsidR="00AC642A" w:rsidRDefault="00AC642A" w:rsidP="00AC642A">
      <w:pPr>
        <w:pStyle w:val="Source"/>
        <w:tabs>
          <w:tab w:val="left" w:pos="567"/>
        </w:tabs>
        <w:ind w:left="709" w:hanging="709"/>
        <w:rPr>
          <w:lang w:eastAsia="en-AU"/>
        </w:rPr>
      </w:pPr>
      <w:r>
        <w:rPr>
          <w:lang w:eastAsia="en-AU"/>
        </w:rPr>
        <w:tab/>
      </w:r>
      <w:r w:rsidRPr="00A8205B">
        <w:rPr>
          <w:lang w:eastAsia="en-AU"/>
        </w:rPr>
        <w:t>3</w:t>
      </w:r>
      <w:r>
        <w:rPr>
          <w:vertAlign w:val="superscript"/>
          <w:lang w:eastAsia="en-AU"/>
        </w:rPr>
        <w:tab/>
      </w:r>
      <w:r w:rsidRPr="001A6340">
        <w:rPr>
          <w:lang w:eastAsia="en-AU"/>
        </w:rPr>
        <w:t>Older comprises graduates who are 45 years or older.</w:t>
      </w:r>
    </w:p>
    <w:p w:rsidR="00AC642A" w:rsidRDefault="00AC642A" w:rsidP="00AC642A">
      <w:pPr>
        <w:pStyle w:val="Source"/>
        <w:tabs>
          <w:tab w:val="left" w:pos="567"/>
        </w:tabs>
        <w:ind w:left="709" w:hanging="709"/>
        <w:rPr>
          <w:lang w:eastAsia="en-AU"/>
        </w:rPr>
      </w:pPr>
      <w:r>
        <w:rPr>
          <w:lang w:eastAsia="en-AU"/>
        </w:rPr>
        <w:tab/>
      </w:r>
      <w:r w:rsidRPr="001A6340">
        <w:rPr>
          <w:lang w:eastAsia="en-AU"/>
        </w:rPr>
        <w:t>*</w:t>
      </w:r>
      <w:r>
        <w:rPr>
          <w:lang w:eastAsia="en-AU"/>
        </w:rPr>
        <w:tab/>
      </w:r>
      <w:r w:rsidRPr="001A6340">
        <w:rPr>
          <w:lang w:eastAsia="en-AU"/>
        </w:rPr>
        <w:t xml:space="preserve">The estimate has a relative standard error greater than 25% and therefore should be used with caution. </w:t>
      </w:r>
    </w:p>
    <w:p w:rsidR="00AC642A" w:rsidRDefault="00AC642A" w:rsidP="00AC642A">
      <w:pPr>
        <w:pStyle w:val="Source"/>
        <w:rPr>
          <w:lang w:eastAsia="en-AU"/>
        </w:rPr>
      </w:pPr>
      <w:r w:rsidRPr="00A0542F">
        <w:rPr>
          <w:lang w:eastAsia="en-AU"/>
        </w:rPr>
        <w:t>Source:</w:t>
      </w:r>
      <w:r>
        <w:rPr>
          <w:lang w:eastAsia="en-AU"/>
        </w:rPr>
        <w:tab/>
        <w:t>NCVER (2012a).</w:t>
      </w:r>
    </w:p>
    <w:p w:rsidR="00AC642A" w:rsidRDefault="00AC642A" w:rsidP="00AC642A">
      <w:pPr>
        <w:pStyle w:val="Source"/>
      </w:pPr>
    </w:p>
    <w:p w:rsidR="00AC642A" w:rsidRDefault="00AC642A" w:rsidP="00AC642A">
      <w:pPr>
        <w:pStyle w:val="Text"/>
        <w:rPr>
          <w:rFonts w:ascii="Tahoma" w:hAnsi="Tahoma" w:cs="Tahoma"/>
          <w:color w:val="000000"/>
          <w:kern w:val="28"/>
          <w:sz w:val="56"/>
          <w:szCs w:val="56"/>
        </w:rPr>
      </w:pPr>
      <w:r>
        <w:br w:type="page"/>
      </w:r>
    </w:p>
    <w:p w:rsidR="00712F4D" w:rsidRDefault="00712F4D" w:rsidP="00A21B60">
      <w:pPr>
        <w:pStyle w:val="Heading1"/>
      </w:pPr>
      <w:bookmarkStart w:id="35" w:name="_Toc381110821"/>
      <w:r>
        <w:lastRenderedPageBreak/>
        <w:t xml:space="preserve">Transitions to </w:t>
      </w:r>
      <w:r w:rsidR="00FC0E96">
        <w:t>higher-level</w:t>
      </w:r>
      <w:r>
        <w:t xml:space="preserve"> study</w:t>
      </w:r>
      <w:bookmarkEnd w:id="35"/>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421D39" w:rsidRPr="006B3214" w:rsidTr="006B3214">
        <w:tc>
          <w:tcPr>
            <w:tcW w:w="8789" w:type="dxa"/>
            <w:shd w:val="clear" w:color="auto" w:fill="000000" w:themeFill="text1"/>
          </w:tcPr>
          <w:p w:rsidR="00421D39" w:rsidRPr="00421D39" w:rsidRDefault="00421D39" w:rsidP="001C1482">
            <w:pPr>
              <w:pStyle w:val="Heading3"/>
              <w:spacing w:before="120" w:after="120"/>
              <w:rPr>
                <w:color w:val="FFFFFF" w:themeColor="background1"/>
              </w:rPr>
            </w:pPr>
            <w:r w:rsidRPr="00421D39">
              <w:rPr>
                <w:color w:val="FFFFFF" w:themeColor="background1"/>
              </w:rPr>
              <w:t>Key points</w:t>
            </w:r>
          </w:p>
        </w:tc>
      </w:tr>
      <w:tr w:rsidR="006B3214" w:rsidRPr="006B3214" w:rsidTr="006B3214">
        <w:trPr>
          <w:trHeight w:val="2720"/>
        </w:trPr>
        <w:tc>
          <w:tcPr>
            <w:tcW w:w="8789" w:type="dxa"/>
          </w:tcPr>
          <w:p w:rsidR="006B3214" w:rsidRPr="006B3214" w:rsidRDefault="006B3214" w:rsidP="006B3214">
            <w:pPr>
              <w:pStyle w:val="Dotpoint1"/>
            </w:pPr>
            <w:r w:rsidRPr="006B3214">
              <w:t>The transition from VET to higher education is often complicated, even for those individuals who do not belong to an equity group.</w:t>
            </w:r>
          </w:p>
          <w:p w:rsidR="006B3214" w:rsidRPr="006B3214" w:rsidRDefault="006B3214" w:rsidP="006B3214">
            <w:pPr>
              <w:pStyle w:val="Dotpoint1"/>
            </w:pPr>
            <w:r w:rsidRPr="006B3214">
              <w:t xml:space="preserve">The literature suggests that those students who are using lower-level VET courses to </w:t>
            </w:r>
            <w:r>
              <w:br/>
            </w:r>
            <w:r w:rsidRPr="006B3214">
              <w:t xml:space="preserve">re-engage with the education system are not likely to transition to higher-level VET or university. </w:t>
            </w:r>
          </w:p>
          <w:p w:rsidR="006B3214" w:rsidRPr="006B3214" w:rsidRDefault="006B3214" w:rsidP="006B3214">
            <w:pPr>
              <w:pStyle w:val="Dotpoint1"/>
              <w:spacing w:after="120"/>
            </w:pPr>
            <w:r w:rsidRPr="006B3214">
              <w:t>The pathway from VET to higher education is a viable one for disadvantaged students, but because of their lower levels of enrolment in higher-level VET qualifications, the pathway is underutilised.</w:t>
            </w:r>
          </w:p>
        </w:tc>
      </w:tr>
    </w:tbl>
    <w:p w:rsidR="00A5399B" w:rsidRDefault="00BB2D2A" w:rsidP="006B3214">
      <w:pPr>
        <w:pStyle w:val="Textmorebefore"/>
      </w:pPr>
      <w:r>
        <w:t xml:space="preserve">The National VET Equity Advisory Council </w:t>
      </w:r>
      <w:r w:rsidR="00A8205B">
        <w:t xml:space="preserve">(NVEAC) </w:t>
      </w:r>
      <w:r>
        <w:t xml:space="preserve">identified enabling the transition from </w:t>
      </w:r>
      <w:r w:rsidR="00AA58CC">
        <w:t>lower-level</w:t>
      </w:r>
      <w:r>
        <w:t xml:space="preserve"> qualifications to </w:t>
      </w:r>
      <w:r w:rsidR="00FC0E96">
        <w:t>higher-level</w:t>
      </w:r>
      <w:r>
        <w:t xml:space="preserve"> qualifications, and to higher education, as an important area of reform</w:t>
      </w:r>
      <w:r w:rsidR="00086208">
        <w:t xml:space="preserve"> and a way</w:t>
      </w:r>
      <w:r>
        <w:t xml:space="preserve"> </w:t>
      </w:r>
      <w:r w:rsidR="00086208">
        <w:t>to</w:t>
      </w:r>
      <w:r w:rsidR="001A4AD1">
        <w:t xml:space="preserve"> achiev</w:t>
      </w:r>
      <w:r w:rsidR="00086208">
        <w:t>e</w:t>
      </w:r>
      <w:r>
        <w:t xml:space="preserve"> better outcomes for disadvantaged learners (</w:t>
      </w:r>
      <w:r w:rsidR="00A8205B">
        <w:t>National VET Equity Advisory Council</w:t>
      </w:r>
      <w:r>
        <w:t xml:space="preserve"> 2011). </w:t>
      </w:r>
      <w:r w:rsidR="007B4956">
        <w:t xml:space="preserve">This section considers what is known about the transition of VET students to </w:t>
      </w:r>
      <w:r w:rsidR="0071695E">
        <w:t>further study, and</w:t>
      </w:r>
      <w:r w:rsidR="00A8205B">
        <w:t>,</w:t>
      </w:r>
      <w:r w:rsidR="0071695E">
        <w:t xml:space="preserve"> in particular, to </w:t>
      </w:r>
      <w:r w:rsidR="00FC0E96">
        <w:t>higher-level</w:t>
      </w:r>
      <w:r w:rsidR="007B4956">
        <w:t xml:space="preserve"> qualifications</w:t>
      </w:r>
      <w:r w:rsidR="00902180">
        <w:t>, both</w:t>
      </w:r>
      <w:r w:rsidR="007B4956">
        <w:t xml:space="preserve"> in VET and </w:t>
      </w:r>
      <w:r w:rsidR="00902180">
        <w:t xml:space="preserve">in </w:t>
      </w:r>
      <w:r w:rsidR="007B4956">
        <w:t>higher education.</w:t>
      </w:r>
      <w:r w:rsidR="0071695E">
        <w:t xml:space="preserve"> </w:t>
      </w:r>
    </w:p>
    <w:p w:rsidR="00806051" w:rsidRDefault="004D31EF" w:rsidP="00712F4D">
      <w:pPr>
        <w:pStyle w:val="Text"/>
      </w:pPr>
      <w:r>
        <w:t xml:space="preserve">There has been more published in the literature about the transition from VET to higher education than about the transition from lower to </w:t>
      </w:r>
      <w:r w:rsidR="00FC0E96">
        <w:t>higher-level</w:t>
      </w:r>
      <w:r>
        <w:t xml:space="preserve"> VET qualifications. </w:t>
      </w:r>
      <w:r w:rsidR="00806051">
        <w:t>Curtis (2009), in an overview of student transfer between the VET and higher education sectors, describes a diverse array of situations that might occur. Transfer may occur shortly after participation in the first course, or many years later. The second qualification may be in the same field as the first, or in a diffe</w:t>
      </w:r>
      <w:r w:rsidR="00A8205B">
        <w:t>rent one. In addition</w:t>
      </w:r>
      <w:r w:rsidR="00806051">
        <w:t>, it may follow a complete or incomplete first qualification.</w:t>
      </w:r>
      <w:r>
        <w:t xml:space="preserve"> </w:t>
      </w:r>
    </w:p>
    <w:p w:rsidR="00B7300D" w:rsidRDefault="00806051" w:rsidP="00712F4D">
      <w:pPr>
        <w:pStyle w:val="Text"/>
      </w:pPr>
      <w:r>
        <w:t>Generally speaking, t</w:t>
      </w:r>
      <w:r w:rsidR="00967129">
        <w:t xml:space="preserve">he transition from VET to higher education is </w:t>
      </w:r>
      <w:r w:rsidR="009C253B">
        <w:t xml:space="preserve">often </w:t>
      </w:r>
      <w:r w:rsidR="00967129">
        <w:t xml:space="preserve">complicated, even for those individuals who do not belong to an equity group. This is </w:t>
      </w:r>
      <w:r w:rsidR="00231BBA">
        <w:t>despite the fact that policies</w:t>
      </w:r>
      <w:r w:rsidR="00A8205B">
        <w:t xml:space="preserve"> </w:t>
      </w:r>
      <w:r w:rsidR="00231BBA">
        <w:t>—</w:t>
      </w:r>
      <w:r w:rsidR="00A8205B">
        <w:t xml:space="preserve"> </w:t>
      </w:r>
      <w:r w:rsidR="00967129">
        <w:t xml:space="preserve">such as credit </w:t>
      </w:r>
      <w:r w:rsidR="00511311">
        <w:t>transfer</w:t>
      </w:r>
      <w:r w:rsidR="00967129">
        <w:t>,</w:t>
      </w:r>
      <w:r w:rsidR="00231BBA">
        <w:t xml:space="preserve"> articulation arrangements and recognition of prior learning</w:t>
      </w:r>
      <w:r w:rsidR="00A8205B">
        <w:t xml:space="preserve"> </w:t>
      </w:r>
      <w:r w:rsidR="00231BBA">
        <w:t>—</w:t>
      </w:r>
      <w:r w:rsidR="00A8205B">
        <w:t xml:space="preserve"> </w:t>
      </w:r>
      <w:r w:rsidR="00231BBA">
        <w:t>h</w:t>
      </w:r>
      <w:r w:rsidR="00967129">
        <w:t>ave been put in place to facilitate transitions between the two sectors</w:t>
      </w:r>
      <w:r w:rsidR="00A8205B">
        <w:t xml:space="preserve"> (Harris, Rainey &amp; Sumner</w:t>
      </w:r>
      <w:r w:rsidR="00231BBA">
        <w:t xml:space="preserve"> 2006)</w:t>
      </w:r>
      <w:r w:rsidR="00F00529">
        <w:t xml:space="preserve">. </w:t>
      </w:r>
      <w:r w:rsidR="00626261">
        <w:t xml:space="preserve">Much of the current literature </w:t>
      </w:r>
      <w:r w:rsidR="001A4AD1">
        <w:t>on</w:t>
      </w:r>
      <w:r w:rsidR="00626261">
        <w:t xml:space="preserve"> transitioning from VET to higher education is focused on formal articulation arrangements</w:t>
      </w:r>
      <w:r w:rsidR="00DB5BC8">
        <w:t xml:space="preserve"> and credit transfer</w:t>
      </w:r>
      <w:r w:rsidR="00626261">
        <w:t>, and how effectively (or not) they are working.</w:t>
      </w:r>
      <w:r w:rsidR="005A4F5E">
        <w:t xml:space="preserve"> The focus of the discussion here, however, is on the experience of transitioning for the student.</w:t>
      </w:r>
    </w:p>
    <w:p w:rsidR="00AC7F68" w:rsidRDefault="00CA4B3C" w:rsidP="00AC7F68">
      <w:pPr>
        <w:pStyle w:val="Text"/>
      </w:pPr>
      <w:r>
        <w:t xml:space="preserve">A recent discussion paper prepared by the Community Services </w:t>
      </w:r>
      <w:r w:rsidR="001A4AD1">
        <w:t>&amp;</w:t>
      </w:r>
      <w:r>
        <w:t xml:space="preserve"> Health Industry Skills Council (</w:t>
      </w:r>
      <w:r w:rsidR="00145716">
        <w:t xml:space="preserve">CSHISC; </w:t>
      </w:r>
      <w:r>
        <w:t>2012) lists a number of practical issues associated with articulation be</w:t>
      </w:r>
      <w:r w:rsidR="00497261">
        <w:t xml:space="preserve">tween the </w:t>
      </w:r>
      <w:r w:rsidR="008D2867">
        <w:t xml:space="preserve">VET and higher education </w:t>
      </w:r>
      <w:r w:rsidR="00497261">
        <w:t xml:space="preserve">sectors. Most of these issues </w:t>
      </w:r>
      <w:r w:rsidR="00AB029C">
        <w:t>are related to the inherent diff</w:t>
      </w:r>
      <w:r w:rsidR="00145716">
        <w:t>erences between the two sectors; for example, the competency-</w:t>
      </w:r>
      <w:r w:rsidR="00AB029C">
        <w:t xml:space="preserve">based approach of </w:t>
      </w:r>
      <w:r w:rsidR="00CF10BA">
        <w:t>vocational education and training</w:t>
      </w:r>
      <w:r w:rsidR="00AB029C">
        <w:t xml:space="preserve"> </w:t>
      </w:r>
      <w:r w:rsidR="00903788">
        <w:t>compared with</w:t>
      </w:r>
      <w:r w:rsidR="00145716">
        <w:t xml:space="preserve"> the curricula-</w:t>
      </w:r>
      <w:r w:rsidR="00AB029C">
        <w:t xml:space="preserve">based approach of higher education; the diversity of courses in both sectors; and differences in understanding about the quality of training and assessment, especially </w:t>
      </w:r>
      <w:r w:rsidR="00145716">
        <w:t>with regard</w:t>
      </w:r>
      <w:r w:rsidR="00AC7F68">
        <w:t xml:space="preserve"> to</w:t>
      </w:r>
      <w:r w:rsidR="00AB029C">
        <w:t xml:space="preserve"> </w:t>
      </w:r>
      <w:r w:rsidR="00CF10BA">
        <w:t>vocational education and training</w:t>
      </w:r>
      <w:r w:rsidR="00AB029C">
        <w:t>.</w:t>
      </w:r>
      <w:r w:rsidR="00203A09">
        <w:t xml:space="preserve"> </w:t>
      </w:r>
      <w:r w:rsidR="00F8347C">
        <w:t xml:space="preserve">Similarly, </w:t>
      </w:r>
      <w:r w:rsidR="00AC7F68">
        <w:t>Dickson (2000, as cited in Watson 2006) identified six recurring variables i</w:t>
      </w:r>
      <w:r w:rsidR="001A4AD1">
        <w:t>n the literature that influence</w:t>
      </w:r>
      <w:r w:rsidR="00AC7F68">
        <w:t xml:space="preserve"> the transition of TAFE students to university. These involved: the theoretical focus of </w:t>
      </w:r>
      <w:r w:rsidR="001A4AD1">
        <w:t xml:space="preserve">the </w:t>
      </w:r>
      <w:r w:rsidR="00AC7F68">
        <w:t xml:space="preserve">university course content </w:t>
      </w:r>
      <w:r w:rsidR="00903788">
        <w:t>compared with</w:t>
      </w:r>
      <w:r w:rsidR="00AC7F68">
        <w:t xml:space="preserve"> the practical focus of </w:t>
      </w:r>
      <w:r w:rsidR="00CF10BA">
        <w:t>vocational education and training</w:t>
      </w:r>
      <w:r w:rsidR="00AC7F68">
        <w:t>; differences in teaching and learning styles; higher academic standards and levels of expectations at university; repetition of T</w:t>
      </w:r>
      <w:r w:rsidR="001A4AD1">
        <w:t xml:space="preserve">AFE content; </w:t>
      </w:r>
      <w:r w:rsidR="001A4AD1">
        <w:lastRenderedPageBreak/>
        <w:t>contrasts in staff—</w:t>
      </w:r>
      <w:r w:rsidR="00AC7F68">
        <w:t>student interactions and relationships; and time</w:t>
      </w:r>
      <w:r w:rsidR="00086208">
        <w:t>-</w:t>
      </w:r>
      <w:r w:rsidR="00AC7F68">
        <w:t>management difficulties in combining study and other demands</w:t>
      </w:r>
      <w:r w:rsidR="00145716">
        <w:t>,</w:t>
      </w:r>
      <w:r w:rsidR="00AC7F68">
        <w:t xml:space="preserve"> such as paid work and family responsibilities.  </w:t>
      </w:r>
    </w:p>
    <w:p w:rsidR="00246914" w:rsidRDefault="00AC7F68" w:rsidP="00712F4D">
      <w:pPr>
        <w:pStyle w:val="Text"/>
      </w:pPr>
      <w:r>
        <w:t xml:space="preserve">On a more personal level, </w:t>
      </w:r>
      <w:r w:rsidR="00626261">
        <w:t xml:space="preserve">Curtis (2009) explains that </w:t>
      </w:r>
      <w:r>
        <w:t>m</w:t>
      </w:r>
      <w:r w:rsidR="00CA4B3C">
        <w:t xml:space="preserve">any of the </w:t>
      </w:r>
      <w:r w:rsidR="001F512D">
        <w:t xml:space="preserve">barriers to transfer are similar to the </w:t>
      </w:r>
      <w:r w:rsidR="00626261">
        <w:t xml:space="preserve">general </w:t>
      </w:r>
      <w:r w:rsidR="001F512D">
        <w:t xml:space="preserve">barriers to study that people experience. </w:t>
      </w:r>
      <w:r w:rsidR="0044690F">
        <w:t xml:space="preserve">These barriers include </w:t>
      </w:r>
      <w:r w:rsidR="00285188">
        <w:t>the challenges of managing work, financial, social/family and study commitments</w:t>
      </w:r>
      <w:r w:rsidR="0044690F">
        <w:t>. In addition to these barriers</w:t>
      </w:r>
      <w:r w:rsidR="00145716">
        <w:t>, however,</w:t>
      </w:r>
      <w:r w:rsidR="0044690F">
        <w:t xml:space="preserve"> </w:t>
      </w:r>
      <w:r w:rsidR="00285188">
        <w:t xml:space="preserve">students transferring from </w:t>
      </w:r>
      <w:r w:rsidR="001A4AD1">
        <w:t>vocational education and training</w:t>
      </w:r>
      <w:r w:rsidR="00285188">
        <w:t xml:space="preserve"> to university face the additional problem of adapting to the new learning environment. </w:t>
      </w:r>
      <w:r w:rsidR="00626261">
        <w:t>B</w:t>
      </w:r>
      <w:r w:rsidR="0071194C">
        <w:t xml:space="preserve">ased on a small survey of students who had moved from VET to higher education in South Australia, Harris, Sumner </w:t>
      </w:r>
      <w:r w:rsidR="00145716">
        <w:t>and</w:t>
      </w:r>
      <w:r w:rsidR="0071194C">
        <w:t xml:space="preserve"> Rainey (2005) reported that students found the two sectors to be different </w:t>
      </w:r>
      <w:r w:rsidR="00145716">
        <w:t>with regard</w:t>
      </w:r>
      <w:r w:rsidR="0071194C">
        <w:t xml:space="preserve"> to the cost of studying, teaching styles, assessment processes, and the course structure and level of work in the course. </w:t>
      </w:r>
      <w:r w:rsidR="000209EF">
        <w:t xml:space="preserve">While these differences were identified by a high proportion of the students surveyed, the majority of students </w:t>
      </w:r>
      <w:r w:rsidR="00246914">
        <w:t xml:space="preserve">in this study </w:t>
      </w:r>
      <w:r w:rsidR="000209EF">
        <w:t>were comfortable with moving from VET to higher education.</w:t>
      </w:r>
      <w:r w:rsidR="0071194C">
        <w:t xml:space="preserve"> </w:t>
      </w:r>
      <w:r w:rsidR="002C2159">
        <w:t xml:space="preserve">Another survey of students who had transitioned from VET to higher education at the University of Western Sydney and Charles Sturt University showed that high proportions found the amount of study and preparation for class was </w:t>
      </w:r>
      <w:r w:rsidR="001A4AD1">
        <w:t>more</w:t>
      </w:r>
      <w:r w:rsidR="002C2159">
        <w:t xml:space="preserve"> than expected. These students also found other aspects of university study difficult at first, such as enrolling in the course and academic conventions (Caterall </w:t>
      </w:r>
      <w:r w:rsidR="00145716">
        <w:t>&amp;</w:t>
      </w:r>
      <w:r w:rsidR="002C2159">
        <w:t xml:space="preserve"> Davis </w:t>
      </w:r>
      <w:r w:rsidR="00883F21">
        <w:t xml:space="preserve">2012). </w:t>
      </w:r>
      <w:r w:rsidR="002C2159">
        <w:t xml:space="preserve"> </w:t>
      </w:r>
    </w:p>
    <w:p w:rsidR="00B8484D" w:rsidRDefault="00246914" w:rsidP="00712F4D">
      <w:pPr>
        <w:pStyle w:val="Text"/>
      </w:pPr>
      <w:r>
        <w:t xml:space="preserve">These studies did not specifically consider disadvantaged students and </w:t>
      </w:r>
      <w:r w:rsidR="009C253B">
        <w:t xml:space="preserve">it is possible that </w:t>
      </w:r>
      <w:r>
        <w:t xml:space="preserve">the transition from VET to higher education might be more difficult for these students. This could </w:t>
      </w:r>
      <w:r w:rsidR="00D95B6F">
        <w:t xml:space="preserve">especially </w:t>
      </w:r>
      <w:r>
        <w:t>be true for those who have used low-level VET courses to re</w:t>
      </w:r>
      <w:r w:rsidR="001F512D">
        <w:t>-</w:t>
      </w:r>
      <w:r>
        <w:t>engage with the education sector</w:t>
      </w:r>
      <w:r w:rsidR="00145716">
        <w:t>,</w:t>
      </w:r>
      <w:r w:rsidR="00626261">
        <w:t xml:space="preserve"> as this </w:t>
      </w:r>
      <w:r w:rsidR="00D95B6F">
        <w:t>probably</w:t>
      </w:r>
      <w:r w:rsidR="00626261">
        <w:t xml:space="preserve"> </w:t>
      </w:r>
      <w:r>
        <w:t>mean</w:t>
      </w:r>
      <w:r w:rsidR="007D45F4">
        <w:t>s</w:t>
      </w:r>
      <w:r>
        <w:t xml:space="preserve"> an even larger </w:t>
      </w:r>
      <w:r w:rsidR="00730032">
        <w:t>step</w:t>
      </w:r>
      <w:r>
        <w:t xml:space="preserve"> between the VET course they have experienced and a higher education course. </w:t>
      </w:r>
      <w:r w:rsidR="001B48F5">
        <w:t>While t</w:t>
      </w:r>
      <w:r w:rsidR="00AC572D">
        <w:t xml:space="preserve">he </w:t>
      </w:r>
      <w:r w:rsidR="00106B33">
        <w:t xml:space="preserve">access and </w:t>
      </w:r>
      <w:r w:rsidR="00AC572D">
        <w:t xml:space="preserve">participation of various equity groups in both </w:t>
      </w:r>
      <w:r w:rsidR="00CF10BA">
        <w:t>vocational education and training</w:t>
      </w:r>
      <w:r w:rsidR="00AC572D">
        <w:t xml:space="preserve"> and higher educati</w:t>
      </w:r>
      <w:r w:rsidR="0032709B">
        <w:t>on has been well documented,</w:t>
      </w:r>
      <w:r w:rsidR="00AC572D">
        <w:t xml:space="preserve"> there is limited research on </w:t>
      </w:r>
      <w:r w:rsidR="00106B33">
        <w:t>VET students</w:t>
      </w:r>
      <w:r w:rsidR="00C15F58">
        <w:t>’</w:t>
      </w:r>
      <w:r w:rsidR="00106B33">
        <w:t xml:space="preserve"> transition to, and experience at, university (Aird et al</w:t>
      </w:r>
      <w:r w:rsidR="00145716">
        <w:t>.</w:t>
      </w:r>
      <w:r w:rsidR="00106B33">
        <w:t xml:space="preserve"> 2010). </w:t>
      </w:r>
      <w:r w:rsidR="007D45F4">
        <w:t>However, t</w:t>
      </w:r>
      <w:r w:rsidR="00AC572D">
        <w:t xml:space="preserve">he following examples </w:t>
      </w:r>
      <w:r w:rsidR="007D45F4">
        <w:t>give</w:t>
      </w:r>
      <w:r w:rsidR="00AC572D">
        <w:t xml:space="preserve"> some insight into the challenges faced.</w:t>
      </w:r>
    </w:p>
    <w:p w:rsidR="009C253B" w:rsidRDefault="00DC3498" w:rsidP="009C253B">
      <w:pPr>
        <w:pStyle w:val="Text"/>
      </w:pPr>
      <w:r>
        <w:t xml:space="preserve">Wheelahan (2009) investigated the extent to which VET pathways </w:t>
      </w:r>
      <w:r w:rsidR="00145716">
        <w:t>provide students from low socio</w:t>
      </w:r>
      <w:r>
        <w:t xml:space="preserve">economic backgrounds with access to higher education. </w:t>
      </w:r>
      <w:r w:rsidR="0076395B">
        <w:t xml:space="preserve">She found that VET pathways do not </w:t>
      </w:r>
      <w:r w:rsidR="00F53F31">
        <w:t xml:space="preserve">appear to significantly improve </w:t>
      </w:r>
      <w:r w:rsidR="0076395B">
        <w:t xml:space="preserve">access to higher education for students with </w:t>
      </w:r>
      <w:r w:rsidR="00145716">
        <w:t>such</w:t>
      </w:r>
      <w:r w:rsidR="0076395B">
        <w:t xml:space="preserve"> backgrounds.</w:t>
      </w:r>
      <w:r w:rsidR="009C253B">
        <w:t xml:space="preserve"> </w:t>
      </w:r>
      <w:r w:rsidR="00D8378F">
        <w:t>She argued that p</w:t>
      </w:r>
      <w:r w:rsidR="009C253B">
        <w:t xml:space="preserve">athways between the sectors had </w:t>
      </w:r>
      <w:r w:rsidR="009C253B" w:rsidRPr="00D8378F">
        <w:rPr>
          <w:i/>
        </w:rPr>
        <w:t>deepened</w:t>
      </w:r>
      <w:r w:rsidR="009C253B">
        <w:t xml:space="preserve"> </w:t>
      </w:r>
      <w:r w:rsidR="00086208">
        <w:t xml:space="preserve">the </w:t>
      </w:r>
      <w:r w:rsidR="009C253B">
        <w:t xml:space="preserve">participation of social groups that were already well represented, but it had not </w:t>
      </w:r>
      <w:r w:rsidR="009C253B" w:rsidRPr="00D8378F">
        <w:rPr>
          <w:i/>
        </w:rPr>
        <w:t>widened</w:t>
      </w:r>
      <w:r w:rsidR="009C253B">
        <w:t xml:space="preserve"> </w:t>
      </w:r>
      <w:r w:rsidR="001A4AD1">
        <w:t xml:space="preserve">the </w:t>
      </w:r>
      <w:r w:rsidR="009C253B">
        <w:t xml:space="preserve">participation of those groups who are underrepresented. In terms of low </w:t>
      </w:r>
      <w:r w:rsidR="00145716">
        <w:t>socioeconomic status</w:t>
      </w:r>
      <w:r w:rsidR="009C253B">
        <w:t xml:space="preserve"> students, </w:t>
      </w:r>
      <w:r w:rsidR="00D8378F">
        <w:t>students who had transitioned from VET to higher education</w:t>
      </w:r>
      <w:r w:rsidR="009C253B">
        <w:t xml:space="preserve"> had a similar SES profile to </w:t>
      </w:r>
      <w:r w:rsidR="00D8378F">
        <w:t xml:space="preserve">other </w:t>
      </w:r>
      <w:r w:rsidR="007C4A96">
        <w:t>higher education</w:t>
      </w:r>
      <w:r w:rsidR="009C253B">
        <w:t xml:space="preserve"> students</w:t>
      </w:r>
      <w:r w:rsidR="00F53F31">
        <w:t xml:space="preserve">. It was therefore suggested that </w:t>
      </w:r>
      <w:r w:rsidR="009C253B">
        <w:t>articulation in its current form is not a</w:t>
      </w:r>
      <w:r w:rsidR="00031005">
        <w:t>n effective</w:t>
      </w:r>
      <w:r w:rsidR="009C253B">
        <w:t xml:space="preserve"> mechanism for </w:t>
      </w:r>
      <w:r w:rsidR="00031005">
        <w:t xml:space="preserve">increasing the participation of students with low </w:t>
      </w:r>
      <w:r w:rsidR="00145716">
        <w:t>socioeconomic status</w:t>
      </w:r>
      <w:r w:rsidR="00031005">
        <w:t xml:space="preserve"> backgrounds.</w:t>
      </w:r>
    </w:p>
    <w:p w:rsidR="00FE1246" w:rsidRDefault="00DF4C5F" w:rsidP="0098694A">
      <w:pPr>
        <w:pStyle w:val="Text"/>
      </w:pPr>
      <w:r>
        <w:t>A st</w:t>
      </w:r>
      <w:r w:rsidR="0025212B">
        <w:t>udy from 1997 (Ramsey et al</w:t>
      </w:r>
      <w:r w:rsidR="00145716">
        <w:t>.</w:t>
      </w:r>
      <w:r>
        <w:t xml:space="preserve">, as cited in Bandias, Fuller </w:t>
      </w:r>
      <w:r w:rsidR="00145716">
        <w:t>&amp;</w:t>
      </w:r>
      <w:r>
        <w:t xml:space="preserve"> Pfitzner 20</w:t>
      </w:r>
      <w:r w:rsidR="00DF3157">
        <w:t>1</w:t>
      </w:r>
      <w:r>
        <w:t xml:space="preserve">1) followed a cohort of Indigenous students transitioning to university and found that </w:t>
      </w:r>
      <w:r w:rsidR="002A7392">
        <w:t xml:space="preserve">only </w:t>
      </w:r>
      <w:r>
        <w:t xml:space="preserve">eight of the 223 commencers had gained admission on the basis of prior </w:t>
      </w:r>
      <w:r w:rsidR="00CF10BA">
        <w:t>vocational education and training</w:t>
      </w:r>
      <w:r>
        <w:t>.</w:t>
      </w:r>
      <w:r w:rsidR="002A7392">
        <w:t xml:space="preserve"> The majority of these students had received no credit transfer. More recent research, conducted by Bandias, Fuller and Larkin (20</w:t>
      </w:r>
      <w:r w:rsidR="00C9556B">
        <w:t>13</w:t>
      </w:r>
      <w:r w:rsidR="002A7392">
        <w:t xml:space="preserve">), investigated the pathways taken between VET and higher education by Indigenous students in the Northern Territory. Based on data from Charles Darwin </w:t>
      </w:r>
      <w:r w:rsidR="00B577D9">
        <w:t>University</w:t>
      </w:r>
      <w:r w:rsidR="002A7392">
        <w:t>, the research showed that</w:t>
      </w:r>
      <w:r w:rsidR="00611EAB">
        <w:t>,</w:t>
      </w:r>
      <w:r w:rsidR="002A7392">
        <w:t xml:space="preserve"> </w:t>
      </w:r>
      <w:r w:rsidR="00B577D9">
        <w:t xml:space="preserve">for those Indigenous </w:t>
      </w:r>
      <w:r w:rsidR="002A7392">
        <w:t>students who h</w:t>
      </w:r>
      <w:r w:rsidR="00B577D9">
        <w:t xml:space="preserve">ad completed a </w:t>
      </w:r>
      <w:r w:rsidR="00FC0E96">
        <w:t>certificate</w:t>
      </w:r>
      <w:r w:rsidR="00B577D9">
        <w:t xml:space="preserve"> IV, the pathway from VET to higher education was a viable one.</w:t>
      </w:r>
      <w:r w:rsidR="004B42DA">
        <w:t xml:space="preserve"> However, due to the small number of graduates at the </w:t>
      </w:r>
      <w:r w:rsidR="00FC0E96">
        <w:t>certificate</w:t>
      </w:r>
      <w:r w:rsidR="004B42DA">
        <w:t xml:space="preserve"> IV, diploma and advanced diploma levels, this pathway was underutilised. </w:t>
      </w:r>
      <w:r w:rsidR="00455BF4">
        <w:t>Another earlier study (He</w:t>
      </w:r>
      <w:r w:rsidR="00611EAB">
        <w:t>lme 2007),</w:t>
      </w:r>
      <w:r w:rsidR="00455BF4">
        <w:t xml:space="preserve"> investigating </w:t>
      </w:r>
      <w:r w:rsidR="00086208">
        <w:t xml:space="preserve">the </w:t>
      </w:r>
      <w:r w:rsidR="00455BF4">
        <w:t xml:space="preserve">VET experiences of Indigenous Australians in Victoria, also found that </w:t>
      </w:r>
      <w:r w:rsidR="00CF10BA">
        <w:t>vocational education and training</w:t>
      </w:r>
      <w:r w:rsidR="00455BF4">
        <w:t xml:space="preserve"> (TAFE specifi</w:t>
      </w:r>
      <w:r w:rsidR="00611EAB">
        <w:t xml:space="preserve">cally) functioned as a stepping </w:t>
      </w:r>
      <w:r w:rsidR="00455BF4">
        <w:t xml:space="preserve">stone to higher education for some students. These students included those who had enrolled in TAFE with the </w:t>
      </w:r>
      <w:r w:rsidR="00455BF4">
        <w:lastRenderedPageBreak/>
        <w:t xml:space="preserve">intention of articulating to university on completion of a </w:t>
      </w:r>
      <w:r w:rsidR="00FC0E96">
        <w:t>diploma</w:t>
      </w:r>
      <w:r w:rsidR="00455BF4">
        <w:t xml:space="preserve">, or who </w:t>
      </w:r>
      <w:r w:rsidR="001A4AD1">
        <w:t xml:space="preserve">had </w:t>
      </w:r>
      <w:r w:rsidR="00455BF4">
        <w:t>gained university entrance on the strength of a TAFE qualification. Helme suggested that a key finding of her study was that success in TAFE served to broaden the horizons of students who had not previously contemplated university study.</w:t>
      </w:r>
    </w:p>
    <w:p w:rsidR="00097B33" w:rsidRDefault="00097B33" w:rsidP="00097B33">
      <w:pPr>
        <w:pStyle w:val="Text"/>
      </w:pPr>
      <w:r>
        <w:t xml:space="preserve">It is worth mentioning VET courses that have been designed </w:t>
      </w:r>
      <w:r w:rsidR="00A07B6E">
        <w:t xml:space="preserve">specifically </w:t>
      </w:r>
      <w:r>
        <w:t>to prepare students for tertiary study</w:t>
      </w:r>
      <w:r w:rsidR="0036737B">
        <w:t>. T</w:t>
      </w:r>
      <w:r>
        <w:t>hese are usually aimed at people who have experienced some disadvantage in their education</w:t>
      </w:r>
      <w:r w:rsidR="0036737B">
        <w:t xml:space="preserve"> and aim to provide students with the necessary skills to go onto further education</w:t>
      </w:r>
      <w:r>
        <w:t>. Aird et al</w:t>
      </w:r>
      <w:r w:rsidR="00611EAB">
        <w:t>.</w:t>
      </w:r>
      <w:r>
        <w:t xml:space="preserve"> (2010) </w:t>
      </w:r>
      <w:r w:rsidR="0036737B">
        <w:t xml:space="preserve">describe </w:t>
      </w:r>
      <w:r>
        <w:t>a bridging course to tertiary study offered by many Queensland TAFE institutions</w:t>
      </w:r>
      <w:r w:rsidR="00611EAB">
        <w:t>, which</w:t>
      </w:r>
      <w:r w:rsidR="0036737B">
        <w:t xml:space="preserve"> </w:t>
      </w:r>
      <w:r>
        <w:t xml:space="preserve">was established to achieve equity in access to university for people considered to be disadvantaged. </w:t>
      </w:r>
      <w:r w:rsidR="00086208">
        <w:t>While t</w:t>
      </w:r>
      <w:r w:rsidR="007A2516">
        <w:t xml:space="preserve">his course was shown to be </w:t>
      </w:r>
      <w:r w:rsidR="0036737B">
        <w:t xml:space="preserve">effective in providing a pathway from </w:t>
      </w:r>
      <w:r w:rsidR="00611EAB">
        <w:t>vocational education and training</w:t>
      </w:r>
      <w:r w:rsidR="0036737B">
        <w:t xml:space="preserve"> to university, </w:t>
      </w:r>
      <w:r w:rsidR="00086208">
        <w:t>it</w:t>
      </w:r>
      <w:r w:rsidR="0036737B">
        <w:t xml:space="preserve"> </w:t>
      </w:r>
      <w:r w:rsidR="007A2516">
        <w:t>is</w:t>
      </w:r>
      <w:r w:rsidR="0036737B">
        <w:t xml:space="preserve"> aimed at students who are already aspiring to study </w:t>
      </w:r>
      <w:r w:rsidR="00BF2511">
        <w:t>at university before they commence</w:t>
      </w:r>
      <w:r w:rsidR="0036737B">
        <w:t xml:space="preserve">. </w:t>
      </w:r>
    </w:p>
    <w:p w:rsidR="0098694A" w:rsidRDefault="00C26A07" w:rsidP="0098694A">
      <w:pPr>
        <w:pStyle w:val="Text"/>
      </w:pPr>
      <w:r>
        <w:t xml:space="preserve">To date, there have been very few studies that have focused on the </w:t>
      </w:r>
      <w:r w:rsidRPr="00FE1246">
        <w:rPr>
          <w:i/>
        </w:rPr>
        <w:t>students</w:t>
      </w:r>
      <w:r w:rsidR="00C15F58">
        <w:rPr>
          <w:i/>
        </w:rPr>
        <w:t>’</w:t>
      </w:r>
      <w:r w:rsidRPr="00FE1246">
        <w:rPr>
          <w:i/>
        </w:rPr>
        <w:t xml:space="preserve"> perspectives</w:t>
      </w:r>
      <w:r>
        <w:t xml:space="preserve"> of transitioning from </w:t>
      </w:r>
      <w:r w:rsidR="00AA58CC">
        <w:t>lower-level</w:t>
      </w:r>
      <w:r>
        <w:t xml:space="preserve"> VET courses to </w:t>
      </w:r>
      <w:r w:rsidR="00FC0E96">
        <w:t>higher-level</w:t>
      </w:r>
      <w:r w:rsidR="00611EAB">
        <w:t xml:space="preserve"> VET or university —</w:t>
      </w:r>
      <w:r>
        <w:t xml:space="preserve"> and next to nothing investigating the experiences of disadvantaged students. </w:t>
      </w:r>
      <w:r w:rsidR="00203A09">
        <w:t>I</w:t>
      </w:r>
      <w:r w:rsidR="00B97366">
        <w:t xml:space="preserve">t is </w:t>
      </w:r>
      <w:r w:rsidR="00701C5E">
        <w:t xml:space="preserve">therefore </w:t>
      </w:r>
      <w:r w:rsidR="00B97366">
        <w:t xml:space="preserve">useful to consider the barriers reported </w:t>
      </w:r>
      <w:r w:rsidR="0061392E">
        <w:t>by students</w:t>
      </w:r>
      <w:r w:rsidR="00086208">
        <w:t xml:space="preserve"> —</w:t>
      </w:r>
      <w:r w:rsidR="0061392E">
        <w:t xml:space="preserve"> </w:t>
      </w:r>
      <w:r w:rsidR="00086208">
        <w:t>not specifically</w:t>
      </w:r>
      <w:r w:rsidR="0061392E">
        <w:t xml:space="preserve"> disadvantaged</w:t>
      </w:r>
      <w:r w:rsidR="00086208">
        <w:t xml:space="preserve"> students —</w:t>
      </w:r>
      <w:r w:rsidR="0061392E">
        <w:t xml:space="preserve"> </w:t>
      </w:r>
      <w:r w:rsidR="000B456C">
        <w:t>since</w:t>
      </w:r>
      <w:r w:rsidR="0061392E">
        <w:t xml:space="preserve"> those barriers </w:t>
      </w:r>
      <w:r w:rsidR="00203A09">
        <w:t xml:space="preserve">are likely to </w:t>
      </w:r>
      <w:r w:rsidR="0061392E">
        <w:t xml:space="preserve">be experienced by </w:t>
      </w:r>
      <w:r w:rsidR="00086208">
        <w:t>this group as well</w:t>
      </w:r>
      <w:r w:rsidR="00B97366">
        <w:t xml:space="preserve">. </w:t>
      </w:r>
      <w:r w:rsidR="00821B5C">
        <w:t xml:space="preserve">In a case study investigating student pathways, </w:t>
      </w:r>
      <w:r>
        <w:t xml:space="preserve">Watson (2006) interviewed students about the barriers faced when transitioning from </w:t>
      </w:r>
      <w:r w:rsidR="00821B5C">
        <w:t xml:space="preserve">a </w:t>
      </w:r>
      <w:r>
        <w:t>VET Diploma in Children</w:t>
      </w:r>
      <w:r w:rsidR="00C15F58">
        <w:t>’</w:t>
      </w:r>
      <w:r>
        <w:t xml:space="preserve">s Services to </w:t>
      </w:r>
      <w:r w:rsidR="00821B5C">
        <w:t>higher education</w:t>
      </w:r>
      <w:r>
        <w:t xml:space="preserve"> degree courses in </w:t>
      </w:r>
      <w:r w:rsidR="00611EAB">
        <w:t>early childhood education</w:t>
      </w:r>
      <w:r w:rsidR="0098694A">
        <w:t>.</w:t>
      </w:r>
      <w:r>
        <w:t xml:space="preserve"> </w:t>
      </w:r>
      <w:r w:rsidR="0098694A" w:rsidRPr="002E74BE">
        <w:t xml:space="preserve">These </w:t>
      </w:r>
      <w:r w:rsidR="00611EAB">
        <w:t xml:space="preserve">students </w:t>
      </w:r>
      <w:r w:rsidR="0098694A" w:rsidRPr="002E74BE">
        <w:t>faced a steep learning curve</w:t>
      </w:r>
      <w:r w:rsidR="00821B5C">
        <w:t xml:space="preserve">, particularly </w:t>
      </w:r>
      <w:r w:rsidR="00611EAB">
        <w:t xml:space="preserve">in relation to </w:t>
      </w:r>
      <w:r w:rsidR="00821B5C">
        <w:t xml:space="preserve">academic </w:t>
      </w:r>
      <w:r w:rsidR="0098694A" w:rsidRPr="002E74BE">
        <w:t xml:space="preserve">literacy </w:t>
      </w:r>
      <w:r w:rsidR="00821B5C">
        <w:t>skills such as writing, developing arguments, self-</w:t>
      </w:r>
      <w:r w:rsidR="00611EAB">
        <w:t>directed critical reflection</w:t>
      </w:r>
      <w:r w:rsidR="00821B5C">
        <w:t xml:space="preserve"> and research skills</w:t>
      </w:r>
      <w:r w:rsidR="0098694A" w:rsidRPr="002E74BE">
        <w:t>.</w:t>
      </w:r>
      <w:r w:rsidR="00821B5C">
        <w:t xml:space="preserve"> These students were not identified as disadvantaged, but it is not unreasonable to suggest that disadvantaged students would find this at least equally difficult.</w:t>
      </w:r>
    </w:p>
    <w:p w:rsidR="00F17AB6" w:rsidRPr="002E74BE" w:rsidRDefault="00F17AB6" w:rsidP="006B3214">
      <w:pPr>
        <w:pStyle w:val="Text"/>
        <w:ind w:right="-143"/>
      </w:pPr>
      <w:r>
        <w:t xml:space="preserve">Bandias, Fuller and Larkin (2013) conducted </w:t>
      </w:r>
      <w:r w:rsidR="00D409E6">
        <w:t>i</w:t>
      </w:r>
      <w:r>
        <w:t xml:space="preserve">nterviews with </w:t>
      </w:r>
      <w:r w:rsidR="00D409E6">
        <w:t xml:space="preserve">29 </w:t>
      </w:r>
      <w:r w:rsidR="00611EAB">
        <w:t>first-</w:t>
      </w:r>
      <w:r>
        <w:t xml:space="preserve">year </w:t>
      </w:r>
      <w:r w:rsidR="00CB5CF7">
        <w:t xml:space="preserve">Indigenous </w:t>
      </w:r>
      <w:r>
        <w:t>undergraduates at Charles Darwin University</w:t>
      </w:r>
      <w:r w:rsidR="00C9556B">
        <w:t xml:space="preserve"> and Batchelor</w:t>
      </w:r>
      <w:r w:rsidR="00A929B6">
        <w:t xml:space="preserve"> Institute</w:t>
      </w:r>
      <w:r w:rsidR="00611EAB">
        <w:t xml:space="preserve">. </w:t>
      </w:r>
      <w:r>
        <w:t>For those who had gained entry to higher educa</w:t>
      </w:r>
      <w:r w:rsidR="00FE1246">
        <w:t>tion based on their VET studies</w:t>
      </w:r>
      <w:r>
        <w:t>, some felt that their VET studies had prepared them for higher education and they enjoyed the opportunities presented. Others struggled wi</w:t>
      </w:r>
      <w:r w:rsidR="000B456C">
        <w:t>th the workload, finding a work—</w:t>
      </w:r>
      <w:r>
        <w:t xml:space="preserve">life balance </w:t>
      </w:r>
      <w:r w:rsidR="00086208">
        <w:t>and</w:t>
      </w:r>
      <w:r>
        <w:t xml:space="preserve"> the emphasis on online learning</w:t>
      </w:r>
      <w:r w:rsidR="00086208">
        <w:t>;</w:t>
      </w:r>
      <w:r>
        <w:t xml:space="preserve"> </w:t>
      </w:r>
      <w:r w:rsidR="00086208">
        <w:t>they also</w:t>
      </w:r>
      <w:r>
        <w:t xml:space="preserve"> </w:t>
      </w:r>
      <w:r w:rsidR="000B456C">
        <w:t>experienc</w:t>
      </w:r>
      <w:r w:rsidR="00086208">
        <w:t>ed</w:t>
      </w:r>
      <w:r w:rsidR="000B456C">
        <w:t xml:space="preserve"> </w:t>
      </w:r>
      <w:r>
        <w:t>financial difficulties.</w:t>
      </w:r>
    </w:p>
    <w:p w:rsidR="00EC429C" w:rsidRDefault="00A5399B" w:rsidP="00712F4D">
      <w:pPr>
        <w:pStyle w:val="Text"/>
      </w:pPr>
      <w:r>
        <w:t xml:space="preserve">There is very little in the literature about the transition from </w:t>
      </w:r>
      <w:r w:rsidR="00AA58CC">
        <w:t>lower-level</w:t>
      </w:r>
      <w:r>
        <w:t xml:space="preserve"> to </w:t>
      </w:r>
      <w:r w:rsidR="00FC0E96">
        <w:t>higher-level</w:t>
      </w:r>
      <w:r w:rsidR="000B456C">
        <w:t xml:space="preserve"> qualifications </w:t>
      </w:r>
      <w:r>
        <w:t>in the VET sector.</w:t>
      </w:r>
      <w:r w:rsidR="00EC429C">
        <w:t xml:space="preserve"> </w:t>
      </w:r>
      <w:r w:rsidR="00E525A3">
        <w:t xml:space="preserve">Using data from the Student Outcomes survey, Stanwick (2006) showed that around 30% of </w:t>
      </w:r>
      <w:r w:rsidR="00FC0E96">
        <w:t>certificate</w:t>
      </w:r>
      <w:r w:rsidR="00E525A3">
        <w:t xml:space="preserve"> I and II graduates enrolled in </w:t>
      </w:r>
      <w:r w:rsidR="00792B73">
        <w:t>further study at a higher level (six months after their initial graduation)</w:t>
      </w:r>
      <w:r w:rsidR="00E525A3">
        <w:t xml:space="preserve">. </w:t>
      </w:r>
      <w:r w:rsidR="00086208">
        <w:t>The figure</w:t>
      </w:r>
      <w:r w:rsidR="00E525A3">
        <w:t xml:space="preserve"> was even lo</w:t>
      </w:r>
      <w:r w:rsidR="00611EAB">
        <w:t>wer (less than 10%) for subject-</w:t>
      </w:r>
      <w:r w:rsidR="00E525A3">
        <w:t xml:space="preserve">only completers. </w:t>
      </w:r>
      <w:r w:rsidR="00792B73">
        <w:t xml:space="preserve">This study did not report on disadvantaged learners but it suggests that those students who are using </w:t>
      </w:r>
      <w:r w:rsidR="00AA58CC">
        <w:t>lower-level</w:t>
      </w:r>
      <w:r w:rsidR="00792B73">
        <w:t xml:space="preserve"> VET courses to re-e</w:t>
      </w:r>
      <w:r w:rsidR="007A2516">
        <w:t>ngage with the education sector</w:t>
      </w:r>
      <w:r w:rsidR="00792B73">
        <w:t xml:space="preserve"> are not likely to transition to </w:t>
      </w:r>
      <w:r w:rsidR="00FC0E96">
        <w:t>higher-level</w:t>
      </w:r>
      <w:r w:rsidR="00792B73">
        <w:t xml:space="preserve"> </w:t>
      </w:r>
      <w:r w:rsidR="00CF10BA">
        <w:t>vocational education and training</w:t>
      </w:r>
      <w:r w:rsidR="00792B73">
        <w:t xml:space="preserve"> or university. A more recent report (Guthrie, Stanwick </w:t>
      </w:r>
      <w:r w:rsidR="00611EAB">
        <w:t>&amp;</w:t>
      </w:r>
      <w:r w:rsidR="00792B73">
        <w:t xml:space="preserve"> Karmel 20</w:t>
      </w:r>
      <w:r w:rsidR="00FF4A58">
        <w:t>1</w:t>
      </w:r>
      <w:r w:rsidR="00792B73">
        <w:t>1)</w:t>
      </w:r>
      <w:r w:rsidR="007A2516">
        <w:t>,</w:t>
      </w:r>
      <w:r w:rsidR="00792B73">
        <w:t xml:space="preserve"> looking at pathways through the tertiary education sector, shows that </w:t>
      </w:r>
      <w:r w:rsidR="00EC429C">
        <w:t xml:space="preserve">substantial numbers of VET students have previously completed a </w:t>
      </w:r>
      <w:r w:rsidR="00AA58CC">
        <w:t>lower-level</w:t>
      </w:r>
      <w:r w:rsidR="00EC429C">
        <w:t xml:space="preserve"> VET qualification</w:t>
      </w:r>
      <w:r w:rsidR="00792B73">
        <w:t xml:space="preserve">. However, </w:t>
      </w:r>
      <w:r w:rsidR="00EC429C">
        <w:t>there is scant information on the experiences of disadvantaged students making this transition.</w:t>
      </w:r>
      <w:r w:rsidR="00736FCC">
        <w:t xml:space="preserve"> Of all the equity groups, the</w:t>
      </w:r>
      <w:r w:rsidR="00086208">
        <w:t xml:space="preserve"> transition</w:t>
      </w:r>
      <w:r w:rsidR="00736FCC">
        <w:t xml:space="preserve"> </w:t>
      </w:r>
      <w:r w:rsidR="00EA2EAB">
        <w:t>experience</w:t>
      </w:r>
      <w:r w:rsidR="00086208">
        <w:t>s</w:t>
      </w:r>
      <w:r w:rsidR="00EA2EAB">
        <w:t xml:space="preserve"> of Indigenous students </w:t>
      </w:r>
      <w:r w:rsidR="00086208">
        <w:t>have</w:t>
      </w:r>
      <w:r w:rsidR="00736FCC">
        <w:t xml:space="preserve"> received the most attention</w:t>
      </w:r>
      <w:r w:rsidR="00EA2EAB">
        <w:t>.</w:t>
      </w:r>
    </w:p>
    <w:p w:rsidR="00A5399B" w:rsidRDefault="00455BF4" w:rsidP="00712F4D">
      <w:pPr>
        <w:pStyle w:val="Text"/>
      </w:pPr>
      <w:r>
        <w:t xml:space="preserve">Helme </w:t>
      </w:r>
      <w:r w:rsidR="00EC429C">
        <w:t>(</w:t>
      </w:r>
      <w:r>
        <w:t>2007</w:t>
      </w:r>
      <w:r w:rsidR="00EC429C">
        <w:t xml:space="preserve">) </w:t>
      </w:r>
      <w:r w:rsidR="001C5632">
        <w:t xml:space="preserve">investigated the experiences of Indigenous students in Victoria who had </w:t>
      </w:r>
      <w:r w:rsidR="009500A1">
        <w:t>attempted to move from Indigenous-specific courses run by TAFE Indigenous units to mainstream TAFE courses</w:t>
      </w:r>
      <w:r w:rsidR="00611EAB">
        <w:t>. I</w:t>
      </w:r>
      <w:r w:rsidR="00F02C58">
        <w:t>t should be noted that it was not specified whether these transitions were from lower to higher qualification levels</w:t>
      </w:r>
      <w:r w:rsidR="00611EAB">
        <w:t>.</w:t>
      </w:r>
      <w:r w:rsidR="00F31EF9">
        <w:t xml:space="preserve"> </w:t>
      </w:r>
      <w:r w:rsidR="009500A1">
        <w:t>The students identified barriers</w:t>
      </w:r>
      <w:r w:rsidR="00611EAB">
        <w:t>,</w:t>
      </w:r>
      <w:r w:rsidR="009500A1">
        <w:t xml:space="preserve"> including lack of flex</w:t>
      </w:r>
      <w:r w:rsidR="00F57D16">
        <w:t>ibility in general TAFE courses</w:t>
      </w:r>
      <w:r w:rsidR="009500A1">
        <w:t xml:space="preserve"> and a lack of support from some teachers, particularly in relation to absences due to family </w:t>
      </w:r>
      <w:r w:rsidR="009500A1">
        <w:lastRenderedPageBreak/>
        <w:t xml:space="preserve">and cultural obligations. </w:t>
      </w:r>
      <w:r w:rsidR="00CA0C04">
        <w:t xml:space="preserve">Helme argues </w:t>
      </w:r>
      <w:r w:rsidR="00DD4C6A">
        <w:t>that the VET sector plays an important role for Indigenous learners due to its ability to accept adult student</w:t>
      </w:r>
      <w:r w:rsidR="000B456C">
        <w:t>s into lower-level programs, which</w:t>
      </w:r>
      <w:r w:rsidR="00DD4C6A">
        <w:t xml:space="preserve"> can act as pathways to </w:t>
      </w:r>
      <w:r w:rsidR="00FC0E96">
        <w:t>higher-level</w:t>
      </w:r>
      <w:r w:rsidR="00DD4C6A">
        <w:t xml:space="preserve"> qualifications.</w:t>
      </w:r>
      <w:r w:rsidR="00CA0C04">
        <w:t xml:space="preserve"> But students need support to enable them to overcome the barriers identified above. Strategies identified by the author of this study included group enrolments (to encourage peer support), customisation of courses to enable more flexibility, stronger links between the Indigenous support units and other departments, and educati</w:t>
      </w:r>
      <w:r w:rsidR="000B456C">
        <w:t>on for</w:t>
      </w:r>
      <w:r w:rsidR="00CA0C04">
        <w:t xml:space="preserve"> staff about Indigenous culture.</w:t>
      </w:r>
    </w:p>
    <w:p w:rsidR="000056B6" w:rsidRDefault="000056B6" w:rsidP="00712F4D">
      <w:pPr>
        <w:pStyle w:val="Text"/>
      </w:pPr>
      <w:r>
        <w:t xml:space="preserve">A more recent study (TAFE NSW 2013) followed </w:t>
      </w:r>
      <w:r w:rsidR="00736FCC">
        <w:t>just over 3000</w:t>
      </w:r>
      <w:r>
        <w:t xml:space="preserve"> </w:t>
      </w:r>
      <w:r w:rsidR="00E3574E">
        <w:t xml:space="preserve">newly enrolled </w:t>
      </w:r>
      <w:r>
        <w:t>Indigenous students</w:t>
      </w:r>
      <w:r w:rsidR="00E3574E">
        <w:t xml:space="preserve"> at TAFE NSW for six years, documenting their pathways through their VET studies. </w:t>
      </w:r>
      <w:r w:rsidR="00543505">
        <w:t>Of the</w:t>
      </w:r>
      <w:r w:rsidR="00F57D16">
        <w:t xml:space="preserve"> 1126 15 to 19-year-</w:t>
      </w:r>
      <w:r w:rsidR="00543505">
        <w:t xml:space="preserve">olds who had originally enrolled in a foundation skills course, </w:t>
      </w:r>
      <w:r w:rsidR="00701C5E">
        <w:t>73 (6.5%) completed at least on</w:t>
      </w:r>
      <w:r w:rsidR="00543505">
        <w:t xml:space="preserve">e course at </w:t>
      </w:r>
      <w:r w:rsidR="00FC0E96">
        <w:t>certificate</w:t>
      </w:r>
      <w:r w:rsidR="00543505">
        <w:t xml:space="preserve"> III or above </w:t>
      </w:r>
      <w:r w:rsidR="00E525A3">
        <w:t>during</w:t>
      </w:r>
      <w:r w:rsidR="00543505">
        <w:t xml:space="preserve"> the six-year study. </w:t>
      </w:r>
      <w:r w:rsidR="00736FCC">
        <w:t>This demo</w:t>
      </w:r>
      <w:r w:rsidR="00F57D16">
        <w:t>nstrates that for some students enrolment in a low-</w:t>
      </w:r>
      <w:r w:rsidR="00736FCC">
        <w:t xml:space="preserve">level foundation course provided a viable pathway to </w:t>
      </w:r>
      <w:r w:rsidR="00FC0E96">
        <w:t>higher-level</w:t>
      </w:r>
      <w:r w:rsidR="00736FCC">
        <w:t xml:space="preserve"> qualifications. However, it should be noted that many students enrolled in subsequent foundation skills courses, with 72 (6.4%) enrolling in four to nine subsequent foundation courses. </w:t>
      </w:r>
      <w:r w:rsidR="00AF74B5">
        <w:t xml:space="preserve">Dawe (2004) found that it is not necessarily a problem when students remained in enabling courses, </w:t>
      </w:r>
      <w:r w:rsidR="00F57D16">
        <w:t>since in that particular study</w:t>
      </w:r>
      <w:r w:rsidR="00AF74B5">
        <w:t xml:space="preserve"> many of the students had progressed to a more advanced course within the same level of qualification, or had diversified into other areas of learning. </w:t>
      </w:r>
      <w:r w:rsidR="00736FCC">
        <w:t xml:space="preserve">While there </w:t>
      </w:r>
      <w:r w:rsidR="00E525A3">
        <w:t>might</w:t>
      </w:r>
      <w:r w:rsidR="00736FCC">
        <w:t xml:space="preserve"> be genuine reasons </w:t>
      </w:r>
      <w:r w:rsidR="00086208">
        <w:t xml:space="preserve">for </w:t>
      </w:r>
      <w:r w:rsidR="00736FCC">
        <w:t xml:space="preserve">and positive outcomes </w:t>
      </w:r>
      <w:r w:rsidR="00086208">
        <w:t>from</w:t>
      </w:r>
      <w:r w:rsidR="00736FCC">
        <w:t xml:space="preserve"> these courses, the authors</w:t>
      </w:r>
      <w:r w:rsidR="006C0709">
        <w:t xml:space="preserve"> of the TAFE NSW (2013) report</w:t>
      </w:r>
      <w:r w:rsidR="00736FCC">
        <w:t xml:space="preserve"> suggest that more systematic career planning or goal setting for these students may result in a better outcome</w:t>
      </w:r>
      <w:r w:rsidR="000B456C">
        <w:t>, one</w:t>
      </w:r>
      <w:r w:rsidR="00736FCC">
        <w:t xml:space="preserve"> that is more likely to lead to employment. </w:t>
      </w:r>
    </w:p>
    <w:p w:rsidR="00E7408B" w:rsidRDefault="00A710E6" w:rsidP="00E7408B">
      <w:pPr>
        <w:pStyle w:val="Text"/>
      </w:pPr>
      <w:r>
        <w:t>Given that transition</w:t>
      </w:r>
      <w:r w:rsidR="00E7408B">
        <w:t xml:space="preserve"> from </w:t>
      </w:r>
      <w:r w:rsidR="00CF10BA">
        <w:t>vocational education and training</w:t>
      </w:r>
      <w:r w:rsidR="00E7408B">
        <w:t xml:space="preserve"> to further education appears </w:t>
      </w:r>
      <w:r>
        <w:t>difficult</w:t>
      </w:r>
      <w:r w:rsidR="00E7408B">
        <w:t>, particularly for some disadvantaged learners, it is of interest to consider what possible mechanisms or supports could be put in place to improve this.</w:t>
      </w:r>
      <w:r w:rsidR="00176A6E">
        <w:t xml:space="preserve"> This is considered in the following section.</w:t>
      </w:r>
    </w:p>
    <w:p w:rsidR="00883F21" w:rsidRDefault="00883F21">
      <w:pPr>
        <w:spacing w:before="0" w:line="240" w:lineRule="auto"/>
        <w:rPr>
          <w:rFonts w:ascii="Tahoma" w:hAnsi="Tahoma" w:cs="Tahoma"/>
          <w:color w:val="000000"/>
          <w:sz w:val="24"/>
        </w:rPr>
      </w:pPr>
      <w:r>
        <w:br w:type="page"/>
      </w:r>
    </w:p>
    <w:p w:rsidR="00226F10" w:rsidRDefault="00226F10" w:rsidP="00BF2511">
      <w:pPr>
        <w:pStyle w:val="Heading1"/>
      </w:pPr>
      <w:bookmarkStart w:id="36" w:name="_Toc381110822"/>
      <w:r>
        <w:lastRenderedPageBreak/>
        <w:t>Support services</w:t>
      </w:r>
      <w:bookmarkEnd w:id="36"/>
      <w:r>
        <w:t xml:space="preserve"> </w:t>
      </w:r>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421D39" w:rsidRPr="006B3214" w:rsidTr="006B3214">
        <w:tc>
          <w:tcPr>
            <w:tcW w:w="8789" w:type="dxa"/>
            <w:shd w:val="clear" w:color="auto" w:fill="000000" w:themeFill="text1"/>
          </w:tcPr>
          <w:p w:rsidR="00421D39" w:rsidRPr="00421D39" w:rsidRDefault="00421D39" w:rsidP="001C1482">
            <w:pPr>
              <w:pStyle w:val="Heading3"/>
              <w:spacing w:before="120" w:after="120"/>
              <w:rPr>
                <w:color w:val="FFFFFF" w:themeColor="background1"/>
              </w:rPr>
            </w:pPr>
            <w:r w:rsidRPr="00421D39">
              <w:rPr>
                <w:color w:val="FFFFFF" w:themeColor="background1"/>
              </w:rPr>
              <w:t>Key points</w:t>
            </w:r>
          </w:p>
        </w:tc>
      </w:tr>
      <w:tr w:rsidR="00421D39" w:rsidRPr="006B3214" w:rsidTr="006B3214">
        <w:trPr>
          <w:trHeight w:val="3660"/>
        </w:trPr>
        <w:tc>
          <w:tcPr>
            <w:tcW w:w="8789" w:type="dxa"/>
          </w:tcPr>
          <w:p w:rsidR="00421D39" w:rsidRPr="006B3214" w:rsidRDefault="00421D39" w:rsidP="006B3214">
            <w:pPr>
              <w:pStyle w:val="Dotpoint1"/>
            </w:pPr>
            <w:r w:rsidRPr="006B3214">
              <w:t xml:space="preserve">Many support programs aimed at students transitioning to university are focused on preparing students prior to their commencing university and supporting </w:t>
            </w:r>
            <w:r w:rsidR="00086208">
              <w:t>them</w:t>
            </w:r>
            <w:r w:rsidRPr="006B3214">
              <w:t xml:space="preserve"> once they have commenced study. Some attention should be given to true transition programs.</w:t>
            </w:r>
          </w:p>
          <w:p w:rsidR="00421D39" w:rsidRPr="006B3214" w:rsidRDefault="00421D39" w:rsidP="006B3214">
            <w:pPr>
              <w:pStyle w:val="Dotpoint1"/>
            </w:pPr>
            <w:r w:rsidRPr="006B3214">
              <w:t>Support programs to assist the transition from VET to higher education could focus on developing academic literacy, critical thinking</w:t>
            </w:r>
            <w:r w:rsidR="00086208">
              <w:t xml:space="preserve"> and</w:t>
            </w:r>
            <w:r w:rsidRPr="006B3214">
              <w:t xml:space="preserve"> research and time management skills — areas that have been shown to be challenging for transitioning students.</w:t>
            </w:r>
          </w:p>
          <w:p w:rsidR="00421D39" w:rsidRPr="006B3214" w:rsidRDefault="00421D39" w:rsidP="006B3214">
            <w:pPr>
              <w:pStyle w:val="Dotpoint1"/>
              <w:spacing w:after="120"/>
            </w:pPr>
            <w:r w:rsidRPr="006B3214">
              <w:t>Personal qualities such as motivation, commitment, understanding and respect are also important in successful transitions but are difficult to foster through support systems. In addition, making the transition to higher education is not enough. The realities of previous educational achievement and the requirements for study can act as a large barrier, especially for disadvantaged learners.</w:t>
            </w:r>
          </w:p>
        </w:tc>
      </w:tr>
    </w:tbl>
    <w:p w:rsidR="003369C9" w:rsidRDefault="003369C9" w:rsidP="006B3214">
      <w:pPr>
        <w:pStyle w:val="Textmorebefore"/>
      </w:pPr>
      <w:r>
        <w:t xml:space="preserve">Two broad types of support are of relevance to this paper. The first is support provided to students to assist them </w:t>
      </w:r>
      <w:r w:rsidR="000B456C">
        <w:t>to</w:t>
      </w:r>
      <w:r>
        <w:t xml:space="preserve"> succes</w:t>
      </w:r>
      <w:r w:rsidR="000B456C">
        <w:t>sfully complete</w:t>
      </w:r>
      <w:r>
        <w:t xml:space="preserve"> their VET or higher education course. The second is support that is targeted at assisting the transition of students from VET to higher education.</w:t>
      </w:r>
    </w:p>
    <w:p w:rsidR="003369C9" w:rsidRDefault="00DB5EA7" w:rsidP="00E3767E">
      <w:pPr>
        <w:pStyle w:val="Text"/>
      </w:pPr>
      <w:r>
        <w:t xml:space="preserve">Disadvantaged learners are not </w:t>
      </w:r>
      <w:proofErr w:type="gramStart"/>
      <w:r>
        <w:t>a</w:t>
      </w:r>
      <w:r w:rsidR="00825118">
        <w:t>n</w:t>
      </w:r>
      <w:proofErr w:type="gramEnd"/>
      <w:r>
        <w:t xml:space="preserve"> homogenous group, and specific support requirements vary</w:t>
      </w:r>
      <w:r w:rsidR="00F57D16">
        <w:t>,</w:t>
      </w:r>
      <w:r>
        <w:t xml:space="preserve"> depending on the needs of an individual student. </w:t>
      </w:r>
      <w:r w:rsidR="00A60BCB">
        <w:t xml:space="preserve">Barriers specific to various equity groups and the supports required to overcome these barriers have been well documented in the literature and will not be elaborated in this </w:t>
      </w:r>
      <w:r w:rsidR="000B456C">
        <w:t>paper</w:t>
      </w:r>
      <w:r w:rsidR="00A60BCB">
        <w:t xml:space="preserve">. </w:t>
      </w:r>
      <w:r w:rsidR="006A1ED4">
        <w:t>It is useful, however, to recognise that</w:t>
      </w:r>
      <w:r w:rsidR="00F57D16">
        <w:t>,</w:t>
      </w:r>
      <w:r w:rsidR="006A1ED4">
        <w:t xml:space="preserve"> while some barriers may be specific to particular groups and educational sectors, many are commonly experienced by students across the whole tertiary sector. Aird et al</w:t>
      </w:r>
      <w:r w:rsidR="00F57D16">
        <w:t>.</w:t>
      </w:r>
      <w:r w:rsidR="006A1ED4">
        <w:t xml:space="preserve"> (2010) categori</w:t>
      </w:r>
      <w:r w:rsidR="00825118">
        <w:t>s</w:t>
      </w:r>
      <w:r w:rsidR="006A1ED4">
        <w:t>es these into barriers that are structural in nature (related to institutional policies and operations, course content and organisation, teach</w:t>
      </w:r>
      <w:r w:rsidR="000B456C">
        <w:t>ing quality, finance</w:t>
      </w:r>
      <w:r w:rsidR="00F57D16">
        <w:t xml:space="preserve"> and work-</w:t>
      </w:r>
      <w:r w:rsidR="000B456C">
        <w:t>relate</w:t>
      </w:r>
      <w:r w:rsidR="00086208">
        <w:t>d</w:t>
      </w:r>
      <w:r w:rsidR="006A1ED4">
        <w:t xml:space="preserve">) and those that are individual (family commitments, illness, disability, self-confidence, motivation and educational aspirations). </w:t>
      </w:r>
      <w:r w:rsidR="00A60BCB">
        <w:t>S</w:t>
      </w:r>
      <w:r w:rsidR="003A6DAF">
        <w:t xml:space="preserve">upport </w:t>
      </w:r>
      <w:r w:rsidR="006A1ED4">
        <w:t xml:space="preserve">to </w:t>
      </w:r>
      <w:r w:rsidR="00D6077E">
        <w:t>help mitigate</w:t>
      </w:r>
      <w:r w:rsidR="006A1ED4">
        <w:t xml:space="preserve"> these barriers </w:t>
      </w:r>
      <w:r w:rsidR="003A6DAF">
        <w:t>might be simple, such as providing timely and useful information, or it c</w:t>
      </w:r>
      <w:r w:rsidR="00086208">
        <w:t>ould</w:t>
      </w:r>
      <w:r w:rsidR="003A6DAF">
        <w:t xml:space="preserve"> be more complex, like a multi-service intervention (Coates </w:t>
      </w:r>
      <w:r w:rsidR="00F57D16">
        <w:t>&amp;</w:t>
      </w:r>
      <w:r w:rsidR="003A6DAF">
        <w:t xml:space="preserve"> Ransom 2011). </w:t>
      </w:r>
    </w:p>
    <w:p w:rsidR="00E11258" w:rsidRDefault="00E80DF1" w:rsidP="006B3214">
      <w:pPr>
        <w:pStyle w:val="Text"/>
        <w:ind w:right="-143"/>
      </w:pPr>
      <w:r>
        <w:t>Recently t</w:t>
      </w:r>
      <w:r w:rsidR="00E11258">
        <w:t xml:space="preserve">here has </w:t>
      </w:r>
      <w:r>
        <w:t>been a</w:t>
      </w:r>
      <w:r w:rsidR="00E11258">
        <w:t xml:space="preserve"> focus in the literature on how to incorporate these specific </w:t>
      </w:r>
      <w:r>
        <w:t xml:space="preserve">and individual </w:t>
      </w:r>
      <w:r w:rsidR="00E11258">
        <w:t xml:space="preserve">support requirements into more overarching systems of support. In </w:t>
      </w:r>
      <w:r w:rsidR="00D93E1C">
        <w:t>their report to the National VET</w:t>
      </w:r>
      <w:r w:rsidR="00F57D16">
        <w:t xml:space="preserve"> Equity Advisory Council</w:t>
      </w:r>
      <w:r w:rsidR="00D93E1C">
        <w:t xml:space="preserve">, Brown and North (2010) </w:t>
      </w:r>
      <w:r w:rsidR="00D778D5">
        <w:t>suggest that for the VET sector</w:t>
      </w:r>
      <w:r w:rsidR="00D93E1C">
        <w:t xml:space="preserve"> </w:t>
      </w:r>
      <w:r w:rsidR="00E11258">
        <w:t xml:space="preserve">there is no single support model to guarantee an effective and sustainable outcome. Instead, they </w:t>
      </w:r>
      <w:r w:rsidR="00124175">
        <w:t>suggest that a larger support system be underpinned by: local programs that are community-owned and individual-centred; flexible pathways assisted by transition s</w:t>
      </w:r>
      <w:r w:rsidR="00D778D5">
        <w:t>upport; incentives that support</w:t>
      </w:r>
      <w:r w:rsidR="00124175">
        <w:t xml:space="preserve"> and encourage both participation and completion; a culture in which equity is embedded and formalised; and outcomes that</w:t>
      </w:r>
      <w:r w:rsidR="006B3214">
        <w:t xml:space="preserve"> </w:t>
      </w:r>
      <w:r w:rsidR="00124175">
        <w:t>are monitored, evaluated and reported with rigo</w:t>
      </w:r>
      <w:r w:rsidR="000B456C">
        <w:t>u</w:t>
      </w:r>
      <w:r w:rsidR="00124175">
        <w:t xml:space="preserve">r and transparency. These aspects would underpin the broader system-level objectives that aim to: </w:t>
      </w:r>
      <w:r w:rsidR="00E11258">
        <w:t xml:space="preserve">reduce systemic barriers; improve </w:t>
      </w:r>
      <w:r w:rsidR="00086208">
        <w:t>students’</w:t>
      </w:r>
      <w:r w:rsidR="00E11258">
        <w:t xml:space="preserve"> experiences and outcomes; focus on completions and outcomes; improve cross-sectoral data coll</w:t>
      </w:r>
      <w:r w:rsidR="00124175">
        <w:t xml:space="preserve">ections. </w:t>
      </w:r>
    </w:p>
    <w:p w:rsidR="00124175" w:rsidRDefault="00E80DF1" w:rsidP="00124175">
      <w:pPr>
        <w:pStyle w:val="Text"/>
      </w:pPr>
      <w:r>
        <w:t>T</w:t>
      </w:r>
      <w:r w:rsidR="00124175">
        <w:t>he features of effective support models in the higher education sector are ch</w:t>
      </w:r>
      <w:r w:rsidR="00D778D5">
        <w:t>aracterised by a focus on first-</w:t>
      </w:r>
      <w:r w:rsidR="00124175">
        <w:t>year retention through the provision of pre-entry and post-entry induction activities and support services</w:t>
      </w:r>
      <w:r w:rsidRPr="00E80DF1">
        <w:t xml:space="preserve"> </w:t>
      </w:r>
      <w:r>
        <w:t xml:space="preserve">(Brown </w:t>
      </w:r>
      <w:r w:rsidR="00D778D5">
        <w:t>&amp;</w:t>
      </w:r>
      <w:r>
        <w:t xml:space="preserve"> North 2010)</w:t>
      </w:r>
      <w:r w:rsidR="00124175">
        <w:t xml:space="preserve">. Individual support is provided through student-centred active </w:t>
      </w:r>
      <w:r w:rsidR="00124175">
        <w:lastRenderedPageBreak/>
        <w:t>learning.</w:t>
      </w:r>
      <w:r w:rsidR="00AE4610">
        <w:t xml:space="preserve"> </w:t>
      </w:r>
      <w:r w:rsidR="00473C26">
        <w:t xml:space="preserve">Students with financial barriers to attending university are supported through financial incentives such as scholarships, bursaries and allowances. </w:t>
      </w:r>
    </w:p>
    <w:p w:rsidR="004C0983" w:rsidRDefault="00E3767E" w:rsidP="00473C26">
      <w:pPr>
        <w:pStyle w:val="Text"/>
      </w:pPr>
      <w:r>
        <w:t>Of particular relevance to this paper</w:t>
      </w:r>
      <w:r w:rsidR="00473C26">
        <w:t>, however, are</w:t>
      </w:r>
      <w:r w:rsidR="004B7591">
        <w:t xml:space="preserve"> </w:t>
      </w:r>
      <w:r>
        <w:t xml:space="preserve">support systems </w:t>
      </w:r>
      <w:r w:rsidR="004B7591">
        <w:t xml:space="preserve">that </w:t>
      </w:r>
      <w:r>
        <w:t xml:space="preserve">work to enable successful transition from </w:t>
      </w:r>
      <w:r w:rsidR="00AA58CC">
        <w:t>lower-level</w:t>
      </w:r>
      <w:r>
        <w:t xml:space="preserve"> to </w:t>
      </w:r>
      <w:r w:rsidR="00FC0E96">
        <w:t>higher-level</w:t>
      </w:r>
      <w:r>
        <w:t xml:space="preserve"> </w:t>
      </w:r>
      <w:r w:rsidR="00FE539B">
        <w:t xml:space="preserve">VET </w:t>
      </w:r>
      <w:r>
        <w:t xml:space="preserve">qualifications and from VET to higher education for disadvantaged learners. </w:t>
      </w:r>
      <w:r w:rsidR="004C0983" w:rsidRPr="00496B63">
        <w:t>Spencer (2005)</w:t>
      </w:r>
      <w:r w:rsidR="000B456C">
        <w:t>,</w:t>
      </w:r>
      <w:r w:rsidR="004C0983" w:rsidRPr="00496B63">
        <w:t xml:space="preserve"> as cited in Aird et al</w:t>
      </w:r>
      <w:r w:rsidR="00D778D5">
        <w:t>.</w:t>
      </w:r>
      <w:r w:rsidR="004C0983" w:rsidRPr="00496B63">
        <w:t xml:space="preserve"> (2010)</w:t>
      </w:r>
      <w:r w:rsidR="000B456C">
        <w:t>,</w:t>
      </w:r>
      <w:r w:rsidR="004C0983" w:rsidRPr="00496B63">
        <w:t xml:space="preserve"> described several enablers for successful articulation between </w:t>
      </w:r>
      <w:r w:rsidR="00CF10BA">
        <w:t>vocational education and training</w:t>
      </w:r>
      <w:r w:rsidR="004C0983" w:rsidRPr="00496B63">
        <w:t xml:space="preserve"> and university. These included: articulation as part of the design, not an afterthought; access to clear, consistent, accurate promotional material; easier and fairer processes of articulation and recognition of prior learning; </w:t>
      </w:r>
      <w:r w:rsidR="004C0983">
        <w:t xml:space="preserve">and </w:t>
      </w:r>
      <w:r w:rsidR="004C0983" w:rsidRPr="00496B63">
        <w:t xml:space="preserve">university staff understanding </w:t>
      </w:r>
      <w:r w:rsidR="00CF10BA">
        <w:t>vocational education and training</w:t>
      </w:r>
      <w:r w:rsidR="004C0983" w:rsidRPr="00496B63">
        <w:t xml:space="preserve"> and vice versa. </w:t>
      </w:r>
      <w:r w:rsidR="004C0983">
        <w:t xml:space="preserve">These elements are not specific to disadvantaged learners, but would assist smoother transitions for all students. </w:t>
      </w:r>
    </w:p>
    <w:p w:rsidR="00473C26" w:rsidRDefault="00473C26" w:rsidP="00473C26">
      <w:pPr>
        <w:pStyle w:val="Text"/>
      </w:pPr>
      <w:r>
        <w:t xml:space="preserve">Brown and North (2010) suggest that there is scope to improve how disadvantaged </w:t>
      </w:r>
      <w:proofErr w:type="gramStart"/>
      <w:r>
        <w:t>learners</w:t>
      </w:r>
      <w:proofErr w:type="gramEnd"/>
      <w:r>
        <w:t xml:space="preserve"> transition from VET to </w:t>
      </w:r>
      <w:r w:rsidR="00FC4546">
        <w:t>higher education</w:t>
      </w:r>
      <w:r>
        <w:t xml:space="preserve">, and this could </w:t>
      </w:r>
      <w:r w:rsidR="00086208">
        <w:t>include the use of</w:t>
      </w:r>
      <w:r>
        <w:t xml:space="preserve"> preparatory programs that focus on literacy, numeracy and foundation skills. </w:t>
      </w:r>
      <w:r w:rsidR="00FC4546">
        <w:t>Their review of the literature and of current programs found that universities have sou</w:t>
      </w:r>
      <w:r w:rsidR="000B456C">
        <w:t>ght to employ pathways officers</w:t>
      </w:r>
      <w:r w:rsidR="00FC4546">
        <w:t xml:space="preserve"> and </w:t>
      </w:r>
      <w:r w:rsidR="000B456C">
        <w:t>have provided</w:t>
      </w:r>
      <w:r w:rsidR="00FC4546">
        <w:t xml:space="preserve"> enabling or bridging courses</w:t>
      </w:r>
      <w:r w:rsidR="00FE539B">
        <w:t xml:space="preserve"> in an attempt to help students overcome those initial challenges faced</w:t>
      </w:r>
      <w:r w:rsidR="00FC4546">
        <w:t>. These findings have been mirrored elsewhere.</w:t>
      </w:r>
      <w:r>
        <w:t xml:space="preserve"> </w:t>
      </w:r>
    </w:p>
    <w:p w:rsidR="00BC6C02" w:rsidRPr="00E3767E" w:rsidRDefault="00E3767E" w:rsidP="00E3767E">
      <w:pPr>
        <w:pStyle w:val="Text"/>
      </w:pPr>
      <w:r>
        <w:t>Blacker et al</w:t>
      </w:r>
      <w:r w:rsidR="00D778D5">
        <w:t>.</w:t>
      </w:r>
      <w:r>
        <w:t xml:space="preserve"> (2011) provides an extensive list of </w:t>
      </w:r>
      <w:r w:rsidR="00086208">
        <w:t xml:space="preserve">the </w:t>
      </w:r>
      <w:r w:rsidR="00F04DAC">
        <w:t>targeted transition</w:t>
      </w:r>
      <w:r>
        <w:t xml:space="preserve"> programs offered by Australian universities</w:t>
      </w:r>
      <w:r w:rsidR="000B456C">
        <w:t xml:space="preserve">, </w:t>
      </w:r>
      <w:r>
        <w:t xml:space="preserve">identified by a desktop scan of university websites. The list includes programs aimed at </w:t>
      </w:r>
      <w:r w:rsidR="00F04DAC">
        <w:t>preparing students before transition</w:t>
      </w:r>
      <w:r w:rsidR="008C4084">
        <w:t xml:space="preserve"> and </w:t>
      </w:r>
      <w:r w:rsidR="00F04DAC">
        <w:t xml:space="preserve">supporting students </w:t>
      </w:r>
      <w:r w:rsidR="008C4084">
        <w:t xml:space="preserve">both </w:t>
      </w:r>
      <w:r w:rsidR="00F04DAC">
        <w:t xml:space="preserve">during and after transition. </w:t>
      </w:r>
      <w:r w:rsidR="00004E19">
        <w:t xml:space="preserve">Most of the programs are elective, and most are open to all students. However, </w:t>
      </w:r>
      <w:r w:rsidR="008C4084">
        <w:t xml:space="preserve">a small number of those programs identified </w:t>
      </w:r>
      <w:r w:rsidR="00004E19">
        <w:t>are aimed specifically at certain groups of students, including Indigenous</w:t>
      </w:r>
      <w:r w:rsidR="00D778D5">
        <w:t>, mature-</w:t>
      </w:r>
      <w:r w:rsidR="003A6DAF">
        <w:t>age students, women</w:t>
      </w:r>
      <w:r w:rsidR="008C4084">
        <w:t>,</w:t>
      </w:r>
      <w:r w:rsidR="003A6DAF">
        <w:t xml:space="preserve"> and distance education students. T</w:t>
      </w:r>
      <w:r w:rsidR="001D4AC1">
        <w:t xml:space="preserve">he focus of many of these programs is on </w:t>
      </w:r>
      <w:r w:rsidR="003A6DAF">
        <w:t xml:space="preserve">preparing students </w:t>
      </w:r>
      <w:r w:rsidR="001D4AC1">
        <w:t xml:space="preserve">prior to </w:t>
      </w:r>
      <w:r w:rsidR="000B456C">
        <w:t xml:space="preserve">their </w:t>
      </w:r>
      <w:r w:rsidR="001D4AC1">
        <w:t xml:space="preserve">commencing </w:t>
      </w:r>
      <w:r w:rsidR="00A16DF5">
        <w:t>university</w:t>
      </w:r>
      <w:r w:rsidR="001D4AC1">
        <w:t xml:space="preserve"> and support initiatives accessed once the students are undertaking university studies. </w:t>
      </w:r>
      <w:r w:rsidR="003A6DAF">
        <w:t>Blacker et al</w:t>
      </w:r>
      <w:r w:rsidR="00D778D5">
        <w:t>.</w:t>
      </w:r>
      <w:r w:rsidR="003A6DAF">
        <w:t xml:space="preserve"> (2011)</w:t>
      </w:r>
      <w:r w:rsidR="001D4AC1">
        <w:t xml:space="preserve"> suggest that</w:t>
      </w:r>
      <w:r w:rsidR="00D778D5">
        <w:t>,</w:t>
      </w:r>
      <w:r w:rsidR="001D4AC1">
        <w:t xml:space="preserve"> while these programs are important in recruiting and retaining students, attention should be given to developing true transition programs. These would be designed to assist the transition between the two sectors and could focus on developing academic literacy, critical thinking</w:t>
      </w:r>
      <w:r w:rsidR="00086208">
        <w:t xml:space="preserve"> and</w:t>
      </w:r>
      <w:r w:rsidR="001D4AC1">
        <w:t xml:space="preserve"> research and time management skills</w:t>
      </w:r>
      <w:r w:rsidR="00D60C09">
        <w:t>, areas that have been shown to be particularly challenging for students transitioning from VET to higher education</w:t>
      </w:r>
      <w:r w:rsidR="00825118">
        <w:t xml:space="preserve"> (</w:t>
      </w:r>
      <w:r w:rsidR="00D778D5">
        <w:t>Blacker et al. 2011</w:t>
      </w:r>
      <w:r w:rsidR="00825118">
        <w:t>)</w:t>
      </w:r>
      <w:r w:rsidR="001D4AC1">
        <w:t xml:space="preserve">. </w:t>
      </w:r>
    </w:p>
    <w:p w:rsidR="003A6DAF" w:rsidRDefault="003A6DAF" w:rsidP="003A6DAF">
      <w:pPr>
        <w:pStyle w:val="Text"/>
      </w:pPr>
      <w:r>
        <w:t>This line of thought is supported by Caterall and Davis (2012)</w:t>
      </w:r>
      <w:r w:rsidR="00D778D5">
        <w:t>,</w:t>
      </w:r>
      <w:r>
        <w:t xml:space="preserve"> who </w:t>
      </w:r>
      <w:r w:rsidR="00D778D5">
        <w:t>argue</w:t>
      </w:r>
      <w:r>
        <w:t xml:space="preserve"> that VET to higher education students need targeted support, especially prior to and during the early stages of commencing their degree studies. Their report details some strategies that have been implemented by the University of Western Sydney to help students who are making the transition from VET to higher education. The strategies that have been implemented include:</w:t>
      </w:r>
    </w:p>
    <w:p w:rsidR="003A6DAF" w:rsidRPr="006B3214" w:rsidRDefault="00C15F58" w:rsidP="006B3214">
      <w:pPr>
        <w:pStyle w:val="Dotpoint1"/>
      </w:pPr>
      <w:r>
        <w:t>‘</w:t>
      </w:r>
      <w:r w:rsidR="00D778D5">
        <w:t>Academic preparation seminars</w:t>
      </w:r>
      <w:r>
        <w:t>’</w:t>
      </w:r>
      <w:r w:rsidR="00D778D5">
        <w:t>:</w:t>
      </w:r>
      <w:r w:rsidR="003A6DAF">
        <w:t xml:space="preserve"> introductory seminars designed for VET students who have applied for university entrance. The seminars provide VET students </w:t>
      </w:r>
      <w:r w:rsidR="00D778D5">
        <w:t xml:space="preserve">with </w:t>
      </w:r>
      <w:r w:rsidR="003A6DAF">
        <w:t xml:space="preserve">the opportunity to visit a university campus and aim to </w:t>
      </w:r>
      <w:r w:rsidR="003A6DAF" w:rsidRPr="006B3214">
        <w:t xml:space="preserve">provide an introduction to aspects of university study and the conventions relevant to their chosen discipline. </w:t>
      </w:r>
    </w:p>
    <w:p w:rsidR="003A6DAF" w:rsidRPr="006B3214" w:rsidRDefault="00D778D5" w:rsidP="006B3214">
      <w:pPr>
        <w:pStyle w:val="Dotpoint1"/>
        <w:ind w:right="-143"/>
      </w:pPr>
      <w:r w:rsidRPr="006B3214">
        <w:t>Welcome packs for VET students:</w:t>
      </w:r>
      <w:r w:rsidR="003A6DAF" w:rsidRPr="006B3214">
        <w:t xml:space="preserve"> c</w:t>
      </w:r>
      <w:r w:rsidRPr="006B3214">
        <w:t>ontaining a letter, fly</w:t>
      </w:r>
      <w:r w:rsidR="003A6DAF" w:rsidRPr="006B3214">
        <w:t xml:space="preserve">ers on bridging programs and other support services and a </w:t>
      </w:r>
      <w:r w:rsidR="00C15F58">
        <w:t>‘</w:t>
      </w:r>
      <w:r w:rsidR="003A6DAF" w:rsidRPr="006B3214">
        <w:t>VET peer guide for VET pathways student</w:t>
      </w:r>
      <w:r w:rsidR="00C15F58">
        <w:t>’</w:t>
      </w:r>
      <w:r w:rsidR="003A6DAF" w:rsidRPr="006B3214">
        <w:t xml:space="preserve"> brochure</w:t>
      </w:r>
      <w:r w:rsidRPr="006B3214">
        <w:t>,</w:t>
      </w:r>
      <w:r w:rsidR="003A6DAF" w:rsidRPr="006B3214">
        <w:t xml:space="preserve"> which clearly explains some of the differences between VET and university and provides tips </w:t>
      </w:r>
      <w:r w:rsidR="000B456C" w:rsidRPr="006B3214">
        <w:t>on</w:t>
      </w:r>
      <w:r w:rsidR="003A6DAF" w:rsidRPr="006B3214">
        <w:t xml:space="preserve"> how the student might deal with some of the challenges. The pack also contains information on VET pathways and credit transfer sites</w:t>
      </w:r>
      <w:r w:rsidR="000B456C" w:rsidRPr="006B3214">
        <w:t>,</w:t>
      </w:r>
      <w:r w:rsidR="003A6DAF" w:rsidRPr="006B3214">
        <w:t xml:space="preserve"> where students can check </w:t>
      </w:r>
      <w:r w:rsidR="00086208">
        <w:t>whether</w:t>
      </w:r>
      <w:r w:rsidR="003A6DAF" w:rsidRPr="006B3214">
        <w:t xml:space="preserve"> they are eligible for credit under formalised arrangements. </w:t>
      </w:r>
    </w:p>
    <w:p w:rsidR="003A6DAF" w:rsidRPr="006B3214" w:rsidRDefault="00D778D5" w:rsidP="006B3214">
      <w:pPr>
        <w:pStyle w:val="Dotpoint1"/>
      </w:pPr>
      <w:r w:rsidRPr="006B3214">
        <w:lastRenderedPageBreak/>
        <w:t>VET transition web page:</w:t>
      </w:r>
      <w:r w:rsidR="003A6DAF" w:rsidRPr="006B3214">
        <w:t xml:space="preserve"> designed for commencing students, the webpage highlights some of the differences they might encounter. It includes links to other support services.</w:t>
      </w:r>
    </w:p>
    <w:p w:rsidR="003A6DAF" w:rsidRPr="006B3214" w:rsidRDefault="003A6DAF" w:rsidP="006B3214">
      <w:pPr>
        <w:pStyle w:val="Dotpoint1"/>
      </w:pPr>
      <w:r w:rsidRPr="006B3214">
        <w:t xml:space="preserve">VET student peer contact program (under development at the </w:t>
      </w:r>
      <w:r w:rsidR="00D778D5" w:rsidRPr="006B3214">
        <w:t xml:space="preserve">time the </w:t>
      </w:r>
      <w:r w:rsidR="000B456C" w:rsidRPr="006B3214">
        <w:t>paper</w:t>
      </w:r>
      <w:r w:rsidR="00D778D5" w:rsidRPr="006B3214">
        <w:t xml:space="preserve"> was published):</w:t>
      </w:r>
      <w:r w:rsidRPr="006B3214">
        <w:t xml:space="preserve"> entails a buddy system for Business students.</w:t>
      </w:r>
    </w:p>
    <w:p w:rsidR="003A6DAF" w:rsidRPr="006B3214" w:rsidRDefault="003A6DAF" w:rsidP="006B3214">
      <w:pPr>
        <w:pStyle w:val="Dotpoint1"/>
      </w:pPr>
      <w:r w:rsidRPr="006B3214">
        <w:t>Mentoring program</w:t>
      </w:r>
      <w:r w:rsidR="003478DC" w:rsidRPr="006B3214">
        <w:t>: this is specifically targeted</w:t>
      </w:r>
      <w:r w:rsidRPr="006B3214">
        <w:t xml:space="preserve"> </w:t>
      </w:r>
      <w:r w:rsidR="003478DC" w:rsidRPr="006B3214">
        <w:t>to</w:t>
      </w:r>
      <w:r w:rsidRPr="006B3214">
        <w:t xml:space="preserve"> distance students.</w:t>
      </w:r>
    </w:p>
    <w:p w:rsidR="003A6DAF" w:rsidRDefault="00D778D5" w:rsidP="006B3214">
      <w:pPr>
        <w:pStyle w:val="Dotpoint1"/>
      </w:pPr>
      <w:r w:rsidRPr="006B3214">
        <w:t>Education technology program</w:t>
      </w:r>
      <w:r>
        <w:t>:</w:t>
      </w:r>
      <w:r w:rsidR="003A6DAF">
        <w:t xml:space="preserve"> designed to introduce new students to the online study environment.</w:t>
      </w:r>
    </w:p>
    <w:p w:rsidR="003A6DAF" w:rsidRPr="00D40A21" w:rsidRDefault="003A6DAF" w:rsidP="00D40A21">
      <w:pPr>
        <w:pStyle w:val="Text"/>
      </w:pPr>
      <w:r w:rsidRPr="00F66A6C">
        <w:t xml:space="preserve">While these strategies are not aimed specifically at disadvantaged students, it is not difficult to imagine </w:t>
      </w:r>
      <w:r>
        <w:t>how they could be designed to be inclusive and helpful for all students</w:t>
      </w:r>
      <w:r w:rsidR="00463639">
        <w:t>, including those who are disadvantaged</w:t>
      </w:r>
      <w:r>
        <w:t>.</w:t>
      </w:r>
      <w:r w:rsidR="003433CC">
        <w:t xml:space="preserve"> </w:t>
      </w:r>
      <w:r w:rsidR="003164DC">
        <w:t xml:space="preserve">Ensuring </w:t>
      </w:r>
      <w:r w:rsidR="00953B49">
        <w:t xml:space="preserve">that </w:t>
      </w:r>
      <w:r w:rsidR="003164DC">
        <w:t xml:space="preserve">input from and information about equity support </w:t>
      </w:r>
      <w:r w:rsidR="002C5ABD">
        <w:t xml:space="preserve">services is included is one way of doing that. </w:t>
      </w:r>
      <w:r w:rsidR="003433CC">
        <w:t xml:space="preserve">Coates and Ransom (2011) in their paper on student intentions to </w:t>
      </w:r>
      <w:r w:rsidR="000B456C">
        <w:t>leave</w:t>
      </w:r>
      <w:r w:rsidR="003478DC">
        <w:t xml:space="preserve"> their higher education studies</w:t>
      </w:r>
      <w:r w:rsidR="003433CC">
        <w:t xml:space="preserve"> claim that </w:t>
      </w:r>
      <w:r w:rsidR="003433CC" w:rsidRPr="00086208">
        <w:t>integratin</w:t>
      </w:r>
      <w:r w:rsidR="00953B49">
        <w:t>g</w:t>
      </w:r>
      <w:r w:rsidR="003433CC" w:rsidRPr="00086208">
        <w:t xml:space="preserve"> </w:t>
      </w:r>
      <w:r w:rsidR="003433CC">
        <w:t>support services</w:t>
      </w:r>
      <w:r w:rsidR="00953B49">
        <w:t xml:space="preserve"> into the various faculties</w:t>
      </w:r>
      <w:r w:rsidR="003433CC">
        <w:t xml:space="preserve"> is a key concept of support.</w:t>
      </w:r>
      <w:r w:rsidR="003164DC">
        <w:t xml:space="preserve"> The multi-pronged </w:t>
      </w:r>
      <w:r w:rsidR="002C5ABD">
        <w:t xml:space="preserve">transition support </w:t>
      </w:r>
      <w:r w:rsidR="003164DC">
        <w:t xml:space="preserve">approach </w:t>
      </w:r>
      <w:r w:rsidR="002C5ABD">
        <w:t xml:space="preserve">taken by the </w:t>
      </w:r>
      <w:r w:rsidR="002C5ABD" w:rsidRPr="00D40A21">
        <w:t xml:space="preserve">University of Western Sydney </w:t>
      </w:r>
      <w:r w:rsidR="00463639" w:rsidRPr="00D40A21">
        <w:t>appears to follow this tack</w:t>
      </w:r>
      <w:r w:rsidR="0070744F" w:rsidRPr="00D40A21">
        <w:t>.</w:t>
      </w:r>
      <w:r w:rsidR="003164DC" w:rsidRPr="00D40A21">
        <w:t xml:space="preserve"> </w:t>
      </w:r>
      <w:r w:rsidRPr="00D40A21">
        <w:t xml:space="preserve"> </w:t>
      </w:r>
    </w:p>
    <w:p w:rsidR="003A6DAF" w:rsidRDefault="0070744F" w:rsidP="00D40A21">
      <w:pPr>
        <w:pStyle w:val="Text"/>
      </w:pPr>
      <w:r w:rsidRPr="00D40A21">
        <w:t>The support systems provided by VET and higher education providers a</w:t>
      </w:r>
      <w:r>
        <w:t xml:space="preserve">re important, </w:t>
      </w:r>
      <w:r w:rsidR="00D60C09">
        <w:t xml:space="preserve">but the success of transitioning is not wholly dependent on the system. The individual </w:t>
      </w:r>
      <w:r w:rsidR="00D42A9C">
        <w:t xml:space="preserve">student </w:t>
      </w:r>
      <w:r w:rsidR="00D60C09">
        <w:t>needs to take some ownership and agency over forging a pathway. This is illustrated in the study conducted by Walls and Pardy (2010)</w:t>
      </w:r>
      <w:r w:rsidR="003478DC">
        <w:t>,</w:t>
      </w:r>
      <w:r w:rsidR="00D60C09">
        <w:t xml:space="preserve"> who sought the perspectives of students who had transitioned from VET to higher education, with a focus on the process of credit transfer. The research showed that</w:t>
      </w:r>
      <w:r w:rsidR="003478DC">
        <w:t>,</w:t>
      </w:r>
      <w:r w:rsidR="00D60C09">
        <w:t xml:space="preserve"> despite systemic and cultural impediments to credit transfer, students who were perceptive and well informed were able to forge a pathway between the sectors. The authors point out the importance of individual qualities such as motivation, commitment, understanding and respect.</w:t>
      </w:r>
      <w:r w:rsidR="00D42A9C">
        <w:t xml:space="preserve"> </w:t>
      </w:r>
      <w:r w:rsidR="003327BB">
        <w:t xml:space="preserve">These personal </w:t>
      </w:r>
      <w:r w:rsidR="00BB6CF1">
        <w:t>qualities are difficult to foster</w:t>
      </w:r>
      <w:r w:rsidR="00953B49">
        <w:t>,</w:t>
      </w:r>
      <w:r w:rsidR="00BB6CF1">
        <w:t xml:space="preserve"> </w:t>
      </w:r>
      <w:r w:rsidR="000A694E">
        <w:t>but support systems that encourage</w:t>
      </w:r>
      <w:r w:rsidR="004C0983">
        <w:t>, lift aspirations</w:t>
      </w:r>
      <w:r w:rsidR="000A694E">
        <w:t xml:space="preserve"> and provide information can be of benefit. </w:t>
      </w:r>
      <w:proofErr w:type="gramStart"/>
      <w:r w:rsidR="001A6770">
        <w:t>Aird</w:t>
      </w:r>
      <w:r w:rsidR="00D42A9C">
        <w:t xml:space="preserve"> et al</w:t>
      </w:r>
      <w:r w:rsidR="003478DC">
        <w:t>.</w:t>
      </w:r>
      <w:r w:rsidR="00D42A9C">
        <w:t xml:space="preserve"> (</w:t>
      </w:r>
      <w:r w:rsidR="001A6770">
        <w:t>2010</w:t>
      </w:r>
      <w:r w:rsidR="003478DC">
        <w:t>) note</w:t>
      </w:r>
      <w:r w:rsidR="00D42A9C">
        <w:t xml:space="preserve"> that </w:t>
      </w:r>
      <w:r w:rsidR="003478DC">
        <w:t xml:space="preserve">an </w:t>
      </w:r>
      <w:r w:rsidR="001A6770">
        <w:t>aspiration to e</w:t>
      </w:r>
      <w:r w:rsidR="004C7231">
        <w:t>nrol in VET or higher education</w:t>
      </w:r>
      <w:r w:rsidR="001A6770">
        <w:t xml:space="preserve"> or </w:t>
      </w:r>
      <w:r w:rsidR="004C7231">
        <w:t>to make that transition</w:t>
      </w:r>
      <w:r w:rsidR="001A6770">
        <w:t xml:space="preserve"> is not enough.</w:t>
      </w:r>
      <w:proofErr w:type="gramEnd"/>
      <w:r w:rsidR="001A6770">
        <w:t xml:space="preserve"> The realities of previous educational achievement and </w:t>
      </w:r>
      <w:r w:rsidR="004C7231">
        <w:t xml:space="preserve">the </w:t>
      </w:r>
      <w:r w:rsidR="001A6770">
        <w:t>requirements for study can act as barrier</w:t>
      </w:r>
      <w:r w:rsidR="004C7231">
        <w:t>s</w:t>
      </w:r>
      <w:r w:rsidR="001A6770">
        <w:t>, especially for disadvantaged learners. Part of any transition support program needs to increase students</w:t>
      </w:r>
      <w:r w:rsidR="00C15F58">
        <w:t>’</w:t>
      </w:r>
      <w:r w:rsidR="001A6770">
        <w:t xml:space="preserve"> knowledge </w:t>
      </w:r>
      <w:r w:rsidR="004C7231">
        <w:t xml:space="preserve">of the </w:t>
      </w:r>
      <w:r w:rsidR="001A6770">
        <w:t xml:space="preserve">potential pathways and how they can work to achieve their goals. </w:t>
      </w:r>
    </w:p>
    <w:p w:rsidR="00AF5030" w:rsidRDefault="00AF5030">
      <w:pPr>
        <w:spacing w:before="0" w:line="240" w:lineRule="auto"/>
        <w:rPr>
          <w:rFonts w:ascii="Tahoma" w:hAnsi="Tahoma" w:cs="Tahoma"/>
          <w:color w:val="000000"/>
          <w:kern w:val="28"/>
          <w:sz w:val="56"/>
          <w:szCs w:val="56"/>
        </w:rPr>
      </w:pPr>
      <w:r>
        <w:br w:type="page"/>
      </w:r>
    </w:p>
    <w:p w:rsidR="001A6340" w:rsidRDefault="00575446" w:rsidP="00AF5030">
      <w:pPr>
        <w:pStyle w:val="Heading1"/>
      </w:pPr>
      <w:bookmarkStart w:id="37" w:name="_Toc381110823"/>
      <w:r>
        <w:lastRenderedPageBreak/>
        <w:t>Discussion</w:t>
      </w:r>
      <w:bookmarkEnd w:id="37"/>
    </w:p>
    <w:tbl>
      <w:tblPr>
        <w:tblStyle w:val="TableGrid"/>
        <w:tblW w:w="8789" w:type="dxa"/>
        <w:tblInd w:w="22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227" w:type="dxa"/>
          <w:right w:w="227" w:type="dxa"/>
        </w:tblCellMar>
        <w:tblLook w:val="04A0" w:firstRow="1" w:lastRow="0" w:firstColumn="1" w:lastColumn="0" w:noHBand="0" w:noVBand="1"/>
      </w:tblPr>
      <w:tblGrid>
        <w:gridCol w:w="8789"/>
      </w:tblGrid>
      <w:tr w:rsidR="00421D39" w:rsidRPr="00C15F58" w:rsidTr="00C15F58">
        <w:tc>
          <w:tcPr>
            <w:tcW w:w="8789" w:type="dxa"/>
            <w:shd w:val="clear" w:color="auto" w:fill="000000" w:themeFill="text1"/>
          </w:tcPr>
          <w:p w:rsidR="00421D39" w:rsidRPr="00421D39" w:rsidRDefault="00421D39" w:rsidP="001C1482">
            <w:pPr>
              <w:pStyle w:val="Heading3"/>
              <w:spacing w:before="120" w:after="120"/>
              <w:rPr>
                <w:color w:val="FFFFFF" w:themeColor="background1"/>
              </w:rPr>
            </w:pPr>
            <w:r w:rsidRPr="00421D39">
              <w:rPr>
                <w:color w:val="FFFFFF" w:themeColor="background1"/>
              </w:rPr>
              <w:t>Key points</w:t>
            </w:r>
          </w:p>
        </w:tc>
      </w:tr>
      <w:tr w:rsidR="00421D39" w:rsidRPr="00C15F58" w:rsidTr="00C15F58">
        <w:trPr>
          <w:trHeight w:val="2560"/>
        </w:trPr>
        <w:tc>
          <w:tcPr>
            <w:tcW w:w="8789" w:type="dxa"/>
          </w:tcPr>
          <w:p w:rsidR="00421D39" w:rsidRPr="00C15F58" w:rsidRDefault="00421D39" w:rsidP="001C1482">
            <w:pPr>
              <w:pStyle w:val="Dotpoint1"/>
            </w:pPr>
            <w:r w:rsidRPr="00C15F58">
              <w:t>The use of pathways from VET to higher education is limited due to disadvantaged learners mostly undertaking lower-level VET qualifications. Supports that enable students to move from lower- to higher-level VET qualifications could lead to better employment and further study outcomes, but it needs to be acknowledged that this would require a long-term commitment for some learners.</w:t>
            </w:r>
          </w:p>
          <w:p w:rsidR="00421D39" w:rsidRPr="00C15F58" w:rsidRDefault="00421D39" w:rsidP="00C15F58">
            <w:pPr>
              <w:pStyle w:val="Dotpoint1"/>
              <w:spacing w:after="120"/>
            </w:pPr>
            <w:r w:rsidRPr="00C15F58">
              <w:t>The student perspective on transitioning through the tertiary education sector is largely missing from the literature, particularly in relation to disadvantaged students. This should be considered in the future planning of, and research about, transitions in the tertiary sector.</w:t>
            </w:r>
          </w:p>
        </w:tc>
      </w:tr>
    </w:tbl>
    <w:p w:rsidR="00D244C9" w:rsidRDefault="00B71165" w:rsidP="00C15F58">
      <w:pPr>
        <w:pStyle w:val="Textmorebefore"/>
      </w:pPr>
      <w:r>
        <w:t xml:space="preserve">This paper shows that disadvantaged learners tend to be overrepresented in </w:t>
      </w:r>
      <w:r w:rsidR="00AA58CC">
        <w:t>lower-level</w:t>
      </w:r>
      <w:r>
        <w:t xml:space="preserve"> VET qualifications and underrepresented in </w:t>
      </w:r>
      <w:r w:rsidR="00FC0E96">
        <w:t>higher-level</w:t>
      </w:r>
      <w:r>
        <w:t xml:space="preserve"> VET and higher education. </w:t>
      </w:r>
      <w:bookmarkStart w:id="38" w:name="OLE_LINK1"/>
      <w:bookmarkStart w:id="39" w:name="OLE_LINK2"/>
      <w:r>
        <w:t xml:space="preserve">Transition from VET to higher education is a viable pathway for </w:t>
      </w:r>
      <w:r w:rsidR="00D244C9">
        <w:t xml:space="preserve">some </w:t>
      </w:r>
      <w:r>
        <w:t>disadvantaged learners, but</w:t>
      </w:r>
      <w:r w:rsidR="00953B49">
        <w:t xml:space="preserve"> this pathway</w:t>
      </w:r>
      <w:r>
        <w:t xml:space="preserve"> </w:t>
      </w:r>
      <w:r w:rsidR="00903788">
        <w:t xml:space="preserve">is </w:t>
      </w:r>
      <w:r>
        <w:t xml:space="preserve">not used as widely as </w:t>
      </w:r>
      <w:r w:rsidR="00463639">
        <w:t>it</w:t>
      </w:r>
      <w:r>
        <w:t xml:space="preserve"> could be.</w:t>
      </w:r>
      <w:r w:rsidR="00D244C9">
        <w:t xml:space="preserve"> This is due to a combination of factors, including:</w:t>
      </w:r>
    </w:p>
    <w:p w:rsidR="00D244C9" w:rsidRDefault="00D244C9" w:rsidP="00D244C9">
      <w:pPr>
        <w:pStyle w:val="Dotpoint1"/>
      </w:pPr>
      <w:r>
        <w:t xml:space="preserve">Transition from VET to higher education is more likely to occur from </w:t>
      </w:r>
      <w:r w:rsidR="00FC0E96">
        <w:t>higher-level</w:t>
      </w:r>
      <w:r>
        <w:t xml:space="preserve"> VET qualifications. However, disadvantaged learners re-engaging with the education sector are more likely to enrol in </w:t>
      </w:r>
      <w:r w:rsidR="00AA58CC">
        <w:t>lower-level</w:t>
      </w:r>
      <w:r>
        <w:t xml:space="preserve"> qualifications.</w:t>
      </w:r>
    </w:p>
    <w:p w:rsidR="00D244C9" w:rsidRDefault="00D244C9" w:rsidP="00D244C9">
      <w:pPr>
        <w:pStyle w:val="Dotpoint1"/>
      </w:pPr>
      <w:r>
        <w:t>Transition from VET to higher education can be complicated, even for students who are not considered disadvantaged.</w:t>
      </w:r>
      <w:r w:rsidR="00A710E6">
        <w:t xml:space="preserve"> This is despite the array of formal arrangements, such as credit transfer, </w:t>
      </w:r>
      <w:r w:rsidR="008942CC">
        <w:t xml:space="preserve">and supports </w:t>
      </w:r>
      <w:r w:rsidR="003478DC">
        <w:t xml:space="preserve">that are </w:t>
      </w:r>
      <w:r w:rsidR="00A710E6">
        <w:t>in place.</w:t>
      </w:r>
    </w:p>
    <w:bookmarkEnd w:id="38"/>
    <w:bookmarkEnd w:id="39"/>
    <w:p w:rsidR="00B71165" w:rsidRDefault="00970A0E" w:rsidP="00B71165">
      <w:pPr>
        <w:pStyle w:val="Text"/>
      </w:pPr>
      <w:r>
        <w:t xml:space="preserve">The available evidence points to the limited use that disadvantaged learners are making of the available pathways to </w:t>
      </w:r>
      <w:r w:rsidR="00FC0E96">
        <w:t>higher-level</w:t>
      </w:r>
      <w:r>
        <w:t xml:space="preserve"> qualifications. As </w:t>
      </w:r>
      <w:r w:rsidR="00B71165">
        <w:t>Wheelahan (2009)</w:t>
      </w:r>
      <w:r>
        <w:t xml:space="preserve"> concludes,</w:t>
      </w:r>
      <w:r w:rsidR="00B71165">
        <w:t xml:space="preserve"> </w:t>
      </w:r>
      <w:r w:rsidR="00A710E6">
        <w:t>VET pathways</w:t>
      </w:r>
      <w:r w:rsidR="00B71165">
        <w:t xml:space="preserve"> </w:t>
      </w:r>
      <w:r w:rsidR="00C15F58">
        <w:t>‘</w:t>
      </w:r>
      <w:r w:rsidR="00B71165">
        <w:t>play a modest role in increasing the efficiency of tertiary education in Australia, but they have a long way to go before they contribute to meeting equity and social justice objectives</w:t>
      </w:r>
      <w:r w:rsidR="00C15F58">
        <w:t>’</w:t>
      </w:r>
      <w:r w:rsidR="00B71165">
        <w:t>.</w:t>
      </w:r>
    </w:p>
    <w:p w:rsidR="00984013" w:rsidRDefault="001726B4" w:rsidP="00B71165">
      <w:pPr>
        <w:pStyle w:val="Text"/>
      </w:pPr>
      <w:r>
        <w:t>How can these pathways work more effectively? Some of the example</w:t>
      </w:r>
      <w:r w:rsidR="00875FA7">
        <w:t>s</w:t>
      </w:r>
      <w:r>
        <w:t xml:space="preserve"> of support programs described in the literature demonstrate </w:t>
      </w:r>
      <w:r w:rsidR="00875FA7">
        <w:t xml:space="preserve">ways </w:t>
      </w:r>
      <w:r w:rsidR="003478DC">
        <w:t>by which</w:t>
      </w:r>
      <w:r w:rsidR="00875FA7">
        <w:t xml:space="preserve"> students can be helped to make the transition from VET to higher education. </w:t>
      </w:r>
      <w:r w:rsidR="003478DC">
        <w:t xml:space="preserve">The </w:t>
      </w:r>
      <w:r w:rsidR="00AA5182">
        <w:t>National VET Equity Advisory Council</w:t>
      </w:r>
      <w:r w:rsidR="00993B68">
        <w:t xml:space="preserve"> (2011) argue</w:t>
      </w:r>
      <w:r w:rsidR="0031288B">
        <w:t>s</w:t>
      </w:r>
      <w:r w:rsidR="00993B68">
        <w:t xml:space="preserve"> that the </w:t>
      </w:r>
      <w:r w:rsidR="000601E5">
        <w:t>education</w:t>
      </w:r>
      <w:r w:rsidR="00993B68">
        <w:t xml:space="preserve"> sector should look </w:t>
      </w:r>
      <w:r w:rsidR="00AA5182">
        <w:t>at the wrap-</w:t>
      </w:r>
      <w:r w:rsidR="000601E5">
        <w:t xml:space="preserve">around holistic supports employed in other sectors to support disadvantaged learners. </w:t>
      </w:r>
      <w:r w:rsidR="00875FA7">
        <w:t xml:space="preserve">The perpetual issue is how to scale up these smaller </w:t>
      </w:r>
      <w:r w:rsidR="000601E5">
        <w:t xml:space="preserve">resource-intensive </w:t>
      </w:r>
      <w:r w:rsidR="00875FA7">
        <w:t xml:space="preserve">programs more broadly in the system. There is </w:t>
      </w:r>
      <w:r w:rsidR="008942CC">
        <w:t>a</w:t>
      </w:r>
      <w:r w:rsidR="00875FA7">
        <w:t xml:space="preserve"> constant tension between providing tailored individual support, shown to result in the best outcomes</w:t>
      </w:r>
      <w:r w:rsidR="00572C37">
        <w:t xml:space="preserve"> for disadvantaged students</w:t>
      </w:r>
      <w:r w:rsidR="00AA5182">
        <w:t>, and broader system-</w:t>
      </w:r>
      <w:r w:rsidR="00D96DC1">
        <w:t>wide support measures, which</w:t>
      </w:r>
      <w:r w:rsidR="00875FA7">
        <w:t xml:space="preserve"> are more economical and </w:t>
      </w:r>
      <w:r w:rsidR="00572C37">
        <w:t xml:space="preserve">can be </w:t>
      </w:r>
      <w:r w:rsidR="00AB1BA5">
        <w:t>made available to a broader cross-section of students</w:t>
      </w:r>
      <w:r w:rsidR="00875FA7">
        <w:t>.</w:t>
      </w:r>
      <w:r w:rsidR="00AB1BA5">
        <w:t xml:space="preserve"> </w:t>
      </w:r>
      <w:r w:rsidR="00AA5182">
        <w:t>This tension is mostly resource-</w:t>
      </w:r>
      <w:r w:rsidR="00AB1BA5">
        <w:t>driven. As Coates and Ransom (2011) suggest, an obvious way to improve student support is t</w:t>
      </w:r>
      <w:r w:rsidR="00993B68">
        <w:t xml:space="preserve">o increase </w:t>
      </w:r>
      <w:r w:rsidR="00D96DC1">
        <w:t xml:space="preserve">the </w:t>
      </w:r>
      <w:r w:rsidR="00993B68">
        <w:t>resourc</w:t>
      </w:r>
      <w:r w:rsidR="00D96DC1">
        <w:t>es in</w:t>
      </w:r>
      <w:r w:rsidR="00993B68">
        <w:t xml:space="preserve"> this area.</w:t>
      </w:r>
    </w:p>
    <w:p w:rsidR="001726B4" w:rsidRDefault="002F2806" w:rsidP="00B71165">
      <w:pPr>
        <w:pStyle w:val="Text"/>
      </w:pPr>
      <w:r>
        <w:t xml:space="preserve">There appears to be a </w:t>
      </w:r>
      <w:r w:rsidR="00953B49">
        <w:t>more pronounced</w:t>
      </w:r>
      <w:r>
        <w:t xml:space="preserve"> focus on helping students</w:t>
      </w:r>
      <w:r w:rsidR="00953B49">
        <w:t xml:space="preserve"> to</w:t>
      </w:r>
      <w:r>
        <w:t xml:space="preserve"> transition from VET to</w:t>
      </w:r>
      <w:r w:rsidR="00AA5182">
        <w:t xml:space="preserve"> higher education than from lower-</w:t>
      </w:r>
      <w:r>
        <w:t>level to high</w:t>
      </w:r>
      <w:r w:rsidR="00AA5182">
        <w:t>er-</w:t>
      </w:r>
      <w:r>
        <w:t xml:space="preserve">level VET qualifications. The limiting factor in this, however, is that disadvantaged learners are concentrated in </w:t>
      </w:r>
      <w:r w:rsidR="00AA58CC">
        <w:t>lower-level</w:t>
      </w:r>
      <w:r>
        <w:t xml:space="preserve"> qualifications. Given this, an argument </w:t>
      </w:r>
      <w:r w:rsidR="00D96DC1">
        <w:t xml:space="preserve">could be </w:t>
      </w:r>
      <w:r>
        <w:t>made for putting supports into place that encou</w:t>
      </w:r>
      <w:r w:rsidR="00AA5182">
        <w:t>rage and enable students in lower-</w:t>
      </w:r>
      <w:r>
        <w:t xml:space="preserve">level VET qualifications to work their way up to </w:t>
      </w:r>
      <w:r w:rsidR="00FC0E96">
        <w:t>higher-level</w:t>
      </w:r>
      <w:r>
        <w:t xml:space="preserve"> VET.</w:t>
      </w:r>
      <w:r w:rsidR="008942CC">
        <w:t xml:space="preserve"> These </w:t>
      </w:r>
      <w:r w:rsidR="00FC0E96">
        <w:t>higher-level</w:t>
      </w:r>
      <w:r w:rsidR="008942CC">
        <w:t xml:space="preserve"> VET </w:t>
      </w:r>
      <w:r w:rsidR="008942CC">
        <w:lastRenderedPageBreak/>
        <w:t>qualifications are more likely to lead to employment outcomes or transition to higher education.</w:t>
      </w:r>
      <w:r>
        <w:t xml:space="preserve"> </w:t>
      </w:r>
      <w:r w:rsidR="00313ECC">
        <w:t>But it needs to be acknowledged that this is a long road for many.</w:t>
      </w:r>
    </w:p>
    <w:p w:rsidR="00B71165" w:rsidRPr="00B71165" w:rsidRDefault="00DD1D84" w:rsidP="001A6340">
      <w:pPr>
        <w:pStyle w:val="Text"/>
      </w:pPr>
      <w:r>
        <w:t xml:space="preserve">Largely missing from the literature is the student voice. </w:t>
      </w:r>
      <w:r w:rsidR="004476CE">
        <w:t>One of the main aims of this paper was to investigate transitions from the students</w:t>
      </w:r>
      <w:r w:rsidR="00C15F58">
        <w:t>’</w:t>
      </w:r>
      <w:r w:rsidR="004476CE">
        <w:t xml:space="preserve"> perspectives, but the evidence around this was scarce. </w:t>
      </w:r>
      <w:r w:rsidR="000601E5">
        <w:t>T</w:t>
      </w:r>
      <w:r w:rsidR="00D76D16">
        <w:t xml:space="preserve">he National VET </w:t>
      </w:r>
      <w:r w:rsidR="004476CE">
        <w:t xml:space="preserve">Equity Advisory Council </w:t>
      </w:r>
      <w:r w:rsidR="000601E5">
        <w:t>emphasis</w:t>
      </w:r>
      <w:r w:rsidR="00953B49">
        <w:t>es the importance</w:t>
      </w:r>
      <w:r w:rsidR="000601E5">
        <w:t xml:space="preserve"> o</w:t>
      </w:r>
      <w:r w:rsidR="00953B49">
        <w:t>f</w:t>
      </w:r>
      <w:r w:rsidR="000601E5">
        <w:t xml:space="preserve"> listening to the voic</w:t>
      </w:r>
      <w:r w:rsidR="004476CE">
        <w:t xml:space="preserve">e of the learner in further designing the VET system, </w:t>
      </w:r>
      <w:r w:rsidR="000601E5">
        <w:t xml:space="preserve">designating it as </w:t>
      </w:r>
      <w:r w:rsidR="00953B49">
        <w:t>a</w:t>
      </w:r>
      <w:r w:rsidR="000601E5">
        <w:t xml:space="preserve"> reform area in </w:t>
      </w:r>
      <w:r w:rsidR="00AA5182">
        <w:t>their equity blueprint for 2011—</w:t>
      </w:r>
      <w:r w:rsidR="000601E5">
        <w:t>16</w:t>
      </w:r>
      <w:r w:rsidR="004476CE">
        <w:t xml:space="preserve"> (NVEAC 2011)</w:t>
      </w:r>
      <w:r w:rsidR="000601E5">
        <w:t>.</w:t>
      </w:r>
      <w:r w:rsidR="004476CE">
        <w:t xml:space="preserve"> But as Griffin and Beddie </w:t>
      </w:r>
      <w:r w:rsidR="0057077D">
        <w:t xml:space="preserve">(2011) </w:t>
      </w:r>
      <w:r w:rsidR="004476CE">
        <w:t xml:space="preserve">note in their paper about researching VET and disability, accessing disadvantaged learners </w:t>
      </w:r>
      <w:r w:rsidR="00BC581D">
        <w:t xml:space="preserve">is challenging. This should be a priority in </w:t>
      </w:r>
      <w:r w:rsidR="00953B49">
        <w:t xml:space="preserve">the </w:t>
      </w:r>
      <w:r w:rsidR="00BC581D">
        <w:t>future planning of, and research about, transitions within the tertiary education sector.</w:t>
      </w:r>
      <w:r w:rsidR="000601E5">
        <w:t xml:space="preserve"> </w:t>
      </w:r>
    </w:p>
    <w:p w:rsidR="00A05C36" w:rsidRDefault="00A05C36" w:rsidP="009F711F">
      <w:pPr>
        <w:pStyle w:val="Text"/>
      </w:pPr>
    </w:p>
    <w:p w:rsidR="00F911A8" w:rsidRDefault="00F911A8" w:rsidP="009F711F">
      <w:pPr>
        <w:pStyle w:val="Text"/>
        <w:rPr>
          <w:color w:val="000000"/>
          <w:kern w:val="28"/>
          <w:sz w:val="56"/>
          <w:szCs w:val="56"/>
        </w:rPr>
      </w:pPr>
      <w:r>
        <w:br w:type="page"/>
      </w:r>
    </w:p>
    <w:p w:rsidR="00E811C3" w:rsidRDefault="00E811C3" w:rsidP="00E811C3">
      <w:pPr>
        <w:pStyle w:val="Heading1"/>
      </w:pPr>
      <w:bookmarkStart w:id="40" w:name="_Toc381110824"/>
      <w:r>
        <w:lastRenderedPageBreak/>
        <w:t>References</w:t>
      </w:r>
      <w:bookmarkEnd w:id="32"/>
      <w:bookmarkEnd w:id="33"/>
      <w:bookmarkEnd w:id="34"/>
      <w:bookmarkEnd w:id="40"/>
    </w:p>
    <w:p w:rsidR="00106B33" w:rsidRPr="00A27931" w:rsidRDefault="00106B33" w:rsidP="00A27931">
      <w:pPr>
        <w:pStyle w:val="References"/>
      </w:pPr>
      <w:r w:rsidRPr="00A27931">
        <w:t>Aird, R</w:t>
      </w:r>
      <w:r w:rsidR="00FF4A58" w:rsidRPr="00A27931">
        <w:t>, Miller, E, van Megen, K &amp; Buys, L</w:t>
      </w:r>
      <w:r w:rsidRPr="00A27931">
        <w:t xml:space="preserve"> 2010, </w:t>
      </w:r>
      <w:r w:rsidRPr="00AA5182">
        <w:rPr>
          <w:i/>
        </w:rPr>
        <w:t>Issues for students navigating alternative pathways to higher education: barriers, access and equity: a literature review</w:t>
      </w:r>
      <w:r w:rsidRPr="00A27931">
        <w:t>, Queensland University of Techn</w:t>
      </w:r>
      <w:r w:rsidR="009E236F" w:rsidRPr="00A27931">
        <w:t xml:space="preserve">ology and Griffith University, </w:t>
      </w:r>
      <w:r w:rsidR="00AA5182">
        <w:t>Brisbane</w:t>
      </w:r>
      <w:r w:rsidR="009E236F" w:rsidRPr="00A27931">
        <w:t>.</w:t>
      </w:r>
    </w:p>
    <w:p w:rsidR="00AA5182" w:rsidRPr="00A27931" w:rsidRDefault="00AA5182" w:rsidP="00AA5182">
      <w:pPr>
        <w:pStyle w:val="References"/>
      </w:pPr>
      <w:r w:rsidRPr="00A27931">
        <w:t xml:space="preserve">Bandias, S, Fuller, D &amp; Larkin, S 2013, </w:t>
      </w:r>
      <w:r w:rsidRPr="00AA5182">
        <w:rPr>
          <w:i/>
        </w:rPr>
        <w:t>Vocational education, Indigenous students and the choice of pathways</w:t>
      </w:r>
      <w:r w:rsidRPr="00A27931">
        <w:t>, NCVER, Adelaide</w:t>
      </w:r>
      <w:r w:rsidR="002E17EE">
        <w:t>.</w:t>
      </w:r>
    </w:p>
    <w:p w:rsidR="00DF3157" w:rsidRPr="00A27931" w:rsidRDefault="00DF3157" w:rsidP="00A27931">
      <w:pPr>
        <w:pStyle w:val="References"/>
      </w:pPr>
      <w:r w:rsidRPr="00A27931">
        <w:t xml:space="preserve">Bandias, S, Fuller, D &amp; Pfitzner, D 2011, </w:t>
      </w:r>
      <w:r w:rsidR="00C15F58">
        <w:t>‘</w:t>
      </w:r>
      <w:r w:rsidRPr="00A27931">
        <w:t>Vocational and higher education in Australia: a need for closer collaboration</w:t>
      </w:r>
      <w:r w:rsidR="00C15F58">
        <w:t>’</w:t>
      </w:r>
      <w:r w:rsidRPr="00A27931">
        <w:t xml:space="preserve">, </w:t>
      </w:r>
      <w:r w:rsidRPr="00AA5182">
        <w:rPr>
          <w:i/>
        </w:rPr>
        <w:t>Journal of Higher Education Policy and Management</w:t>
      </w:r>
      <w:r w:rsidR="00AA5182">
        <w:t>, vol.</w:t>
      </w:r>
      <w:r w:rsidRPr="00A27931">
        <w:t>33</w:t>
      </w:r>
      <w:r w:rsidR="00D4463F" w:rsidRPr="00A27931">
        <w:t>, no.6</w:t>
      </w:r>
      <w:r w:rsidRPr="00A27931">
        <w:t xml:space="preserve">, </w:t>
      </w:r>
      <w:r w:rsidR="00D4463F" w:rsidRPr="00A27931">
        <w:t>pp.</w:t>
      </w:r>
      <w:r w:rsidR="00AA5182">
        <w:t>583—</w:t>
      </w:r>
      <w:r w:rsidRPr="00A27931">
        <w:t>94.</w:t>
      </w:r>
    </w:p>
    <w:p w:rsidR="00DF3157" w:rsidRPr="00A27931" w:rsidRDefault="00A27931" w:rsidP="00A27931">
      <w:pPr>
        <w:pStyle w:val="References"/>
      </w:pPr>
      <w:r w:rsidRPr="00A27931">
        <w:t xml:space="preserve">Blacker, </w:t>
      </w:r>
      <w:r w:rsidR="004C7231" w:rsidRPr="00A27931">
        <w:t>J,</w:t>
      </w:r>
      <w:r w:rsidRPr="00A27931">
        <w:t xml:space="preserve"> Paez, D, Jackson, A, Brynes, J &amp; Dwyer, C 2011, </w:t>
      </w:r>
      <w:r w:rsidRPr="007D4223">
        <w:rPr>
          <w:i/>
        </w:rPr>
        <w:t>Student transition: the critical el</w:t>
      </w:r>
      <w:r w:rsidR="00AA5182" w:rsidRPr="007D4223">
        <w:rPr>
          <w:i/>
        </w:rPr>
        <w:t>ement in VET to HE articulation:</w:t>
      </w:r>
      <w:r w:rsidR="002E17EE">
        <w:rPr>
          <w:i/>
        </w:rPr>
        <w:t xml:space="preserve"> I</w:t>
      </w:r>
      <w:r w:rsidRPr="007D4223">
        <w:rPr>
          <w:i/>
        </w:rPr>
        <w:t>ntegrated Articulation and Credit Transfer (IACT) project, 3D focus on articulat</w:t>
      </w:r>
      <w:r w:rsidR="00AA5182" w:rsidRPr="007D4223">
        <w:rPr>
          <w:i/>
        </w:rPr>
        <w:t>ion pathways</w:t>
      </w:r>
      <w:r w:rsidR="00AA5182">
        <w:t>, D</w:t>
      </w:r>
      <w:r w:rsidR="00953B49">
        <w:t xml:space="preserve">epartment of </w:t>
      </w:r>
      <w:r w:rsidR="00AA5182">
        <w:t>E</w:t>
      </w:r>
      <w:r w:rsidR="00953B49">
        <w:t xml:space="preserve">ducation, </w:t>
      </w:r>
      <w:r w:rsidR="00AA5182">
        <w:t>E</w:t>
      </w:r>
      <w:r w:rsidR="00953B49">
        <w:t xml:space="preserve">mployment and </w:t>
      </w:r>
      <w:r w:rsidR="00AA5182">
        <w:t>W</w:t>
      </w:r>
      <w:r w:rsidR="00953B49">
        <w:t xml:space="preserve">orkplace </w:t>
      </w:r>
      <w:r w:rsidR="00AA5182">
        <w:t>R</w:t>
      </w:r>
      <w:r w:rsidR="00953B49">
        <w:t>elations</w:t>
      </w:r>
      <w:r w:rsidR="00AA5182">
        <w:t>,</w:t>
      </w:r>
      <w:r w:rsidRPr="00A27931">
        <w:t xml:space="preserve"> viewed 21 </w:t>
      </w:r>
      <w:r w:rsidR="004C7231" w:rsidRPr="00A27931">
        <w:t>Jul</w:t>
      </w:r>
      <w:r w:rsidR="004C7231">
        <w:t>y</w:t>
      </w:r>
      <w:r w:rsidRPr="00A27931">
        <w:t xml:space="preserve"> 2013, &lt;http://3darticulation.com.au/enabling-resources/student-transition-factors/&gt;</w:t>
      </w:r>
      <w:r w:rsidR="00AA5182">
        <w:t xml:space="preserve">. </w:t>
      </w:r>
    </w:p>
    <w:p w:rsidR="0097299C" w:rsidRPr="00A27931" w:rsidRDefault="0097299C" w:rsidP="00A27931">
      <w:pPr>
        <w:pStyle w:val="References"/>
      </w:pPr>
      <w:r w:rsidRPr="00A27931">
        <w:t>Bradley, D</w:t>
      </w:r>
      <w:r w:rsidR="007D4223">
        <w:t>, Noonan, P, Nugent, H &amp; Scales, B</w:t>
      </w:r>
      <w:r w:rsidRPr="00A27931">
        <w:t xml:space="preserve"> 2008, </w:t>
      </w:r>
      <w:r w:rsidRPr="007D4223">
        <w:rPr>
          <w:i/>
        </w:rPr>
        <w:t xml:space="preserve">Review of Australian </w:t>
      </w:r>
      <w:r w:rsidR="007D4223" w:rsidRPr="007D4223">
        <w:rPr>
          <w:i/>
        </w:rPr>
        <w:t>higher education: final report</w:t>
      </w:r>
      <w:r w:rsidR="007D4223">
        <w:t xml:space="preserve"> (Bradley </w:t>
      </w:r>
      <w:r w:rsidR="00953B49">
        <w:t>Review</w:t>
      </w:r>
      <w:r w:rsidR="007D4223">
        <w:t>)</w:t>
      </w:r>
      <w:r w:rsidR="009E236F" w:rsidRPr="00A27931">
        <w:t xml:space="preserve">, </w:t>
      </w:r>
      <w:r w:rsidR="007D4223" w:rsidRPr="00A27931">
        <w:t>Department of Education, Employment and Workplace Relations</w:t>
      </w:r>
      <w:r w:rsidR="009E236F" w:rsidRPr="00A27931">
        <w:t>, Canberra</w:t>
      </w:r>
      <w:r w:rsidRPr="00A27931">
        <w:t>.</w:t>
      </w:r>
    </w:p>
    <w:p w:rsidR="00A27931" w:rsidRPr="00A27931" w:rsidRDefault="00A27931" w:rsidP="00A27931">
      <w:pPr>
        <w:pStyle w:val="References"/>
      </w:pPr>
      <w:r w:rsidRPr="00A27931">
        <w:t>Brown, J &amp; North, S 2010</w:t>
      </w:r>
      <w:r w:rsidR="002E17EE">
        <w:t>,</w:t>
      </w:r>
      <w:r w:rsidRPr="00A27931">
        <w:t xml:space="preserve"> </w:t>
      </w:r>
      <w:r w:rsidRPr="007D4223">
        <w:rPr>
          <w:i/>
        </w:rPr>
        <w:t>Providing support to disadvantaged learners in the Australian VET system: a report to the National VET Equity Advisory Council (NVEAC),</w:t>
      </w:r>
      <w:r w:rsidRPr="00A27931">
        <w:t xml:space="preserve"> NVEAC, Melbourne.</w:t>
      </w:r>
    </w:p>
    <w:p w:rsidR="0097299C" w:rsidRPr="00A27931" w:rsidRDefault="00F42906" w:rsidP="00A27931">
      <w:pPr>
        <w:pStyle w:val="References"/>
      </w:pPr>
      <w:proofErr w:type="spellStart"/>
      <w:r w:rsidRPr="00A27931">
        <w:t>Catterall</w:t>
      </w:r>
      <w:proofErr w:type="spellEnd"/>
      <w:r w:rsidR="00C15F58">
        <w:t>,</w:t>
      </w:r>
      <w:r w:rsidRPr="00A27931">
        <w:t xml:space="preserve"> J &amp; Davis</w:t>
      </w:r>
      <w:r w:rsidR="00C15F58">
        <w:t>,</w:t>
      </w:r>
      <w:r w:rsidRPr="00A27931">
        <w:t xml:space="preserve"> J 2012</w:t>
      </w:r>
      <w:r w:rsidR="002E17EE">
        <w:t>,</w:t>
      </w:r>
      <w:r w:rsidRPr="00A27931">
        <w:t xml:space="preserve"> </w:t>
      </w:r>
      <w:proofErr w:type="gramStart"/>
      <w:r w:rsidRPr="007D4223">
        <w:rPr>
          <w:i/>
        </w:rPr>
        <w:t>Enhancing</w:t>
      </w:r>
      <w:proofErr w:type="gramEnd"/>
      <w:r w:rsidRPr="007D4223">
        <w:rPr>
          <w:i/>
        </w:rPr>
        <w:t xml:space="preserve"> the student experience: transition from vocational education and training to higher education</w:t>
      </w:r>
      <w:r w:rsidR="00DF3157" w:rsidRPr="007D4223">
        <w:rPr>
          <w:i/>
        </w:rPr>
        <w:t>: final report</w:t>
      </w:r>
      <w:r w:rsidR="00DF3157" w:rsidRPr="00A27931">
        <w:t>, Australian Learning and Teaching Council, Sydney.</w:t>
      </w:r>
    </w:p>
    <w:p w:rsidR="000C62FB" w:rsidRPr="00A27931" w:rsidRDefault="000C62FB" w:rsidP="00A27931">
      <w:pPr>
        <w:pStyle w:val="References"/>
      </w:pPr>
      <w:r w:rsidRPr="00A27931">
        <w:t>C</w:t>
      </w:r>
      <w:r w:rsidR="007D4223">
        <w:t>ouncil of Australian Governments (COAG)</w:t>
      </w:r>
      <w:r w:rsidRPr="00A27931">
        <w:t xml:space="preserve"> Reform Council 2010, </w:t>
      </w:r>
      <w:r w:rsidRPr="007D4223">
        <w:rPr>
          <w:i/>
        </w:rPr>
        <w:t>National Agreement for Ski</w:t>
      </w:r>
      <w:r w:rsidR="007D4223" w:rsidRPr="007D4223">
        <w:rPr>
          <w:i/>
        </w:rPr>
        <w:t>lls and Workforce Development: p</w:t>
      </w:r>
      <w:r w:rsidRPr="007D4223">
        <w:rPr>
          <w:i/>
        </w:rPr>
        <w:t>erformance report for 2009</w:t>
      </w:r>
      <w:r w:rsidRPr="00A27931">
        <w:t>, COAG Reform Council, Sydney.</w:t>
      </w:r>
    </w:p>
    <w:p w:rsidR="0070744F" w:rsidRPr="00A27931" w:rsidRDefault="0070744F" w:rsidP="00A27931">
      <w:pPr>
        <w:pStyle w:val="References"/>
        <w:rPr>
          <w:szCs w:val="24"/>
        </w:rPr>
      </w:pPr>
      <w:proofErr w:type="gramStart"/>
      <w:r w:rsidRPr="00A27931">
        <w:rPr>
          <w:szCs w:val="24"/>
        </w:rPr>
        <w:t xml:space="preserve">Coates, H </w:t>
      </w:r>
      <w:r w:rsidR="00B23B7A" w:rsidRPr="00A27931">
        <w:rPr>
          <w:szCs w:val="24"/>
        </w:rPr>
        <w:t xml:space="preserve">&amp; Ransom, L </w:t>
      </w:r>
      <w:r w:rsidRPr="00A27931">
        <w:rPr>
          <w:szCs w:val="24"/>
        </w:rPr>
        <w:t xml:space="preserve">2011, </w:t>
      </w:r>
      <w:r w:rsidR="00C15F58">
        <w:rPr>
          <w:szCs w:val="24"/>
        </w:rPr>
        <w:t>‘</w:t>
      </w:r>
      <w:r w:rsidRPr="00A27931">
        <w:rPr>
          <w:szCs w:val="24"/>
        </w:rPr>
        <w:t>Dropout DNA, and the genetics of effective support</w:t>
      </w:r>
      <w:r w:rsidR="00C15F58">
        <w:rPr>
          <w:szCs w:val="24"/>
        </w:rPr>
        <w:t>’</w:t>
      </w:r>
      <w:r w:rsidR="007D4223">
        <w:rPr>
          <w:szCs w:val="24"/>
        </w:rPr>
        <w:t xml:space="preserve">, </w:t>
      </w:r>
      <w:r w:rsidR="007D4223" w:rsidRPr="007D4223">
        <w:rPr>
          <w:i/>
          <w:szCs w:val="24"/>
        </w:rPr>
        <w:t>AUSSE Research B</w:t>
      </w:r>
      <w:r w:rsidRPr="007D4223">
        <w:rPr>
          <w:i/>
          <w:szCs w:val="24"/>
        </w:rPr>
        <w:t>riefing</w:t>
      </w:r>
      <w:r w:rsidR="007D4223">
        <w:rPr>
          <w:szCs w:val="24"/>
        </w:rPr>
        <w:t>,</w:t>
      </w:r>
      <w:r w:rsidRPr="00A27931">
        <w:rPr>
          <w:szCs w:val="24"/>
        </w:rPr>
        <w:t xml:space="preserve"> vol.1</w:t>
      </w:r>
      <w:r w:rsidR="009E236F" w:rsidRPr="00A27931">
        <w:rPr>
          <w:szCs w:val="24"/>
        </w:rPr>
        <w:t xml:space="preserve">1, June 2011, </w:t>
      </w:r>
      <w:r w:rsidR="007D4223">
        <w:rPr>
          <w:szCs w:val="24"/>
        </w:rPr>
        <w:t>Aust</w:t>
      </w:r>
      <w:r w:rsidR="002E17EE">
        <w:rPr>
          <w:szCs w:val="24"/>
        </w:rPr>
        <w:t>ralian Council for Educational R</w:t>
      </w:r>
      <w:r w:rsidR="007D4223">
        <w:rPr>
          <w:szCs w:val="24"/>
        </w:rPr>
        <w:t>esearch, Melbourne.</w:t>
      </w:r>
      <w:proofErr w:type="gramEnd"/>
    </w:p>
    <w:p w:rsidR="00A21A75" w:rsidRPr="00A27931" w:rsidRDefault="00A21A75" w:rsidP="00A27931">
      <w:pPr>
        <w:pStyle w:val="References"/>
        <w:rPr>
          <w:szCs w:val="24"/>
        </w:rPr>
      </w:pPr>
      <w:r w:rsidRPr="00A27931">
        <w:rPr>
          <w:szCs w:val="24"/>
        </w:rPr>
        <w:t>Community Services &amp; Hea</w:t>
      </w:r>
      <w:r w:rsidR="007F221C">
        <w:rPr>
          <w:szCs w:val="24"/>
        </w:rPr>
        <w:t>lth Industry Skills Council</w:t>
      </w:r>
      <w:r w:rsidRPr="00A27931">
        <w:rPr>
          <w:szCs w:val="24"/>
        </w:rPr>
        <w:t xml:space="preserve"> 2012</w:t>
      </w:r>
      <w:r w:rsidR="007D4223">
        <w:rPr>
          <w:szCs w:val="24"/>
        </w:rPr>
        <w:t>,</w:t>
      </w:r>
      <w:r w:rsidRPr="00A27931">
        <w:rPr>
          <w:szCs w:val="24"/>
        </w:rPr>
        <w:t xml:space="preserve"> </w:t>
      </w:r>
      <w:r w:rsidRPr="007D4223">
        <w:rPr>
          <w:i/>
          <w:szCs w:val="24"/>
        </w:rPr>
        <w:t>Articulation between VET and higher education: discussion paper</w:t>
      </w:r>
      <w:r w:rsidR="007F221C">
        <w:rPr>
          <w:szCs w:val="24"/>
        </w:rPr>
        <w:t>, CS</w:t>
      </w:r>
      <w:r w:rsidRPr="00A27931">
        <w:rPr>
          <w:szCs w:val="24"/>
        </w:rPr>
        <w:t xml:space="preserve">HISC, </w:t>
      </w:r>
      <w:r w:rsidR="007D4223">
        <w:rPr>
          <w:szCs w:val="24"/>
        </w:rPr>
        <w:t>Sydney</w:t>
      </w:r>
      <w:r w:rsidRPr="00A27931">
        <w:rPr>
          <w:szCs w:val="24"/>
        </w:rPr>
        <w:t xml:space="preserve">. </w:t>
      </w:r>
    </w:p>
    <w:p w:rsidR="005302A6" w:rsidRPr="00A27931" w:rsidRDefault="005302A6" w:rsidP="00A27931">
      <w:pPr>
        <w:pStyle w:val="References"/>
        <w:rPr>
          <w:szCs w:val="24"/>
        </w:rPr>
      </w:pPr>
      <w:r w:rsidRPr="00A27931">
        <w:rPr>
          <w:szCs w:val="24"/>
        </w:rPr>
        <w:t xml:space="preserve">Curtis, D 2009, </w:t>
      </w:r>
      <w:r w:rsidRPr="007D4223">
        <w:rPr>
          <w:i/>
          <w:szCs w:val="24"/>
        </w:rPr>
        <w:t>Student transfer: at a glance</w:t>
      </w:r>
      <w:r w:rsidRPr="00A27931">
        <w:rPr>
          <w:szCs w:val="24"/>
        </w:rPr>
        <w:t>, NCVER, Adelaide.</w:t>
      </w:r>
    </w:p>
    <w:p w:rsidR="006246F6" w:rsidRDefault="006246F6" w:rsidP="00A27931">
      <w:pPr>
        <w:pStyle w:val="References"/>
        <w:rPr>
          <w:szCs w:val="24"/>
        </w:rPr>
      </w:pPr>
      <w:r w:rsidRPr="00A27931">
        <w:rPr>
          <w:szCs w:val="24"/>
        </w:rPr>
        <w:t xml:space="preserve">Dawe, S 2004, </w:t>
      </w:r>
      <w:r w:rsidRPr="00353786">
        <w:rPr>
          <w:i/>
          <w:szCs w:val="24"/>
        </w:rPr>
        <w:t>Moving on from enabling courses: why do some students remain in enabling courses</w:t>
      </w:r>
      <w:r w:rsidRPr="00A27931">
        <w:rPr>
          <w:szCs w:val="24"/>
        </w:rPr>
        <w:t>?</w:t>
      </w:r>
      <w:r w:rsidR="009E236F" w:rsidRPr="00A27931">
        <w:rPr>
          <w:szCs w:val="24"/>
        </w:rPr>
        <w:t>, NCVER, Adelaide</w:t>
      </w:r>
      <w:r w:rsidRPr="00A27931">
        <w:rPr>
          <w:szCs w:val="24"/>
        </w:rPr>
        <w:t>.</w:t>
      </w:r>
    </w:p>
    <w:p w:rsidR="00AA5182" w:rsidRDefault="00AA5182" w:rsidP="00C15F58">
      <w:pPr>
        <w:pStyle w:val="References"/>
        <w:ind w:right="-143"/>
      </w:pPr>
      <w:r w:rsidRPr="00A27931">
        <w:t>Department of Education, Employment and Workplace Relations</w:t>
      </w:r>
      <w:r>
        <w:t xml:space="preserve"> </w:t>
      </w:r>
      <w:r w:rsidRPr="00A27931">
        <w:t xml:space="preserve">2009, </w:t>
      </w:r>
      <w:r w:rsidRPr="00353786">
        <w:rPr>
          <w:i/>
        </w:rPr>
        <w:t>Transforming Australia</w:t>
      </w:r>
      <w:r w:rsidR="00C15F58">
        <w:rPr>
          <w:i/>
        </w:rPr>
        <w:t>’</w:t>
      </w:r>
      <w:r w:rsidRPr="00353786">
        <w:rPr>
          <w:i/>
        </w:rPr>
        <w:t>s higher education system</w:t>
      </w:r>
      <w:r w:rsidRPr="00353786">
        <w:t>,</w:t>
      </w:r>
      <w:r w:rsidRPr="00A27931">
        <w:t xml:space="preserve"> DEEWR, Canberra, viewed 15 Jul</w:t>
      </w:r>
      <w:r w:rsidR="00353786">
        <w:t>y</w:t>
      </w:r>
      <w:r w:rsidRPr="00A27931">
        <w:t xml:space="preserve"> 2013, &lt;http://www.innovation.gov.au/Higher</w:t>
      </w:r>
      <w:r w:rsidR="00C15F58">
        <w:t xml:space="preserve"> </w:t>
      </w:r>
      <w:r w:rsidRPr="00A27931">
        <w:t>Education/ResourcesAndPublications/TransformingAustraliasHigherEducationSystem/Pages/default.aspx&gt;.</w:t>
      </w:r>
    </w:p>
    <w:p w:rsidR="00AA5182" w:rsidRPr="00A27931" w:rsidRDefault="00AA5182" w:rsidP="00AA5182">
      <w:pPr>
        <w:pStyle w:val="References"/>
      </w:pPr>
      <w:r>
        <w:t xml:space="preserve">——2012, </w:t>
      </w:r>
      <w:r w:rsidRPr="00353786">
        <w:rPr>
          <w:i/>
        </w:rPr>
        <w:t>Annual national report of the Australian vocational education and training system 2010</w:t>
      </w:r>
      <w:r>
        <w:t>, DEEWR, Canberra.</w:t>
      </w:r>
    </w:p>
    <w:p w:rsidR="009E236F" w:rsidRPr="00A27931" w:rsidRDefault="009E236F" w:rsidP="00A27931">
      <w:pPr>
        <w:pStyle w:val="References"/>
        <w:rPr>
          <w:szCs w:val="24"/>
        </w:rPr>
      </w:pPr>
      <w:r w:rsidRPr="00A27931">
        <w:rPr>
          <w:szCs w:val="24"/>
        </w:rPr>
        <w:t xml:space="preserve">Griffin, T </w:t>
      </w:r>
      <w:r w:rsidR="00353786">
        <w:rPr>
          <w:szCs w:val="24"/>
        </w:rPr>
        <w:t>&amp;</w:t>
      </w:r>
      <w:r w:rsidR="005302A6" w:rsidRPr="00A27931">
        <w:rPr>
          <w:szCs w:val="24"/>
        </w:rPr>
        <w:t xml:space="preserve"> Beddie, F </w:t>
      </w:r>
      <w:r w:rsidRPr="00A27931">
        <w:rPr>
          <w:szCs w:val="24"/>
        </w:rPr>
        <w:t xml:space="preserve">2011, </w:t>
      </w:r>
      <w:r w:rsidRPr="00353786">
        <w:rPr>
          <w:i/>
          <w:szCs w:val="24"/>
        </w:rPr>
        <w:t>Researching VET and disability: at a glance</w:t>
      </w:r>
      <w:r w:rsidRPr="00A27931">
        <w:rPr>
          <w:szCs w:val="24"/>
        </w:rPr>
        <w:t>, NCVER, Adelaide.</w:t>
      </w:r>
    </w:p>
    <w:p w:rsidR="00FF4A58" w:rsidRPr="00A27931" w:rsidRDefault="00FF4A58" w:rsidP="00A27931">
      <w:pPr>
        <w:pStyle w:val="References"/>
        <w:rPr>
          <w:szCs w:val="24"/>
        </w:rPr>
      </w:pPr>
      <w:r w:rsidRPr="00A27931">
        <w:rPr>
          <w:szCs w:val="24"/>
        </w:rPr>
        <w:t xml:space="preserve">Guthrie, H, Stanwick, J &amp; Karmel, </w:t>
      </w:r>
      <w:proofErr w:type="gramStart"/>
      <w:r w:rsidRPr="00A27931">
        <w:rPr>
          <w:szCs w:val="24"/>
        </w:rPr>
        <w:t>T</w:t>
      </w:r>
      <w:proofErr w:type="gramEnd"/>
      <w:r w:rsidRPr="00A27931">
        <w:rPr>
          <w:szCs w:val="24"/>
        </w:rPr>
        <w:t xml:space="preserve"> 2011, </w:t>
      </w:r>
      <w:r w:rsidRPr="00353786">
        <w:rPr>
          <w:i/>
          <w:szCs w:val="24"/>
        </w:rPr>
        <w:t>Pathways: developing the skills of Australia</w:t>
      </w:r>
      <w:r w:rsidR="00C15F58">
        <w:rPr>
          <w:i/>
          <w:szCs w:val="24"/>
        </w:rPr>
        <w:t>’</w:t>
      </w:r>
      <w:r w:rsidRPr="00353786">
        <w:rPr>
          <w:i/>
          <w:szCs w:val="24"/>
        </w:rPr>
        <w:t>s workforce</w:t>
      </w:r>
      <w:r w:rsidRPr="00A27931">
        <w:rPr>
          <w:szCs w:val="24"/>
        </w:rPr>
        <w:t>, NCVER, Adelaide.</w:t>
      </w:r>
    </w:p>
    <w:p w:rsidR="00DB7E6D" w:rsidRPr="00A27931" w:rsidRDefault="00DB7E6D" w:rsidP="00A27931">
      <w:pPr>
        <w:pStyle w:val="References"/>
      </w:pPr>
      <w:proofErr w:type="gramStart"/>
      <w:r w:rsidRPr="00A27931">
        <w:t>Harris, R, Rainey, L &amp; Sumner, R</w:t>
      </w:r>
      <w:r w:rsidR="004C7231">
        <w:t xml:space="preserve"> </w:t>
      </w:r>
      <w:r w:rsidRPr="00A27931">
        <w:t xml:space="preserve">2006, </w:t>
      </w:r>
      <w:r w:rsidRPr="00353786">
        <w:rPr>
          <w:i/>
        </w:rPr>
        <w:t>Crazy paving or stepping stones?</w:t>
      </w:r>
      <w:proofErr w:type="gramEnd"/>
      <w:r w:rsidRPr="00353786">
        <w:rPr>
          <w:i/>
        </w:rPr>
        <w:t xml:space="preserve"> </w:t>
      </w:r>
      <w:proofErr w:type="gramStart"/>
      <w:r w:rsidR="00953B49" w:rsidRPr="00353786">
        <w:rPr>
          <w:i/>
        </w:rPr>
        <w:t xml:space="preserve">Learning </w:t>
      </w:r>
      <w:r w:rsidRPr="00353786">
        <w:rPr>
          <w:i/>
        </w:rPr>
        <w:t>pathways within and between vocational education and training and higher education</w:t>
      </w:r>
      <w:r w:rsidRPr="00A27931">
        <w:t>, NCVER, Adelaide</w:t>
      </w:r>
      <w:r w:rsidR="00353786">
        <w:t>.</w:t>
      </w:r>
      <w:proofErr w:type="gramEnd"/>
    </w:p>
    <w:p w:rsidR="00DF3157" w:rsidRPr="00A27931" w:rsidRDefault="00DF3157" w:rsidP="00A27931">
      <w:pPr>
        <w:pStyle w:val="References"/>
      </w:pPr>
      <w:r w:rsidRPr="00A27931">
        <w:t xml:space="preserve">Helme, S 2007, </w:t>
      </w:r>
      <w:r w:rsidR="00C15F58">
        <w:t>‘</w:t>
      </w:r>
      <w:proofErr w:type="gramStart"/>
      <w:r w:rsidRPr="00A27931">
        <w:t>From</w:t>
      </w:r>
      <w:proofErr w:type="gramEnd"/>
      <w:r w:rsidRPr="00A27931">
        <w:t xml:space="preserve"> the sidelines to the centre: Indigenous support units in vocational education and training</w:t>
      </w:r>
      <w:r w:rsidR="00C15F58">
        <w:t>’</w:t>
      </w:r>
      <w:r w:rsidRPr="00A27931">
        <w:t xml:space="preserve">, </w:t>
      </w:r>
      <w:r w:rsidRPr="00353786">
        <w:rPr>
          <w:i/>
        </w:rPr>
        <w:t>Journal of Vocational Education and Training</w:t>
      </w:r>
      <w:r w:rsidR="00353786">
        <w:t>, vol.59, no.4, pp.451—</w:t>
      </w:r>
      <w:r w:rsidRPr="00A27931">
        <w:t>66.</w:t>
      </w:r>
    </w:p>
    <w:p w:rsidR="00DB7E6D" w:rsidRDefault="00DB7E6D" w:rsidP="00A27931">
      <w:pPr>
        <w:pStyle w:val="References"/>
      </w:pPr>
      <w:r>
        <w:t xml:space="preserve">National VET Equity Advisory Council 2011, </w:t>
      </w:r>
      <w:r w:rsidRPr="00353786">
        <w:rPr>
          <w:i/>
        </w:rPr>
        <w:t>Equity blueprint: creating futures: achieving potential through VET</w:t>
      </w:r>
      <w:r>
        <w:t>, TVET Australia, Canberra</w:t>
      </w:r>
      <w:r w:rsidR="002E17EE">
        <w:t>.</w:t>
      </w:r>
    </w:p>
    <w:p w:rsidR="003B0505" w:rsidRPr="000C62FB" w:rsidRDefault="003B0505" w:rsidP="003B0505">
      <w:pPr>
        <w:pStyle w:val="References"/>
        <w:rPr>
          <w:szCs w:val="16"/>
        </w:rPr>
      </w:pPr>
      <w:r w:rsidRPr="000C62FB">
        <w:rPr>
          <w:szCs w:val="16"/>
        </w:rPr>
        <w:t xml:space="preserve">NCVER </w:t>
      </w:r>
      <w:r w:rsidR="00353786">
        <w:rPr>
          <w:szCs w:val="16"/>
        </w:rPr>
        <w:t xml:space="preserve">(National Centre for Vocational Education Research) </w:t>
      </w:r>
      <w:r w:rsidRPr="000C62FB">
        <w:rPr>
          <w:szCs w:val="16"/>
        </w:rPr>
        <w:t>2012</w:t>
      </w:r>
      <w:r>
        <w:rPr>
          <w:szCs w:val="16"/>
        </w:rPr>
        <w:t>a</w:t>
      </w:r>
      <w:r w:rsidRPr="000C62FB">
        <w:rPr>
          <w:szCs w:val="16"/>
        </w:rPr>
        <w:t xml:space="preserve">, </w:t>
      </w:r>
      <w:r w:rsidRPr="00353786">
        <w:rPr>
          <w:i/>
          <w:szCs w:val="16"/>
        </w:rPr>
        <w:t>Australian vocational education and training statistics: student outcomes 2012</w:t>
      </w:r>
      <w:r w:rsidRPr="000C62FB">
        <w:rPr>
          <w:szCs w:val="16"/>
        </w:rPr>
        <w:t>, NCVER, Adelaide.</w:t>
      </w:r>
    </w:p>
    <w:p w:rsidR="00055A6D" w:rsidRPr="00A27931" w:rsidRDefault="00353786" w:rsidP="00A27931">
      <w:pPr>
        <w:pStyle w:val="References"/>
      </w:pPr>
      <w:r>
        <w:t>——</w:t>
      </w:r>
      <w:r w:rsidR="00034256" w:rsidRPr="00A27931">
        <w:t>2012</w:t>
      </w:r>
      <w:r w:rsidR="003B0505">
        <w:t>b</w:t>
      </w:r>
      <w:r w:rsidR="00034256" w:rsidRPr="00A27931">
        <w:t xml:space="preserve">, </w:t>
      </w:r>
      <w:r w:rsidR="00034256" w:rsidRPr="00353786">
        <w:rPr>
          <w:i/>
        </w:rPr>
        <w:t>Australian vocational education and training statistics: tertiary education and training in Australia 2010</w:t>
      </w:r>
      <w:r w:rsidR="00034256" w:rsidRPr="00A27931">
        <w:t>, NCVER, Adelaide.</w:t>
      </w:r>
    </w:p>
    <w:p w:rsidR="005302A6" w:rsidRDefault="00B23B7A" w:rsidP="00A27931">
      <w:pPr>
        <w:pStyle w:val="References"/>
      </w:pPr>
      <w:r>
        <w:t xml:space="preserve">Polidano, C &amp; Mavromaras, K 2010, </w:t>
      </w:r>
      <w:r w:rsidRPr="00353786">
        <w:rPr>
          <w:i/>
        </w:rPr>
        <w:t>The role of vocational education and training in the labour market outcomes of people with disabilities</w:t>
      </w:r>
      <w:r w:rsidR="00353786">
        <w:rPr>
          <w:i/>
        </w:rPr>
        <w:t>,</w:t>
      </w:r>
      <w:r>
        <w:t xml:space="preserve"> NCVER, Adelaide</w:t>
      </w:r>
      <w:r w:rsidR="00353786">
        <w:t>.</w:t>
      </w:r>
    </w:p>
    <w:p w:rsidR="00B23B7A" w:rsidRDefault="00B23B7A" w:rsidP="00A27931">
      <w:pPr>
        <w:pStyle w:val="References"/>
      </w:pPr>
      <w:r>
        <w:t xml:space="preserve">Rothman, S, Shah, C, Underwood, C, McMillan, C, Brown, J &amp; McKenzie, P 2013, </w:t>
      </w:r>
      <w:r w:rsidRPr="00353786">
        <w:rPr>
          <w:i/>
        </w:rPr>
        <w:t>National report on social equity in VET 2013</w:t>
      </w:r>
      <w:r w:rsidR="00353786">
        <w:t>, National VET Equity Advisory Council, Melbourne,</w:t>
      </w:r>
    </w:p>
    <w:p w:rsidR="005302A6" w:rsidRPr="000C62FB" w:rsidRDefault="005302A6" w:rsidP="00A27931">
      <w:pPr>
        <w:pStyle w:val="References"/>
        <w:rPr>
          <w:szCs w:val="24"/>
        </w:rPr>
      </w:pPr>
      <w:r>
        <w:t xml:space="preserve">Stanwick, J 2006, </w:t>
      </w:r>
      <w:r w:rsidRPr="00353786">
        <w:rPr>
          <w:i/>
        </w:rPr>
        <w:t>Australian Qualifications Framework lower-level qualifications: outcomes for people over 25</w:t>
      </w:r>
      <w:r>
        <w:t>, NCVER, Adelaide.</w:t>
      </w:r>
    </w:p>
    <w:p w:rsidR="000056B6" w:rsidRPr="000C62FB" w:rsidRDefault="000056B6" w:rsidP="00A27931">
      <w:pPr>
        <w:pStyle w:val="References"/>
        <w:rPr>
          <w:szCs w:val="24"/>
        </w:rPr>
      </w:pPr>
      <w:r w:rsidRPr="000C62FB">
        <w:rPr>
          <w:szCs w:val="24"/>
        </w:rPr>
        <w:t xml:space="preserve">TAFE NSW 2013, </w:t>
      </w:r>
      <w:r w:rsidRPr="00353786">
        <w:rPr>
          <w:i/>
          <w:szCs w:val="24"/>
        </w:rPr>
        <w:t>Not just a dream: Aboriginal student pathways to higher level qualifications in TAFE NSW</w:t>
      </w:r>
      <w:r w:rsidRPr="000C62FB">
        <w:rPr>
          <w:szCs w:val="24"/>
        </w:rPr>
        <w:t>, TAFE NSW, Sydney</w:t>
      </w:r>
      <w:r w:rsidR="009E236F">
        <w:rPr>
          <w:szCs w:val="24"/>
        </w:rPr>
        <w:t>.</w:t>
      </w:r>
    </w:p>
    <w:p w:rsidR="00A27931" w:rsidRDefault="00A27931" w:rsidP="00A27931">
      <w:pPr>
        <w:pStyle w:val="References"/>
      </w:pPr>
      <w:r>
        <w:lastRenderedPageBreak/>
        <w:t xml:space="preserve">Walls, S &amp; Pardy, J 2010, </w:t>
      </w:r>
      <w:r w:rsidRPr="00353786">
        <w:rPr>
          <w:i/>
        </w:rPr>
        <w:t>Crediting vocational education and training for learner mobility</w:t>
      </w:r>
      <w:r>
        <w:t>, NCVER, Adelaide.</w:t>
      </w:r>
    </w:p>
    <w:p w:rsidR="00A21A75" w:rsidRPr="00A21A75" w:rsidRDefault="00A21A75" w:rsidP="00A27931">
      <w:pPr>
        <w:pStyle w:val="References"/>
      </w:pPr>
      <w:r>
        <w:t xml:space="preserve">Watson, L 2006, </w:t>
      </w:r>
      <w:r w:rsidR="00C15F58">
        <w:t>‘</w:t>
      </w:r>
      <w:r w:rsidRPr="00353786">
        <w:t>Barriers to success</w:t>
      </w:r>
      <w:r w:rsidR="00353786">
        <w:t>ful transitions from VET to HE —</w:t>
      </w:r>
      <w:r w:rsidRPr="00353786">
        <w:t xml:space="preserve"> a case study of student pathways in ear</w:t>
      </w:r>
      <w:r w:rsidR="00353786">
        <w:t>ly childhood education and care</w:t>
      </w:r>
      <w:r w:rsidR="00C15F58">
        <w:t>’</w:t>
      </w:r>
      <w:r w:rsidR="00353786">
        <w:t>, p</w:t>
      </w:r>
      <w:r>
        <w:t>aper presented at the Ninth Annual Conference of the Australian Vocational Education and Training Research Association (AVETRA)</w:t>
      </w:r>
      <w:r w:rsidR="00F42906">
        <w:t>,</w:t>
      </w:r>
      <w:r>
        <w:t xml:space="preserve"> University of Wollongong.</w:t>
      </w:r>
    </w:p>
    <w:p w:rsidR="00F911A8" w:rsidRPr="00F911A8" w:rsidRDefault="009C014B" w:rsidP="00A27931">
      <w:pPr>
        <w:pStyle w:val="References"/>
      </w:pPr>
      <w:r>
        <w:t xml:space="preserve">Wheelahan, L 2009, </w:t>
      </w:r>
      <w:r w:rsidR="00C15F58">
        <w:t>‘</w:t>
      </w:r>
      <w:r>
        <w:t>What kind of access does VET provide to higher education for low SES students? Not a lot</w:t>
      </w:r>
      <w:r w:rsidR="00C15F58">
        <w:t>’</w:t>
      </w:r>
      <w:r>
        <w:t>, University of South Australia, Adelaide</w:t>
      </w:r>
      <w:r w:rsidR="009E236F">
        <w:t>.</w:t>
      </w:r>
    </w:p>
    <w:p w:rsidR="00741D3D" w:rsidRDefault="00741D3D">
      <w:pPr>
        <w:spacing w:before="0" w:line="240" w:lineRule="auto"/>
      </w:pPr>
      <w:r>
        <w:br w:type="page"/>
      </w:r>
    </w:p>
    <w:p w:rsidR="00741D3D" w:rsidRDefault="00C67D42" w:rsidP="00741D3D">
      <w:pPr>
        <w:pStyle w:val="Heading1"/>
      </w:pPr>
      <w:bookmarkStart w:id="41" w:name="_Toc316371590"/>
      <w:bookmarkStart w:id="42" w:name="_Toc377040332"/>
      <w:bookmarkStart w:id="43" w:name="_Toc381110825"/>
      <w:r>
        <w:lastRenderedPageBreak/>
        <w:t>F</w:t>
      </w:r>
      <w:r w:rsidR="00741D3D">
        <w:t>unding</w:t>
      </w:r>
      <w:bookmarkEnd w:id="41"/>
      <w:bookmarkEnd w:id="42"/>
      <w:bookmarkEnd w:id="43"/>
      <w:r w:rsidR="00741D3D">
        <w:t xml:space="preserve"> </w:t>
      </w:r>
      <w:r>
        <w:t>information</w:t>
      </w:r>
    </w:p>
    <w:p w:rsidR="00741D3D" w:rsidRDefault="00741D3D" w:rsidP="00741D3D">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741D3D" w:rsidRDefault="00741D3D" w:rsidP="00741D3D">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w:t>
      </w:r>
      <w:r w:rsidR="00C15F58">
        <w:t>’</w:t>
      </w:r>
      <w:r w:rsidRPr="00157690">
        <w:t>s universities and beyond. NCVER may also involve various stakeholders</w:t>
      </w:r>
      <w:r>
        <w:t>,</w:t>
      </w:r>
      <w:r w:rsidRPr="00157690">
        <w:t xml:space="preserve"> including state and territory governments, industry and practitioners</w:t>
      </w:r>
      <w:r>
        <w:t>,</w:t>
      </w:r>
      <w:r w:rsidRPr="00157690">
        <w:t xml:space="preserve"> to i</w:t>
      </w:r>
      <w:r>
        <w:t>nform the commissioned research</w:t>
      </w:r>
      <w:r w:rsidRPr="00157690">
        <w:t xml:space="preserve"> </w:t>
      </w:r>
      <w:r>
        <w:t xml:space="preserve">and </w:t>
      </w:r>
      <w:r w:rsidRPr="00157690">
        <w:t>us</w:t>
      </w:r>
      <w:r>
        <w:t>e</w:t>
      </w:r>
      <w:r w:rsidRPr="00157690">
        <w:t xml:space="preserve"> a variety of mechanisms such as p</w:t>
      </w:r>
      <w:r>
        <w:t xml:space="preserve">roject roundtables and forums. </w:t>
      </w:r>
    </w:p>
    <w:p w:rsidR="00741D3D" w:rsidRDefault="00741D3D" w:rsidP="00741D3D">
      <w:pPr>
        <w:pStyle w:val="Text"/>
      </w:pPr>
      <w:r>
        <w:t>In addition to the commissioned research, each year a pool of NVETR funds is</w:t>
      </w:r>
      <w:r w:rsidRPr="00CD316C">
        <w:t xml:space="preserve"> set </w:t>
      </w:r>
      <w:r>
        <w:t>a</w:t>
      </w:r>
      <w:r w:rsidRPr="00CD316C">
        <w:t>side to support the provision of resear</w:t>
      </w:r>
      <w:r>
        <w:t xml:space="preserve">ch and policy advice </w:t>
      </w:r>
      <w:r w:rsidRPr="00CD316C">
        <w:t xml:space="preserve">to assist </w:t>
      </w:r>
      <w:r>
        <w:t>with the Council of Australian Governments</w:t>
      </w:r>
      <w:r w:rsidR="00C15F58">
        <w:t>’</w:t>
      </w:r>
      <w:r>
        <w:t xml:space="preserve"> reform agenda. This work has been produced as part of this initiative. </w:t>
      </w:r>
    </w:p>
    <w:p w:rsidR="00741D3D" w:rsidRDefault="00741D3D" w:rsidP="00741D3D">
      <w:pPr>
        <w:pStyle w:val="Text"/>
      </w:pPr>
      <w:proofErr w:type="gramStart"/>
      <w:r w:rsidRPr="00157690">
        <w:t>For further information about the program go to the NCVER website &lt;</w:t>
      </w:r>
      <w:r>
        <w:t>http://</w:t>
      </w:r>
      <w:r w:rsidRPr="00157690">
        <w:t>www.ncver.edu.au&gt;.</w:t>
      </w:r>
      <w:bookmarkEnd w:id="0"/>
      <w:bookmarkEnd w:id="1"/>
      <w:bookmarkEnd w:id="2"/>
      <w:bookmarkEnd w:id="3"/>
      <w:proofErr w:type="gramEnd"/>
    </w:p>
    <w:sectPr w:rsidR="00741D3D" w:rsidSect="006A68AE">
      <w:footerReference w:type="even" r:id="rId14"/>
      <w:footerReference w:type="default" r:id="rId15"/>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08" w:rsidRDefault="00086208">
      <w:r>
        <w:separator/>
      </w:r>
    </w:p>
  </w:endnote>
  <w:endnote w:type="continuationSeparator" w:id="0">
    <w:p w:rsidR="00086208" w:rsidRDefault="0008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08" w:rsidRPr="00AD1238" w:rsidRDefault="00CE2187" w:rsidP="00AD1238">
    <w:pPr>
      <w:pStyle w:val="Footer"/>
    </w:pPr>
    <w:r>
      <w:rPr>
        <w:b/>
        <w:noProof/>
        <w:color w:val="FFFFFF" w:themeColor="background1"/>
        <w:lang w:eastAsia="en-AU"/>
      </w:rPr>
      <w:pict>
        <v:rect id="_x0000_s120835" style="position:absolute;margin-left:-85.05pt;margin-top:-2.45pt;width:99pt;height:18.75pt;z-index:-251656192" fillcolor="black [3213]" stroked="f" strokecolor="#bfbfbf [2412]"/>
      </w:pict>
    </w:r>
    <w:r w:rsidR="00B57422" w:rsidRPr="008C0A74">
      <w:rPr>
        <w:b/>
        <w:color w:val="FFFFFF" w:themeColor="background1"/>
      </w:rPr>
      <w:fldChar w:fldCharType="begin"/>
    </w:r>
    <w:r w:rsidR="00086208" w:rsidRPr="008C0A74">
      <w:rPr>
        <w:b/>
        <w:color w:val="FFFFFF" w:themeColor="background1"/>
      </w:rPr>
      <w:instrText xml:space="preserve"> PAGE </w:instrText>
    </w:r>
    <w:r w:rsidR="00B57422" w:rsidRPr="008C0A74">
      <w:rPr>
        <w:b/>
        <w:color w:val="FFFFFF" w:themeColor="background1"/>
      </w:rPr>
      <w:fldChar w:fldCharType="separate"/>
    </w:r>
    <w:r>
      <w:rPr>
        <w:b/>
        <w:noProof/>
        <w:color w:val="FFFFFF" w:themeColor="background1"/>
      </w:rPr>
      <w:t>18</w:t>
    </w:r>
    <w:r w:rsidR="00B57422" w:rsidRPr="008C0A74">
      <w:rPr>
        <w:b/>
        <w:color w:val="FFFFFF" w:themeColor="background1"/>
      </w:rPr>
      <w:fldChar w:fldCharType="end"/>
    </w:r>
    <w:r w:rsidR="00086208" w:rsidRPr="008C0A74">
      <w:rPr>
        <w:b/>
        <w:color w:val="FFFFFF" w:themeColor="background1"/>
      </w:rPr>
      <w:tab/>
    </w:r>
    <w:r w:rsidR="00086208">
      <w:rPr>
        <w:b/>
      </w:rPr>
      <w:t>Disadvantaged learners and VET to higher education transitions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08" w:rsidRPr="006B3214" w:rsidRDefault="00CE2187" w:rsidP="006B3214">
    <w:pPr>
      <w:pStyle w:val="Footer"/>
      <w:tabs>
        <w:tab w:val="clear" w:pos="8505"/>
        <w:tab w:val="right" w:pos="8789"/>
      </w:tabs>
      <w:rPr>
        <w:color w:val="FFFFFF" w:themeColor="background1"/>
      </w:rPr>
    </w:pPr>
    <w:r>
      <w:rPr>
        <w:b/>
        <w:noProof/>
        <w:lang w:eastAsia="en-AU"/>
      </w:rPr>
      <w:pict>
        <v:rect id="_x0000_s120836" style="position:absolute;margin-left:425.6pt;margin-top:-2.45pt;width:99pt;height:18.75pt;z-index:-251654144" fillcolor="black [3213]" stroked="f" strokecolor="#bfbfbf [2412]"/>
      </w:pict>
    </w:r>
    <w:r w:rsidR="00086208" w:rsidRPr="009775C7">
      <w:rPr>
        <w:b/>
      </w:rPr>
      <w:t>NCVER</w:t>
    </w:r>
    <w:r w:rsidR="00086208" w:rsidRPr="009775C7">
      <w:tab/>
    </w:r>
    <w:r w:rsidR="00B57422" w:rsidRPr="009775C7">
      <w:rPr>
        <w:rStyle w:val="PageNumber"/>
        <w:rFonts w:cs="Tahoma"/>
        <w:b/>
        <w:color w:val="FFFFFF" w:themeColor="background1"/>
        <w:sz w:val="17"/>
      </w:rPr>
      <w:fldChar w:fldCharType="begin"/>
    </w:r>
    <w:r w:rsidR="00086208" w:rsidRPr="009775C7">
      <w:rPr>
        <w:rStyle w:val="PageNumber"/>
        <w:rFonts w:cs="Tahoma"/>
        <w:b/>
        <w:color w:val="FFFFFF" w:themeColor="background1"/>
        <w:sz w:val="17"/>
      </w:rPr>
      <w:instrText xml:space="preserve"> PAGE </w:instrText>
    </w:r>
    <w:r w:rsidR="00B57422" w:rsidRPr="009775C7">
      <w:rPr>
        <w:rStyle w:val="PageNumber"/>
        <w:rFonts w:cs="Tahoma"/>
        <w:b/>
        <w:color w:val="FFFFFF" w:themeColor="background1"/>
        <w:sz w:val="17"/>
      </w:rPr>
      <w:fldChar w:fldCharType="separate"/>
    </w:r>
    <w:r>
      <w:rPr>
        <w:rStyle w:val="PageNumber"/>
        <w:rFonts w:cs="Tahoma"/>
        <w:b/>
        <w:noProof/>
        <w:color w:val="FFFFFF" w:themeColor="background1"/>
        <w:sz w:val="17"/>
      </w:rPr>
      <w:t>15</w:t>
    </w:r>
    <w:r w:rsidR="00B57422"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08" w:rsidRDefault="00086208">
      <w:r>
        <w:separator/>
      </w:r>
    </w:p>
  </w:footnote>
  <w:footnote w:type="continuationSeparator" w:id="0">
    <w:p w:rsidR="00086208" w:rsidRDefault="0008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E4F2C"/>
    <w:lvl w:ilvl="0">
      <w:start w:val="1"/>
      <w:numFmt w:val="decimal"/>
      <w:lvlText w:val="%1."/>
      <w:lvlJc w:val="left"/>
      <w:pPr>
        <w:tabs>
          <w:tab w:val="num" w:pos="1492"/>
        </w:tabs>
        <w:ind w:left="1492" w:hanging="360"/>
      </w:pPr>
    </w:lvl>
  </w:abstractNum>
  <w:abstractNum w:abstractNumId="1">
    <w:nsid w:val="FFFFFF7D"/>
    <w:multiLevelType w:val="singleLevel"/>
    <w:tmpl w:val="43A6C726"/>
    <w:lvl w:ilvl="0">
      <w:start w:val="1"/>
      <w:numFmt w:val="decimal"/>
      <w:lvlText w:val="%1."/>
      <w:lvlJc w:val="left"/>
      <w:pPr>
        <w:tabs>
          <w:tab w:val="num" w:pos="1209"/>
        </w:tabs>
        <w:ind w:left="1209" w:hanging="360"/>
      </w:pPr>
    </w:lvl>
  </w:abstractNum>
  <w:abstractNum w:abstractNumId="2">
    <w:nsid w:val="FFFFFF7E"/>
    <w:multiLevelType w:val="singleLevel"/>
    <w:tmpl w:val="517A4260"/>
    <w:lvl w:ilvl="0">
      <w:start w:val="1"/>
      <w:numFmt w:val="decimal"/>
      <w:lvlText w:val="%1."/>
      <w:lvlJc w:val="left"/>
      <w:pPr>
        <w:tabs>
          <w:tab w:val="num" w:pos="926"/>
        </w:tabs>
        <w:ind w:left="926" w:hanging="360"/>
      </w:pPr>
    </w:lvl>
  </w:abstractNum>
  <w:abstractNum w:abstractNumId="3">
    <w:nsid w:val="FFFFFF7F"/>
    <w:multiLevelType w:val="singleLevel"/>
    <w:tmpl w:val="A61AD712"/>
    <w:lvl w:ilvl="0">
      <w:start w:val="1"/>
      <w:numFmt w:val="decimal"/>
      <w:lvlText w:val="%1."/>
      <w:lvlJc w:val="left"/>
      <w:pPr>
        <w:tabs>
          <w:tab w:val="num" w:pos="643"/>
        </w:tabs>
        <w:ind w:left="643" w:hanging="360"/>
      </w:pPr>
    </w:lvl>
  </w:abstractNum>
  <w:abstractNum w:abstractNumId="4">
    <w:nsid w:val="FFFFFF80"/>
    <w:multiLevelType w:val="singleLevel"/>
    <w:tmpl w:val="E910C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A4D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86FC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24D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6EB452"/>
    <w:lvl w:ilvl="0">
      <w:start w:val="1"/>
      <w:numFmt w:val="decimal"/>
      <w:lvlText w:val="%1."/>
      <w:lvlJc w:val="left"/>
      <w:pPr>
        <w:tabs>
          <w:tab w:val="num" w:pos="360"/>
        </w:tabs>
        <w:ind w:left="360" w:hanging="360"/>
      </w:pPr>
    </w:lvl>
  </w:abstractNum>
  <w:abstractNum w:abstractNumId="9">
    <w:nsid w:val="FFFFFF89"/>
    <w:multiLevelType w:val="singleLevel"/>
    <w:tmpl w:val="692AFEC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B6F0B62E"/>
    <w:lvl w:ilvl="0" w:tplc="24BA3DD4">
      <w:start w:val="1"/>
      <w:numFmt w:val="decimal"/>
      <w:pStyle w:val="NumberedListContinuing"/>
      <w:lvlText w:val="%1"/>
      <w:lvlJc w:val="left"/>
      <w:pPr>
        <w:tabs>
          <w:tab w:val="num" w:pos="284"/>
        </w:tabs>
        <w:ind w:left="0" w:firstLine="0"/>
      </w:pPr>
      <w:rPr>
        <w:rFonts w:hint="default"/>
      </w:rPr>
    </w:lvl>
    <w:lvl w:ilvl="1" w:tplc="0C090019">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BF0C2A"/>
    <w:multiLevelType w:val="hybridMultilevel"/>
    <w:tmpl w:val="A0E4CF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1202541"/>
    <w:multiLevelType w:val="hybridMultilevel"/>
    <w:tmpl w:val="F1C84F68"/>
    <w:lvl w:ilvl="0" w:tplc="5B346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87327BB"/>
    <w:multiLevelType w:val="hybridMultilevel"/>
    <w:tmpl w:val="14CC1A74"/>
    <w:lvl w:ilvl="0" w:tplc="BBAE95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577743D"/>
    <w:multiLevelType w:val="hybridMultilevel"/>
    <w:tmpl w:val="6324C4D4"/>
    <w:lvl w:ilvl="0" w:tplc="744624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6568BB"/>
    <w:multiLevelType w:val="hybridMultilevel"/>
    <w:tmpl w:val="E27C6F86"/>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20"/>
  </w:num>
  <w:num w:numId="5">
    <w:abstractNumId w:val="13"/>
  </w:num>
  <w:num w:numId="6">
    <w:abstractNumId w:val="25"/>
  </w:num>
  <w:num w:numId="7">
    <w:abstractNumId w:val="28"/>
  </w:num>
  <w:num w:numId="8">
    <w:abstractNumId w:val="27"/>
  </w:num>
  <w:num w:numId="9">
    <w:abstractNumId w:val="30"/>
  </w:num>
  <w:num w:numId="10">
    <w:abstractNumId w:val="21"/>
  </w:num>
  <w:num w:numId="11">
    <w:abstractNumId w:val="18"/>
  </w:num>
  <w:num w:numId="12">
    <w:abstractNumId w:val="23"/>
  </w:num>
  <w:num w:numId="13">
    <w:abstractNumId w:val="24"/>
  </w:num>
  <w:num w:numId="14">
    <w:abstractNumId w:val="16"/>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1"/>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22"/>
  </w:num>
  <w:num w:numId="35">
    <w:abstractNumId w:val="14"/>
  </w:num>
  <w:num w:numId="36">
    <w:abstractNumId w:val="26"/>
  </w:num>
  <w:num w:numId="37">
    <w:abstractNumId w:val="31"/>
  </w:num>
  <w:num w:numId="38">
    <w:abstractNumId w:val="29"/>
  </w:num>
  <w:num w:numId="39">
    <w:abstractNumId w:val="1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evenAndOddHeaders/>
  <w:drawingGridHorizontalSpacing w:val="95"/>
  <w:displayHorizontalDrawingGridEvery w:val="0"/>
  <w:displayVerticalDrawingGridEvery w:val="0"/>
  <w:noPunctuationKerning/>
  <w:characterSpacingControl w:val="doNotCompress"/>
  <w:hdrShapeDefaults>
    <o:shapedefaults v:ext="edit" spidmax="120837">
      <o:colormru v:ext="edit" colors="#ffc425"/>
      <o:colormenu v:ext="edit" fillcolor="#ffc425"/>
    </o:shapedefaults>
    <o:shapelayout v:ext="edit">
      <o:idmap v:ext="edit" data="118"/>
    </o:shapelayout>
  </w:hdrShapeDefaults>
  <w:footnotePr>
    <w:footnote w:id="-1"/>
    <w:footnote w:id="0"/>
  </w:footnotePr>
  <w:endnotePr>
    <w:endnote w:id="-1"/>
    <w:endnote w:id="0"/>
  </w:endnotePr>
  <w:compat>
    <w:compatSetting w:name="compatibilityMode" w:uri="http://schemas.microsoft.com/office/word" w:val="12"/>
  </w:compat>
  <w:rsids>
    <w:rsidRoot w:val="00373A0B"/>
    <w:rsid w:val="00001072"/>
    <w:rsid w:val="00004E19"/>
    <w:rsid w:val="000056B6"/>
    <w:rsid w:val="000108B2"/>
    <w:rsid w:val="00015831"/>
    <w:rsid w:val="000178BE"/>
    <w:rsid w:val="000209EF"/>
    <w:rsid w:val="00022290"/>
    <w:rsid w:val="00022D42"/>
    <w:rsid w:val="00023D6B"/>
    <w:rsid w:val="000304AD"/>
    <w:rsid w:val="00031005"/>
    <w:rsid w:val="00033A2D"/>
    <w:rsid w:val="00034256"/>
    <w:rsid w:val="00045C83"/>
    <w:rsid w:val="00050179"/>
    <w:rsid w:val="00053FC9"/>
    <w:rsid w:val="00054B3C"/>
    <w:rsid w:val="00054FC7"/>
    <w:rsid w:val="00055A6D"/>
    <w:rsid w:val="000601E5"/>
    <w:rsid w:val="0006125F"/>
    <w:rsid w:val="00074BD4"/>
    <w:rsid w:val="0007660C"/>
    <w:rsid w:val="00086208"/>
    <w:rsid w:val="00090C87"/>
    <w:rsid w:val="00091F96"/>
    <w:rsid w:val="00097B33"/>
    <w:rsid w:val="000A6152"/>
    <w:rsid w:val="000A694E"/>
    <w:rsid w:val="000B1943"/>
    <w:rsid w:val="000B456C"/>
    <w:rsid w:val="000C62FB"/>
    <w:rsid w:val="000D1083"/>
    <w:rsid w:val="000D169B"/>
    <w:rsid w:val="000E244A"/>
    <w:rsid w:val="000E6220"/>
    <w:rsid w:val="000F782E"/>
    <w:rsid w:val="00102D43"/>
    <w:rsid w:val="00106B33"/>
    <w:rsid w:val="0010761A"/>
    <w:rsid w:val="00113805"/>
    <w:rsid w:val="00117383"/>
    <w:rsid w:val="00123866"/>
    <w:rsid w:val="00123B5C"/>
    <w:rsid w:val="00124175"/>
    <w:rsid w:val="0013076C"/>
    <w:rsid w:val="00135C75"/>
    <w:rsid w:val="00135EFE"/>
    <w:rsid w:val="001413BD"/>
    <w:rsid w:val="00141621"/>
    <w:rsid w:val="001437CD"/>
    <w:rsid w:val="00145716"/>
    <w:rsid w:val="00150874"/>
    <w:rsid w:val="001509F3"/>
    <w:rsid w:val="00151FA1"/>
    <w:rsid w:val="00152122"/>
    <w:rsid w:val="00153CD8"/>
    <w:rsid w:val="0016082F"/>
    <w:rsid w:val="00163831"/>
    <w:rsid w:val="001726B4"/>
    <w:rsid w:val="00174FB2"/>
    <w:rsid w:val="00176A6E"/>
    <w:rsid w:val="00181578"/>
    <w:rsid w:val="001851E2"/>
    <w:rsid w:val="00186572"/>
    <w:rsid w:val="001955A1"/>
    <w:rsid w:val="00195F77"/>
    <w:rsid w:val="00196AA7"/>
    <w:rsid w:val="00196C1E"/>
    <w:rsid w:val="001A4A0F"/>
    <w:rsid w:val="001A4AD1"/>
    <w:rsid w:val="001A6340"/>
    <w:rsid w:val="001A6770"/>
    <w:rsid w:val="001B43CF"/>
    <w:rsid w:val="001B48F5"/>
    <w:rsid w:val="001C004A"/>
    <w:rsid w:val="001C1482"/>
    <w:rsid w:val="001C3CE7"/>
    <w:rsid w:val="001C5632"/>
    <w:rsid w:val="001D4AC1"/>
    <w:rsid w:val="001D4F52"/>
    <w:rsid w:val="001D7C42"/>
    <w:rsid w:val="001E1F13"/>
    <w:rsid w:val="001E3AFE"/>
    <w:rsid w:val="001F4406"/>
    <w:rsid w:val="001F512D"/>
    <w:rsid w:val="001F7D84"/>
    <w:rsid w:val="002031F0"/>
    <w:rsid w:val="00203A09"/>
    <w:rsid w:val="00221834"/>
    <w:rsid w:val="00223A65"/>
    <w:rsid w:val="00226F10"/>
    <w:rsid w:val="002277A9"/>
    <w:rsid w:val="00231967"/>
    <w:rsid w:val="00231BBA"/>
    <w:rsid w:val="00233BFA"/>
    <w:rsid w:val="00242D6F"/>
    <w:rsid w:val="00246914"/>
    <w:rsid w:val="002472C7"/>
    <w:rsid w:val="0025212B"/>
    <w:rsid w:val="00260C89"/>
    <w:rsid w:val="002730C7"/>
    <w:rsid w:val="00282DAB"/>
    <w:rsid w:val="00284FCB"/>
    <w:rsid w:val="00285188"/>
    <w:rsid w:val="002858A5"/>
    <w:rsid w:val="002A7392"/>
    <w:rsid w:val="002C09A7"/>
    <w:rsid w:val="002C2159"/>
    <w:rsid w:val="002C2CB8"/>
    <w:rsid w:val="002C5ABD"/>
    <w:rsid w:val="002C61C4"/>
    <w:rsid w:val="002D317E"/>
    <w:rsid w:val="002E17EE"/>
    <w:rsid w:val="002E196B"/>
    <w:rsid w:val="002E1ACE"/>
    <w:rsid w:val="002E3138"/>
    <w:rsid w:val="002E61A4"/>
    <w:rsid w:val="002E6B70"/>
    <w:rsid w:val="002E74BE"/>
    <w:rsid w:val="002F1BEB"/>
    <w:rsid w:val="002F2806"/>
    <w:rsid w:val="002F4D3E"/>
    <w:rsid w:val="0031288B"/>
    <w:rsid w:val="00313ECC"/>
    <w:rsid w:val="003147E1"/>
    <w:rsid w:val="00315892"/>
    <w:rsid w:val="003164DC"/>
    <w:rsid w:val="0032709B"/>
    <w:rsid w:val="00330113"/>
    <w:rsid w:val="003327BB"/>
    <w:rsid w:val="003369C9"/>
    <w:rsid w:val="003433CC"/>
    <w:rsid w:val="003478DC"/>
    <w:rsid w:val="0035084A"/>
    <w:rsid w:val="00351140"/>
    <w:rsid w:val="003513BF"/>
    <w:rsid w:val="00352342"/>
    <w:rsid w:val="00353786"/>
    <w:rsid w:val="00355606"/>
    <w:rsid w:val="00356383"/>
    <w:rsid w:val="00363E89"/>
    <w:rsid w:val="0036737B"/>
    <w:rsid w:val="00373A0B"/>
    <w:rsid w:val="00390EF2"/>
    <w:rsid w:val="00390FDC"/>
    <w:rsid w:val="0039263D"/>
    <w:rsid w:val="0039401D"/>
    <w:rsid w:val="003978EC"/>
    <w:rsid w:val="003A6DAF"/>
    <w:rsid w:val="003B0505"/>
    <w:rsid w:val="003B16DA"/>
    <w:rsid w:val="003B47A9"/>
    <w:rsid w:val="003B483E"/>
    <w:rsid w:val="003D06EB"/>
    <w:rsid w:val="003D0813"/>
    <w:rsid w:val="003D4B3E"/>
    <w:rsid w:val="003E67CB"/>
    <w:rsid w:val="003E6EC2"/>
    <w:rsid w:val="003F7794"/>
    <w:rsid w:val="004056BE"/>
    <w:rsid w:val="00413A62"/>
    <w:rsid w:val="00421D39"/>
    <w:rsid w:val="00424521"/>
    <w:rsid w:val="00427E69"/>
    <w:rsid w:val="00436FC7"/>
    <w:rsid w:val="0044690F"/>
    <w:rsid w:val="004476CE"/>
    <w:rsid w:val="00455BF4"/>
    <w:rsid w:val="00457968"/>
    <w:rsid w:val="00463639"/>
    <w:rsid w:val="00473C26"/>
    <w:rsid w:val="00473F95"/>
    <w:rsid w:val="00496B63"/>
    <w:rsid w:val="00496CFD"/>
    <w:rsid w:val="00497261"/>
    <w:rsid w:val="004A23E0"/>
    <w:rsid w:val="004B42DA"/>
    <w:rsid w:val="004B7591"/>
    <w:rsid w:val="004B7669"/>
    <w:rsid w:val="004C0983"/>
    <w:rsid w:val="004C4C9B"/>
    <w:rsid w:val="004C7231"/>
    <w:rsid w:val="004D04B3"/>
    <w:rsid w:val="004D0501"/>
    <w:rsid w:val="004D31EF"/>
    <w:rsid w:val="004E7227"/>
    <w:rsid w:val="004F14FF"/>
    <w:rsid w:val="004F3BF6"/>
    <w:rsid w:val="004F7F5B"/>
    <w:rsid w:val="00511311"/>
    <w:rsid w:val="005138E9"/>
    <w:rsid w:val="00515A30"/>
    <w:rsid w:val="0052276C"/>
    <w:rsid w:val="005302A6"/>
    <w:rsid w:val="00531F58"/>
    <w:rsid w:val="00531F6E"/>
    <w:rsid w:val="00543505"/>
    <w:rsid w:val="0056238C"/>
    <w:rsid w:val="0056583A"/>
    <w:rsid w:val="005664C7"/>
    <w:rsid w:val="00570758"/>
    <w:rsid w:val="0057077D"/>
    <w:rsid w:val="00572C37"/>
    <w:rsid w:val="00574F1F"/>
    <w:rsid w:val="00575446"/>
    <w:rsid w:val="00590352"/>
    <w:rsid w:val="00595AA3"/>
    <w:rsid w:val="005963B4"/>
    <w:rsid w:val="00596926"/>
    <w:rsid w:val="005A4F5E"/>
    <w:rsid w:val="005B5414"/>
    <w:rsid w:val="005B6BA1"/>
    <w:rsid w:val="005C1E2D"/>
    <w:rsid w:val="005C1E94"/>
    <w:rsid w:val="005C277E"/>
    <w:rsid w:val="005D5075"/>
    <w:rsid w:val="005E0417"/>
    <w:rsid w:val="005E4764"/>
    <w:rsid w:val="005F401C"/>
    <w:rsid w:val="005F4530"/>
    <w:rsid w:val="005F4B8B"/>
    <w:rsid w:val="00610B4F"/>
    <w:rsid w:val="00611EAB"/>
    <w:rsid w:val="0061392E"/>
    <w:rsid w:val="00616492"/>
    <w:rsid w:val="006246F6"/>
    <w:rsid w:val="00626261"/>
    <w:rsid w:val="006300E3"/>
    <w:rsid w:val="006315FB"/>
    <w:rsid w:val="00636CEF"/>
    <w:rsid w:val="00644BD0"/>
    <w:rsid w:val="00647C33"/>
    <w:rsid w:val="00652973"/>
    <w:rsid w:val="0065542B"/>
    <w:rsid w:val="00656AB9"/>
    <w:rsid w:val="00657213"/>
    <w:rsid w:val="0067712D"/>
    <w:rsid w:val="006809C7"/>
    <w:rsid w:val="00692245"/>
    <w:rsid w:val="00696A48"/>
    <w:rsid w:val="00697FE3"/>
    <w:rsid w:val="006A1988"/>
    <w:rsid w:val="006A1ED4"/>
    <w:rsid w:val="006A68AE"/>
    <w:rsid w:val="006A6E7E"/>
    <w:rsid w:val="006B0414"/>
    <w:rsid w:val="006B3214"/>
    <w:rsid w:val="006B6DE9"/>
    <w:rsid w:val="006C0709"/>
    <w:rsid w:val="006C5DA9"/>
    <w:rsid w:val="006D003F"/>
    <w:rsid w:val="006D04AD"/>
    <w:rsid w:val="006D7AFC"/>
    <w:rsid w:val="006E4A0E"/>
    <w:rsid w:val="006F2572"/>
    <w:rsid w:val="006F48F5"/>
    <w:rsid w:val="00701C5E"/>
    <w:rsid w:val="00702913"/>
    <w:rsid w:val="007037A4"/>
    <w:rsid w:val="0070744F"/>
    <w:rsid w:val="0071194C"/>
    <w:rsid w:val="00712F4D"/>
    <w:rsid w:val="00713396"/>
    <w:rsid w:val="0071695E"/>
    <w:rsid w:val="00720605"/>
    <w:rsid w:val="00723D38"/>
    <w:rsid w:val="00725918"/>
    <w:rsid w:val="007265E6"/>
    <w:rsid w:val="00730032"/>
    <w:rsid w:val="00731EC8"/>
    <w:rsid w:val="007333E5"/>
    <w:rsid w:val="00736FCC"/>
    <w:rsid w:val="00741AB4"/>
    <w:rsid w:val="00741D3D"/>
    <w:rsid w:val="0074271A"/>
    <w:rsid w:val="00750CEC"/>
    <w:rsid w:val="00761F0D"/>
    <w:rsid w:val="007624B1"/>
    <w:rsid w:val="0076293A"/>
    <w:rsid w:val="00762EC7"/>
    <w:rsid w:val="0076395B"/>
    <w:rsid w:val="007655FF"/>
    <w:rsid w:val="00777121"/>
    <w:rsid w:val="0078069E"/>
    <w:rsid w:val="00783F44"/>
    <w:rsid w:val="00792B73"/>
    <w:rsid w:val="007A0109"/>
    <w:rsid w:val="007A2516"/>
    <w:rsid w:val="007A68C3"/>
    <w:rsid w:val="007B081E"/>
    <w:rsid w:val="007B4956"/>
    <w:rsid w:val="007B65C2"/>
    <w:rsid w:val="007C10BB"/>
    <w:rsid w:val="007C2236"/>
    <w:rsid w:val="007C4A96"/>
    <w:rsid w:val="007C50A7"/>
    <w:rsid w:val="007C72A5"/>
    <w:rsid w:val="007D4223"/>
    <w:rsid w:val="007D45F4"/>
    <w:rsid w:val="007D5253"/>
    <w:rsid w:val="007E3999"/>
    <w:rsid w:val="007F221C"/>
    <w:rsid w:val="007F356C"/>
    <w:rsid w:val="00806051"/>
    <w:rsid w:val="00806C1C"/>
    <w:rsid w:val="00814CB1"/>
    <w:rsid w:val="00820C4A"/>
    <w:rsid w:val="00821014"/>
    <w:rsid w:val="00821B5C"/>
    <w:rsid w:val="00825118"/>
    <w:rsid w:val="00826757"/>
    <w:rsid w:val="00844D4F"/>
    <w:rsid w:val="00850CFE"/>
    <w:rsid w:val="00853A17"/>
    <w:rsid w:val="008558A5"/>
    <w:rsid w:val="008639C2"/>
    <w:rsid w:val="0086606E"/>
    <w:rsid w:val="0087065E"/>
    <w:rsid w:val="00871404"/>
    <w:rsid w:val="008718A7"/>
    <w:rsid w:val="008722A7"/>
    <w:rsid w:val="00875FA7"/>
    <w:rsid w:val="00883F21"/>
    <w:rsid w:val="008902E9"/>
    <w:rsid w:val="008942CC"/>
    <w:rsid w:val="0089674A"/>
    <w:rsid w:val="008976A9"/>
    <w:rsid w:val="008A1C7D"/>
    <w:rsid w:val="008C0A74"/>
    <w:rsid w:val="008C4014"/>
    <w:rsid w:val="008C4084"/>
    <w:rsid w:val="008C65D7"/>
    <w:rsid w:val="008C6A20"/>
    <w:rsid w:val="008D1671"/>
    <w:rsid w:val="008D2867"/>
    <w:rsid w:val="008D75C7"/>
    <w:rsid w:val="008E4EB1"/>
    <w:rsid w:val="008F20BA"/>
    <w:rsid w:val="009005A1"/>
    <w:rsid w:val="00902180"/>
    <w:rsid w:val="00903788"/>
    <w:rsid w:val="009058B5"/>
    <w:rsid w:val="009060CD"/>
    <w:rsid w:val="00906F99"/>
    <w:rsid w:val="00922CDE"/>
    <w:rsid w:val="009247A7"/>
    <w:rsid w:val="00933317"/>
    <w:rsid w:val="00940401"/>
    <w:rsid w:val="00946299"/>
    <w:rsid w:val="00947761"/>
    <w:rsid w:val="00947DC0"/>
    <w:rsid w:val="009500A1"/>
    <w:rsid w:val="009538E6"/>
    <w:rsid w:val="00953B49"/>
    <w:rsid w:val="00963DA0"/>
    <w:rsid w:val="00966E30"/>
    <w:rsid w:val="00967129"/>
    <w:rsid w:val="009704E4"/>
    <w:rsid w:val="00970A0E"/>
    <w:rsid w:val="0097299C"/>
    <w:rsid w:val="00976263"/>
    <w:rsid w:val="00976E3B"/>
    <w:rsid w:val="009775C7"/>
    <w:rsid w:val="00984013"/>
    <w:rsid w:val="00985C17"/>
    <w:rsid w:val="0098694A"/>
    <w:rsid w:val="009939D7"/>
    <w:rsid w:val="00993B68"/>
    <w:rsid w:val="009972A6"/>
    <w:rsid w:val="009B1F34"/>
    <w:rsid w:val="009B3637"/>
    <w:rsid w:val="009C014B"/>
    <w:rsid w:val="009C101B"/>
    <w:rsid w:val="009C22BE"/>
    <w:rsid w:val="009C253B"/>
    <w:rsid w:val="009C2964"/>
    <w:rsid w:val="009C455E"/>
    <w:rsid w:val="009D128E"/>
    <w:rsid w:val="009D16F1"/>
    <w:rsid w:val="009D28A7"/>
    <w:rsid w:val="009D790D"/>
    <w:rsid w:val="009E231A"/>
    <w:rsid w:val="009E236F"/>
    <w:rsid w:val="009E2F64"/>
    <w:rsid w:val="009E383A"/>
    <w:rsid w:val="009F711F"/>
    <w:rsid w:val="00A0542F"/>
    <w:rsid w:val="00A05C36"/>
    <w:rsid w:val="00A0797F"/>
    <w:rsid w:val="00A07B6E"/>
    <w:rsid w:val="00A10267"/>
    <w:rsid w:val="00A10E2B"/>
    <w:rsid w:val="00A12A3A"/>
    <w:rsid w:val="00A16DF5"/>
    <w:rsid w:val="00A16E80"/>
    <w:rsid w:val="00A21A75"/>
    <w:rsid w:val="00A21B60"/>
    <w:rsid w:val="00A27931"/>
    <w:rsid w:val="00A30084"/>
    <w:rsid w:val="00A33958"/>
    <w:rsid w:val="00A37189"/>
    <w:rsid w:val="00A37D89"/>
    <w:rsid w:val="00A50895"/>
    <w:rsid w:val="00A5399B"/>
    <w:rsid w:val="00A5417C"/>
    <w:rsid w:val="00A546D9"/>
    <w:rsid w:val="00A60BCB"/>
    <w:rsid w:val="00A60C91"/>
    <w:rsid w:val="00A710E6"/>
    <w:rsid w:val="00A73318"/>
    <w:rsid w:val="00A74C4B"/>
    <w:rsid w:val="00A76254"/>
    <w:rsid w:val="00A8205B"/>
    <w:rsid w:val="00A847D4"/>
    <w:rsid w:val="00A87BB3"/>
    <w:rsid w:val="00A929B6"/>
    <w:rsid w:val="00A94BC8"/>
    <w:rsid w:val="00A96336"/>
    <w:rsid w:val="00AA44D4"/>
    <w:rsid w:val="00AA5182"/>
    <w:rsid w:val="00AA58CC"/>
    <w:rsid w:val="00AB029C"/>
    <w:rsid w:val="00AB1892"/>
    <w:rsid w:val="00AB1BA5"/>
    <w:rsid w:val="00AC572D"/>
    <w:rsid w:val="00AC642A"/>
    <w:rsid w:val="00AC7F68"/>
    <w:rsid w:val="00AD0010"/>
    <w:rsid w:val="00AD1238"/>
    <w:rsid w:val="00AD1746"/>
    <w:rsid w:val="00AE0B1F"/>
    <w:rsid w:val="00AE4610"/>
    <w:rsid w:val="00AE4AC0"/>
    <w:rsid w:val="00AF1005"/>
    <w:rsid w:val="00AF351E"/>
    <w:rsid w:val="00AF5030"/>
    <w:rsid w:val="00AF5BE2"/>
    <w:rsid w:val="00AF6A3E"/>
    <w:rsid w:val="00AF719E"/>
    <w:rsid w:val="00AF74B5"/>
    <w:rsid w:val="00B03604"/>
    <w:rsid w:val="00B06E6B"/>
    <w:rsid w:val="00B17DBE"/>
    <w:rsid w:val="00B233E2"/>
    <w:rsid w:val="00B23B7A"/>
    <w:rsid w:val="00B26A97"/>
    <w:rsid w:val="00B27C8E"/>
    <w:rsid w:val="00B41272"/>
    <w:rsid w:val="00B51AA6"/>
    <w:rsid w:val="00B52790"/>
    <w:rsid w:val="00B56247"/>
    <w:rsid w:val="00B56D8F"/>
    <w:rsid w:val="00B57422"/>
    <w:rsid w:val="00B577D9"/>
    <w:rsid w:val="00B608C2"/>
    <w:rsid w:val="00B7056D"/>
    <w:rsid w:val="00B71165"/>
    <w:rsid w:val="00B72891"/>
    <w:rsid w:val="00B7300D"/>
    <w:rsid w:val="00B77B01"/>
    <w:rsid w:val="00B8484D"/>
    <w:rsid w:val="00B86D06"/>
    <w:rsid w:val="00B97366"/>
    <w:rsid w:val="00B97C0D"/>
    <w:rsid w:val="00BA5A1B"/>
    <w:rsid w:val="00BA6D6A"/>
    <w:rsid w:val="00BB286E"/>
    <w:rsid w:val="00BB2D2A"/>
    <w:rsid w:val="00BB325F"/>
    <w:rsid w:val="00BB6CF1"/>
    <w:rsid w:val="00BC2546"/>
    <w:rsid w:val="00BC581D"/>
    <w:rsid w:val="00BC62AC"/>
    <w:rsid w:val="00BC6C02"/>
    <w:rsid w:val="00BD49C1"/>
    <w:rsid w:val="00BE1426"/>
    <w:rsid w:val="00BE3E8E"/>
    <w:rsid w:val="00BE52C6"/>
    <w:rsid w:val="00BE7077"/>
    <w:rsid w:val="00BF1FAB"/>
    <w:rsid w:val="00BF2511"/>
    <w:rsid w:val="00BF2C1D"/>
    <w:rsid w:val="00BF690E"/>
    <w:rsid w:val="00C0296D"/>
    <w:rsid w:val="00C053D5"/>
    <w:rsid w:val="00C06CE1"/>
    <w:rsid w:val="00C15F58"/>
    <w:rsid w:val="00C2601C"/>
    <w:rsid w:val="00C26106"/>
    <w:rsid w:val="00C26A07"/>
    <w:rsid w:val="00C30806"/>
    <w:rsid w:val="00C35A51"/>
    <w:rsid w:val="00C36369"/>
    <w:rsid w:val="00C37942"/>
    <w:rsid w:val="00C42948"/>
    <w:rsid w:val="00C44BC9"/>
    <w:rsid w:val="00C54125"/>
    <w:rsid w:val="00C552A3"/>
    <w:rsid w:val="00C63294"/>
    <w:rsid w:val="00C646F1"/>
    <w:rsid w:val="00C67D42"/>
    <w:rsid w:val="00C72788"/>
    <w:rsid w:val="00C77DC6"/>
    <w:rsid w:val="00C926F0"/>
    <w:rsid w:val="00C94D07"/>
    <w:rsid w:val="00C9556B"/>
    <w:rsid w:val="00CA0C04"/>
    <w:rsid w:val="00CA4B3C"/>
    <w:rsid w:val="00CB3780"/>
    <w:rsid w:val="00CB5311"/>
    <w:rsid w:val="00CB5CF7"/>
    <w:rsid w:val="00CC5243"/>
    <w:rsid w:val="00CC6974"/>
    <w:rsid w:val="00CD13F9"/>
    <w:rsid w:val="00CD2311"/>
    <w:rsid w:val="00CD5F32"/>
    <w:rsid w:val="00CE01CE"/>
    <w:rsid w:val="00CE198E"/>
    <w:rsid w:val="00CE2187"/>
    <w:rsid w:val="00CE36A0"/>
    <w:rsid w:val="00CF10BA"/>
    <w:rsid w:val="00D056F3"/>
    <w:rsid w:val="00D0772F"/>
    <w:rsid w:val="00D1613D"/>
    <w:rsid w:val="00D20C0B"/>
    <w:rsid w:val="00D2406F"/>
    <w:rsid w:val="00D244C9"/>
    <w:rsid w:val="00D409E6"/>
    <w:rsid w:val="00D40A21"/>
    <w:rsid w:val="00D40CA1"/>
    <w:rsid w:val="00D41634"/>
    <w:rsid w:val="00D41E81"/>
    <w:rsid w:val="00D42A9C"/>
    <w:rsid w:val="00D4463F"/>
    <w:rsid w:val="00D6077E"/>
    <w:rsid w:val="00D60C09"/>
    <w:rsid w:val="00D648C5"/>
    <w:rsid w:val="00D72EF0"/>
    <w:rsid w:val="00D74D34"/>
    <w:rsid w:val="00D76D16"/>
    <w:rsid w:val="00D778D5"/>
    <w:rsid w:val="00D8378F"/>
    <w:rsid w:val="00D93E1C"/>
    <w:rsid w:val="00D95B6F"/>
    <w:rsid w:val="00D96DC1"/>
    <w:rsid w:val="00DA188B"/>
    <w:rsid w:val="00DA47D2"/>
    <w:rsid w:val="00DB599C"/>
    <w:rsid w:val="00DB5BC8"/>
    <w:rsid w:val="00DB5EA7"/>
    <w:rsid w:val="00DB6688"/>
    <w:rsid w:val="00DB7E6D"/>
    <w:rsid w:val="00DC3498"/>
    <w:rsid w:val="00DC5F5C"/>
    <w:rsid w:val="00DC7747"/>
    <w:rsid w:val="00DD1D84"/>
    <w:rsid w:val="00DD4C6A"/>
    <w:rsid w:val="00DF1F65"/>
    <w:rsid w:val="00DF2B88"/>
    <w:rsid w:val="00DF3157"/>
    <w:rsid w:val="00DF4C5F"/>
    <w:rsid w:val="00DF5961"/>
    <w:rsid w:val="00E04666"/>
    <w:rsid w:val="00E06B95"/>
    <w:rsid w:val="00E0714E"/>
    <w:rsid w:val="00E10017"/>
    <w:rsid w:val="00E11258"/>
    <w:rsid w:val="00E123CB"/>
    <w:rsid w:val="00E2156B"/>
    <w:rsid w:val="00E302CE"/>
    <w:rsid w:val="00E3574E"/>
    <w:rsid w:val="00E365F8"/>
    <w:rsid w:val="00E36C72"/>
    <w:rsid w:val="00E3767E"/>
    <w:rsid w:val="00E45672"/>
    <w:rsid w:val="00E52313"/>
    <w:rsid w:val="00E525A3"/>
    <w:rsid w:val="00E56EC1"/>
    <w:rsid w:val="00E647B5"/>
    <w:rsid w:val="00E6675B"/>
    <w:rsid w:val="00E705A7"/>
    <w:rsid w:val="00E70C69"/>
    <w:rsid w:val="00E7408B"/>
    <w:rsid w:val="00E80678"/>
    <w:rsid w:val="00E80DF1"/>
    <w:rsid w:val="00E811C3"/>
    <w:rsid w:val="00E81A91"/>
    <w:rsid w:val="00E8204F"/>
    <w:rsid w:val="00E821BA"/>
    <w:rsid w:val="00E90588"/>
    <w:rsid w:val="00E95380"/>
    <w:rsid w:val="00E95948"/>
    <w:rsid w:val="00E95F51"/>
    <w:rsid w:val="00E967D4"/>
    <w:rsid w:val="00EA2EAB"/>
    <w:rsid w:val="00EA3825"/>
    <w:rsid w:val="00EA49B9"/>
    <w:rsid w:val="00EB0AD7"/>
    <w:rsid w:val="00EB47EB"/>
    <w:rsid w:val="00EB7D93"/>
    <w:rsid w:val="00EC199E"/>
    <w:rsid w:val="00EC25A0"/>
    <w:rsid w:val="00EC429C"/>
    <w:rsid w:val="00ED01AC"/>
    <w:rsid w:val="00ED77A7"/>
    <w:rsid w:val="00EE1F72"/>
    <w:rsid w:val="00EE42D9"/>
    <w:rsid w:val="00EE7551"/>
    <w:rsid w:val="00EF1B4D"/>
    <w:rsid w:val="00EF2549"/>
    <w:rsid w:val="00F00529"/>
    <w:rsid w:val="00F02C58"/>
    <w:rsid w:val="00F04DAC"/>
    <w:rsid w:val="00F17AB6"/>
    <w:rsid w:val="00F20A70"/>
    <w:rsid w:val="00F31EF9"/>
    <w:rsid w:val="00F42906"/>
    <w:rsid w:val="00F51BA1"/>
    <w:rsid w:val="00F531A9"/>
    <w:rsid w:val="00F534F0"/>
    <w:rsid w:val="00F53E78"/>
    <w:rsid w:val="00F53F31"/>
    <w:rsid w:val="00F57D16"/>
    <w:rsid w:val="00F62563"/>
    <w:rsid w:val="00F64682"/>
    <w:rsid w:val="00F66A6C"/>
    <w:rsid w:val="00F7351C"/>
    <w:rsid w:val="00F7424D"/>
    <w:rsid w:val="00F8347C"/>
    <w:rsid w:val="00F86A3C"/>
    <w:rsid w:val="00F9026D"/>
    <w:rsid w:val="00F911A8"/>
    <w:rsid w:val="00FA79F7"/>
    <w:rsid w:val="00FB0630"/>
    <w:rsid w:val="00FB5304"/>
    <w:rsid w:val="00FC0E96"/>
    <w:rsid w:val="00FC1C51"/>
    <w:rsid w:val="00FC30B4"/>
    <w:rsid w:val="00FC4546"/>
    <w:rsid w:val="00FD542B"/>
    <w:rsid w:val="00FE1246"/>
    <w:rsid w:val="00FE3F74"/>
    <w:rsid w:val="00FE4A2D"/>
    <w:rsid w:val="00FE539B"/>
    <w:rsid w:val="00FE5C0D"/>
    <w:rsid w:val="00FE72D5"/>
    <w:rsid w:val="00FF4A58"/>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7">
      <o:colormru v:ext="edit" colors="#ffc425"/>
      <o:colormenu v:ext="edit" fillcolor="#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E36A0"/>
    <w:pPr>
      <w:spacing w:before="160" w:line="260" w:lineRule="exact"/>
    </w:pPr>
    <w:rPr>
      <w:rFonts w:ascii="Trebuchet MS" w:hAnsi="Trebuchet MS"/>
      <w:sz w:val="19"/>
      <w:lang w:val="en-AU"/>
    </w:rPr>
  </w:style>
  <w:style w:type="paragraph" w:styleId="Heading1">
    <w:name w:val="heading 1"/>
    <w:next w:val="Text"/>
    <w:qFormat/>
    <w:rsid w:val="00CE36A0"/>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CE36A0"/>
    <w:pPr>
      <w:keepNext/>
      <w:spacing w:before="360"/>
      <w:ind w:right="-369"/>
      <w:outlineLvl w:val="1"/>
    </w:pPr>
    <w:rPr>
      <w:rFonts w:ascii="Tahoma" w:hAnsi="Tahoma" w:cs="Tahoma"/>
      <w:sz w:val="28"/>
      <w:lang w:val="en-AU"/>
    </w:rPr>
  </w:style>
  <w:style w:type="paragraph" w:styleId="Heading3">
    <w:name w:val="heading 3"/>
    <w:next w:val="Text"/>
    <w:link w:val="Heading3Char"/>
    <w:qFormat/>
    <w:rsid w:val="00CE36A0"/>
    <w:pPr>
      <w:spacing w:before="280" w:line="320" w:lineRule="exact"/>
      <w:outlineLvl w:val="2"/>
    </w:pPr>
    <w:rPr>
      <w:rFonts w:ascii="Tahoma" w:hAnsi="Tahoma" w:cs="Tahoma"/>
      <w:color w:val="000000"/>
      <w:sz w:val="24"/>
      <w:lang w:val="en-AU"/>
    </w:rPr>
  </w:style>
  <w:style w:type="paragraph" w:styleId="Heading4">
    <w:name w:val="heading 4"/>
    <w:next w:val="Text"/>
    <w:qFormat/>
    <w:rsid w:val="00CE36A0"/>
    <w:pPr>
      <w:spacing w:before="240"/>
      <w:outlineLvl w:val="3"/>
    </w:pPr>
    <w:rPr>
      <w:rFonts w:ascii="Tahoma" w:hAnsi="Tahoma"/>
      <w:i/>
      <w:sz w:val="22"/>
      <w:lang w:val="en-AU"/>
    </w:rPr>
  </w:style>
  <w:style w:type="paragraph" w:styleId="Heading5">
    <w:name w:val="heading 5"/>
    <w:basedOn w:val="Normal"/>
    <w:next w:val="Normal"/>
    <w:qFormat/>
    <w:rsid w:val="00CE36A0"/>
    <w:pPr>
      <w:keepNext/>
      <w:outlineLvl w:val="4"/>
    </w:pPr>
    <w:rPr>
      <w:rFonts w:ascii="Tahoma" w:hAnsi="Tahoma"/>
      <w:b/>
    </w:rPr>
  </w:style>
  <w:style w:type="paragraph" w:styleId="Heading6">
    <w:name w:val="heading 6"/>
    <w:basedOn w:val="Normal"/>
    <w:next w:val="Normal"/>
    <w:qFormat/>
    <w:rsid w:val="00CE36A0"/>
    <w:pPr>
      <w:keepNext/>
      <w:ind w:left="2977"/>
      <w:outlineLvl w:val="5"/>
    </w:pPr>
    <w:rPr>
      <w:rFonts w:ascii="Tahoma" w:hAnsi="Tahoma"/>
      <w:sz w:val="20"/>
    </w:rPr>
  </w:style>
  <w:style w:type="paragraph" w:styleId="Heading7">
    <w:name w:val="heading 7"/>
    <w:basedOn w:val="Normal"/>
    <w:next w:val="Normal"/>
    <w:qFormat/>
    <w:rsid w:val="00CE36A0"/>
    <w:pPr>
      <w:keepNext/>
      <w:jc w:val="center"/>
      <w:outlineLvl w:val="6"/>
    </w:pPr>
    <w:rPr>
      <w:rFonts w:ascii="Tahoma" w:hAnsi="Tahoma"/>
      <w:spacing w:val="20"/>
      <w:sz w:val="20"/>
    </w:rPr>
  </w:style>
  <w:style w:type="paragraph" w:styleId="Heading8">
    <w:name w:val="heading 8"/>
    <w:basedOn w:val="Normal"/>
    <w:next w:val="Normal"/>
    <w:qFormat/>
    <w:rsid w:val="00CE36A0"/>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E36A0"/>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355606"/>
    <w:rPr>
      <w:rFonts w:ascii="Trebuchet MS" w:hAnsi="Trebuchet MS"/>
      <w:sz w:val="19"/>
      <w:lang w:val="en-AU"/>
    </w:rPr>
  </w:style>
  <w:style w:type="character" w:styleId="PageNumber">
    <w:name w:val="page number"/>
    <w:basedOn w:val="DefaultParagraphFont"/>
    <w:rsid w:val="00CE36A0"/>
    <w:rPr>
      <w:rFonts w:ascii="Tahoma" w:hAnsi="Tahoma"/>
      <w:sz w:val="18"/>
    </w:rPr>
  </w:style>
  <w:style w:type="paragraph" w:styleId="Footer">
    <w:name w:val="footer"/>
    <w:basedOn w:val="Normal"/>
    <w:rsid w:val="00CE36A0"/>
    <w:pPr>
      <w:tabs>
        <w:tab w:val="right" w:pos="8505"/>
      </w:tabs>
      <w:spacing w:before="0"/>
    </w:pPr>
    <w:rPr>
      <w:rFonts w:ascii="Tahoma" w:hAnsi="Tahoma"/>
      <w:sz w:val="17"/>
      <w:szCs w:val="17"/>
    </w:rPr>
  </w:style>
  <w:style w:type="paragraph" w:styleId="TOC1">
    <w:name w:val="toc 1"/>
    <w:uiPriority w:val="39"/>
    <w:rsid w:val="00CE36A0"/>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E36A0"/>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CE36A0"/>
    <w:pPr>
      <w:spacing w:before="360" w:after="80"/>
      <w:ind w:left="851" w:hanging="851"/>
    </w:pPr>
    <w:rPr>
      <w:rFonts w:ascii="Tahoma" w:hAnsi="Tahoma"/>
      <w:b/>
      <w:sz w:val="17"/>
      <w:lang w:val="en-AU"/>
    </w:rPr>
  </w:style>
  <w:style w:type="paragraph" w:customStyle="1" w:styleId="Tabletext">
    <w:name w:val="Table text"/>
    <w:next w:val="Text"/>
    <w:rsid w:val="00CE36A0"/>
    <w:pPr>
      <w:spacing w:before="40" w:after="40"/>
    </w:pPr>
    <w:rPr>
      <w:rFonts w:ascii="Arial" w:hAnsi="Arial"/>
      <w:sz w:val="16"/>
      <w:lang w:val="en-AU"/>
    </w:rPr>
  </w:style>
  <w:style w:type="paragraph" w:customStyle="1" w:styleId="Tablehead1">
    <w:name w:val="Tablehead1"/>
    <w:rsid w:val="00CE36A0"/>
    <w:pPr>
      <w:spacing w:before="80" w:after="80"/>
    </w:pPr>
    <w:rPr>
      <w:rFonts w:ascii="Arial" w:hAnsi="Arial"/>
      <w:b/>
      <w:sz w:val="17"/>
      <w:lang w:val="en-AU"/>
    </w:rPr>
  </w:style>
  <w:style w:type="paragraph" w:styleId="Quote">
    <w:name w:val="Quote"/>
    <w:basedOn w:val="Text"/>
    <w:qFormat/>
    <w:rsid w:val="00CE36A0"/>
    <w:pPr>
      <w:tabs>
        <w:tab w:val="right" w:pos="7853"/>
      </w:tabs>
      <w:spacing w:before="80"/>
      <w:ind w:left="567" w:right="652"/>
    </w:pPr>
    <w:rPr>
      <w:sz w:val="17"/>
    </w:rPr>
  </w:style>
  <w:style w:type="paragraph" w:customStyle="1" w:styleId="References">
    <w:name w:val="References"/>
    <w:rsid w:val="00C15F58"/>
    <w:pPr>
      <w:spacing w:before="80"/>
      <w:ind w:left="284" w:hanging="284"/>
    </w:pPr>
    <w:rPr>
      <w:rFonts w:ascii="Trebuchet MS" w:hAnsi="Trebuchet MS"/>
      <w:sz w:val="18"/>
      <w:lang w:val="en-AU"/>
    </w:rPr>
  </w:style>
  <w:style w:type="paragraph" w:customStyle="1" w:styleId="Tablehead2">
    <w:name w:val="Tablehead2"/>
    <w:basedOn w:val="Tablehead1"/>
    <w:rsid w:val="00CE36A0"/>
    <w:pPr>
      <w:tabs>
        <w:tab w:val="left" w:pos="992"/>
      </w:tabs>
      <w:spacing w:before="20" w:after="20"/>
    </w:pPr>
    <w:rPr>
      <w:b w:val="0"/>
    </w:rPr>
  </w:style>
  <w:style w:type="paragraph" w:customStyle="1" w:styleId="Tablehead3">
    <w:name w:val="Tablehead3"/>
    <w:basedOn w:val="Tablehead2"/>
    <w:rsid w:val="00CE36A0"/>
    <w:rPr>
      <w:i/>
    </w:rPr>
  </w:style>
  <w:style w:type="paragraph" w:styleId="TableofFigures">
    <w:name w:val="table of figures"/>
    <w:basedOn w:val="TOC1"/>
    <w:next w:val="Normal"/>
    <w:uiPriority w:val="99"/>
    <w:semiHidden/>
    <w:rsid w:val="00CE36A0"/>
    <w:pPr>
      <w:tabs>
        <w:tab w:val="left" w:pos="284"/>
      </w:tabs>
      <w:spacing w:before="80"/>
      <w:ind w:left="425" w:right="1985" w:hanging="425"/>
    </w:pPr>
  </w:style>
  <w:style w:type="paragraph" w:customStyle="1" w:styleId="Imprint">
    <w:name w:val="Imprint"/>
    <w:basedOn w:val="Normal"/>
    <w:rsid w:val="00CE36A0"/>
    <w:pPr>
      <w:spacing w:line="260" w:lineRule="atLeast"/>
    </w:pPr>
    <w:rPr>
      <w:sz w:val="16"/>
    </w:rPr>
  </w:style>
  <w:style w:type="paragraph" w:customStyle="1" w:styleId="Figuretitle">
    <w:name w:val="Figuretitle"/>
    <w:basedOn w:val="tabletitle"/>
    <w:rsid w:val="00CE36A0"/>
  </w:style>
  <w:style w:type="paragraph" w:customStyle="1" w:styleId="Dotpoint1">
    <w:name w:val="Dotpoint1"/>
    <w:rsid w:val="002730C7"/>
    <w:pPr>
      <w:numPr>
        <w:numId w:val="37"/>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CE36A0"/>
    <w:pPr>
      <w:numPr>
        <w:numId w:val="38"/>
      </w:numPr>
      <w:tabs>
        <w:tab w:val="clear" w:pos="284"/>
        <w:tab w:val="left" w:pos="567"/>
      </w:tabs>
    </w:pPr>
  </w:style>
  <w:style w:type="paragraph" w:customStyle="1" w:styleId="NumberedListContinuing">
    <w:name w:val="NumberedListContinuing"/>
    <w:rsid w:val="00CE36A0"/>
    <w:pPr>
      <w:numPr>
        <w:numId w:val="40"/>
      </w:numPr>
      <w:spacing w:before="80" w:line="300" w:lineRule="exact"/>
    </w:pPr>
    <w:rPr>
      <w:rFonts w:ascii="Trebuchet MS" w:hAnsi="Trebuchet MS"/>
      <w:sz w:val="19"/>
      <w:lang w:val="en-AU" w:eastAsia="en-AU"/>
    </w:rPr>
  </w:style>
  <w:style w:type="paragraph" w:customStyle="1" w:styleId="Source">
    <w:name w:val="Source"/>
    <w:rsid w:val="00CE36A0"/>
    <w:pPr>
      <w:spacing w:before="40"/>
      <w:ind w:left="567" w:hanging="567"/>
    </w:pPr>
    <w:rPr>
      <w:rFonts w:ascii="Arial" w:hAnsi="Arial"/>
      <w:sz w:val="15"/>
      <w:lang w:val="en-AU"/>
    </w:rPr>
  </w:style>
  <w:style w:type="paragraph" w:styleId="FootnoteText">
    <w:name w:val="footnote text"/>
    <w:basedOn w:val="Text"/>
    <w:rsid w:val="00CE36A0"/>
    <w:pPr>
      <w:tabs>
        <w:tab w:val="left" w:pos="170"/>
      </w:tabs>
      <w:spacing w:before="0" w:line="220" w:lineRule="exact"/>
      <w:ind w:left="170" w:right="0" w:hanging="170"/>
    </w:pPr>
    <w:rPr>
      <w:sz w:val="16"/>
    </w:rPr>
  </w:style>
  <w:style w:type="paragraph" w:styleId="NormalWeb">
    <w:name w:val="Normal (Web)"/>
    <w:basedOn w:val="Normal"/>
    <w:uiPriority w:val="1"/>
    <w:semiHidden/>
    <w:rsid w:val="00CE36A0"/>
    <w:pPr>
      <w:spacing w:before="100" w:beforeAutospacing="1" w:after="240"/>
    </w:pPr>
    <w:rPr>
      <w:sz w:val="18"/>
      <w:szCs w:val="18"/>
    </w:rPr>
  </w:style>
  <w:style w:type="paragraph" w:customStyle="1" w:styleId="Titlepage">
    <w:name w:val="Title page"/>
    <w:basedOn w:val="Heading1"/>
    <w:qFormat/>
    <w:rsid w:val="001B43CF"/>
    <w:pPr>
      <w:ind w:left="567"/>
    </w:p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CE36A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CE36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CE36A0"/>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3B483E"/>
    <w:rPr>
      <w:rFonts w:ascii="Tahoma" w:hAnsi="Tahoma" w:cs="Tahoma"/>
      <w:color w:val="000000"/>
      <w:sz w:val="24"/>
      <w:lang w:val="en-AU"/>
    </w:rPr>
  </w:style>
  <w:style w:type="character" w:styleId="Hyperlink">
    <w:name w:val="Hyperlink"/>
    <w:basedOn w:val="DefaultParagraphFont"/>
    <w:unhideWhenUsed/>
    <w:rsid w:val="00CE36A0"/>
    <w:rPr>
      <w:rFonts w:ascii="Trebuchet MS" w:hAnsi="Trebuchet MS"/>
      <w:color w:val="auto"/>
      <w:sz w:val="19"/>
      <w:u w:val="none"/>
    </w:rPr>
  </w:style>
  <w:style w:type="paragraph" w:styleId="ListParagraph">
    <w:name w:val="List Paragraph"/>
    <w:basedOn w:val="Normal"/>
    <w:uiPriority w:val="34"/>
    <w:semiHidden/>
    <w:qFormat/>
    <w:rsid w:val="00CE36A0"/>
    <w:pPr>
      <w:ind w:left="720"/>
      <w:contextualSpacing/>
    </w:pPr>
  </w:style>
  <w:style w:type="paragraph" w:styleId="BodyText">
    <w:name w:val="Body Text"/>
    <w:basedOn w:val="Normal"/>
    <w:link w:val="BodyTextChar"/>
    <w:rsid w:val="00CE36A0"/>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CE36A0"/>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E36A0"/>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Tabletitle0">
    <w:name w:val="Tabletitle"/>
    <w:next w:val="Text"/>
    <w:rsid w:val="00EB0AD7"/>
    <w:pPr>
      <w:spacing w:before="360" w:after="80"/>
      <w:ind w:left="851" w:hanging="851"/>
    </w:pPr>
    <w:rPr>
      <w:rFonts w:ascii="Tahoma" w:hAnsi="Tahoma"/>
      <w:b/>
      <w:sz w:val="17"/>
      <w:lang w:val="en-AU"/>
    </w:rPr>
  </w:style>
  <w:style w:type="paragraph" w:customStyle="1" w:styleId="PublicationTitle">
    <w:name w:val="Publication Title"/>
    <w:qFormat/>
    <w:rsid w:val="00CE36A0"/>
    <w:pPr>
      <w:spacing w:before="3200" w:after="840"/>
      <w:ind w:left="1701"/>
    </w:pPr>
    <w:rPr>
      <w:rFonts w:ascii="Tahoma" w:hAnsi="Tahoma" w:cs="Tahoma"/>
      <w:color w:val="000000"/>
      <w:kern w:val="28"/>
      <w:sz w:val="56"/>
      <w:szCs w:val="56"/>
      <w:lang w:val="en-AU"/>
    </w:rPr>
  </w:style>
  <w:style w:type="paragraph" w:customStyle="1" w:styleId="Authors">
    <w:name w:val="Authors"/>
    <w:qFormat/>
    <w:rsid w:val="00CE36A0"/>
    <w:pPr>
      <w:ind w:left="1701" w:right="-1"/>
    </w:pPr>
    <w:rPr>
      <w:rFonts w:ascii="Tahoma" w:hAnsi="Tahoma" w:cs="Tahoma"/>
      <w:sz w:val="28"/>
      <w:lang w:val="en-AU"/>
    </w:rPr>
  </w:style>
  <w:style w:type="paragraph" w:customStyle="1" w:styleId="Contents">
    <w:name w:val="Contents"/>
    <w:qFormat/>
    <w:rsid w:val="00CE36A0"/>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CE36A0"/>
    <w:pPr>
      <w:spacing w:before="360"/>
    </w:pPr>
    <w:rPr>
      <w:rFonts w:ascii="Tahoma" w:hAnsi="Tahoma" w:cs="Tahoma"/>
      <w:i/>
      <w:sz w:val="28"/>
      <w:lang w:val="en-AU"/>
    </w:rPr>
  </w:style>
  <w:style w:type="paragraph" w:customStyle="1" w:styleId="Abouttheresearch">
    <w:name w:val="About the research"/>
    <w:uiPriority w:val="1"/>
    <w:qFormat/>
    <w:rsid w:val="00CE36A0"/>
    <w:rPr>
      <w:rFonts w:ascii="Tahoma" w:hAnsi="Tahoma" w:cs="Tahoma"/>
      <w:color w:val="000000"/>
      <w:kern w:val="28"/>
      <w:sz w:val="56"/>
      <w:szCs w:val="56"/>
      <w:lang w:val="en-AU"/>
    </w:rPr>
  </w:style>
  <w:style w:type="paragraph" w:customStyle="1" w:styleId="Keymessages">
    <w:name w:val="Key messages"/>
    <w:uiPriority w:val="1"/>
    <w:qFormat/>
    <w:rsid w:val="00CE36A0"/>
    <w:pPr>
      <w:spacing w:before="360"/>
    </w:pPr>
    <w:rPr>
      <w:rFonts w:ascii="Tahoma" w:hAnsi="Tahoma" w:cs="Tahoma"/>
      <w:sz w:val="28"/>
      <w:lang w:val="en-AU"/>
    </w:rPr>
  </w:style>
  <w:style w:type="paragraph" w:customStyle="1" w:styleId="Organisation">
    <w:name w:val="Organisation"/>
    <w:basedOn w:val="Authors"/>
    <w:uiPriority w:val="1"/>
    <w:qFormat/>
    <w:rsid w:val="00CE36A0"/>
    <w:pPr>
      <w:spacing w:before="120"/>
      <w:ind w:right="0"/>
    </w:pPr>
    <w:rPr>
      <w:sz w:val="24"/>
    </w:rPr>
  </w:style>
  <w:style w:type="character" w:styleId="CommentReference">
    <w:name w:val="annotation reference"/>
    <w:basedOn w:val="DefaultParagraphFont"/>
    <w:uiPriority w:val="99"/>
    <w:semiHidden/>
    <w:rsid w:val="00853A17"/>
    <w:rPr>
      <w:sz w:val="16"/>
      <w:szCs w:val="16"/>
    </w:rPr>
  </w:style>
  <w:style w:type="paragraph" w:styleId="CommentText">
    <w:name w:val="annotation text"/>
    <w:basedOn w:val="Normal"/>
    <w:link w:val="CommentTextChar"/>
    <w:uiPriority w:val="99"/>
    <w:semiHidden/>
    <w:rsid w:val="00853A17"/>
    <w:pPr>
      <w:spacing w:line="240" w:lineRule="auto"/>
    </w:pPr>
    <w:rPr>
      <w:sz w:val="20"/>
    </w:rPr>
  </w:style>
  <w:style w:type="character" w:customStyle="1" w:styleId="CommentTextChar">
    <w:name w:val="Comment Text Char"/>
    <w:basedOn w:val="DefaultParagraphFont"/>
    <w:link w:val="CommentText"/>
    <w:uiPriority w:val="99"/>
    <w:semiHidden/>
    <w:rsid w:val="00853A17"/>
    <w:rPr>
      <w:rFonts w:ascii="Trebuchet MS" w:hAnsi="Trebuchet MS"/>
      <w:lang w:val="en-AU"/>
    </w:rPr>
  </w:style>
  <w:style w:type="paragraph" w:styleId="CommentSubject">
    <w:name w:val="annotation subject"/>
    <w:basedOn w:val="CommentText"/>
    <w:next w:val="CommentText"/>
    <w:link w:val="CommentSubjectChar"/>
    <w:uiPriority w:val="99"/>
    <w:semiHidden/>
    <w:rsid w:val="00853A17"/>
    <w:rPr>
      <w:b/>
      <w:bCs/>
    </w:rPr>
  </w:style>
  <w:style w:type="character" w:customStyle="1" w:styleId="CommentSubjectChar">
    <w:name w:val="Comment Subject Char"/>
    <w:basedOn w:val="CommentTextChar"/>
    <w:link w:val="CommentSubject"/>
    <w:uiPriority w:val="99"/>
    <w:semiHidden/>
    <w:rsid w:val="00853A17"/>
    <w:rPr>
      <w:rFonts w:ascii="Trebuchet MS" w:hAnsi="Trebuchet MS"/>
      <w:b/>
      <w:bCs/>
      <w:lang w:val="en-AU"/>
    </w:rPr>
  </w:style>
  <w:style w:type="character" w:styleId="FollowedHyperlink">
    <w:name w:val="FollowedHyperlink"/>
    <w:basedOn w:val="DefaultParagraphFont"/>
    <w:uiPriority w:val="99"/>
    <w:semiHidden/>
    <w:rsid w:val="00CE36A0"/>
    <w:rPr>
      <w:color w:val="800080" w:themeColor="followedHyperlink"/>
      <w:u w:val="single"/>
    </w:rPr>
  </w:style>
  <w:style w:type="paragraph" w:customStyle="1" w:styleId="NumberedAlphaLevel2">
    <w:name w:val="NumberedAlphaLevel2"/>
    <w:basedOn w:val="NumberedListContinuing"/>
    <w:uiPriority w:val="1"/>
    <w:qFormat/>
    <w:rsid w:val="00CE36A0"/>
    <w:pPr>
      <w:numPr>
        <w:ilvl w:val="1"/>
      </w:numPr>
    </w:pPr>
  </w:style>
  <w:style w:type="paragraph" w:customStyle="1" w:styleId="Textmorebefore">
    <w:name w:val="Text more # before"/>
    <w:basedOn w:val="Text"/>
    <w:uiPriority w:val="1"/>
    <w:qFormat/>
    <w:rsid w:val="006B3214"/>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49179">
      <w:bodyDiv w:val="1"/>
      <w:marLeft w:val="0"/>
      <w:marRight w:val="0"/>
      <w:marTop w:val="0"/>
      <w:marBottom w:val="0"/>
      <w:divBdr>
        <w:top w:val="none" w:sz="0" w:space="0" w:color="auto"/>
        <w:left w:val="none" w:sz="0" w:space="0" w:color="auto"/>
        <w:bottom w:val="none" w:sz="0" w:space="0" w:color="auto"/>
        <w:right w:val="none" w:sz="0" w:space="0" w:color="auto"/>
      </w:divBdr>
    </w:div>
    <w:div w:id="1672677283">
      <w:bodyDiv w:val="1"/>
      <w:marLeft w:val="0"/>
      <w:marRight w:val="0"/>
      <w:marTop w:val="0"/>
      <w:marBottom w:val="0"/>
      <w:divBdr>
        <w:top w:val="none" w:sz="0" w:space="0" w:color="auto"/>
        <w:left w:val="none" w:sz="0" w:space="0" w:color="auto"/>
        <w:bottom w:val="none" w:sz="0" w:space="0" w:color="auto"/>
        <w:right w:val="none" w:sz="0" w:space="0" w:color="auto"/>
      </w:divBdr>
    </w:div>
    <w:div w:id="1703819217">
      <w:bodyDiv w:val="1"/>
      <w:marLeft w:val="0"/>
      <w:marRight w:val="0"/>
      <w:marTop w:val="0"/>
      <w:marBottom w:val="0"/>
      <w:divBdr>
        <w:top w:val="none" w:sz="0" w:space="0" w:color="auto"/>
        <w:left w:val="none" w:sz="0" w:space="0" w:color="auto"/>
        <w:bottom w:val="none" w:sz="0" w:space="0" w:color="auto"/>
        <w:right w:val="none" w:sz="0" w:space="0" w:color="auto"/>
      </w:divBdr>
    </w:div>
    <w:div w:id="1895700055">
      <w:bodyDiv w:val="1"/>
      <w:marLeft w:val="0"/>
      <w:marRight w:val="0"/>
      <w:marTop w:val="0"/>
      <w:marBottom w:val="0"/>
      <w:divBdr>
        <w:top w:val="none" w:sz="0" w:space="0" w:color="auto"/>
        <w:left w:val="none" w:sz="0" w:space="0" w:color="auto"/>
        <w:bottom w:val="none" w:sz="0" w:space="0" w:color="auto"/>
        <w:right w:val="none" w:sz="0" w:space="0" w:color="auto"/>
      </w:divBdr>
    </w:div>
    <w:div w:id="2033914579">
      <w:bodyDiv w:val="1"/>
      <w:marLeft w:val="0"/>
      <w:marRight w:val="0"/>
      <w:marTop w:val="0"/>
      <w:marBottom w:val="0"/>
      <w:divBdr>
        <w:top w:val="none" w:sz="0" w:space="0" w:color="auto"/>
        <w:left w:val="none" w:sz="0" w:space="0" w:color="auto"/>
        <w:bottom w:val="none" w:sz="0" w:space="0" w:color="auto"/>
        <w:right w:val="none" w:sz="0" w:space="0" w:color="auto"/>
      </w:divBdr>
    </w:div>
    <w:div w:id="2083017607">
      <w:bodyDiv w:val="1"/>
      <w:marLeft w:val="0"/>
      <w:marRight w:val="0"/>
      <w:marTop w:val="0"/>
      <w:marBottom w:val="0"/>
      <w:divBdr>
        <w:top w:val="none" w:sz="0" w:space="0" w:color="auto"/>
        <w:left w:val="none" w:sz="0" w:space="0" w:color="auto"/>
        <w:bottom w:val="none" w:sz="0" w:space="0" w:color="auto"/>
        <w:right w:val="none" w:sz="0" w:space="0" w:color="auto"/>
      </w:divBdr>
    </w:div>
    <w:div w:id="214723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vation.gov.au/HigherEducation/HigherEducation%20Statistics/StatisticsPublications/Pages/Students12FullYea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cver@ncver.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CC03-1FE5-49A7-8540-D3449FC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1467F03.dotm</Template>
  <TotalTime>133</TotalTime>
  <Pages>22</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50972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TabathaGriffin</dc:creator>
  <cp:lastModifiedBy>AmyMellow</cp:lastModifiedBy>
  <cp:revision>16</cp:revision>
  <cp:lastPrinted>2014-02-25T06:27:00Z</cp:lastPrinted>
  <dcterms:created xsi:type="dcterms:W3CDTF">2014-02-24T00:13:00Z</dcterms:created>
  <dcterms:modified xsi:type="dcterms:W3CDTF">2014-06-02T23:35:00Z</dcterms:modified>
</cp:coreProperties>
</file>